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CBD00">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eastAsia" w:ascii="Times New Roman" w:hAnsi="Times New Roman" w:eastAsia="仿宋" w:cs="Times New Roman"/>
          <w:color w:val="auto"/>
          <w:kern w:val="0"/>
          <w:sz w:val="21"/>
          <w:szCs w:val="21"/>
          <w:highlight w:val="none"/>
          <w:lang w:val="en-US" w:eastAsia="zh-CN"/>
        </w:rPr>
      </w:pPr>
    </w:p>
    <w:p w14:paraId="6C2E9387">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64ACD1C">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5B7A3E0">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654365A3">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EC94D2A">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6FEE83D">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B41279B">
      <w:pPr>
        <w:keepNext w:val="0"/>
        <w:keepLines w:val="0"/>
        <w:pageBreakBefore w:val="0"/>
        <w:widowControl/>
        <w:suppressLineNumbers w:val="0"/>
        <w:kinsoku w:val="0"/>
        <w:wordWrap/>
        <w:overflowPunct/>
        <w:topLinePunct w:val="0"/>
        <w:autoSpaceDE w:val="0"/>
        <w:autoSpaceDN w:val="0"/>
        <w:bidi w:val="0"/>
        <w:adjustRightInd w:val="0"/>
        <w:snapToGrid w:val="0"/>
        <w:spacing w:before="309" w:beforeAutospacing="0" w:after="0" w:afterAutospacing="0"/>
        <w:ind w:left="0" w:right="0" w:firstLine="0" w:firstLineChars="0"/>
        <w:jc w:val="center"/>
        <w:textAlignment w:val="baseline"/>
        <w:outlineLvl w:val="0"/>
        <w:rPr>
          <w:rFonts w:hint="default" w:ascii="Times New Roman" w:hAnsi="Times New Roman" w:eastAsia="仿宋" w:cs="Times New Roman"/>
          <w:color w:val="auto"/>
          <w:kern w:val="0"/>
          <w:sz w:val="72"/>
          <w:szCs w:val="72"/>
          <w:highlight w:val="none"/>
        </w:rPr>
      </w:pPr>
      <w:r>
        <w:rPr>
          <w:rFonts w:hint="default" w:ascii="Times New Roman" w:hAnsi="Times New Roman" w:eastAsia="仿宋" w:cs="Times New Roman"/>
          <w:snapToGrid/>
          <w:color w:val="auto"/>
          <w:spacing w:val="-1"/>
          <w:kern w:val="0"/>
          <w:sz w:val="72"/>
          <w:szCs w:val="72"/>
          <w:highlight w:val="none"/>
          <w:lang w:val="en-US" w:eastAsia="zh-CN" w:bidi="ar"/>
        </w:rPr>
        <w:t>建设项目环境影响报告表</w:t>
      </w:r>
    </w:p>
    <w:p w14:paraId="46B682C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right="0" w:firstLine="0" w:firstLineChars="0"/>
        <w:jc w:val="center"/>
        <w:textAlignment w:val="baseline"/>
        <w:outlineLvl w:val="9"/>
        <w:rPr>
          <w:rFonts w:hint="default" w:ascii="Times New Roman" w:hAnsi="Times New Roman" w:eastAsia="仿宋" w:cs="Times New Roman"/>
          <w:color w:val="auto"/>
          <w:kern w:val="0"/>
          <w:sz w:val="48"/>
          <w:szCs w:val="48"/>
          <w:highlight w:val="none"/>
        </w:rPr>
      </w:pPr>
      <w:r>
        <w:rPr>
          <w:rFonts w:hint="default" w:ascii="Times New Roman" w:hAnsi="Times New Roman" w:eastAsia="仿宋" w:cs="Times New Roman"/>
          <w:snapToGrid/>
          <w:color w:val="auto"/>
          <w:spacing w:val="-13"/>
          <w:kern w:val="0"/>
          <w:sz w:val="48"/>
          <w:szCs w:val="48"/>
          <w:highlight w:val="none"/>
          <w:lang w:val="en-US" w:eastAsia="zh-CN" w:bidi="ar"/>
        </w:rPr>
        <w:t>（生态影响类）</w:t>
      </w:r>
    </w:p>
    <w:p w14:paraId="6292665E">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C8A3A04">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4A53FCB9">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5460655C">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6AE47C6">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1DB1F5AA">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790A02B0">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0193E1DC">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09BF270D">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15F294C3">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63CEAA2">
      <w:pPr>
        <w:keepNext w:val="0"/>
        <w:keepLines w:val="0"/>
        <w:pageBreakBefore w:val="0"/>
        <w:widowControl/>
        <w:suppressLineNumbers w:val="0"/>
        <w:kinsoku w:val="0"/>
        <w:wordWrap/>
        <w:overflowPunct/>
        <w:topLinePunct w:val="0"/>
        <w:autoSpaceDE w:val="0"/>
        <w:autoSpaceDN w:val="0"/>
        <w:bidi w:val="0"/>
        <w:adjustRightInd w:val="0"/>
        <w:snapToGrid w:val="0"/>
        <w:spacing w:before="117" w:beforeAutospacing="0" w:after="0" w:afterAutospacing="0"/>
        <w:ind w:left="1480" w:right="0" w:hanging="1800" w:hangingChars="500"/>
        <w:jc w:val="left"/>
        <w:textAlignment w:val="baseline"/>
        <w:rPr>
          <w:rFonts w:hint="default" w:ascii="Times New Roman" w:hAnsi="Times New Roman" w:eastAsia="仿宋" w:cs="Times New Roman"/>
          <w:color w:val="auto"/>
          <w:kern w:val="0"/>
          <w:sz w:val="28"/>
          <w:szCs w:val="28"/>
          <w:highlight w:val="none"/>
          <w:lang w:val="en-US"/>
        </w:rPr>
      </w:pPr>
      <w:r>
        <w:rPr>
          <w:rFonts w:hint="default" w:ascii="Times New Roman" w:hAnsi="Times New Roman" w:eastAsia="仿宋" w:cs="Times New Roman"/>
          <w:snapToGrid/>
          <w:color w:val="auto"/>
          <w:spacing w:val="0"/>
          <w:kern w:val="0"/>
          <w:sz w:val="36"/>
          <w:szCs w:val="36"/>
          <w:highlight w:val="none"/>
          <w:lang w:val="en-US" w:eastAsia="zh-CN" w:bidi="ar"/>
        </w:rPr>
        <w:t>项目名称：</w:t>
      </w:r>
      <w:r>
        <w:rPr>
          <w:rFonts w:hint="default" w:ascii="Times New Roman" w:hAnsi="Times New Roman" w:eastAsia="仿宋" w:cs="Times New Roman"/>
          <w:snapToGrid/>
          <w:color w:val="auto"/>
          <w:spacing w:val="0"/>
          <w:kern w:val="0"/>
          <w:sz w:val="36"/>
          <w:szCs w:val="36"/>
          <w:highlight w:val="none"/>
          <w:u w:val="single"/>
          <w:lang w:val="en-US" w:eastAsia="zh-CN" w:bidi="ar"/>
        </w:rPr>
        <w:t>迤车镇中寨村委会竹子箐光伏项目（复合型光伏发电项目）（重新报批）</w:t>
      </w:r>
      <w:r>
        <w:rPr>
          <w:rFonts w:hint="default" w:ascii="Times New Roman" w:hAnsi="Times New Roman" w:eastAsia="仿宋" w:cs="Times New Roman"/>
          <w:snapToGrid/>
          <w:color w:val="auto"/>
          <w:spacing w:val="-11"/>
          <w:kern w:val="0"/>
          <w:sz w:val="36"/>
          <w:szCs w:val="36"/>
          <w:highlight w:val="none"/>
          <w:u w:val="single"/>
          <w:lang w:val="en-US" w:eastAsia="zh-CN" w:bidi="ar"/>
        </w:rPr>
        <w:t xml:space="preserve">                 </w:t>
      </w:r>
    </w:p>
    <w:p w14:paraId="0771D75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92" w:lineRule="auto"/>
        <w:ind w:left="0" w:leftChars="0" w:right="0" w:firstLine="0" w:firstLineChars="0"/>
        <w:jc w:val="left"/>
        <w:textAlignment w:val="baseline"/>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snapToGrid/>
          <w:color w:val="auto"/>
          <w:spacing w:val="6"/>
          <w:kern w:val="0"/>
          <w:sz w:val="36"/>
          <w:szCs w:val="36"/>
          <w:highlight w:val="none"/>
          <w:lang w:val="en-US" w:eastAsia="zh-CN" w:bidi="ar"/>
        </w:rPr>
        <w:t>建设单位（盖章</w:t>
      </w:r>
      <w:r>
        <w:rPr>
          <w:rFonts w:hint="default" w:ascii="Times New Roman" w:hAnsi="Times New Roman" w:eastAsia="仿宋" w:cs="Times New Roman"/>
          <w:snapToGrid/>
          <w:color w:val="auto"/>
          <w:spacing w:val="-15"/>
          <w:kern w:val="0"/>
          <w:sz w:val="36"/>
          <w:szCs w:val="36"/>
          <w:highlight w:val="none"/>
          <w:lang w:val="en-US" w:eastAsia="zh-CN" w:bidi="ar"/>
        </w:rPr>
        <w:t>）：</w:t>
      </w:r>
      <w:r>
        <w:rPr>
          <w:rFonts w:hint="default" w:ascii="Times New Roman" w:hAnsi="Times New Roman" w:eastAsia="仿宋" w:cs="Times New Roman"/>
          <w:snapToGrid/>
          <w:color w:val="auto"/>
          <w:spacing w:val="-6"/>
          <w:kern w:val="0"/>
          <w:sz w:val="36"/>
          <w:szCs w:val="36"/>
          <w:highlight w:val="none"/>
          <w:u w:val="single"/>
          <w:lang w:val="en-US" w:eastAsia="zh-CN" w:bidi="ar"/>
        </w:rPr>
        <w:t>会泽华电道成清洁能源开发有限公司</w:t>
      </w:r>
    </w:p>
    <w:p w14:paraId="5DCD4B4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3"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2E11CF69">
      <w:pPr>
        <w:keepNext w:val="0"/>
        <w:keepLines w:val="0"/>
        <w:pageBreakBefore w:val="0"/>
        <w:widowControl/>
        <w:suppressLineNumbers w:val="0"/>
        <w:kinsoku w:val="0"/>
        <w:wordWrap/>
        <w:overflowPunct/>
        <w:topLinePunct w:val="0"/>
        <w:autoSpaceDE w:val="0"/>
        <w:autoSpaceDN w:val="0"/>
        <w:bidi w:val="0"/>
        <w:adjustRightInd w:val="0"/>
        <w:snapToGrid w:val="0"/>
        <w:spacing w:before="117" w:beforeAutospacing="0" w:after="0" w:afterAutospacing="0"/>
        <w:ind w:left="0" w:right="0" w:firstLine="0" w:firstLineChars="0"/>
        <w:jc w:val="left"/>
        <w:textAlignment w:val="baseline"/>
        <w:rPr>
          <w:rFonts w:hint="default" w:ascii="Times New Roman" w:hAnsi="Times New Roman" w:eastAsia="仿宋" w:cs="Times New Roman"/>
          <w:color w:val="auto"/>
          <w:kern w:val="0"/>
          <w:sz w:val="31"/>
          <w:szCs w:val="31"/>
          <w:highlight w:val="none"/>
        </w:rPr>
      </w:pPr>
      <w:r>
        <w:rPr>
          <w:rFonts w:hint="default" w:ascii="Times New Roman" w:hAnsi="Times New Roman" w:eastAsia="仿宋" w:cs="Times New Roman"/>
          <w:snapToGrid/>
          <w:color w:val="auto"/>
          <w:spacing w:val="-4"/>
          <w:kern w:val="0"/>
          <w:sz w:val="36"/>
          <w:szCs w:val="36"/>
          <w:highlight w:val="none"/>
          <w:lang w:val="en-US" w:eastAsia="zh-CN" w:bidi="ar"/>
        </w:rPr>
        <w:t>编制日期：</w:t>
      </w:r>
      <w:r>
        <w:rPr>
          <w:rFonts w:hint="default" w:ascii="Times New Roman" w:hAnsi="Times New Roman" w:eastAsia="仿宋" w:cs="Times New Roman"/>
          <w:snapToGrid/>
          <w:color w:val="auto"/>
          <w:spacing w:val="-4"/>
          <w:kern w:val="0"/>
          <w:sz w:val="31"/>
          <w:szCs w:val="31"/>
          <w:highlight w:val="none"/>
          <w:u w:val="single"/>
          <w:lang w:val="en-US" w:eastAsia="zh-CN" w:bidi="ar"/>
        </w:rPr>
        <w:t xml:space="preserve">           </w:t>
      </w:r>
      <w:r>
        <w:rPr>
          <w:rFonts w:hint="eastAsia" w:cs="Times New Roman"/>
          <w:snapToGrid/>
          <w:color w:val="auto"/>
          <w:spacing w:val="-4"/>
          <w:kern w:val="0"/>
          <w:sz w:val="31"/>
          <w:szCs w:val="31"/>
          <w:highlight w:val="none"/>
          <w:u w:val="single"/>
          <w:lang w:val="en-US" w:eastAsia="zh-CN" w:bidi="ar"/>
        </w:rPr>
        <w:t xml:space="preserve">      </w:t>
      </w:r>
      <w:r>
        <w:rPr>
          <w:rFonts w:hint="default" w:ascii="Times New Roman" w:hAnsi="Times New Roman" w:eastAsia="仿宋" w:cs="Times New Roman"/>
          <w:snapToGrid/>
          <w:color w:val="auto"/>
          <w:spacing w:val="-4"/>
          <w:kern w:val="0"/>
          <w:sz w:val="36"/>
          <w:szCs w:val="36"/>
          <w:highlight w:val="none"/>
          <w:u w:val="single"/>
          <w:lang w:val="en-US" w:eastAsia="zh-CN" w:bidi="ar"/>
        </w:rPr>
        <w:t>2026年</w:t>
      </w:r>
      <w:r>
        <w:rPr>
          <w:rFonts w:hint="eastAsia" w:cs="Times New Roman"/>
          <w:snapToGrid/>
          <w:color w:val="auto"/>
          <w:spacing w:val="-4"/>
          <w:kern w:val="0"/>
          <w:sz w:val="36"/>
          <w:szCs w:val="36"/>
          <w:highlight w:val="none"/>
          <w:u w:val="single"/>
          <w:lang w:val="en-US" w:eastAsia="zh-CN" w:bidi="ar"/>
        </w:rPr>
        <w:t>8</w:t>
      </w:r>
      <w:r>
        <w:rPr>
          <w:rFonts w:hint="default" w:ascii="Times New Roman" w:hAnsi="Times New Roman" w:eastAsia="仿宋" w:cs="Times New Roman"/>
          <w:snapToGrid/>
          <w:color w:val="auto"/>
          <w:spacing w:val="-4"/>
          <w:kern w:val="0"/>
          <w:sz w:val="36"/>
          <w:szCs w:val="36"/>
          <w:highlight w:val="none"/>
          <w:u w:val="single"/>
          <w:lang w:val="en-US" w:eastAsia="zh-CN" w:bidi="ar"/>
        </w:rPr>
        <w:t>月</w:t>
      </w:r>
      <w:r>
        <w:rPr>
          <w:rFonts w:hint="default" w:ascii="Times New Roman" w:hAnsi="Times New Roman" w:eastAsia="仿宋" w:cs="Times New Roman"/>
          <w:snapToGrid/>
          <w:color w:val="auto"/>
          <w:kern w:val="0"/>
          <w:sz w:val="31"/>
          <w:szCs w:val="31"/>
          <w:highlight w:val="none"/>
          <w:u w:val="single"/>
          <w:lang w:val="en-US" w:eastAsia="zh-CN" w:bidi="ar"/>
        </w:rPr>
        <w:t xml:space="preserve">                    </w:t>
      </w:r>
    </w:p>
    <w:p w14:paraId="0861ED80">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2D13E690">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250815F9">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5393223E">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1FC10087">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16037CE">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1314C220">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2FCC01F8">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textAlignment w:val="baseline"/>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snapToGrid/>
          <w:color w:val="auto"/>
          <w:kern w:val="0"/>
          <w:sz w:val="21"/>
          <w:szCs w:val="21"/>
          <w:highlight w:val="none"/>
          <w:lang w:val="en-US" w:eastAsia="zh-CN" w:bidi="ar"/>
        </w:rPr>
        <w:t xml:space="preserve"> </w:t>
      </w:r>
    </w:p>
    <w:p w14:paraId="3CDA3147">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textAlignment w:val="baseline"/>
        <w:rPr>
          <w:rFonts w:hint="default" w:ascii="Times New Roman" w:hAnsi="Times New Roman" w:eastAsia="仿宋" w:cs="Times New Roman"/>
          <w:color w:val="auto"/>
          <w:kern w:val="0"/>
          <w:sz w:val="21"/>
          <w:szCs w:val="21"/>
          <w:highlight w:val="none"/>
        </w:rPr>
      </w:pPr>
    </w:p>
    <w:p w14:paraId="538D21DD">
      <w:pPr>
        <w:adjustRightInd w:val="0"/>
        <w:snapToGrid w:val="0"/>
        <w:spacing w:line="288" w:lineRule="auto"/>
        <w:jc w:val="center"/>
        <w:rPr>
          <w:rFonts w:hint="default" w:ascii="Times New Roman" w:hAnsi="Times New Roman" w:eastAsia="仿宋" w:cs="Times New Roman"/>
          <w:color w:val="auto"/>
          <w:sz w:val="36"/>
          <w:szCs w:val="36"/>
          <w:highlight w:val="none"/>
        </w:rPr>
      </w:pPr>
    </w:p>
    <w:p w14:paraId="4DF97644">
      <w:pPr>
        <w:adjustRightInd w:val="0"/>
        <w:snapToGrid w:val="0"/>
        <w:spacing w:line="288" w:lineRule="auto"/>
        <w:ind w:firstLine="1040"/>
        <w:rPr>
          <w:rFonts w:hint="default" w:ascii="Times New Roman" w:hAnsi="Times New Roman" w:eastAsia="仿宋" w:cs="Times New Roman"/>
          <w:color w:val="auto"/>
          <w:sz w:val="36"/>
          <w:szCs w:val="36"/>
          <w:highlight w:val="none"/>
        </w:rPr>
        <w:sectPr>
          <w:footerReference r:id="rId5" w:type="even"/>
          <w:pgSz w:w="11906" w:h="16838"/>
          <w:pgMar w:top="1701" w:right="1531" w:bottom="1701" w:left="1531" w:header="851" w:footer="1077" w:gutter="0"/>
          <w:pgNumType w:start="21"/>
          <w:cols w:space="720" w:num="1"/>
          <w:docGrid w:linePitch="312" w:charSpace="0"/>
        </w:sectPr>
      </w:pPr>
    </w:p>
    <w:p w14:paraId="176AC05D">
      <w:pPr>
        <w:spacing w:before="0" w:beforeLines="0" w:after="0" w:afterLines="0" w:line="240" w:lineRule="auto"/>
        <w:ind w:left="0" w:leftChars="0" w:right="0" w:rightChars="0" w:firstLine="0" w:firstLineChars="0"/>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目录</w:t>
      </w:r>
    </w:p>
    <w:sdt>
      <w:sdtPr>
        <w:rPr>
          <w:rFonts w:hint="default" w:ascii="Times New Roman" w:hAnsi="Times New Roman" w:eastAsia="仿宋" w:cs="Times New Roman"/>
          <w:color w:val="auto"/>
          <w:kern w:val="2"/>
          <w:sz w:val="21"/>
          <w:szCs w:val="24"/>
          <w:highlight w:val="none"/>
          <w:lang w:val="en-US" w:eastAsia="zh-CN" w:bidi="ar-SA"/>
        </w:rPr>
        <w:id w:val="147471024"/>
        <w15:color w:val="DBDBDB"/>
        <w:docPartObj>
          <w:docPartGallery w:val="Table of Contents"/>
          <w:docPartUnique/>
        </w:docPartObj>
      </w:sdtPr>
      <w:sdtEndPr>
        <w:rPr>
          <w:rFonts w:hint="default" w:ascii="Times New Roman" w:hAnsi="Times New Roman" w:eastAsia="仿宋" w:cs="Times New Roman"/>
          <w:snapToGrid w:val="0"/>
          <w:color w:val="auto"/>
          <w:kern w:val="0"/>
          <w:sz w:val="24"/>
          <w:szCs w:val="30"/>
          <w:highlight w:val="none"/>
          <w:lang w:val="en-US" w:eastAsia="zh-CN" w:bidi="ar-SA"/>
        </w:rPr>
      </w:sdtEndPr>
      <w:sdtContent>
        <w:p w14:paraId="59D4C490">
          <w:pPr>
            <w:spacing w:before="0" w:beforeLines="0" w:after="0" w:afterLines="0" w:line="240" w:lineRule="auto"/>
            <w:ind w:left="0" w:leftChars="0" w:right="0" w:rightChars="0" w:firstLine="0" w:firstLineChars="0"/>
            <w:jc w:val="center"/>
            <w:rPr>
              <w:rFonts w:hint="default" w:ascii="Times New Roman" w:hAnsi="Times New Roman" w:eastAsia="仿宋" w:cs="Times New Roman"/>
              <w:color w:val="auto"/>
              <w:highlight w:val="none"/>
            </w:rPr>
          </w:pPr>
        </w:p>
        <w:p w14:paraId="30CB2EE4">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TOC \o "1-1" \h \u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_Toc15845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一、建设项目基本情况</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_Toc15845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1</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7AECFF75">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_Toc14019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二、建设内容</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_Toc14019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48</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27F96C1B">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_Toc12231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三、生态环境现状、保护目标及评价标准</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_Toc12231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79</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179E9A45">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_Toc27286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四、生态环境影响分析</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_Toc27286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113</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1A7B7456">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_Toc5768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五、主要生态环境保护措施</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_Toc5768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154</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0796122E">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_Toc21442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六、生态环境保护措施监督检查清单</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_Toc21442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173</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1A8A6929">
          <w:pPr>
            <w:pStyle w:val="8"/>
            <w:tabs>
              <w:tab w:val="right" w:leader="dot" w:pos="8844"/>
            </w:tabs>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rPr>
            <w:fldChar w:fldCharType="begin"/>
          </w:r>
          <w:r>
            <w:rPr>
              <w:rFonts w:hint="default" w:ascii="Times New Roman" w:hAnsi="Times New Roman" w:eastAsia="仿宋" w:cs="Times New Roman"/>
              <w:snapToGrid w:val="0"/>
              <w:color w:val="auto"/>
              <w:sz w:val="28"/>
              <w:szCs w:val="28"/>
              <w:highlight w:val="none"/>
            </w:rPr>
            <w:instrText xml:space="preserve"> HYPERLINK \l _Toc5716 </w:instrText>
          </w:r>
          <w:r>
            <w:rPr>
              <w:rFonts w:hint="default" w:ascii="Times New Roman" w:hAnsi="Times New Roman" w:eastAsia="仿宋" w:cs="Times New Roman"/>
              <w:snapToGrid w:val="0"/>
              <w:color w:val="auto"/>
              <w:sz w:val="28"/>
              <w:szCs w:val="28"/>
              <w:highlight w:val="none"/>
            </w:rPr>
            <w:fldChar w:fldCharType="separate"/>
          </w:r>
          <w:r>
            <w:rPr>
              <w:rFonts w:hint="default" w:ascii="Times New Roman" w:hAnsi="Times New Roman" w:eastAsia="仿宋" w:cs="Times New Roman"/>
              <w:snapToGrid w:val="0"/>
              <w:color w:val="auto"/>
              <w:sz w:val="28"/>
              <w:szCs w:val="28"/>
              <w:highlight w:val="none"/>
            </w:rPr>
            <w:t>七、结论</w:t>
          </w:r>
          <w:r>
            <w:rPr>
              <w:rFonts w:hint="default" w:ascii="Times New Roman" w:hAnsi="Times New Roman" w:eastAsia="仿宋" w:cs="Times New Roman"/>
              <w:color w:val="auto"/>
              <w:sz w:val="28"/>
              <w:szCs w:val="28"/>
              <w:highlight w:val="none"/>
            </w:rPr>
            <w:tab/>
          </w: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 PAGEREF _Toc5716 \h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color w:val="auto"/>
              <w:sz w:val="28"/>
              <w:szCs w:val="28"/>
              <w:highlight w:val="none"/>
            </w:rPr>
            <w:t>181</w:t>
          </w:r>
          <w:r>
            <w:rPr>
              <w:rFonts w:hint="default" w:ascii="Times New Roman" w:hAnsi="Times New Roman" w:eastAsia="仿宋" w:cs="Times New Roman"/>
              <w:color w:val="auto"/>
              <w:sz w:val="28"/>
              <w:szCs w:val="28"/>
              <w:highlight w:val="none"/>
            </w:rPr>
            <w:fldChar w:fldCharType="end"/>
          </w:r>
          <w:r>
            <w:rPr>
              <w:rFonts w:hint="default" w:ascii="Times New Roman" w:hAnsi="Times New Roman" w:eastAsia="仿宋" w:cs="Times New Roman"/>
              <w:snapToGrid w:val="0"/>
              <w:color w:val="auto"/>
              <w:sz w:val="28"/>
              <w:szCs w:val="28"/>
              <w:highlight w:val="none"/>
            </w:rPr>
            <w:fldChar w:fldCharType="end"/>
          </w:r>
        </w:p>
        <w:p w14:paraId="78E46BB9">
          <w:pPr>
            <w:jc w:val="both"/>
            <w:outlineLvl w:val="0"/>
            <w:rPr>
              <w:rFonts w:hint="default" w:ascii="Times New Roman" w:hAnsi="Times New Roman" w:eastAsia="仿宋" w:cs="Times New Roman"/>
              <w:color w:val="auto"/>
              <w:sz w:val="24"/>
              <w:szCs w:val="22"/>
              <w:highlight w:val="none"/>
              <w:lang w:val="en-US" w:eastAsia="zh-CN"/>
            </w:rPr>
            <w:sectPr>
              <w:headerReference r:id="rId6" w:type="default"/>
              <w:footerReference r:id="rId7" w:type="default"/>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仿宋" w:cs="Times New Roman"/>
              <w:snapToGrid w:val="0"/>
              <w:color w:val="auto"/>
              <w:sz w:val="28"/>
              <w:szCs w:val="28"/>
              <w:highlight w:val="none"/>
            </w:rPr>
            <w:fldChar w:fldCharType="end"/>
          </w:r>
        </w:p>
      </w:sdtContent>
    </w:sdt>
    <w:p w14:paraId="5D3029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照片页（拍摄时间2025年10月）</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6"/>
        <w:gridCol w:w="4878"/>
      </w:tblGrid>
      <w:tr w14:paraId="17EA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0" w:hRule="atLeast"/>
        </w:trPr>
        <w:tc>
          <w:tcPr>
            <w:tcW w:w="9854" w:type="dxa"/>
            <w:gridSpan w:val="2"/>
            <w:vAlign w:val="center"/>
          </w:tcPr>
          <w:p w14:paraId="192F055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91008" behindDoc="0" locked="0" layoutInCell="1" allowOverlap="1">
                      <wp:simplePos x="0" y="0"/>
                      <wp:positionH relativeFrom="column">
                        <wp:posOffset>2099310</wp:posOffset>
                      </wp:positionH>
                      <wp:positionV relativeFrom="paragraph">
                        <wp:posOffset>1670685</wp:posOffset>
                      </wp:positionV>
                      <wp:extent cx="2148840" cy="594995"/>
                      <wp:effectExtent l="12700" t="12700" r="29210" b="20955"/>
                      <wp:wrapNone/>
                      <wp:docPr id="13" name="任意多边形 13"/>
                      <wp:cNvGraphicFramePr/>
                      <a:graphic xmlns:a="http://schemas.openxmlformats.org/drawingml/2006/main">
                        <a:graphicData uri="http://schemas.microsoft.com/office/word/2010/wordprocessingShape">
                          <wps:wsp>
                            <wps:cNvSpPr/>
                            <wps:spPr>
                              <a:xfrm>
                                <a:off x="2819400" y="2489200"/>
                                <a:ext cx="2148840" cy="594995"/>
                              </a:xfrm>
                              <a:custGeom>
                                <a:avLst/>
                                <a:gdLst>
                                  <a:gd name="connisteX0" fmla="*/ 23495 w 2148840"/>
                                  <a:gd name="connsiteY0" fmla="*/ 46355 h 917575"/>
                                  <a:gd name="connisteX1" fmla="*/ 2050415 w 2148840"/>
                                  <a:gd name="connsiteY1" fmla="*/ 0 h 917575"/>
                                  <a:gd name="connisteX2" fmla="*/ 2148840 w 2148840"/>
                                  <a:gd name="connsiteY2" fmla="*/ 876935 h 917575"/>
                                  <a:gd name="connisteX3" fmla="*/ 0 w 2148840"/>
                                  <a:gd name="connsiteY3" fmla="*/ 917575 h 917575"/>
                                  <a:gd name="connisteX4" fmla="*/ 23495 w 2148840"/>
                                  <a:gd name="connsiteY4" fmla="*/ 46355 h 91757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148840" h="917575">
                                    <a:moveTo>
                                      <a:pt x="23495" y="46355"/>
                                    </a:moveTo>
                                    <a:lnTo>
                                      <a:pt x="2050415" y="0"/>
                                    </a:lnTo>
                                    <a:lnTo>
                                      <a:pt x="2148840" y="876935"/>
                                    </a:lnTo>
                                    <a:lnTo>
                                      <a:pt x="0" y="917575"/>
                                    </a:lnTo>
                                    <a:lnTo>
                                      <a:pt x="23495" y="46355"/>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65.3pt;margin-top:131.55pt;height:46.85pt;width:169.2pt;z-index:251691008;mso-width-relative:page;mso-height-relative:page;" filled="f" stroked="t" coordsize="2148840,917575" o:gfxdata="UEsDBAoAAAAAAIdO4kAAAAAAAAAAAAAAAAAEAAAAZHJzL1BLAwQUAAAACACHTuJAI4Wm6NcAAAAL&#10;AQAADwAAAGRycy9kb3ducmV2LnhtbE2PQU7DMBBF90jcwRokdtROI0wJcboAwQKECoUDuPGQRNjj&#10;KHab9vYMK1iO/tOf9+v1MXhxwCkNkQwUCwUCqY1uoM7A58fj1QpEypac9ZHQwAkTrJvzs9pWLs70&#10;jodt7gSXUKqsgT7nsZIytT0GmxZxROLsK07BZj6nTrrJzlwevFwqpWWwA/GH3o5432P7vd0HA/l0&#10;8zCHAZ+pDH7zFIq39PLaGXN5Uag7EBmP+Q+GX31Wh4addnFPLglvoCyVZtTAUpcFCCa0vuV1O46u&#10;9QpkU8v/G5ofUEsDBBQAAAAIAIdO4kBDUhvDFQMAAEQIAAAOAAAAZHJzL2Uyb0RvYy54bWytVU9v&#10;0zAUvyPxHawckViSNlmbau0OVOWCYNKGBEfXcZpIjm3ZXtvduXPniPgSaIJPwxAfg2c7ab0N1CLR&#10;Q+LU7/f+/N7zz2fn25ahNVW6EXwapSdJhCgnomz4ahq9vVo8H0dIG8xLzASn0+iG6uh89vTJ2UZO&#10;6EDUgpVUIXDC9WQjp1FtjJzEsSY1bbE+EZJy2KyEarGBT7WKS4U34L1l8SBJTuONUKVUglCt4d+5&#10;34w6j+oYh6KqGkLngly3lBvvVVGGDZSk60bqaOayrSpKzJuq0tQgNo2gUuOeEATWS/uMZ2d4slJY&#10;1g3pUsDHpPCgphY3HILuXM2xwehaNY9ctQ1RQovKnBDRxr4QxwhUkSYPuLmssaSuFqBayx3p+v+5&#10;Ja/XFwo1JUzCMEIct9DxH7e3Pz98vPvy6df3r3ffPiPYAZo2Uk/A+lJeqO5Lw9LWvK1Ua99QDdpO&#10;o8E4LbIECL6BdTYuoOmeZro1iFiDNBuPMzAgYJEXWVHk1iDeeyLX2rykwnnF61fa+DaVsHIkl12m&#10;RHDeaEPfgbOqZdC5ZzEaDLMiRxvUh+mwAUQ3hr4PIdnpMM9RjYp0lI9cMtDJR0HSMEiSJ1l6RJgQ&#10;lBwMMQhDeJoOVxKCxqPTYni4FOj1jq/kcITQ3HN0sJIsiHBkR0LI447AeKz6AcB1PxNky7uhgBXC&#10;VsMSdxCl0HYYwwmBabOfXff9xAHKTtQBMDQxBKfduB4HhvaE4ME/gYH5EOxOIjBxXGQgNARnYWTv&#10;pONOgU5ahWROIU2EQCGVU8ilxeCJxMZS3i/RJjjF9TTqzo3dbsWaXglnaJwa2NPo8nAt7VLYWzF+&#10;z9ofK2fvVAPS7C36t/R+exGBCv3Qd657s/7tzb0c7c/33/3+Md/eGWFCUz85lhInWjtuLKWBcHGx&#10;aBhz9DHuGMudLBIMt2YFtxUIYCtBeTVfRQizFVzHxCg3vVqwprRwS6RWq+ULptAaQ4sWiwR+Xa33&#10;zKTSZo517e3c1o4SSNTqt1dsu1qK8sYJufsfLhdXSncR2tsr/Hbo/eU/+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jhabo1wAAAAsBAAAPAAAAAAAAAAEAIAAAACIAAABkcnMvZG93bnJldi54bWxQ&#10;SwECFAAUAAAACACHTuJAQ1IbwxUDAABECAAADgAAAAAAAAABACAAAAAmAQAAZHJzL2Uyb0RvYy54&#10;bWxQSwUGAAAAAAYABgBZAQAArQYAAAAA&#10;" path="m23495,46355l2050415,0,2148840,876935,0,917575,23495,46355xe">
                      <v:path o:connectlocs="23495,30058;2050415,0;2148840,568642;0,594995;23495,30058" o:connectangles="0,0,0,0,0"/>
                      <v:fill on="f"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95104" behindDoc="0" locked="0" layoutInCell="1" allowOverlap="1">
                      <wp:simplePos x="0" y="0"/>
                      <wp:positionH relativeFrom="column">
                        <wp:posOffset>5715</wp:posOffset>
                      </wp:positionH>
                      <wp:positionV relativeFrom="paragraph">
                        <wp:posOffset>3960495</wp:posOffset>
                      </wp:positionV>
                      <wp:extent cx="1306195" cy="399415"/>
                      <wp:effectExtent l="0" t="0" r="0" b="0"/>
                      <wp:wrapNone/>
                      <wp:docPr id="1" name="文本框 1"/>
                      <wp:cNvGraphicFramePr/>
                      <a:graphic xmlns:a="http://schemas.openxmlformats.org/drawingml/2006/main">
                        <a:graphicData uri="http://schemas.microsoft.com/office/word/2010/wordprocessingShape">
                          <wps:wsp>
                            <wps:cNvSpPr txBox="1"/>
                            <wps:spPr>
                              <a:xfrm>
                                <a:off x="5320030" y="487045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50FD4">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5pt;margin-top:311.85pt;height:31.45pt;width:102.85pt;z-index:251695104;mso-width-relative:page;mso-height-relative:page;" filled="f" stroked="f" coordsize="21600,21600" o:gfxdata="UEsDBAoAAAAAAIdO4kAAAAAAAAAAAAAAAAAEAAAAZHJzL1BLAwQUAAAACACHTuJALwfMYtkAAAAI&#10;AQAADwAAAGRycy9kb3ducmV2LnhtbE2PzU7DMBCE70i8g7VI3KjdIEKaxqlQpAoJwaGlF26beJtE&#10;xHaI3R94epZTue3ujGa/KVZnO4gjTaH3TsN8pkCQa7zpXath976+y0CEiM7g4B1p+KYAq/L6qsDc&#10;+JPb0HEbW8EhLuSooYtxzKUMTUcWw8yP5Fjb+8li5HVqpZnwxOF2kIlSqbTYO/7Q4UhVR83n9mA1&#10;vFTrN9zUic1+hur5df80fu0+HrS+vZmrJYhI53gxwx8+o0PJTLU/OBPEoGHBPg1pcv8IguVEpSmI&#10;mi8ZD7Is5P8C5S9QSwMEFAAAAAgAh07iQP+TusBFAgAAcgQAAA4AAABkcnMvZTJvRG9jLnhtbK1U&#10;zY7TMBC+I/EOlu80/Um726jpqmxVhFSxKxXE2XWcJpLtMbbbpDwAvMGeuHDnufocjJN0tywc9sDF&#10;Gc+Mvpnvm3FmN7WS5CCsK0GndNDrUyI0h6zUu5R++rh6c02J80xnTIIWKT0KR2/mr1/NKpOIIRQg&#10;M2EJgmiXVCalhfcmiSLHC6GY64ERGoM5WMU8Xu0uyiyrEF3JaNjvT6IKbGYscOEcepdtkHaI9iWA&#10;kOclF0vgeyW0b1GtkMwjJVeUxtF5022eC+7v8twJT2RKkalvTiyC9jac0XzGkp1lpih51wJ7SQvP&#10;OClWaiz6CLVknpG9Lf+CUiW34CD3PQ4qaok0iiCLQf+ZNpuCGdFwQamdeRTd/T9Y/uFwb0mZ4SZQ&#10;opnCgZ8evp9+/Dr9/EYGQZ7KuASzNgbzfP0W6pDa+R06A+s6typ8kQ/B+HiEgx6hxMeUxtdX/Xjc&#10;CS1qT3gAGPUng+mYEo4Zo+k0HowDZPSEZKzz7wQoEoyUWhxkoy87rJ1vU88pobCGVSkl+lkiNalS&#10;OhlhzT8iCC411gh82r6D5ett3ZHZQnZEjhbaJXGGr0osvmbO3zOLW4GE8N34OzxyCVgEOouSAuzX&#10;f/lDPg4Lo5RUuGUpdV/2zApK5HuNY5wO4jisZXOJx1dDvNjLyPYyovfqFnCRcVTYXWOGfC/PZm5B&#10;fcbntQhVMcQ0x9op9Wfz1re7j8+Ti8WiScJFNMyv9cbwAN2Ktth7yMtG6SBTq02nHq5iM6vu2YRd&#10;v7w3WU+/iv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wfMYtkAAAAIAQAADwAAAAAAAAABACAA&#10;AAAiAAAAZHJzL2Rvd25yZXYueG1sUEsBAhQAFAAAAAgAh07iQP+TusBFAgAAcgQAAA4AAAAAAAAA&#10;AQAgAAAAKAEAAGRycy9lMm9Eb2MueG1sUEsFBgAAAAAGAAYAWQEAAN8FAAAAAA==&#10;">
                      <v:fill on="f" focussize="0,0"/>
                      <v:stroke on="f" weight="0.5pt"/>
                      <v:imagedata o:title=""/>
                      <o:lock v:ext="edit" aspectratio="f"/>
                      <v:textbox>
                        <w:txbxContent>
                          <w:p w14:paraId="4C850FD4">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2030095</wp:posOffset>
                      </wp:positionH>
                      <wp:positionV relativeFrom="paragraph">
                        <wp:posOffset>1005840</wp:posOffset>
                      </wp:positionV>
                      <wp:extent cx="629285" cy="278765"/>
                      <wp:effectExtent l="6350" t="6350" r="12065" b="419735"/>
                      <wp:wrapNone/>
                      <wp:docPr id="31" name="线形标注 1 31"/>
                      <wp:cNvGraphicFramePr/>
                      <a:graphic xmlns:a="http://schemas.openxmlformats.org/drawingml/2006/main">
                        <a:graphicData uri="http://schemas.microsoft.com/office/word/2010/wordprocessingShape">
                          <wps:wsp>
                            <wps:cNvSpPr/>
                            <wps:spPr>
                              <a:xfrm>
                                <a:off x="2425700" y="2029460"/>
                                <a:ext cx="629285" cy="278765"/>
                              </a:xfrm>
                              <a:prstGeom prst="borderCallout1">
                                <a:avLst>
                                  <a:gd name="adj1" fmla="val 103092"/>
                                  <a:gd name="adj2" fmla="val 52419"/>
                                  <a:gd name="adj3" fmla="val 246241"/>
                                  <a:gd name="adj4" fmla="val 79011"/>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73CC60DA">
                                  <w:pPr>
                                    <w:ind w:left="0" w:leftChars="0" w:firstLine="0" w:firstLineChars="0"/>
                                    <w:jc w:val="both"/>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升压</w:t>
                                  </w:r>
                                  <w:r>
                                    <w:rPr>
                                      <w:rFonts w:hint="eastAsia"/>
                                      <w:b w:val="0"/>
                                      <w:bCs w:val="0"/>
                                      <w:color w:val="000000" w:themeColor="text1"/>
                                      <w:sz w:val="21"/>
                                      <w:szCs w:val="21"/>
                                      <w:lang w:val="en-US" w:eastAsia="zh-CN"/>
                                      <w14:textFill>
                                        <w14:solidFill>
                                          <w14:schemeClr w14:val="tx1"/>
                                        </w14:solidFill>
                                      </w14:textFill>
                                    </w:rPr>
                                    <w:t>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59.85pt;margin-top:79.2pt;height:21.95pt;width:49.55pt;z-index:251667456;v-text-anchor:middle;mso-width-relative:page;mso-height-relative:page;" fillcolor="#FFFFFF [3212]" filled="t" stroked="t" coordsize="21600,21600" o:gfxdata="UEsDBAoAAAAAAIdO4kAAAAAAAAAAAAAAAAAEAAAAZHJzL1BLAwQUAAAACACHTuJALKPhTtwAAAAL&#10;AQAADwAAAGRycy9kb3ducmV2LnhtbE2Py07DMBBF90j8gzVI7KidtEAIcbrgoUpIgCgIwc6Np0lE&#10;PI5iJw1/z7CC5ege3Tm3WM+uExMOofWkIVkoEEiVty3VGt5e788yECEasqbzhBq+McC6PD4qTG79&#10;gV5w2sZacAmF3GhoYuxzKUPVoDNh4XskzvZ+cCbyOdTSDubA5a6TqVIX0pmW+ENjerxpsPrajk7D&#10;Xfq0efysKxnn54/3bHzYb6bbSevTk0Rdg4g4xz8YfvVZHUp22vmRbBCdhmVydckoB+fZCgQTqyTj&#10;MTsNqUqXIMtC/t9Q/gBQSwMEFAAAAAgAh07iQPuK4wjhAgAA5QUAAA4AAABkcnMvZTJvRG9jLnht&#10;bK1Uy24TMRTdI/EPlvd0Hp0kTdRJFSUEIVW0UkGsHY8nY+QXtvPiB/gNxIo9OyTE11B+g2vPtJ0+&#10;FiyYxeTe8cn1uec+Ts/2UqAts45rVeLsKMWIKaorrtYlfvd2+eIEI+eJqojQipX4wBw+mz5/droz&#10;E5brRouKWQRBlJvsTIkb780kSRxtmCTuSBum4LDWVhIPrl0nlSU7iC5FkqfpMNlpWxmrKXMOvi7a&#10;Q9xFtP8SUNc1p2yh6UYy5duolgniISXXcOPwNLKta0b9RV075pEoMWTq4xsuAXsV3sn0lEzWlpiG&#10;044C+RcKD3KShCu49DbUgniCNpY/CiU5tdrp2h9RLZM2kagIZJGlD7S5aohhMReQ2plb0d3/C0vf&#10;bC8t4lWJjzOMFJFQ8T8/fv3++fX6y+fr799QhuAAVNoZNwHwlbm0nefADCnvayvDLySD9iXOi3ww&#10;SkHfA9hpPi6Gncps7xEFwDAf5ycDjGgAjE5Gw0GIn9wFMtb5V0xLFIwSr6BfmJ0TIfTGZ1Flsj13&#10;PspddZxJ9QH411JA9bZEoCw9Tsd5V94eKO+DBnmRjR9jjvuYvBgC6jGo6ING4zSLGMii4wbWTR6B&#10;qNOCV0suRHTsejUXFgHREi/j00lwDyYU2sGE5lFNSmDWauhxEE4aqJdTa4yIWMMQU2+jLPf+7fqX&#10;pPF56pJAckFc05KJEdpkG0aql6pC/mCgJxTsgva7J1zcfSfW6h0OPCWrMBIM6ASrrahQUNjQOW2v&#10;BMvvV/uugVa6OkDzWd1OpTN0yYHNOXH+klgoJDQRLCp/Aa9aaLhDdxZGjbafnvoe8DAdcAqkYKxB&#10;p48bYhlQe61gbsZZUYQ9EJ1iMMrBsf2TVf9EbeRcQ42gtYBdNAPeixuztlq+h/6chVvhiCgKd7cV&#10;6Zy5b9cNbETKZrMIg9k3xJ+rK0ND8NATSs82XtfcB+WCUK06nQPTH0ek21RhvfT9iLrbzt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LKPhTtwAAAALAQAADwAAAAAAAAABACAAAAAiAAAAZHJzL2Rv&#10;d25yZXYueG1sUEsBAhQAFAAAAAgAh07iQPuK4wjhAgAA5QUAAA4AAAAAAAAAAQAgAAAAKwEAAGRy&#10;cy9lMm9Eb2MueG1sUEsFBgAAAAAGAAYAWQEAAH4GAAAAAA==&#10;" adj="17066,53188,11323,22268">
                      <v:fill on="t" focussize="0,0"/>
                      <v:stroke weight="1pt" color="#000000 [3213]" joinstyle="round" startarrow="open"/>
                      <v:imagedata o:title=""/>
                      <o:lock v:ext="edit" aspectratio="f"/>
                      <v:textbox>
                        <w:txbxContent>
                          <w:p w14:paraId="73CC60DA">
                            <w:pPr>
                              <w:ind w:left="0" w:leftChars="0" w:firstLine="0" w:firstLineChars="0"/>
                              <w:jc w:val="both"/>
                              <w:rPr>
                                <w:rFonts w:hint="default"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升压</w:t>
                            </w:r>
                            <w:r>
                              <w:rPr>
                                <w:rFonts w:hint="eastAsia"/>
                                <w:b w:val="0"/>
                                <w:bCs w:val="0"/>
                                <w:color w:val="000000" w:themeColor="text1"/>
                                <w:sz w:val="21"/>
                                <w:szCs w:val="21"/>
                                <w:lang w:val="en-US" w:eastAsia="zh-CN"/>
                                <w14:textFill>
                                  <w14:solidFill>
                                    <w14:schemeClr w14:val="tx1"/>
                                  </w14:solidFill>
                                </w14:textFill>
                              </w:rPr>
                              <w:t>站</w:t>
                            </w:r>
                          </w:p>
                        </w:txbxContent>
                      </v:textbox>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6102350" cy="4356100"/>
                  <wp:effectExtent l="0" t="0" r="12700" b="6350"/>
                  <wp:docPr id="8" name="图片 8" descr="PANO_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ANO_0009"/>
                          <pic:cNvPicPr>
                            <a:picLocks noChangeAspect="1"/>
                          </pic:cNvPicPr>
                        </pic:nvPicPr>
                        <pic:blipFill>
                          <a:blip r:embed="rId17"/>
                          <a:srcRect t="4722"/>
                          <a:stretch>
                            <a:fillRect/>
                          </a:stretch>
                        </pic:blipFill>
                        <pic:spPr>
                          <a:xfrm>
                            <a:off x="0" y="0"/>
                            <a:ext cx="6102350" cy="4356100"/>
                          </a:xfrm>
                          <a:prstGeom prst="rect">
                            <a:avLst/>
                          </a:prstGeom>
                        </pic:spPr>
                      </pic:pic>
                    </a:graphicData>
                  </a:graphic>
                </wp:inline>
              </w:drawing>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9984" behindDoc="0" locked="0" layoutInCell="1" allowOverlap="1">
                      <wp:simplePos x="0" y="0"/>
                      <wp:positionH relativeFrom="column">
                        <wp:posOffset>1772920</wp:posOffset>
                      </wp:positionH>
                      <wp:positionV relativeFrom="paragraph">
                        <wp:posOffset>1921510</wp:posOffset>
                      </wp:positionV>
                      <wp:extent cx="325120" cy="29210"/>
                      <wp:effectExtent l="1270" t="12700" r="16510" b="15240"/>
                      <wp:wrapNone/>
                      <wp:docPr id="18" name="直接连接符 18"/>
                      <wp:cNvGraphicFramePr/>
                      <a:graphic xmlns:a="http://schemas.openxmlformats.org/drawingml/2006/main">
                        <a:graphicData uri="http://schemas.microsoft.com/office/word/2010/wordprocessingShape">
                          <wps:wsp>
                            <wps:cNvCnPr/>
                            <wps:spPr>
                              <a:xfrm flipV="1">
                                <a:off x="0" y="0"/>
                                <a:ext cx="325120" cy="29210"/>
                              </a:xfrm>
                              <a:prstGeom prst="line">
                                <a:avLst/>
                              </a:prstGeom>
                            </wps:spPr>
                            <wps:style>
                              <a:lnRef idx="2">
                                <a:schemeClr val="accent6"/>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9.6pt;margin-top:151.3pt;height:2.3pt;width:25.6pt;z-index:251689984;mso-width-relative:page;mso-height-relative:page;" filled="f" stroked="t" coordsize="21600,21600" o:gfxdata="UEsDBAoAAAAAAIdO4kAAAAAAAAAAAAAAAAAEAAAAZHJzL1BLAwQUAAAACACHTuJAvRPzv9oAAAAL&#10;AQAADwAAAGRycy9kb3ducmV2LnhtbE2Py07DMBBF90j8gzVI7KgdB9oQ4nSBeHWDRGkX7KaxiSP8&#10;iGy3Tf8edwXLmTm6c26znKwhBxXi4J2AYsaAKNd5ObhewObz+aYCEhM6icY7JeCkIizby4sGa+mP&#10;7kMd1qknOcTFGgXolMaa0thpZTHO/Khcvn37YDHlMfRUBjzmcGsoZ2xOLQ4uf9A4qketup/13gp4&#10;L1bBTC/Vm/6iWNw9vXbbk62EuL4q2AOQpKb0B8NZP6tDm512fu9kJEYAX9zzjAooGZ8DyURZslsg&#10;u/NmwYG2Df3fof0FUEsDBBQAAAAIAIdO4kDtRgeP6AEAAKoDAAAOAAAAZHJzL2Uyb0RvYy54bWyt&#10;k82O0zAQx+9IvIPlO00adstu1HQPW5ULgkp83F3HTiz5Sx5v074EL4DEDU4cue/bsDzGjp1QYLns&#10;gYtleya/8f8/k+XVwWiyFwGUsw2dz0pKhOWuVbZr6Pt3m2cXlEBktmXaWdHQowB6tXr6ZDn4WlSu&#10;d7oVgSDEQj34hvYx+roogPfCMJg5LywGpQuGRTyGrmgDG5BudFGV5aIYXGh9cFwA4O16DNKJGB4D&#10;dFIqLtaO3xhh40gNQrOIkqBXHugqv1ZKweMbKUFEohuKSmNesQjud2ktVktWd4H5XvHpCewxT3ig&#10;yTBlsegJtWaRkZug/kEZxYMDJ+OMO1OMQrIjqGJePvDmbc+8yFrQavAn0+H/Yfnr/TYQ1eIkYN8t&#10;M9jxu0/ff3z88vP2M653374SjKBNg4cas6/tNkwn8NuQNB9kMERq5T8gJbuAusghm3w8mSwOkXC8&#10;fF6dzyu0n2OouqzmuQfFSEk0HyC+FM6QtGmoVjZZwGq2fwURK2Pqr5R0bd1GaZ3bqC0ZkHl+ViY8&#10;w9mUOBO4NR71ge0oYbrDoecxZCQ4rdr0eQJB6HbXOpA9w1HZvLhcnC2SbCz3V1qqvWbQj3k5NKVp&#10;i9nJpdGXtNu59pjtyvfYwsybxi3NyJ/n/PXvX2x1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0T&#10;87/aAAAACwEAAA8AAAAAAAAAAQAgAAAAIgAAAGRycy9kb3ducmV2LnhtbFBLAQIUABQAAAAIAIdO&#10;4kDtRgeP6AEAAKoDAAAOAAAAAAAAAAEAIAAAACkBAABkcnMvZTJvRG9jLnhtbFBLBQYAAAAABgAG&#10;AFkBAACDBQAAAAA=&#10;">
                      <v:fill on="f" focussize="0,0"/>
                      <v:stroke weight="2pt" color="#F79646 [3209]" joinstyle="round"/>
                      <v:imagedata o:title=""/>
                      <o:lock v:ext="edit" aspectratio="f"/>
                    </v:lin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8960" behindDoc="0" locked="0" layoutInCell="1" allowOverlap="1">
                      <wp:simplePos x="0" y="0"/>
                      <wp:positionH relativeFrom="column">
                        <wp:posOffset>1779905</wp:posOffset>
                      </wp:positionH>
                      <wp:positionV relativeFrom="paragraph">
                        <wp:posOffset>1866265</wp:posOffset>
                      </wp:positionV>
                      <wp:extent cx="325120" cy="29210"/>
                      <wp:effectExtent l="1270" t="12700" r="16510" b="15240"/>
                      <wp:wrapNone/>
                      <wp:docPr id="14" name="直接连接符 14"/>
                      <wp:cNvGraphicFramePr/>
                      <a:graphic xmlns:a="http://schemas.openxmlformats.org/drawingml/2006/main">
                        <a:graphicData uri="http://schemas.microsoft.com/office/word/2010/wordprocessingShape">
                          <wps:wsp>
                            <wps:cNvCnPr/>
                            <wps:spPr>
                              <a:xfrm flipV="1">
                                <a:off x="2499995" y="2913380"/>
                                <a:ext cx="325120" cy="29210"/>
                              </a:xfrm>
                              <a:prstGeom prst="line">
                                <a:avLst/>
                              </a:prstGeom>
                            </wps:spPr>
                            <wps:style>
                              <a:lnRef idx="2">
                                <a:schemeClr val="accent6"/>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40.15pt;margin-top:146.95pt;height:2.3pt;width:25.6pt;z-index:251688960;mso-width-relative:page;mso-height-relative:page;" filled="f" stroked="t" coordsize="21600,21600" o:gfxdata="UEsDBAoAAAAAAIdO4kAAAAAAAAAAAAAAAAAEAAAAZHJzL1BLAwQUAAAACACHTuJACfSbttgAAAAL&#10;AQAADwAAAGRycy9kb3ducmV2LnhtbE2Py07DMBBF90j8gzVI7KjtRkFuiNMF4rlBosCC3TQ2cYQf&#10;ke226d/jruhuHkd3zrTr2Vmy1zGNwUvgCwZE+z6o0Q8SPj8ebwSQlNErtMFrCUedYN1dXrTYqHDw&#10;73q/yQMpIT41KMHkPDWUpt5oh2kRJu3L7idEh7m0caAq4qGEO0uXjN1Sh6MvFwxO+t7o/nezcxLe&#10;+Gu085N4Md8Uef3w3H8dnZDy+oqzOyBZz/kfhpN+UYeuOG3DzqtErISlYFVBS7GqVkAKUVW8BrI9&#10;TUQNtGvp+Q/dH1BLAwQUAAAACACHTuJAKbrPwvIBAAC2AwAADgAAAGRycy9lMm9Eb2MueG1srVNL&#10;jhMxEN0jcQfLe9JJ58Oklc4sJgobBCPx2Ttuu9uSf3J50skluAASO1ixZD+3YTgGZXczwLCZBb2w&#10;yq7Xr+o9lzeXJ6PJUQRQztZ0NplSIix3jbJtTd+93T+7oAQisw3TzoqangXQy+3TJ5veV6J0ndON&#10;CARJLFS9r2kXo6+KAngnDIOJ88JiUrpgWMRtaIsmsB7ZjS7K6XRV9C40PjguAPB0NyTpyBgeQ+ik&#10;VFzsHL8xwsaBNQjNIkqCTnmg29ytlILH11KCiETXFJXGvGIRjA9pLbYbVrWB+U7xsQX2mBYeaDJM&#10;WSx6T7VjkZGboP6hMooHB07GCXemGIRkR1DFbPrAmzcd8yJrQavB35sO/4+WvzpeB6IanIQFJZYZ&#10;vPG7j9++f/j84/YTrndfvxDMoE29hwrRV/Y6jDvw1yFpPslgiNTKv0eW7ALqIqealos1fktKzhiv&#10;Z/P5xWi4OEXCETAvl7MSr4JnQDnL6WJgTMw+QHwhnCEpqKlWNtnBKnZ8CRG7QOgvSDq2bq+0zleq&#10;Lemx6HIxTfQM51TifGBoPGoF21LCdIsPgMeQKcFp1aTfExGE9nClAzkyHJv98/VqsUoWYLm/YKn2&#10;jkE34HJqhGmL6OTY4FGKDq45Z+vyOV5n5htHL83Ln/v89+/ntv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fSbttgAAAALAQAADwAAAAAAAAABACAAAAAiAAAAZHJzL2Rvd25yZXYueG1sUEsBAhQA&#10;FAAAAAgAh07iQCm6z8LyAQAAtgMAAA4AAAAAAAAAAQAgAAAAJwEAAGRycy9lMm9Eb2MueG1sUEsF&#10;BgAAAAAGAAYAWQEAAIsFAAAAAA==&#10;">
                      <v:fill on="f" focussize="0,0"/>
                      <v:stroke weight="2pt" color="#F79646 [3209]" joinstyle="round"/>
                      <v:imagedata o:title=""/>
                      <o:lock v:ext="edit" aspectratio="f"/>
                    </v:lin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68480" behindDoc="0" locked="0" layoutInCell="1" allowOverlap="1">
                      <wp:simplePos x="0" y="0"/>
                      <wp:positionH relativeFrom="column">
                        <wp:posOffset>923925</wp:posOffset>
                      </wp:positionH>
                      <wp:positionV relativeFrom="paragraph">
                        <wp:posOffset>1195070</wp:posOffset>
                      </wp:positionV>
                      <wp:extent cx="713105" cy="278765"/>
                      <wp:effectExtent l="6350" t="6350" r="175895" b="438785"/>
                      <wp:wrapNone/>
                      <wp:docPr id="32" name="线形标注 1 32"/>
                      <wp:cNvGraphicFramePr/>
                      <a:graphic xmlns:a="http://schemas.openxmlformats.org/drawingml/2006/main">
                        <a:graphicData uri="http://schemas.microsoft.com/office/word/2010/wordprocessingShape">
                          <wps:wsp>
                            <wps:cNvSpPr/>
                            <wps:spPr>
                              <a:xfrm>
                                <a:off x="0" y="0"/>
                                <a:ext cx="713105" cy="278765"/>
                              </a:xfrm>
                              <a:prstGeom prst="borderCallout1">
                                <a:avLst>
                                  <a:gd name="adj1" fmla="val 103092"/>
                                  <a:gd name="adj2" fmla="val 52419"/>
                                  <a:gd name="adj3" fmla="val 257403"/>
                                  <a:gd name="adj4" fmla="val 122261"/>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216D9245">
                                  <w:pPr>
                                    <w:ind w:left="0" w:leftChars="0" w:firstLine="0" w:firstLineChars="0"/>
                                    <w:jc w:val="both"/>
                                    <w:rPr>
                                      <w:rFonts w:hint="default" w:eastAsia="宋体"/>
                                      <w:b w:val="0"/>
                                      <w:bCs w:val="0"/>
                                      <w:color w:val="000000" w:themeColor="text1"/>
                                      <w:spacing w:val="-6"/>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进场道路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72.75pt;margin-top:94.1pt;height:21.95pt;width:56.15pt;z-index:251668480;v-text-anchor:middle;mso-width-relative:page;mso-height-relative:page;" fillcolor="#FFFFFF [3212]" filled="t" stroked="t" coordsize="21600,21600" o:gfxdata="UEsDBAoAAAAAAIdO4kAAAAAAAAAAAAAAAAAEAAAAZHJzL1BLAwQUAAAACACHTuJAVEAweNgAAAAL&#10;AQAADwAAAGRycy9kb3ducmV2LnhtbE2PzU7DMBCE70i8g7VI3KjjlLRRiFMhBBIcCSA4uvGSBOJ1&#10;iN2fvD3bE9xmtJ9mZ8rN0Q1ij1PoPWlQiwQEUuNtT62G15eHqxxEiIasGTyhhhkDbKrzs9IU1h/o&#10;Gfd1bAWHUCiMhi7GsZAyNB06ExZ+ROLbp5+ciWynVtrJHDjcDTJNkpV0pif+0JkR7zpsvuud0/Cz&#10;flKP9bCy/u1D9V/L+3m+fa+1vrxQyQ2IiMf4B8OpPleHijtt/Y5sEAP76yxjlEWepyCYSLM1j9my&#10;WKYKZFXK/xuqX1BLAwQUAAAACACHTuJARCqkQN4CAADaBQAADgAAAGRycy9lMm9Eb2MueG1srVTN&#10;bhMxEL4j8Q6W73R/kjRt1E0VJQQhVbRSQZwdr51d5D9sJ5vwArwG4sSdGxLiaSivwdi7bbY/Bw7s&#10;YXfGMzv+vvk7O99JgbbMulqrAmdHKUZMUV3Wal3gd2+XL04wcp6okgitWIH3zOHz6fNnZ42ZsFxX&#10;WpTMIgii3KQxBa68N5MkcbRikrgjbZgCI9dWEg+qXSelJQ1ElyLJ0/Q4abQtjdWUOQeni9aIu4j2&#10;XwJqzmvKFppuJFO+jWqZIB4ouao2Dk8jWs4Z9ZecO+aRKDAw9fENl4C8Cu9kekYma0tMVdMOAvkX&#10;CA84SVIruPQu1IJ4gja2fhRK1tRqp7k/olomLZGYEWCRpQ9yc10RwyIXSLUzd0l3/y8sfbO9sqgu&#10;CzzIMVJEQsX//Pj1++fXmy+fb75/QxkCA2SpMW4CztfmynaaAzFQ3nErwxfIoF3M7P4us2znEYXD&#10;cTbI0hFGFEz5+GR8PAoxk8PPxjr/immJglDgFfQIs3MihN74LGaWbC+cjykuO5yk/JBhxKWAim2J&#10;QFk6SE8jWKhDzwmIHZxG+TA77cre8xn0ffLReJgOHjsN+05ZnufHWUejAweEbokEpE6LulzWQkTF&#10;rldzYREgLfAyPt3P99yEQg2MZT5OoUUpgQHj0NggSgNFcmqNERFrmFzqbczLvb9d/5I0Pk9dEkAu&#10;iKtaMDFCy7ZipHypSuT3BhpBwQJozz2pxeGcWKsbHHBKVmIkGMAJUltSoaCyoV3aBgmS3612Xdes&#10;dLmHjrO6HUVn6LIGNBfE+StioZJAG7aTv4QXFxru0J2EUaXtp6fOgz+MBFgBFMwy5OnjhlgG0F4r&#10;GJbTbDgMwx+V4Wicg2L7llXfojZyrqFG0FuALorB34tbkVst30ODzsKtYCKKwt1tRTpl7tsdA2uQ&#10;stksusHAG+Iv1LWhIXjoCaVnG6957UPmQqLa7HQKjHyckW49hZ3S16PXYSV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BUQDB42AAAAAsBAAAPAAAAAAAAAAEAIAAAACIAAABkcnMvZG93bnJldi54&#10;bWxQSwECFAAUAAAACACHTuJARCqkQN4CAADaBQAADgAAAAAAAAABACAAAAAnAQAAZHJzL2Uyb0Rv&#10;Yy54bWxQSwUGAAAAAAYABgBZAQAAdwYAAAAA&#10;" adj="26408,55599,11323,22268">
                      <v:fill on="t" focussize="0,0"/>
                      <v:stroke weight="1pt" color="#000000 [3213]" joinstyle="round" startarrow="open"/>
                      <v:imagedata o:title=""/>
                      <o:lock v:ext="edit" aspectratio="f"/>
                      <v:textbox>
                        <w:txbxContent>
                          <w:p w14:paraId="216D9245">
                            <w:pPr>
                              <w:ind w:left="0" w:leftChars="0" w:firstLine="0" w:firstLineChars="0"/>
                              <w:jc w:val="both"/>
                              <w:rPr>
                                <w:rFonts w:hint="default" w:eastAsia="宋体"/>
                                <w:b w:val="0"/>
                                <w:bCs w:val="0"/>
                                <w:color w:val="000000" w:themeColor="text1"/>
                                <w:spacing w:val="-6"/>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进场道路</w:t>
                            </w:r>
                          </w:p>
                        </w:txbxContent>
                      </v:textbox>
                    </v:shape>
                  </w:pict>
                </mc:Fallback>
              </mc:AlternateContent>
            </w:r>
          </w:p>
        </w:tc>
      </w:tr>
      <w:tr w14:paraId="07AE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854" w:type="dxa"/>
            <w:gridSpan w:val="2"/>
            <w:vAlign w:val="center"/>
          </w:tcPr>
          <w:p w14:paraId="1600245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项目升压站及其周边环境</w:t>
            </w:r>
          </w:p>
        </w:tc>
      </w:tr>
      <w:tr w14:paraId="254F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vAlign w:val="center"/>
          </w:tcPr>
          <w:p w14:paraId="185C62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96128" behindDoc="0" locked="0" layoutInCell="1" allowOverlap="1">
                      <wp:simplePos x="0" y="0"/>
                      <wp:positionH relativeFrom="column">
                        <wp:posOffset>4445</wp:posOffset>
                      </wp:positionH>
                      <wp:positionV relativeFrom="paragraph">
                        <wp:posOffset>3601720</wp:posOffset>
                      </wp:positionV>
                      <wp:extent cx="1306195" cy="3994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5CFE5">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83.6pt;height:31.45pt;width:102.85pt;z-index:251696128;mso-width-relative:page;mso-height-relative:page;" filled="f" stroked="f" coordsize="21600,21600" o:gfxdata="UEsDBAoAAAAAAIdO4kAAAAAAAAAAAAAAAAAEAAAAZHJzL1BLAwQUAAAACACHTuJAqcvGHNoAAAAI&#10;AQAADwAAAGRycy9kb3ducmV2LnhtbE2PzU7DMBCE70i8g7VI3KidQNMqZFOhSBUSgkNLL9w28TaJ&#10;iO0Quz/w9JhTOY5mNPNNsTqbQRx58r2zCMlMgWDbON3bFmH3vr5bgvCBrKbBWUb4Zg+r8vqqoFy7&#10;k93wcRtaEUuszwmhC2HMpfRNx4b8zI1so7d3k6EQ5dRKPdEplptBpkpl0lBv40JHI1cdN5/bg0F4&#10;qdZvtKlTs/wZqufX/dP4tfuYI97eJOoRROBzuIThDz+iQxmZanew2osBYRFzCPNskYKIdqqyBxA1&#10;QnavEpBlIf8fKH8BUEsDBBQAAAAIAIdO4kCd2FNoOwIAAGYEAAAOAAAAZHJzL2Uyb0RvYy54bWyt&#10;VM2O0zAQviPxDpbvNE3/oFXTVdmqCGnFrlQQZ9dxmki2x9huk/IA8AacuHDnufocjJ20Wy0c9sDF&#10;GXvG3/j7Zibzm0ZJchDWVaAzmvb6lAjNIa/0LqOfPq5fvaHEeaZzJkGLjB6FozeLly/mtZmJAZQg&#10;c2EJgmg3q01GS+/NLEkcL4VirgdGaHQWYBXzuLW7JLesRnQlk0G/P0lqsLmxwIVzeLpqnbRDtM8B&#10;hKKouFgB3yuhfYtqhWQeKbmyMo4u4muLQnB/XxROeCIzikx9XDEJ2tuwJos5m+0sM2XFuyew5zzh&#10;CSfFKo1JL1Ar5hnZ2+ovKFVxCw4K3+OgkpZIVARZpP0n2mxKZkTkglI7cxHd/T9Y/uHwYEmVZ3RC&#10;iWYKC3768f308/fp1zcyCfLUxs0wamMwzjdvocGmOZ87PAysm8Kq8EU+BP0o7vEirmg84eHSsD9J&#10;p2NKOPqG0+koHQeY5PG2sc6/E6BIMDJqsXhRU3a4c74NPYeEZBrWlZSxgFKTGhkMx/144eJBcKkx&#10;R+DQvjVYvtk2HbEt5EfkZaFtDGf4usLkd8z5B2axE5AKzoq/x6WQgEmgsygpwX7913mIxwKhl5Ia&#10;Oyuj7sueWUGJfK+xdNN0NAqtGDej8esBbuy1Z3vt0Xt1C9i8KU6l4dEM8V6ezcKC+owjtQxZ0cU0&#10;x9wZ9Wfz1rf9jiPJxXIZg7D5DPN3emN4gG7lXO49FFVUOsjUatOph+0Xa9WNSujv632Mevw9L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cvGHNoAAAAIAQAADwAAAAAAAAABACAAAAAiAAAAZHJz&#10;L2Rvd25yZXYueG1sUEsBAhQAFAAAAAgAh07iQJ3YU2g7AgAAZgQAAA4AAAAAAAAAAQAgAAAAKQEA&#10;AGRycy9lMm9Eb2MueG1sUEsFBgAAAAAGAAYAWQEAANYFAAAAAA==&#10;">
                      <v:fill on="f" focussize="0,0"/>
                      <v:stroke on="f" weight="0.5pt"/>
                      <v:imagedata o:title=""/>
                      <o:lock v:ext="edit" aspectratio="f"/>
                      <v:textbox>
                        <w:txbxContent>
                          <w:p w14:paraId="3A75CFE5">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94080" behindDoc="0" locked="0" layoutInCell="1" allowOverlap="1">
                      <wp:simplePos x="0" y="0"/>
                      <wp:positionH relativeFrom="column">
                        <wp:posOffset>5341620</wp:posOffset>
                      </wp:positionH>
                      <wp:positionV relativeFrom="paragraph">
                        <wp:posOffset>1745615</wp:posOffset>
                      </wp:positionV>
                      <wp:extent cx="760095" cy="448310"/>
                      <wp:effectExtent l="12700" t="12700" r="8255" b="15240"/>
                      <wp:wrapNone/>
                      <wp:docPr id="19" name="任意多边形 19"/>
                      <wp:cNvGraphicFramePr/>
                      <a:graphic xmlns:a="http://schemas.openxmlformats.org/drawingml/2006/main">
                        <a:graphicData uri="http://schemas.microsoft.com/office/word/2010/wordprocessingShape">
                          <wps:wsp>
                            <wps:cNvSpPr/>
                            <wps:spPr>
                              <a:xfrm>
                                <a:off x="6065520" y="7142480"/>
                                <a:ext cx="760095" cy="448310"/>
                              </a:xfrm>
                              <a:custGeom>
                                <a:avLst/>
                                <a:gdLst>
                                  <a:gd name="connisteX0" fmla="*/ 741680 w 741680"/>
                                  <a:gd name="connsiteY0" fmla="*/ 0 h 686435"/>
                                  <a:gd name="connisteX1" fmla="*/ 192405 w 741680"/>
                                  <a:gd name="connsiteY1" fmla="*/ 36195 h 686435"/>
                                  <a:gd name="connisteX2" fmla="*/ 0 w 741680"/>
                                  <a:gd name="connsiteY2" fmla="*/ 668020 h 686435"/>
                                  <a:gd name="connisteX3" fmla="*/ 741680 w 741680"/>
                                  <a:gd name="connsiteY3" fmla="*/ 686435 h 686435"/>
                                </a:gdLst>
                                <a:ahLst/>
                                <a:cxnLst>
                                  <a:cxn ang="0">
                                    <a:pos x="connisteX0" y="connsiteY0"/>
                                  </a:cxn>
                                  <a:cxn ang="0">
                                    <a:pos x="connisteX1" y="connsiteY1"/>
                                  </a:cxn>
                                  <a:cxn ang="0">
                                    <a:pos x="connisteX2" y="connsiteY2"/>
                                  </a:cxn>
                                  <a:cxn ang="0">
                                    <a:pos x="connisteX3" y="connsiteY3"/>
                                  </a:cxn>
                                </a:cxnLst>
                                <a:rect l="l" t="t" r="r" b="b"/>
                                <a:pathLst>
                                  <a:path w="741680" h="686435">
                                    <a:moveTo>
                                      <a:pt x="741680" y="0"/>
                                    </a:moveTo>
                                    <a:lnTo>
                                      <a:pt x="192405" y="36195"/>
                                    </a:lnTo>
                                    <a:lnTo>
                                      <a:pt x="0" y="668020"/>
                                    </a:lnTo>
                                    <a:lnTo>
                                      <a:pt x="741680" y="686435"/>
                                    </a:lnTo>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20.6pt;margin-top:137.45pt;height:35.3pt;width:59.85pt;z-index:251694080;mso-width-relative:page;mso-height-relative:page;" filled="f" stroked="t" coordsize="741680,686435" o:gfxdata="UEsDBAoAAAAAAIdO4kAAAAAAAAAAAAAAAAAEAAAAZHJzL1BLAwQUAAAACACHTuJAu4BRmdwAAAAL&#10;AQAADwAAAGRycy9kb3ducmV2LnhtbE2PwU7DMAyG70i8Q2Qkbixp6cZWmk4IUXGaNFqkcUyb0BYa&#10;pzTZVt4ec4KbLX/6/f3ZdrYDO5nJ9w4lRAsBzGDjdI+thNequFkD80GhVoNDI+HbeNjmlxeZSrU7&#10;44s5laFlFII+VRK6EMaUc990xiq/cKNBur27yapA69RyPakzhduBx0KsuFU90odOjeaxM81nebQS&#10;5uLj8JXsnvZlVTzU1c67Q/38JuX1VSTugQUzhz8YfvVJHXJyqt0RtWeDhHUSxYRKiO+SDTAiNitB&#10;Qy3hNlkugecZ/98h/wFQSwMEFAAAAAgAh07iQLxiF3fvAgAAZAcAAA4AAABkcnMvZTJvRG9jLnht&#10;bK1Vy24TMRTdI/EPlpdIdB6ZTJOoSRdEYYOgUosES8fjeUge27LdJN2zZ88S8RNVBV9DEZ/BtWeS&#10;uAWRIJHF5M74vs65D5+db1qOVkybRoopTk5ijJigsmhENcVvrxbPRxgZS0RBuBRsim+Yweezp0/O&#10;1mrCUllLXjCNwIkwk7Wa4tpaNYkiQ2vWEnMiFRNwWErdEguvuooKTdbgveVRGsd5tJa6UFpSZgx8&#10;nXeHuPeoj3Eoy7KhbC7pdcuE7bxqxokFSKZulMEzn21ZMmrflKVhFvEpBqTWPyEIyEv3jGZnZFJp&#10;ouqG9imQY1J4hKkljYCgO1dzYgm61s1vrtqGamlkaU+obKMOiGcEUCTxI24ua6KYxwJUG7Uj3fw/&#10;t/T16kKjpoBOGGMkSAsV/3539+PDx/svn35+u73/+hnBCdC0VmYC2pfqQvdvBkSHeVPq1v0DGrSZ&#10;4jzOh8MUCL6Z4tMkS7NRTzPbWERB4TSP4/EQIwoKWTYaJP482jui18a+ZNI7JatXxnZVKkDyHBd9&#10;olQK0RjL3kGwsuVQuGcROs2SfBSjdS/0FQ5NTGPZ+9AkRjXKR3k2GP5B2wdIggDJOM3i4cEAockg&#10;T8bDg0HSIMhhAKF2DojTwygGQYAjaQpNOooewICiVduykHpbKboRfalAQsQtlthPh5LGdUhYN+gB&#10;99rXBAoNLsHK1fmAMRAcGieudkcbA3uhcfpPxkBKaDwIjbsMevga9o/bPNxvHosRbB7tN8+y6zRF&#10;rGPNoXUiWsN0+P7FqIZJ6nrSnbZyxa6k17OOwq0W5LGdnr0KF6Fq168+Zd+HfbZbpe2/8n67se36&#10;6a+KQQL70QHwnTsQHB5fkB1GR00w2UIuGs79aHPhkKfDLIb4lMCtUsI2B7FVsJmMqDAivILrilrt&#10;G8lI3hTO3DFidLV8wTVaEaB6sYjh16f+QE1pY+fE1J2eP9ohhETdfus2mpOWsrjxi85/h+XrofQX&#10;hdvu4bu33l+Os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7gFGZ3AAAAAsBAAAPAAAAAAAAAAEA&#10;IAAAACIAAABkcnMvZG93bnJldi54bWxQSwECFAAUAAAACACHTuJAvGIXd+8CAABkBwAADgAAAAAA&#10;AAABACAAAAArAQAAZHJzL2Uyb0RvYy54bWxQSwUGAAAAAAYABgBZAQAAjAYAAAAA&#10;" path="m741680,0l192405,36195,0,668020,741680,686435e">
                      <v:path o:connectlocs="760095,0;197182,23638;0,436283;760095,448310" o:connectangles="0,0,0,0"/>
                      <v:fill on="f"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69504" behindDoc="0" locked="0" layoutInCell="1" allowOverlap="1">
                      <wp:simplePos x="0" y="0"/>
                      <wp:positionH relativeFrom="column">
                        <wp:posOffset>4994275</wp:posOffset>
                      </wp:positionH>
                      <wp:positionV relativeFrom="paragraph">
                        <wp:posOffset>780415</wp:posOffset>
                      </wp:positionV>
                      <wp:extent cx="678180" cy="278765"/>
                      <wp:effectExtent l="6350" t="6350" r="77470" b="705485"/>
                      <wp:wrapNone/>
                      <wp:docPr id="44" name="线形标注 1 44"/>
                      <wp:cNvGraphicFramePr/>
                      <a:graphic xmlns:a="http://schemas.openxmlformats.org/drawingml/2006/main">
                        <a:graphicData uri="http://schemas.microsoft.com/office/word/2010/wordprocessingShape">
                          <wps:wsp>
                            <wps:cNvSpPr/>
                            <wps:spPr>
                              <a:xfrm>
                                <a:off x="0" y="0"/>
                                <a:ext cx="678180" cy="278765"/>
                              </a:xfrm>
                              <a:prstGeom prst="borderCallout1">
                                <a:avLst>
                                  <a:gd name="adj1" fmla="val 103092"/>
                                  <a:gd name="adj2" fmla="val 52419"/>
                                  <a:gd name="adj3" fmla="val 350113"/>
                                  <a:gd name="adj4" fmla="val 110674"/>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464061F9">
                                  <w:pPr>
                                    <w:ind w:left="0" w:leftChars="0" w:firstLine="0" w:firstLineChars="0"/>
                                    <w:jc w:val="both"/>
                                    <w:rPr>
                                      <w:rFonts w:hint="default"/>
                                      <w:b w:val="0"/>
                                      <w:bCs w:val="0"/>
                                      <w:color w:val="000000" w:themeColor="text1"/>
                                      <w:spacing w:val="-6"/>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升压站</w:t>
                                  </w:r>
                                </w:p>
                                <w:p w14:paraId="752F8673">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93.25pt;margin-top:61.45pt;height:21.95pt;width:53.4pt;z-index:251669504;v-text-anchor:middle;mso-width-relative:page;mso-height-relative:page;" fillcolor="#FFFFFF [3212]" filled="t" stroked="t" coordsize="21600,21600" o:gfxdata="UEsDBAoAAAAAAIdO4kAAAAAAAAAAAAAAAAAEAAAAZHJzL1BLAwQUAAAACACHTuJAjGB+CNoAAAAL&#10;AQAADwAAAGRycy9kb3ducmV2LnhtbE2PTU/DMAyG70j8h8iTuLF0rShdaTohph0mcWEbnLPG/dAa&#10;p2qydfDrMSd2tN9Hrx8Xq6vtxQVH3zlSsJhHIJAqZzpqFBz2m8cMhA+ajO4doYJv9LAq7+8KnRs3&#10;0QdedqERXEI+1wraEIZcSl+1aLWfuwGJs9qNVgcex0aaUU9cbnsZR1Eqre6IL7R6wLcWq9PubBVs&#10;3uP6c59st/7Q1D9fuJ6Sav2q1MNsEb2ACHgN/zD86bM6lOx0dGcyXvQKnrP0iVEO4ngJgolsmSQg&#10;jrxJ0wxkWcjbH8pfUEsDBBQAAAAIAIdO4kD5vWWt2wIAANoFAAAOAAAAZHJzL2Uyb0RvYy54bWyt&#10;VM1u1DAQviPxDpbvdJP976q71WqXRUgVrVQQZ6/jbIIc29jen/ICvAbixJ0bEuJpKK/BZydt058D&#10;B3JIZjyTmW++mfHJ6aGSZCesK7Wa0vQooUQorrNSbab03dvVizElzjOVMamVmNIr4ejp7Pmzk72Z&#10;iK4utMyEJQii3GRvprTw3kw6HccLUTF3pI1QMObaVsxDtZtOZtke0SvZ6SbJsLPXNjNWc+EcTpe1&#10;kTYR7b8E1HlecrHUfFsJ5euoVkjmUZIrSuPoLKLNc8H9eZ474YmcUlTq4xtJIK/DuzM7YZONZaYo&#10;eQOB/QuEBzVVrFRIehtqyTwjW1s+ClWV3Gqnc3/EddWpC4mMoIo0ecDNZcGMiLWAamduSXf/Lyx/&#10;s7uwpMymtN+nRLEKHf/z49fvn1+vv3y+/v6NpAQGsLQ3bgLnS3NhG81BDCUfcluFL4ohh8js1S2z&#10;4uAJx+FwNE7H4JzD1B2NR8NBiNm5+9lY518JXZEgTOkaMyLsgkmptz6NzLLdmfOR4qzBybIPKSV5&#10;JdGxHZMkTXrJcbdpacup23YadPvp8WOfXtunN0jStPfYCQy1sqXJcBSpQRkNOEg3hQSkTssyW5VS&#10;RsVu1gtpCZBO6So+DQf33KQie6xld5QEuhgWLMdgQ6wMmuTUhhImN9hc7m3k5d7frp0kic9TSQLI&#10;JXNFDSZGqKstBMteqoz4K4NBULgA6nPPSnl3zqzVexpwViKjRArACVLdUqnQ2TAu9YAEyR/Wh2Zq&#10;1jq7wsRZXa+iM3xVAs0Zc/6CWXQSZeN28ud45VIjh24kSgptPz11HvyxErACFHYZPH3cMisA7bXC&#10;shyn/T7C+qj0B6MuFNu2rNsWta0WGj3CbAFdFIO/lzdibnX1HgM6D1lhYoojd92RRln4+o7BNcjF&#10;fB7dsPCG+TN1aXgIHmZC6fnW67z0gblAVM1Oo2Dl444011O4U9p69Lq7km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IxgfgjaAAAACwEAAA8AAAAAAAAAAQAgAAAAIgAAAGRycy9kb3ducmV2Lnht&#10;bFBLAQIUABQAAAAIAIdO4kD5vWWt2wIAANoFAAAOAAAAAAAAAAEAIAAAACkBAABkcnMvZTJvRG9j&#10;LnhtbFBLBQYAAAAABgAGAFkBAAB2BgAAAAA=&#10;" adj="23906,75624,11323,22268">
                      <v:fill on="t" focussize="0,0"/>
                      <v:stroke weight="1pt" color="#000000 [3213]" joinstyle="round" startarrow="open"/>
                      <v:imagedata o:title=""/>
                      <o:lock v:ext="edit" aspectratio="f"/>
                      <v:textbox>
                        <w:txbxContent>
                          <w:p w14:paraId="464061F9">
                            <w:pPr>
                              <w:ind w:left="0" w:leftChars="0" w:firstLine="0" w:firstLineChars="0"/>
                              <w:jc w:val="both"/>
                              <w:rPr>
                                <w:rFonts w:hint="default"/>
                                <w:b w:val="0"/>
                                <w:bCs w:val="0"/>
                                <w:color w:val="000000" w:themeColor="text1"/>
                                <w:spacing w:val="-6"/>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升压站</w:t>
                            </w:r>
                          </w:p>
                          <w:p w14:paraId="752F8673">
                            <w:pPr>
                              <w:rPr>
                                <w:rFonts w:hint="default"/>
                                <w:lang w:val="en-US" w:eastAsia="zh-CN"/>
                              </w:rPr>
                            </w:pP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93056" behindDoc="0" locked="0" layoutInCell="1" allowOverlap="1">
                      <wp:simplePos x="0" y="0"/>
                      <wp:positionH relativeFrom="column">
                        <wp:posOffset>5194300</wp:posOffset>
                      </wp:positionH>
                      <wp:positionV relativeFrom="paragraph">
                        <wp:posOffset>1849755</wp:posOffset>
                      </wp:positionV>
                      <wp:extent cx="292735" cy="28575"/>
                      <wp:effectExtent l="1270" t="12700" r="10795" b="15875"/>
                      <wp:wrapNone/>
                      <wp:docPr id="24" name="直接连接符 24"/>
                      <wp:cNvGraphicFramePr/>
                      <a:graphic xmlns:a="http://schemas.openxmlformats.org/drawingml/2006/main">
                        <a:graphicData uri="http://schemas.microsoft.com/office/word/2010/wordprocessingShape">
                          <wps:wsp>
                            <wps:cNvCnPr/>
                            <wps:spPr>
                              <a:xfrm flipV="1">
                                <a:off x="0" y="0"/>
                                <a:ext cx="292735" cy="28575"/>
                              </a:xfrm>
                              <a:prstGeom prst="line">
                                <a:avLst/>
                              </a:prstGeom>
                            </wps:spPr>
                            <wps:style>
                              <a:lnRef idx="2">
                                <a:schemeClr val="accent6"/>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09pt;margin-top:145.65pt;height:2.25pt;width:23.05pt;z-index:251693056;mso-width-relative:page;mso-height-relative:page;" filled="f" stroked="t" coordsize="21600,21600" o:gfxdata="UEsDBAoAAAAAAIdO4kAAAAAAAAAAAAAAAAAEAAAAZHJzL1BLAwQUAAAACACHTuJAVgfleNkAAAAL&#10;AQAADwAAAGRycy9kb3ducmV2LnhtbE2PzU7DMBCE70i8g7VI3KjjQisT4vSA+L1UosCBmxsvcYS9&#10;jmy3Td8e9wTH2RnNftOsJu/YHmMaAikQswoYUhfMQL2Cj/fHKwksZU1Gu0Co4IgJVu35WaNrEw70&#10;hvtN7lkpoVRrBTbnseY8dRa9TrMwIhXvO0Svc5Gx5ybqQyn3js+rasm9Hqh8sHrEe4vdz2bnFazF&#10;a3TTk3yxX1yLxcNz93n0UqnLC1HdAcs45b8wnPALOrSFaRt2ZBJzCqSQZUtWML8V18BKQi5vBLDt&#10;6bKQwNuG/9/Q/gJQSwMEFAAAAAgAh07iQDtiDjnoAQAAqgMAAA4AAABkcnMvZTJvRG9jLnhtbK1T&#10;S44TMRDdI3EHy3vSmSafmVY6s5gobBBE4rN33Ha3Jf/k8qSTS3ABJHawYsl+bsNwDMruJsCwmQUb&#10;q1xVfq73/Ly6PhpNDiKAcramF5MpJcJy1yjb1vTd2+2zS0ogMtsw7ayo6UkAvV4/fbLqfSVK1znd&#10;iEAQxELV+5p2MfqqKIB3wjCYOC8sFqULhkXchrZoAusR3eiinE4XRe9C44PjAgCzm6FIR8TwGEAn&#10;peJi4/itETYOqEFoFpESdMoDXedppRQ8vpYSRCS6psg05hUvwXif1mK9YlUbmO8UH0dgjxnhASfD&#10;lMVLz1AbFhm5DeofKKN4cOBknHBnioFIVgRZXEwfaPOmY15kLig1+LPo8P9g+avDLhDV1LScUWKZ&#10;wRe///jt+4fPP+4+4Xr/9QvBCsrUe6iw+8buwrgDvwuJ81EGQ6RW/j36KauAvMgxi3w6iyyOkXBM&#10;llfl8vmcEo6l8nK+nCfwYkBJaD5AfCGcISmoqVY2ScAqdngJcWj91ZLS1m2V1phnlbakR8z5bIqv&#10;yxl6U6InMDQe+YFtKWG6RdPzGDIkOK2adDydhtDub3QgB4ZW2S6vFrPFONlfbenuDYNu6MulsU1b&#10;5JFUGnRJ0d41pyxXzuMTZqaj3ZJH/tzn07+/2P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gfl&#10;eNkAAAALAQAADwAAAAAAAAABACAAAAAiAAAAZHJzL2Rvd25yZXYueG1sUEsBAhQAFAAAAAgAh07i&#10;QDtiDjnoAQAAqgMAAA4AAAAAAAAAAQAgAAAAKAEAAGRycy9lMm9Eb2MueG1sUEsFBgAAAAAGAAYA&#10;WQEAAIIFAAAAAA==&#10;">
                      <v:fill on="f" focussize="0,0"/>
                      <v:stroke weight="2pt" color="#F79646 [3209]" joinstyle="round"/>
                      <v:imagedata o:title=""/>
                      <o:lock v:ext="edit" aspectratio="f"/>
                    </v:lin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92032" behindDoc="0" locked="0" layoutInCell="1" allowOverlap="1">
                      <wp:simplePos x="0" y="0"/>
                      <wp:positionH relativeFrom="column">
                        <wp:posOffset>5210810</wp:posOffset>
                      </wp:positionH>
                      <wp:positionV relativeFrom="paragraph">
                        <wp:posOffset>1797050</wp:posOffset>
                      </wp:positionV>
                      <wp:extent cx="287655" cy="43180"/>
                      <wp:effectExtent l="1905" t="12700" r="15240" b="20320"/>
                      <wp:wrapNone/>
                      <wp:docPr id="23" name="直接连接符 23"/>
                      <wp:cNvGraphicFramePr/>
                      <a:graphic xmlns:a="http://schemas.openxmlformats.org/drawingml/2006/main">
                        <a:graphicData uri="http://schemas.microsoft.com/office/word/2010/wordprocessingShape">
                          <wps:wsp>
                            <wps:cNvCnPr/>
                            <wps:spPr>
                              <a:xfrm flipV="1">
                                <a:off x="0" y="0"/>
                                <a:ext cx="287655" cy="43180"/>
                              </a:xfrm>
                              <a:prstGeom prst="line">
                                <a:avLst/>
                              </a:prstGeom>
                            </wps:spPr>
                            <wps:style>
                              <a:lnRef idx="2">
                                <a:schemeClr val="accent6"/>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10.3pt;margin-top:141.5pt;height:3.4pt;width:22.65pt;z-index:251692032;mso-width-relative:page;mso-height-relative:page;" filled="f" stroked="t" coordsize="21600,21600" o:gfxdata="UEsDBAoAAAAAAIdO4kAAAAAAAAAAAAAAAAAEAAAAZHJzL1BLAwQUAAAACACHTuJARnwV7tkAAAAL&#10;AQAADwAAAGRycy9kb3ducmV2LnhtbE2PPU/DMBCGdyT+g3VIbNROUCM3xOmA+FyQKDCwubGJI+xz&#10;FLtt+u+5TnS8u0fvPW+znoNnezulIaKCYiGAWeyiGbBX8PnxeCOBpazRaB/RKjjaBOv28qLRtYkH&#10;fLf7Te4ZhWCqtQKX81hznjpng06LOFqk20+cgs40Tj03kz5QePC8FKLiQQ9IH5we7b2z3e9mFxS8&#10;Fa+Tn5/ki/vmulg+PHdfxyCVur4qxB2wbOf8D8NJn9ShJadt3KFJzCuQpagIVVDKWypFhKyWK2Db&#10;02YlgbcNP+/Q/gFQSwMEFAAAAAgAh07iQKSrprXqAQAAqgMAAA4AAABkcnMvZTJvRG9jLnhtbK1T&#10;vY4TMRDukXgHyz3ZJJfkwiqbKy4KDYJIwPWO19615D95fNnkJXgBJDqoKOnvbTge48beJcDRXEFj&#10;jWe+/cbfN7Orq6PR5CACKGcrOhmNKRGWu1rZpqIf3m9fLCmByGzNtLOioicB9Gr9/Nmq86WYutbp&#10;WgSCJBbKzle0jdGXRQG8FYbByHlhsShdMCziNTRFHViH7EYX0/F4UXQu1D44LgAwu+mLdGAMTyF0&#10;UiouNo7fGmFjzxqEZhElQas80HV+rZSCx7dSgohEVxSVxnxiE4z36SzWK1Y2gflW8eEJ7ClPeKTJ&#10;MGWx6ZlqwyIjt0H9Q2UUDw6cjCPuTNELyY6gisn4kTfvWuZF1oJWgz+bDv+Plr857AJRdUWnF5RY&#10;ZnDi95++//j45efdZzzvv30lWEGbOg8loq/tLgw38LuQNB9lMERq5W9wn7ILqIscs8mns8niGAnH&#10;5HR5uZjPKeFYml1MlnkGRc+S2HyA+Eo4Q1JQUa1ssoCV7PAaInZG6C9ISlu3VVrnMWpLOuSfz8Y4&#10;Xc5wNyXuBIbGoz6wDSVMN7j0PIZMCU6rOn2eiCA0+2sdyIHhqmwvXy5miyQb2/0FS703DNoel0sD&#10;TFtEJ5d6X1K0d/Up25XzOMLMN6xb2pE/7/nr37/Y+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fBXu2QAAAAsBAAAPAAAAAAAAAAEAIAAAACIAAABkcnMvZG93bnJldi54bWxQSwECFAAUAAAACACH&#10;TuJApKumteoBAACqAwAADgAAAAAAAAABACAAAAAoAQAAZHJzL2Uyb0RvYy54bWxQSwUGAAAAAAYA&#10;BgBZAQAAhAUAAAAA&#10;">
                      <v:fill on="f" focussize="0,0"/>
                      <v:stroke weight="2pt" color="#F79646 [3209]" joinstyle="round"/>
                      <v:imagedata o:title=""/>
                      <o:lock v:ext="edit" aspectratio="f"/>
                    </v:lin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2576" behindDoc="0" locked="0" layoutInCell="1" allowOverlap="1">
                      <wp:simplePos x="0" y="0"/>
                      <wp:positionH relativeFrom="column">
                        <wp:posOffset>2771140</wp:posOffset>
                      </wp:positionH>
                      <wp:positionV relativeFrom="paragraph">
                        <wp:posOffset>1390015</wp:posOffset>
                      </wp:positionV>
                      <wp:extent cx="586740" cy="262890"/>
                      <wp:effectExtent l="6350" t="130175" r="549910" b="6985"/>
                      <wp:wrapNone/>
                      <wp:docPr id="49" name="线形标注 1 49"/>
                      <wp:cNvGraphicFramePr/>
                      <a:graphic xmlns:a="http://schemas.openxmlformats.org/drawingml/2006/main">
                        <a:graphicData uri="http://schemas.microsoft.com/office/word/2010/wordprocessingShape">
                          <wps:wsp>
                            <wps:cNvSpPr/>
                            <wps:spPr>
                              <a:xfrm>
                                <a:off x="0" y="0"/>
                                <a:ext cx="586740" cy="262890"/>
                              </a:xfrm>
                              <a:prstGeom prst="borderCallout1">
                                <a:avLst>
                                  <a:gd name="adj1" fmla="val -3174"/>
                                  <a:gd name="adj2" fmla="val 60714"/>
                                  <a:gd name="adj3" fmla="val -33862"/>
                                  <a:gd name="adj4" fmla="val 192748"/>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42F253DA">
                                  <w:pPr>
                                    <w:keepNext w:val="0"/>
                                    <w:keepLines w:val="0"/>
                                    <w:pageBreakBefore w:val="0"/>
                                    <w:widowControl w:val="0"/>
                                    <w:kinsoku/>
                                    <w:wordWrap/>
                                    <w:overflowPunct/>
                                    <w:topLinePunct w:val="0"/>
                                    <w:bidi w:val="0"/>
                                    <w:adjustRightInd/>
                                    <w:snapToGrid/>
                                    <w:spacing w:before="0" w:after="0"/>
                                    <w:ind w:left="0" w:leftChars="0" w:firstLine="0" w:firstLineChars="0"/>
                                    <w:jc w:val="both"/>
                                    <w:textAlignment w:val="auto"/>
                                    <w:rPr>
                                      <w:rFonts w:hint="default"/>
                                      <w:b w:val="0"/>
                                      <w:bCs w:val="0"/>
                                      <w:color w:val="000000" w:themeColor="text1"/>
                                      <w:spacing w:val="-6"/>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陷塘村站</w:t>
                                  </w:r>
                                </w:p>
                                <w:p w14:paraId="32162641">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218.2pt;margin-top:109.45pt;height:20.7pt;width:46.2pt;z-index:251672576;v-text-anchor:middle;mso-width-relative:page;mso-height-relative:page;" fillcolor="#FFFFFF [3212]" filled="t" stroked="t" coordsize="21600,21600" o:gfxdata="UEsDBAoAAAAAAIdO4kAAAAAAAAAAAAAAAAAEAAAAZHJzL1BLAwQUAAAACACHTuJApPJBRNgAAAAL&#10;AQAADwAAAGRycy9kb3ducmV2LnhtbE2Py07DMBBF90j8gzVI7KiTtEQhxOki4rlCDf0ANx7iiHgc&#10;xU5b+HqGFSxn5ujOudX27EZxxDkMnhSkqwQEUufNQL2C/fvjTQEiRE1Gj55QwRcG2NaXF5UujT/R&#10;Do9t7AWHUCi1AhvjVEoZOotOh5WfkPj24WenI49zL82sTxzuRpklSS6dHog/WD1hY7H7bBen4G33&#10;8NQYfG7a13afLi/Gyu9glbq+SpN7EBHP8Q+GX31Wh5qdDn4hE8SoYLPON4wqyNLiDgQTt1nBZQ68&#10;yZM1yLqS/zvUP1BLAwQUAAAACACHTuJA6X3X7dkCAADZBQAADgAAAGRycy9lMm9Eb2MueG1srVRL&#10;btswEN0X6B0I7hN9rPiHyIFh10WBoAmQFl3TFGWp4K8kbdm9QK9RdNV9dwWKnqbpNTqklET5LLKo&#10;FtIMZzTz5s0MT8/2gqMdM7ZWMsfJcYwRk1QVtdzk+P271dEYI+uILAhXkuX4wCw+m718cdroKUtV&#10;pXjBDIIg0k4bnePKOT2NIksrJog9VppJMJbKCOJANZuoMKSB6IJHaRwPo0aZQhtFmbVwumyNuIto&#10;nhNQlWVN2VLRrWDStVEN48RBSbaqtcWzgLYsGXUXZWmZQzzHUKkLb0gC8tq/o9kpmW4M0VVNOwjk&#10;ORAe1CRILSHpbaglcQRtTf0olKipUVaV7pgqEbWFBEagiiR+wM1VRTQLtQDVVt+Sbv9fWPp2d2lQ&#10;XeQ4m2AkiYCO//35+8+vb9dfv1z/+I4SBAZgqdF2Cs5X+tJ0mgXRl7wvjfBfKAbtA7OHW2bZ3iEK&#10;hyfj4SgDzimY0mE6ngTmo7uftbHuNVMCeSHHa5gRZhaEc7V1SWCW7M6tCxQXHU5SfEwwKgWHju0I&#10;R0eDZJR1He35pH2fYTxKnvAZ9H2OBoPxMH0cKOs7JZN0lI29E1TRYQPppg4P1CpeF6ua86CYzXrB&#10;DQKgOV6Fp/v5nhuXqIGtTEexZ4vAfpUw1yAKDT2ycoMR4RtYXOpMoOXe37afJA7PU0k8yCWxVQsm&#10;RGirrRgpXskCuYOGOZCw/+25IzW/OyfGqAZ7nIIVGHEGcLzUcsElUOKnpZ0PL7n9et8NzVoVBxg4&#10;o9pNtJquakBzTqy7JAYaCWXD5eQu4FVyBTlUJ2FUKfP5qXPvDxsBVgAFqww8fdoSwwDaGwm7Mkky&#10;P3suKNnJKAXF9C3rvkVuxUJBj2C0AF0Qvb/jN2JplPgA8zn3WcFEJIXcbUc6ZeHaKwZuQcrm8+AG&#10;+66JO5dXmvrgfiakmm+dKmvnmfNEtex0Cmx8GK7udvJXSl8PXnc38u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pPJBRNgAAAALAQAADwAAAAAAAAABACAAAAAiAAAAZHJzL2Rvd25yZXYueG1sUEsB&#10;AhQAFAAAAAgAh07iQOl91+3ZAgAA2QUAAA4AAAAAAAAAAQAgAAAAJwEAAGRycy9lMm9Eb2MueG1s&#10;UEsFBgAAAAAGAAYAWQEAAHIGAAAAAA==&#10;" adj="41634,-7314,13114,-686">
                      <v:fill on="t" focussize="0,0"/>
                      <v:stroke weight="1pt" color="#000000 [3213]" joinstyle="round" startarrow="open"/>
                      <v:imagedata o:title=""/>
                      <o:lock v:ext="edit" aspectratio="f"/>
                      <v:textbox>
                        <w:txbxContent>
                          <w:p w14:paraId="42F253DA">
                            <w:pPr>
                              <w:keepNext w:val="0"/>
                              <w:keepLines w:val="0"/>
                              <w:pageBreakBefore w:val="0"/>
                              <w:widowControl w:val="0"/>
                              <w:kinsoku/>
                              <w:wordWrap/>
                              <w:overflowPunct/>
                              <w:topLinePunct w:val="0"/>
                              <w:bidi w:val="0"/>
                              <w:adjustRightInd/>
                              <w:snapToGrid/>
                              <w:spacing w:before="0" w:after="0"/>
                              <w:ind w:left="0" w:leftChars="0" w:firstLine="0" w:firstLineChars="0"/>
                              <w:jc w:val="both"/>
                              <w:textAlignment w:val="auto"/>
                              <w:rPr>
                                <w:rFonts w:hint="default"/>
                                <w:b w:val="0"/>
                                <w:bCs w:val="0"/>
                                <w:color w:val="000000" w:themeColor="text1"/>
                                <w:spacing w:val="-6"/>
                                <w:sz w:val="21"/>
                                <w:szCs w:val="2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陷塘村站</w:t>
                            </w:r>
                          </w:p>
                          <w:p w14:paraId="32162641">
                            <w:pPr>
                              <w:rPr>
                                <w:rFonts w:hint="default"/>
                                <w:lang w:val="en-US" w:eastAsia="zh-CN"/>
                              </w:rPr>
                            </w:pP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1552" behindDoc="0" locked="0" layoutInCell="1" allowOverlap="1">
                      <wp:simplePos x="0" y="0"/>
                      <wp:positionH relativeFrom="column">
                        <wp:posOffset>2464435</wp:posOffset>
                      </wp:positionH>
                      <wp:positionV relativeFrom="paragraph">
                        <wp:posOffset>427990</wp:posOffset>
                      </wp:positionV>
                      <wp:extent cx="1634490" cy="574040"/>
                      <wp:effectExtent l="4445" t="4445" r="18415" b="12065"/>
                      <wp:wrapNone/>
                      <wp:docPr id="48" name="任意多边形 48"/>
                      <wp:cNvGraphicFramePr/>
                      <a:graphic xmlns:a="http://schemas.openxmlformats.org/drawingml/2006/main">
                        <a:graphicData uri="http://schemas.microsoft.com/office/word/2010/wordprocessingShape">
                          <wps:wsp>
                            <wps:cNvSpPr/>
                            <wps:spPr>
                              <a:xfrm>
                                <a:off x="3184525" y="6052820"/>
                                <a:ext cx="1634490" cy="574040"/>
                              </a:xfrm>
                              <a:custGeom>
                                <a:avLst/>
                                <a:gdLst>
                                  <a:gd name="connisteX0" fmla="*/ 58420 w 1634490"/>
                                  <a:gd name="connsiteY0" fmla="*/ 574040 h 574040"/>
                                  <a:gd name="connisteX1" fmla="*/ 313690 w 1634490"/>
                                  <a:gd name="connsiteY1" fmla="*/ 569595 h 574040"/>
                                  <a:gd name="connisteX2" fmla="*/ 505460 w 1634490"/>
                                  <a:gd name="connsiteY2" fmla="*/ 495935 h 574040"/>
                                  <a:gd name="connisteX3" fmla="*/ 755650 w 1634490"/>
                                  <a:gd name="connsiteY3" fmla="*/ 490855 h 574040"/>
                                  <a:gd name="connisteX4" fmla="*/ 952500 w 1634490"/>
                                  <a:gd name="connsiteY4" fmla="*/ 485775 h 574040"/>
                                  <a:gd name="connisteX5" fmla="*/ 1064895 w 1634490"/>
                                  <a:gd name="connsiteY5" fmla="*/ 397510 h 574040"/>
                                  <a:gd name="connisteX6" fmla="*/ 1355090 w 1634490"/>
                                  <a:gd name="connsiteY6" fmla="*/ 245110 h 574040"/>
                                  <a:gd name="connisteX7" fmla="*/ 1565910 w 1634490"/>
                                  <a:gd name="connsiteY7" fmla="*/ 142240 h 574040"/>
                                  <a:gd name="connisteX8" fmla="*/ 1634490 w 1634490"/>
                                  <a:gd name="connsiteY8" fmla="*/ 68580 h 574040"/>
                                  <a:gd name="connisteX9" fmla="*/ 1556385 w 1634490"/>
                                  <a:gd name="connsiteY9" fmla="*/ 0 h 574040"/>
                                  <a:gd name="connisteX10" fmla="*/ 1310640 w 1634490"/>
                                  <a:gd name="connsiteY10" fmla="*/ 24765 h 574040"/>
                                  <a:gd name="connisteX11" fmla="*/ 952500 w 1634490"/>
                                  <a:gd name="connsiteY11" fmla="*/ 59055 h 574040"/>
                                  <a:gd name="connisteX12" fmla="*/ 819785 w 1634490"/>
                                  <a:gd name="connsiteY12" fmla="*/ 97790 h 574040"/>
                                  <a:gd name="connisteX13" fmla="*/ 667385 w 1634490"/>
                                  <a:gd name="connsiteY13" fmla="*/ 63500 h 574040"/>
                                  <a:gd name="connisteX14" fmla="*/ 544830 w 1634490"/>
                                  <a:gd name="connsiteY14" fmla="*/ 78740 h 574040"/>
                                  <a:gd name="connisteX15" fmla="*/ 476250 w 1634490"/>
                                  <a:gd name="connsiteY15" fmla="*/ 142240 h 574040"/>
                                  <a:gd name="connisteX16" fmla="*/ 368300 w 1634490"/>
                                  <a:gd name="connsiteY16" fmla="*/ 210820 h 574040"/>
                                  <a:gd name="connisteX17" fmla="*/ 289560 w 1634490"/>
                                  <a:gd name="connsiteY17" fmla="*/ 250190 h 574040"/>
                                  <a:gd name="connisteX18" fmla="*/ 269875 w 1634490"/>
                                  <a:gd name="connsiteY18" fmla="*/ 338455 h 574040"/>
                                  <a:gd name="connisteX19" fmla="*/ 73660 w 1634490"/>
                                  <a:gd name="connsiteY19" fmla="*/ 387985 h 574040"/>
                                  <a:gd name="connisteX20" fmla="*/ 9525 w 1634490"/>
                                  <a:gd name="connsiteY20" fmla="*/ 466090 h 574040"/>
                                  <a:gd name="connisteX21" fmla="*/ 0 w 1634490"/>
                                  <a:gd name="connsiteY21" fmla="*/ 539750 h 574040"/>
                                  <a:gd name="connisteX22" fmla="*/ 58420 w 1634490"/>
                                  <a:gd name="connsiteY22" fmla="*/ 574040 h 57404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Lst>
                                <a:rect l="l" t="t" r="r" b="b"/>
                                <a:pathLst>
                                  <a:path w="1634490" h="574040">
                                    <a:moveTo>
                                      <a:pt x="58420" y="574040"/>
                                    </a:moveTo>
                                    <a:lnTo>
                                      <a:pt x="313690" y="569595"/>
                                    </a:lnTo>
                                    <a:lnTo>
                                      <a:pt x="505460" y="495935"/>
                                    </a:lnTo>
                                    <a:lnTo>
                                      <a:pt x="755650" y="490855"/>
                                    </a:lnTo>
                                    <a:lnTo>
                                      <a:pt x="952500" y="485775"/>
                                    </a:lnTo>
                                    <a:lnTo>
                                      <a:pt x="1064895" y="397510"/>
                                    </a:lnTo>
                                    <a:lnTo>
                                      <a:pt x="1355090" y="245110"/>
                                    </a:lnTo>
                                    <a:lnTo>
                                      <a:pt x="1565910" y="142240"/>
                                    </a:lnTo>
                                    <a:lnTo>
                                      <a:pt x="1634490" y="68580"/>
                                    </a:lnTo>
                                    <a:lnTo>
                                      <a:pt x="1556385" y="0"/>
                                    </a:lnTo>
                                    <a:lnTo>
                                      <a:pt x="1310640" y="24765"/>
                                    </a:lnTo>
                                    <a:lnTo>
                                      <a:pt x="952500" y="59055"/>
                                    </a:lnTo>
                                    <a:lnTo>
                                      <a:pt x="819785" y="97790"/>
                                    </a:lnTo>
                                    <a:lnTo>
                                      <a:pt x="667385" y="63500"/>
                                    </a:lnTo>
                                    <a:lnTo>
                                      <a:pt x="544830" y="78740"/>
                                    </a:lnTo>
                                    <a:lnTo>
                                      <a:pt x="476250" y="142240"/>
                                    </a:lnTo>
                                    <a:lnTo>
                                      <a:pt x="368300" y="210820"/>
                                    </a:lnTo>
                                    <a:lnTo>
                                      <a:pt x="289560" y="250190"/>
                                    </a:lnTo>
                                    <a:lnTo>
                                      <a:pt x="269875" y="338455"/>
                                    </a:lnTo>
                                    <a:lnTo>
                                      <a:pt x="73660" y="387985"/>
                                    </a:lnTo>
                                    <a:lnTo>
                                      <a:pt x="9525" y="466090"/>
                                    </a:lnTo>
                                    <a:lnTo>
                                      <a:pt x="0" y="539750"/>
                                    </a:lnTo>
                                    <a:lnTo>
                                      <a:pt x="58420" y="574040"/>
                                    </a:lnTo>
                                    <a:close/>
                                  </a:path>
                                </a:pathLst>
                              </a:custGeom>
                              <a:noFill/>
                              <a:ln w="63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94.05pt;margin-top:33.7pt;height:45.2pt;width:128.7pt;z-index:251671552;mso-width-relative:page;mso-height-relative:page;" filled="f" stroked="t" coordsize="1634490,574040" o:gfxdata="UEsDBAoAAAAAAIdO4kAAAAAAAAAAAAAAAAAEAAAAZHJzL1BLAwQUAAAACACHTuJAnjEJ3NsAAAAK&#10;AQAADwAAAGRycy9kb3ducmV2LnhtbE2PwU7DMBBE70j8g7VIXBB1Ak1qQpweKvVUqVIDSD268RJH&#10;xOsQO2nh6zEnOK7maeZtub7Yns04+s6RhHSRAENqnO6olfD6sr0XwHxQpFXvCCV8oYd1dX1VqkK7&#10;Mx1wrkPLYgn5QkkwIQwF574xaJVfuAEpZu9utCrEc2y5HtU5ltuePyRJzq3qKC4YNeDGYPNRT1YC&#10;fu/3x7faHD93u820nftwJw5PUt7epMkzsICX8AfDr35Uhyo6ndxE2rNewqMQaUQl5KslsAjkyywD&#10;dopkthLAq5L/f6H6AVBLAwQUAAAACACHTuJA6RleQVoFAAA1FwAADgAAAGRycy9lMm9Eb2MueG1s&#10;rVjNjuNEEL4j8Q6Wj0hs3LbbP9Fk9sBouCBYaRcJjj2OnViy3ZbbM5m5c+fOEfESaAVPwyIeg+pq&#10;OylnhN2WmENiT76vq7v+uqpu3j7XlfOUd6qUzc5lbzzXyZtM7svmsHO//3D/ZeI6qhfNXlSyyXfu&#10;S67ct7eff3Zzare5L4+y2uedA4s0antqd+6x79vtZqOyY14L9Ua2eQM/FrKrRQ+v3WGz78QJVq+r&#10;je950eYku33bySxXCv57Z350hxU7mwVlUZRZfiezxzpverNql1eihyOpY9kq9xZ3WxR51n9XFCrv&#10;nWrnwkl7/AQh8PygPze3N2J76ER7LLNhC8JmC1dnqkXZgNDzUneiF85jV75aqi6zTipZ9G8yWW/M&#10;QVAjcArmXenm/VG0OZ4FVK3as9LV/7ds9u3Tu84p9zs3BLs3ogaL//Xx498//fzpt1/++fP3T3/8&#10;6sAvoKZTq7aAft++64Y3BY/6zM9FV+tvOI3zvHMDloTc567zsnMjj/uJP6g5f+6dDAAsCsIwBQtk&#10;gOBx6IUI2FxWyh5V/3UucVXx9I3qjZn28IRK3g87zWTTlKrPf4DFiroCy32xcXgS+p5zckYxA5dQ&#10;VNnnP04ouAnn6Fx2A6Z8JYURKQELotRCDOXwKOUpXxTjEzHc42FkIYZyQpASLIsJiJiY84hbiKEc&#10;MGHCl8WEREwKfuFZiKGcMOFxvCwG/O3sAcyLwgQUvegDlBSkMWfeonEiKifg3LNxAkryQ84s5MRU&#10;DhgnBc7ieSak0PfD5fNA1F/0ZgJzWQ4lRQlPlsWkVAw4W5BYmIeSlkUwGtEs0E5gobIJyw/jaNnV&#10;GI1pW5eekHjqWUQOo0GdsDS20dmElMYxuOdiWqNRHUWxlW3YhBTosF6UQ8Oah2ES2NiHkuIEEvWy&#10;HBrWYFHIOcsuzSiJ2cUOo3EdRHAeG0GU5DMPrsflE9HA9iG12VwJbELiHrNxBRrZfpQmkHkXsw6j&#10;pCCA298ihmhsx0FkdSDKCZI4hXhY8jmoPS75Tcfq8nEmlBB2ZqE3n6YECyeY4Lm+epadwKfpwLLI&#10;mXJeVzlQcx3Gqkocx0Ire26GSgueHKEbAw+r21YqXeHRsgtKOP06lFRQa8GSwNJl2gIZVEbJTBeZ&#10;1mTQBSX7q8iQuig5WEWGfETJ4SoyJBlK5qvIkDgoOVpFhmRAyfEqMgQ4JWM/YG0qiFpKTldJ1tcz&#10;ZcP7GjfRt+6Evs7L9GU6oa/zM31HTujrPI1duRq8rzr7lbPBDbeKfuVucNmtol85HNxGq+hXLgd3&#10;zCr6ldOxdV6nrwBqOHhfI11n9wl9ndfppD2hT7zOxN2QnzsYcOjRRoWjjd51YLTR4WjjQe9YbFvR&#10;67Q+Pjon0n4fz923/rmWT/kHicBeJ3m8YXAjl6YYZF9gVUPhph82eGxzB42NqPG7NYtjW4to063O&#10;ok13OqB10zmLNhW5QWPvOIseekWEmxZwHm5aPoSbTm4ebjo3hJuich4+TkbA/NhXzaNNH4WLjw46&#10;qnn8NuoeuqFh19DjzK5LFIiNyizY9CW4MnYbs2DTXCA40i3DLNh0CAjGun8WbMp8BFvo2dTqiDYV&#10;+OzapuA2aCyj59FYNSPa1MKzaCx9DRgL2lmwNgxiTVU6izUZzJSWs8D/iPPRgbJKqtwkP51LsEQ7&#10;JxWdi8iorpH3ZVVh3qkanWq0kWHMJ2BMXMB4Fh7rFkaNqjm4jqgOMH/O+g4rSyWrcq/ZOgGp7vDw&#10;VdU5TwJS2z38nT1lAms71d8JdTQ4/Ol8UtinHliaEaV+epD7F5xc4v9hmoonGSa/elxL35F9mXbf&#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O&#10;BwAAW0NvbnRlbnRfVHlwZXNdLnhtbFBLAQIUAAoAAAAAAIdO4kAAAAAAAAAAAAAAAAAGAAAAAAAA&#10;AAAAEAAAALAGAABfcmVscy9QSwECFAAUAAAACACHTuJAihRmPNEAAACUAQAACwAAAAAAAAABACAA&#10;AADUBgAAX3JlbHMvLnJlbHNQSwECFAAKAAAAAACHTuJAAAAAAAAAAAAAAAAABAAAAAAAAAAAABAA&#10;AAAAAAAAZHJzL1BLAQIUABQAAAAIAIdO4kCeMQnc2wAAAAoBAAAPAAAAAAAAAAEAIAAAACIAAABk&#10;cnMvZG93bnJldi54bWxQSwECFAAUAAAACACHTuJA6RleQVoFAAA1FwAADgAAAAAAAAABACAAAAAq&#10;AQAAZHJzL2Uyb0RvYy54bWxQSwUGAAAAAAYABgBZAQAA9ggAAAAA&#10;" path="m58420,574040l313690,569595,505460,495935,755650,490855,952500,485775,1064895,397510,1355090,245110,1565910,142240,1634490,68580,1556385,0,1310640,24765,952500,59055,819785,97790,667385,63500,544830,78740,476250,142240,368300,210820,289560,250190,269875,338455,73660,387985,9525,466090,0,539750,58420,574040xe">
                      <v:path o:connectlocs="58420,574040;313690,569595;505460,495935;755650,490855;952500,485775;1064895,397510;1355090,245110;1565910,142240;1634490,68580;1556385,0;1310640,24765;952500,59055;819785,97790;667385,63500;544830,78740;476250,142240;368300,210820;289560,250190;269875,338455;73660,387985;9525,466090;0,539750;58420,574040" o:connectangles="0,0,0,0,0,0,0,0,0,0,0,0,0,0,0,0,0,0,0,0,0,0,0"/>
                      <v:fill on="f" focussize="0,0"/>
                      <v:stroke weight="0.5pt" color="#FFFF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0528" behindDoc="0" locked="0" layoutInCell="1" allowOverlap="1">
                      <wp:simplePos x="0" y="0"/>
                      <wp:positionH relativeFrom="column">
                        <wp:posOffset>3877945</wp:posOffset>
                      </wp:positionH>
                      <wp:positionV relativeFrom="paragraph">
                        <wp:posOffset>1217930</wp:posOffset>
                      </wp:positionV>
                      <wp:extent cx="358775" cy="161925"/>
                      <wp:effectExtent l="12700" t="12700" r="28575" b="15875"/>
                      <wp:wrapNone/>
                      <wp:docPr id="46" name="任意多边形 46"/>
                      <wp:cNvGraphicFramePr/>
                      <a:graphic xmlns:a="http://schemas.openxmlformats.org/drawingml/2006/main">
                        <a:graphicData uri="http://schemas.microsoft.com/office/word/2010/wordprocessingShape">
                          <wps:wsp>
                            <wps:cNvSpPr/>
                            <wps:spPr>
                              <a:xfrm>
                                <a:off x="4598035" y="6842760"/>
                                <a:ext cx="358775" cy="161925"/>
                              </a:xfrm>
                              <a:custGeom>
                                <a:avLst/>
                                <a:gdLst>
                                  <a:gd name="connisteX0" fmla="*/ 0 w 358775"/>
                                  <a:gd name="connsiteY0" fmla="*/ 44450 h 161925"/>
                                  <a:gd name="connisteX1" fmla="*/ 64135 w 358775"/>
                                  <a:gd name="connsiteY1" fmla="*/ 64135 h 161925"/>
                                  <a:gd name="connisteX2" fmla="*/ 132715 w 358775"/>
                                  <a:gd name="connsiteY2" fmla="*/ 122555 h 161925"/>
                                  <a:gd name="connisteX3" fmla="*/ 196850 w 358775"/>
                                  <a:gd name="connsiteY3" fmla="*/ 161925 h 161925"/>
                                  <a:gd name="connisteX4" fmla="*/ 265430 w 358775"/>
                                  <a:gd name="connsiteY4" fmla="*/ 147320 h 161925"/>
                                  <a:gd name="connisteX5" fmla="*/ 334010 w 358775"/>
                                  <a:gd name="connsiteY5" fmla="*/ 137795 h 161925"/>
                                  <a:gd name="connisteX6" fmla="*/ 358775 w 358775"/>
                                  <a:gd name="connsiteY6" fmla="*/ 73660 h 161925"/>
                                  <a:gd name="connisteX7" fmla="*/ 294640 w 358775"/>
                                  <a:gd name="connsiteY7" fmla="*/ 44450 h 161925"/>
                                  <a:gd name="connisteX8" fmla="*/ 226060 w 358775"/>
                                  <a:gd name="connsiteY8" fmla="*/ 44450 h 161925"/>
                                  <a:gd name="connisteX9" fmla="*/ 157480 w 358775"/>
                                  <a:gd name="connsiteY9" fmla="*/ 44450 h 161925"/>
                                  <a:gd name="connisteX10" fmla="*/ 93345 w 358775"/>
                                  <a:gd name="connsiteY10" fmla="*/ 44450 h 161925"/>
                                  <a:gd name="connisteX11" fmla="*/ 24765 w 358775"/>
                                  <a:gd name="connsiteY11" fmla="*/ 0 h 161925"/>
                                  <a:gd name="connisteX12" fmla="*/ 0 w 358775"/>
                                  <a:gd name="connsiteY12" fmla="*/ 44450 h 1619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358775" h="161925">
                                    <a:moveTo>
                                      <a:pt x="0" y="44450"/>
                                    </a:moveTo>
                                    <a:lnTo>
                                      <a:pt x="64135" y="64135"/>
                                    </a:lnTo>
                                    <a:lnTo>
                                      <a:pt x="132715" y="122555"/>
                                    </a:lnTo>
                                    <a:lnTo>
                                      <a:pt x="196850" y="161925"/>
                                    </a:lnTo>
                                    <a:lnTo>
                                      <a:pt x="265430" y="147320"/>
                                    </a:lnTo>
                                    <a:lnTo>
                                      <a:pt x="334010" y="137795"/>
                                    </a:lnTo>
                                    <a:lnTo>
                                      <a:pt x="358775" y="73660"/>
                                    </a:lnTo>
                                    <a:lnTo>
                                      <a:pt x="294640" y="44450"/>
                                    </a:lnTo>
                                    <a:lnTo>
                                      <a:pt x="226060" y="44450"/>
                                    </a:lnTo>
                                    <a:lnTo>
                                      <a:pt x="157480" y="44450"/>
                                    </a:lnTo>
                                    <a:lnTo>
                                      <a:pt x="93345" y="44450"/>
                                    </a:lnTo>
                                    <a:lnTo>
                                      <a:pt x="24765" y="0"/>
                                    </a:lnTo>
                                    <a:lnTo>
                                      <a:pt x="0" y="44450"/>
                                    </a:lnTo>
                                    <a:close/>
                                  </a:path>
                                </a:pathLst>
                              </a:custGeom>
                              <a:noFill/>
                              <a:ln w="63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05.35pt;margin-top:95.9pt;height:12.75pt;width:28.25pt;z-index:251670528;mso-width-relative:page;mso-height-relative:page;" filled="f" stroked="t" coordsize="358775,161925" o:gfxdata="UEsDBAoAAAAAAIdO4kAAAAAAAAAAAAAAAAAEAAAAZHJzL1BLAwQUAAAACACHTuJAtxqwAdgAAAAL&#10;AQAADwAAAGRycy9kb3ducmV2LnhtbE2PMU/DMBCFdyT+g3VIbNR2IpIS4nQAdejAQArMbnwkEbEd&#10;2W4a/j3HBOPpfXr3vXq32oktGOLonQK5EcDQdd6MrlfwdtzfbYHFpJ3Rk3eo4Bsj7Jrrq1pXxl/c&#10;Ky5t6hmVuFhpBUNKc8V57Aa0Om78jI6yTx+sTnSGnpugL1RuJ54JUXCrR0cfBj3j04DdV3u2CvYh&#10;k+bjkLd5mt9f7P12PTwvq1K3N1I8Aku4pj8YfvVJHRpyOvmzM5FNCgopSkIpeJC0gYiiKDNgJwWZ&#10;LHPgTc3/b2h+AFBLAwQUAAAACACHTuJAVoJAwgwEAAC0DgAADgAAAGRycy9lMm9Eb2MueG1srVfL&#10;buM2FN0X6D8QWhZorLdsI84sGqSboh1gpkC7ZCjKEiCJAsnYzr777rss+hODQfs1ncF8Ri8vJZuO&#10;gVAGmoVFRffc94u3bw5dS3Zcqkb0myC6CQPCeybKpt9ugp/fP3y7DIjStC9pK3q+CZ65Ct7cff3V&#10;7X5Y81jUoi25JMCkV+v9sAlqrYf1YqFYzTuqbsTAe/hYCdlRDa9yuygl3QP3rl3EYZgv9kKWgxSM&#10;KwX/vbcfg5GjnMNQVFXD+L1gTx3vteUqeUs1mKTqZlDBHWpbVZzpn6pKcU3aTQCWavwFIXB+NL+L&#10;u1u63ko61A0bVaBzVHhhU0ebHoQeWd1TTcmTbC5YdQ2TQolK3zDRLawh6BGwIgpf+OZdTQeOtoCr&#10;1XB0uvr/2LIfd28lacpNkOYB6WkHEf/348fPv/3+6a8/vvzz4dPffxL4Am7aD2oN1O+Gt3J8U3A0&#10;Nh8q2ZknWEMOwChbLcMkC8jzJsiXaVzko5v5QRMGBEm2LAr4zoAgyqNVnBn+ixMj9qT091wgU7r7&#10;QWkbpRJO6ONyVJSJvm+U5r9ANKuuhcB9syAh2ZNRwghzqFWj+a8udZqmWUhqctIDYnjBP3L452mU&#10;ZF4ZlwifjNiRESVxEfmFnEHiOMsyryWJK2WVL8F4n7vOIBgur5TUkRLnWZr4pbiQKC2S2B8VSKFj&#10;1JMkhfrx2uJCoqQoVn6PQVmcpGDmeqW4kCLJc78phSMkXqV56jfFhczLYmjsR0viOA9BL1/sXcg8&#10;IStHSJQV6dIvxIXMExK5JbyC2Ptr5QwyU4pbxHFa5DOkuBB/2CO3gv2OOiO/tAE66HbqkbSe2iY7&#10;9GPfhBOhZsqHOKoGoUy7dpsoNGTzOnZJ25QBZZquBwx2u+Bo7OjzwOAFFxxfBYb25IKTq8DQdVxw&#10;ehXYjrijw6YpNs9m6BGuZByxEMB5YKh9F1xcpTbUtAteXgWGWnXBq6vApgZdNLxflWMvk+y6LDPV&#10;cyb9LM+s78dKkbA3mo2xxY1RBwQ2Rokb46PRmK4Hqk2BTUeyP2019XGpMV87sePvBdJpU23WA1i7&#10;o+0nirZ3KXHPQI3tyXpqopmeA3K1+wISR7gHjLwnquk5UuPct9Tu+jVRTU9Lbee3pca5/CpvO4ct&#10;Nc7X16nHTRDCgnPyVWI7F5G1679J2+k5ao3zbSaxnVMziXHczKTFoYG0U6ZPWk5Pq+1lVkzfWSsU&#10;t6E3OYdr8jH5TM46q3IvHpq2xfxse5OSeZIBZ0bhllbB7QiO3QCbvuq3AaHtFq5/TEucBUq0TWnQ&#10;JlOV3D5+10qyo1ACD/AXTtqfkQ1S6XuqakuHn47xAz3NfcHeEMzpUZTPeHHA/8NlBi0ZL17mtuS+&#10;I/p02bz7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0GAABbQ29udGVudF9UeXBlc10ueG1sUEsBAhQACgAAAAAAh07iQAAAAAAAAAAAAAAAAAYA&#10;AAAAAAAAAAAQAAAAXwUAAF9yZWxzL1BLAQIUABQAAAAIAIdO4kCKFGY80QAAAJQBAAALAAAAAAAA&#10;AAEAIAAAAIMFAABfcmVscy8ucmVsc1BLAQIUAAoAAAAAAIdO4kAAAAAAAAAAAAAAAAAEAAAAAAAA&#10;AAAAEAAAAAAAAABkcnMvUEsBAhQAFAAAAAgAh07iQLcasAHYAAAACwEAAA8AAAAAAAAAAQAgAAAA&#10;IgAAAGRycy9kb3ducmV2LnhtbFBLAQIUABQAAAAIAIdO4kBWgkDCDAQAALQOAAAOAAAAAAAAAAEA&#10;IAAAACcBAABkcnMvZTJvRG9jLnhtbFBLBQYAAAAABgAGAFkBAAClBwAAAAA=&#10;" path="m0,44450l64135,64135,132715,122555,196850,161925,265430,147320,334010,137795,358775,73660,294640,44450,226060,44450,157480,44450,93345,44450,24765,0,0,44450xe">
                      <v:path o:connectlocs="0,44450;64135,64135;132715,122555;196850,161925;265430,147320;334010,137795;358775,73660;294640,44450;226060,44450;157480,44450;93345,44450;24765,0;0,44450" o:connectangles="0,0,0,0,0,0,0,0,0,0,0,0,0"/>
                      <v:fill on="f" focussize="0,0"/>
                      <v:stroke weight="0.5pt" color="#FFFF00 [2404]" joinstyle="round"/>
                      <v:imagedata o:title=""/>
                      <o:lock v:ext="edit" aspectratio="f"/>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6102350" cy="4003675"/>
                  <wp:effectExtent l="0" t="0" r="12700" b="15875"/>
                  <wp:docPr id="34" name="图片 34" descr="PANO_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PANO_0012"/>
                          <pic:cNvPicPr>
                            <a:picLocks noChangeAspect="1"/>
                          </pic:cNvPicPr>
                        </pic:nvPicPr>
                        <pic:blipFill>
                          <a:blip r:embed="rId18"/>
                          <a:srcRect t="7667" b="4764"/>
                          <a:stretch>
                            <a:fillRect/>
                          </a:stretch>
                        </pic:blipFill>
                        <pic:spPr>
                          <a:xfrm>
                            <a:off x="0" y="0"/>
                            <a:ext cx="6102350" cy="4003675"/>
                          </a:xfrm>
                          <a:prstGeom prst="rect">
                            <a:avLst/>
                          </a:prstGeom>
                        </pic:spPr>
                      </pic:pic>
                    </a:graphicData>
                  </a:graphic>
                </wp:inline>
              </w:drawing>
            </w:r>
          </w:p>
        </w:tc>
      </w:tr>
      <w:tr w14:paraId="526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vAlign w:val="center"/>
          </w:tcPr>
          <w:p w14:paraId="36810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升压站周边环境</w:t>
            </w:r>
          </w:p>
        </w:tc>
      </w:tr>
      <w:tr w14:paraId="2F0E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4976" w:type="dxa"/>
            <w:shd w:val="clear" w:color="auto" w:fill="auto"/>
            <w:vAlign w:val="center"/>
          </w:tcPr>
          <w:p w14:paraId="3D37990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color w:val="auto"/>
                <w:highlight w:val="none"/>
                <w:vertAlign w:val="baseline"/>
                <w:lang w:val="en-US" w:eastAsia="zh-CN"/>
              </w:rPr>
              <mc:AlternateContent>
                <mc:Choice Requires="wps">
                  <w:drawing>
                    <wp:anchor distT="0" distB="0" distL="114300" distR="114300" simplePos="0" relativeHeight="251697152" behindDoc="0" locked="0" layoutInCell="1" allowOverlap="1">
                      <wp:simplePos x="0" y="0"/>
                      <wp:positionH relativeFrom="column">
                        <wp:posOffset>5715</wp:posOffset>
                      </wp:positionH>
                      <wp:positionV relativeFrom="paragraph">
                        <wp:posOffset>1723390</wp:posOffset>
                      </wp:positionV>
                      <wp:extent cx="1306195" cy="39941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17E20">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5pt;margin-top:135.7pt;height:31.45pt;width:102.85pt;z-index:251697152;mso-width-relative:page;mso-height-relative:page;" filled="f" stroked="f" coordsize="21600,21600" o:gfxdata="UEsDBAoAAAAAAIdO4kAAAAAAAAAAAAAAAAAEAAAAZHJzL1BLAwQUAAAACACHTuJAOiKxZtoAAAAI&#10;AQAADwAAAGRycy9kb3ducmV2LnhtbE2Py07DMBRE90j8g3WR2FE7SUlLyE2FIlVICBYt3XTnxLdJ&#10;hB8hdh/w9ZgVLEczmjlTri5GsxNNfnAWIZkJYGRbpwbbIeze13dLYD5Iq6R2lhC+yMOqur4qZaHc&#10;2W7otA0diyXWFxKhD2EsOPdtT0b6mRvJRu/gJiNDlFPH1STPsdxongqRcyMHGxd6OVLdU/uxPRqE&#10;l3r9JjdNapbfun5+PTyNn7v9PeLtTSIegQW6hL8w/OJHdKgiU+OOVnmmER5iDiFdJHNg0U5FngNr&#10;ELJsngGvSv7/QPUDUEsDBBQAAAAIAIdO4kBL0MMZPQIAAGgEAAAOAAAAZHJzL2Uyb0RvYy54bWyt&#10;VM2O0zAQviPxDpbvNE3/oFXTVdmqCGnFrlQQZ9dxmki2x9huk/IA8AacuHDnufocjJ20Wy0c9sDF&#10;GXvG3/j7Zibzm0ZJchDWVaAzmvb6lAjNIa/0LqOfPq5fvaHEeaZzJkGLjB6FozeLly/mtZmJAZQg&#10;c2EJgmg3q01GS+/NLEkcL4VirgdGaHQWYBXzuLW7JLesRnQlk0G/P0lqsLmxwIVzeLpqnbRDtM8B&#10;hKKouFgB3yuhfYtqhWQeKbmyMo4u4muLQnB/XxROeCIzikx9XDEJ2tuwJos5m+0sM2XFuyew5zzh&#10;CSfFKo1JL1Ar5hnZ2+ovKFVxCw4K3+OgkpZIVARZpP0n2mxKZkTkglI7cxHd/T9Y/uHwYEmVZ3Qw&#10;pUQzhRU//fh++vn79OsbwTMUqDZuhnEbg5G+eQsNts353OFh4N0UVoUvMiLoR3mPF3lF4wkPl4b9&#10;STodU8LRN5xOR+k4wCSPt411/p0ARYKRUYvli6qyw53zbeg5JCTTsK6kjCWUmtQZnQzH/Xjh4kFw&#10;qTFH4NC+NVi+2TYdsS3kR+RloW0NZ/i6wuR3zPkHZrEXkApOi7/HpZCASaCzKCnBfv3XeYjHEqGX&#10;khp7K6Puy55ZQYl8r7F403Q0Cs0YN6Px6wFu7LVne+3Re3UL2L4pzqXh0QzxXp7NwoL6jEO1DFnR&#10;xTTH3Bn1Z/PWtx2PQ8nFchmDsP0M83d6Y3iAbuVc7j0UVVQ6yNRq06mHDRhr1Q1L6PDrfYx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6IrFm2gAAAAgBAAAPAAAAAAAAAAEAIAAAACIAAABk&#10;cnMvZG93bnJldi54bWxQSwECFAAUAAAACACHTuJAS9DDGT0CAABoBAAADgAAAAAAAAABACAAAAAp&#10;AQAAZHJzL2Uyb0RvYy54bWxQSwUGAAAAAAYABgBZAQAA2AUAAAAA&#10;">
                      <v:fill on="f" focussize="0,0"/>
                      <v:stroke on="f" weight="0.5pt"/>
                      <v:imagedata o:title=""/>
                      <o:lock v:ext="edit" aspectratio="f"/>
                      <v:textbox>
                        <w:txbxContent>
                          <w:p w14:paraId="2F017E20">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5888" behindDoc="0" locked="0" layoutInCell="1" allowOverlap="1">
                      <wp:simplePos x="0" y="0"/>
                      <wp:positionH relativeFrom="column">
                        <wp:posOffset>2255520</wp:posOffset>
                      </wp:positionH>
                      <wp:positionV relativeFrom="paragraph">
                        <wp:posOffset>518795</wp:posOffset>
                      </wp:positionV>
                      <wp:extent cx="596265" cy="280035"/>
                      <wp:effectExtent l="6350" t="6350" r="83185" b="513715"/>
                      <wp:wrapNone/>
                      <wp:docPr id="95" name="线形标注 1 95"/>
                      <wp:cNvGraphicFramePr/>
                      <a:graphic xmlns:a="http://schemas.openxmlformats.org/drawingml/2006/main">
                        <a:graphicData uri="http://schemas.microsoft.com/office/word/2010/wordprocessingShape">
                          <wps:wsp>
                            <wps:cNvSpPr/>
                            <wps:spPr>
                              <a:xfrm>
                                <a:off x="0" y="0"/>
                                <a:ext cx="596265" cy="280035"/>
                              </a:xfrm>
                              <a:prstGeom prst="borderCallout1">
                                <a:avLst>
                                  <a:gd name="adj1" fmla="val 101814"/>
                                  <a:gd name="adj2" fmla="val 67518"/>
                                  <a:gd name="adj3" fmla="val 278571"/>
                                  <a:gd name="adj4" fmla="val 111580"/>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1597C99B">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马路沟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77.6pt;margin-top:40.85pt;height:22.05pt;width:46.95pt;z-index:251685888;v-text-anchor:middle;mso-width-relative:page;mso-height-relative:page;" fillcolor="#FFFFFF [3212]" filled="t" stroked="t" coordsize="21600,21600" o:gfxdata="UEsDBAoAAAAAAIdO4kAAAAAAAAAAAAAAAAAEAAAAZHJzL1BLAwQUAAAACACHTuJAbEw8e9oAAAAK&#10;AQAADwAAAGRycy9kb3ducmV2LnhtbE2PwU7DMBBE70j8g7VI3Kid0JQQ4vSA1BMUqYUKjm68TSLi&#10;dYidtvw9ywmOq3maeVsuz64XRxxD50lDMlMgkGpvO2o0vL2ubnIQIRqypveEGr4xwLK6vChNYf2J&#10;NnjcxkZwCYXCaGhjHAopQ92iM2HmByTODn50JvI5NtKO5sTlrpepUgvpTEe80JoBH1usP7eT0/DV&#10;NmrtssNH3D1t0vX0slq8P++0vr5K1AOIiOf4B8OvPqtDxU57P5ENotdwm2Upoxry5A4EA/P5fQJi&#10;z2Sa5SCrUv5/ofoBUEsDBBQAAAAIAIdO4kADeovQ3AIAANoFAAAOAAAAZHJzL2Uyb0RvYy54bWyt&#10;VM1u1DAQviPxDpbvdJPt/nXV3Wq1yyKkilYqiLPXcTZBjm1s7x8vwGsgTty5ISGehvIafHbSNv05&#10;cCCHZMYzmfm+8cycnu0rSbbCulKrCU2PEkqE4jor1XpC371dvhhR4jxTGZNaiQk9CEfPps+fne7M&#10;WHR1oWUmLEEQ5cY7M6GF92bc6TheiIq5I22EgjHXtmIeql13Mst2iF7JTjdJBp2dtpmxmgvncLqo&#10;jbSJaP8loM7zkouF5ptKKF9HtUIyD0quKI2j04g2zwX3F3nuhCdyQsHUxzeSQF6Fd2d6ysZry0xR&#10;8gYC+xcIDzhVrFRIehtqwTwjG1s+ClWV3Gqnc3/EddWpicSKgEWaPKjNVcGMiFxQamdui+7+X1j+&#10;ZntpSZlN6EmfEsUq3PifH79+//x6/eXz9fdvJCUwoEo748ZwvjKXttEcxEB5n9sqfEGG7GNlD7eV&#10;FXtPOA77J4PuAAk4TN1RkhzHmJ27n411/pXQFQnChK7QI8LOmZR649NYWbY9dz6WOGtwsuxDSkle&#10;SdzYlkmSJuko7TVX2nLqtp0Gw346euxz3PbpDkf9YfrYqdd2StO0P4oNBBoNOEg3RAJSp2WZLUsp&#10;o2LXq7m0BEgndBmfkAG/3HOTiuwwlt1hghblDAOWo7EhVgaX5NSaEibXmFzubazLvb9dO0kSn6eS&#10;BJAL5ooaTIxQsy0Ey16qjPiDQSMoLID63LNS3p0za/WOBpyVyCiRAnCCVNORCqxCu9QNEiS/X+2b&#10;rlnp7ICOs7oeRWf4sgSac+b8JbO4SdDGdvIXeOVSI4duJEoKbT89dR78MRKwAhRmGXX6uGFWANpr&#10;hWE5SXu9MPxR6fWHXSi2bVm1LWpTzTXuCL0FdFEM/l7eiLnV1Xs06CxkhYkpjtz1jTTK3Nc7BmuQ&#10;i9ksumHgDfPn6srwEDz0hNKzjdd56UPlQqHq6jQKRj72R7Oewk5p69HrbiV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BsTDx72gAAAAoBAAAPAAAAAAAAAAEAIAAAACIAAABkcnMvZG93bnJldi54&#10;bWxQSwECFAAUAAAACACHTuJAA3qL0NwCAADaBQAADgAAAAAAAAABACAAAAApAQAAZHJzL2Uyb0Rv&#10;Yy54bWxQSwUGAAAAAAYABgBZAQAAdwYAAAAA&#10;" adj="24101,60171,14584,21992">
                      <v:fill on="t" focussize="0,0"/>
                      <v:stroke weight="1pt" color="#000000 [3213]" joinstyle="round" startarrow="open"/>
                      <v:imagedata o:title=""/>
                      <o:lock v:ext="edit" aspectratio="f"/>
                      <v:textbox>
                        <w:txbxContent>
                          <w:p w14:paraId="1597C99B">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马路沟</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4864" behindDoc="0" locked="0" layoutInCell="1" allowOverlap="1">
                      <wp:simplePos x="0" y="0"/>
                      <wp:positionH relativeFrom="column">
                        <wp:posOffset>2802255</wp:posOffset>
                      </wp:positionH>
                      <wp:positionV relativeFrom="paragraph">
                        <wp:posOffset>1162685</wp:posOffset>
                      </wp:positionV>
                      <wp:extent cx="193040" cy="263525"/>
                      <wp:effectExtent l="4445" t="4445" r="12065" b="17780"/>
                      <wp:wrapNone/>
                      <wp:docPr id="93" name="任意多边形 93"/>
                      <wp:cNvGraphicFramePr/>
                      <a:graphic xmlns:a="http://schemas.openxmlformats.org/drawingml/2006/main">
                        <a:graphicData uri="http://schemas.microsoft.com/office/word/2010/wordprocessingShape">
                          <wps:wsp>
                            <wps:cNvSpPr/>
                            <wps:spPr>
                              <a:xfrm>
                                <a:off x="3522345" y="1982470"/>
                                <a:ext cx="193040" cy="263525"/>
                              </a:xfrm>
                              <a:custGeom>
                                <a:avLst/>
                                <a:gdLst>
                                  <a:gd name="connisteX0" fmla="*/ 30480 w 193040"/>
                                  <a:gd name="connsiteY0" fmla="*/ 10160 h 263525"/>
                                  <a:gd name="connisteX1" fmla="*/ 0 w 193040"/>
                                  <a:gd name="connsiteY1" fmla="*/ 91440 h 263525"/>
                                  <a:gd name="connisteX2" fmla="*/ 81280 w 193040"/>
                                  <a:gd name="connsiteY2" fmla="*/ 212725 h 263525"/>
                                  <a:gd name="connisteX3" fmla="*/ 193040 w 193040"/>
                                  <a:gd name="connsiteY3" fmla="*/ 263525 h 263525"/>
                                  <a:gd name="connisteX4" fmla="*/ 193040 w 193040"/>
                                  <a:gd name="connsiteY4" fmla="*/ 101600 h 263525"/>
                                  <a:gd name="connisteX5" fmla="*/ 152400 w 193040"/>
                                  <a:gd name="connsiteY5" fmla="*/ 0 h 263525"/>
                                  <a:gd name="connisteX6" fmla="*/ 71120 w 193040"/>
                                  <a:gd name="connsiteY6" fmla="*/ 0 h 263525"/>
                                  <a:gd name="connisteX7" fmla="*/ 30480 w 193040"/>
                                  <a:gd name="connsiteY7" fmla="*/ 10160 h 2635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3040" h="263525">
                                    <a:moveTo>
                                      <a:pt x="30480" y="10160"/>
                                    </a:moveTo>
                                    <a:lnTo>
                                      <a:pt x="0" y="91440"/>
                                    </a:lnTo>
                                    <a:lnTo>
                                      <a:pt x="81280" y="212725"/>
                                    </a:lnTo>
                                    <a:lnTo>
                                      <a:pt x="193040" y="263525"/>
                                    </a:lnTo>
                                    <a:lnTo>
                                      <a:pt x="193040" y="101600"/>
                                    </a:lnTo>
                                    <a:lnTo>
                                      <a:pt x="152400" y="0"/>
                                    </a:lnTo>
                                    <a:lnTo>
                                      <a:pt x="71120" y="0"/>
                                    </a:lnTo>
                                    <a:lnTo>
                                      <a:pt x="30480" y="10160"/>
                                    </a:lnTo>
                                    <a:close/>
                                  </a:path>
                                </a:pathLst>
                              </a:custGeom>
                              <a:noFill/>
                              <a:ln w="63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20.65pt;margin-top:91.55pt;height:20.75pt;width:15.2pt;z-index:251684864;mso-width-relative:page;mso-height-relative:page;" filled="f" stroked="t" coordsize="193040,263525" o:gfxdata="UEsDBAoAAAAAAIdO4kAAAAAAAAAAAAAAAAAEAAAAZHJzL1BLAwQUAAAACACHTuJAyoMDNNgAAAAL&#10;AQAADwAAAGRycy9kb3ducmV2LnhtbE2Py07DMBBF90j8gzVIbBC1nYY2DXG6QFSwbYG9Gw9JhB9R&#10;7Kbp3zOs6HJ0r849U21nZ9mEY+yDVyAXAhj6Jpjetwo+P3aPBbCYtDfaBo8KLhhhW9/eVLo04ez3&#10;OB1SywjiY6kVdCkNJeex6dDpuAgDesq+w+h0onNsuRn1meDO8kyIFXe697TQ6QFfOmx+DienIPt6&#10;Emn3UPD3ebL71/GysW+4Uer+TopnYAnn9F+GP31Sh5qcjuHkTWRWQZ7LJVUpKJYSGDXytVwDOxI+&#10;y1fA64pf/1D/AlBLAwQUAAAACACHTuJAxSvq82MDAACbCgAADgAAAGRycy9lMm9Eb2MueG1srVZN&#10;b9MwGL4j8R8sH5FYPpp+au0OTOOCYNKGBEfXcZpIiW3ZXtvduXPniPgTaIJfwxA/g9dO0nqrWFKJ&#10;HhKnfp/n9fvt07NtVaI1U7oQfI6jkxAjxqlIC76a4/fXFy8nGGlDeEpKwdkc3zKNzxbPn51u5IzF&#10;IhdlyhQCEq5nGznHuTFyFgSa5qwi+kRIxmEzE6oiBj7VKkgV2QB7VQZxGI6CjVCpVIIyreHf83oT&#10;N4yqD6HIsoKyc0FvKsZNzapYSQyYpPNCarxwp80yRs27LNPMoHKOwVLjnqAE1kv7DBanZLZSROYF&#10;bY5A+hzhkU0VKTgo3VGdE0PQjSoOqKqCKqFFZk6oqILaEOcRsCIKH/nmKieSOVvA1VrunK7/Hy19&#10;u75UqEjneDrAiJMKIv7r7u73p8/33778+fn9/sdXBDvgpo3UM5C+kpeq+dKwtDZvM1XZN1iDtnM8&#10;GMbxIBlidAvpNZ3EybhxM9saREEgmg7CBAJAQSAegfjQ8gd7InqjzWsmHClZv9GmjlIKK+fjtDko&#10;FZwX2rAPQJZVJQTuRYCAexKiDWq0NFAPoQvDPvqIKIxGIcrR/iwQxwMdkaejm9+XnkZJ0s0fe/yT&#10;KO5hg4+Io3gcDzuNgBjvHFU7qNNTPqT2UKeW5HgtDyA2Ht0Ogwzb2zKME4B0Rd2HdCsYeQrGURR3&#10;8/uIbv6xx98va33EYdZCBa3aGiF5WzZ0y5u6gRUitsuHrlVJoW25+kUEBWk/mwqpixJQtug6wJDv&#10;PjhqKrofGBLZB8dHgSE/fbDrVeCJfpoh7XxwcpTmusXtHNZ2sX6aIVV8zaOjNEMe+OCxD65tb0Ku&#10;YADa0Ve60WcwgtGn3OhbWgyZSWJsprRLtNm353zXne1uJdbsWjg547q8bbPuGC4RmxPspUruS9eS&#10;rhE2ku1++5aO1TU+x1o3tCeF2zkCrti3bjC/pWzfNbUn7U7shtK/pV1DcSd5WtA1hh5yrsAP/NUe&#10;kZZCs7rebETcNNyFxkbUm4hcXBRl6aJXchswGKHgX0rgMpbBJQiWlYSBrvkKI1Ku4JZHjXIlr0VZ&#10;pBZt46jVavmqVGhNIEEu4Be2lj4Qk0qbc6LzWs5t7aIC57TXgvoiYFdLkd66+4H7H+4szpLmfmUv&#10;Rf63Q+/vlI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AUAAFtDb250ZW50X1R5cGVzXS54bWxQSwECFAAKAAAAAACHTuJAAAAAAAAAAAAAAAAA&#10;BgAAAAAAAAAAABAAAAC2BAAAX3JlbHMvUEsBAhQAFAAAAAgAh07iQIoUZjzRAAAAlAEAAAsAAAAA&#10;AAAAAQAgAAAA2gQAAF9yZWxzLy5yZWxzUEsBAhQACgAAAAAAh07iQAAAAAAAAAAAAAAAAAQAAAAA&#10;AAAAAAAQAAAAAAAAAGRycy9QSwECFAAUAAAACACHTuJAyoMDNNgAAAALAQAADwAAAAAAAAABACAA&#10;AAAiAAAAZHJzL2Rvd25yZXYueG1sUEsBAhQAFAAAAAgAh07iQMUr6vNjAwAAmwoAAA4AAAAAAAAA&#10;AQAgAAAAJwEAAGRycy9lMm9Eb2MueG1sUEsFBgAAAAAGAAYAWQEAAPwGAAAAAA==&#10;" path="m30480,10160l0,91440,81280,212725,193040,263525,193040,101600,152400,0,71120,0,30480,10160xe">
                      <v:path o:connectlocs="30480,10160;0,91440;81280,212725;193040,263525;193040,101600;152400,0;71120,0;30480,10160" o:connectangles="0,0,0,0,0,0,0,0"/>
                      <v:fill on="f" focussize="0,0"/>
                      <v:stroke weight="0.5pt" color="#FFFF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4624" behindDoc="0" locked="0" layoutInCell="1" allowOverlap="1">
                      <wp:simplePos x="0" y="0"/>
                      <wp:positionH relativeFrom="column">
                        <wp:posOffset>1270</wp:posOffset>
                      </wp:positionH>
                      <wp:positionV relativeFrom="paragraph">
                        <wp:posOffset>1274445</wp:posOffset>
                      </wp:positionV>
                      <wp:extent cx="178435" cy="4445"/>
                      <wp:effectExtent l="0" t="12700" r="12065" b="20955"/>
                      <wp:wrapNone/>
                      <wp:docPr id="62" name="任意多边形 62"/>
                      <wp:cNvGraphicFramePr/>
                      <a:graphic xmlns:a="http://schemas.openxmlformats.org/drawingml/2006/main">
                        <a:graphicData uri="http://schemas.microsoft.com/office/word/2010/wordprocessingShape">
                          <wps:wsp>
                            <wps:cNvSpPr/>
                            <wps:spPr>
                              <a:xfrm>
                                <a:off x="721360" y="1917065"/>
                                <a:ext cx="178435" cy="4445"/>
                              </a:xfrm>
                              <a:custGeom>
                                <a:avLst/>
                                <a:gdLst>
                                  <a:gd name="connisteX0" fmla="*/ 178435 w 178435"/>
                                  <a:gd name="connsiteY0" fmla="*/ 4445 h 4445"/>
                                  <a:gd name="connisteX1" fmla="*/ 0 w 178435"/>
                                  <a:gd name="connsiteY1" fmla="*/ 0 h 4445"/>
                                </a:gdLst>
                                <a:ahLst/>
                                <a:cxnLst>
                                  <a:cxn ang="0">
                                    <a:pos x="connisteX0" y="connsiteY0"/>
                                  </a:cxn>
                                  <a:cxn ang="0">
                                    <a:pos x="connisteX1" y="connsiteY1"/>
                                  </a:cxn>
                                </a:cxnLst>
                                <a:rect l="l" t="t" r="r" b="b"/>
                                <a:pathLst>
                                  <a:path w="178435" h="4445">
                                    <a:moveTo>
                                      <a:pt x="178435" y="4445"/>
                                    </a:moveTo>
                                    <a:lnTo>
                                      <a:pt x="0" y="0"/>
                                    </a:lnTo>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0.1pt;margin-top:100.35pt;height:0.35pt;width:14.05pt;z-index:251674624;mso-width-relative:page;mso-height-relative:page;" filled="f" stroked="t" coordsize="178435,4445" o:gfxdata="UEsDBAoAAAAAAIdO4kAAAAAAAAAAAAAAAAAEAAAAZHJzL1BLAwQUAAAACACHTuJAp/UcStcAAAAH&#10;AQAADwAAAGRycy9kb3ducmV2LnhtbE2OQUvEMBCF74L/IYzgzU1aRZfadBFBxIMsZlX0lm3GtGyT&#10;1CTtrv/e2ZNeHsx7jzdfvTq4gc0YUx+8hGIhgKFvg+m9lfC6ebhYAktZe6OH4FHCDyZYNacnta5M&#10;2PsXnFW2jEZ8qrSELuex4jy1HTqdFmFET9lXiE5nOqPlJuo9jbuBl0Jcc6d7Tx86PeJ9h+1OTU7C&#10;zr6p4vNj/T0/Pr0/q2kd75SNUp6fFeIWWMZD/ivDEZ/QoSGmbZi8SWyQUFKPVIgbYBSXy0tg26NR&#10;XAFvav6fv/kFUEsDBBQAAAAIAIdO4kBQQLfnmwIAALcFAAAOAAAAZHJzL2Uyb0RvYy54bWytVM1u&#10;1DAQviPxDpaPSDTJdrstq2Z7YLVcECC1SHD0Ok5iyX/yuJvtnTt3joiXQBU8DUU8BmMn203LoT2Q&#10;QzLOzHye7xuPT8+2WpGN8CCtKWlxkFMiDLeVNE1J31+snp9QAoGZiilrREmvBNCzxdMnp52bi4lt&#10;raqEJwhiYN65krYhuHmWAW+FZnBgnTDorK3XLODSN1nlWYfoWmWTPJ9lnfWV85YLAPy77J10QPSP&#10;AbR1LblYWn6phQk9qheKBaQErXRAF6nauhY8vK1rEIGokiLTkN64Cdrr+M4Wp2zeeOZayYcS2GNK&#10;uMdJM2lw01uoJQuMXHr5D5SW3FuwdTjgVmc9kaQIsijye9qct8yJxAWlBncrOvw/WP5m884TWZV0&#10;NqHEMI0d/3V9/fvT55tvX/78/H7z4ytBD8rUOZhj9Ll754cVoBk5b2uv4xfZkG1JjyfF4Qz1vcLT&#10;9aI4zmdHvcpiGwhHf3F8Mj08ooRjwHQ6Td5sj8IvIbwSNiGyzWsIfYsqtJLA1VAlt8ZICOIDblVr&#10;hV17lpEem3SDMbR3nAIyiI/jlFgCacmuEmzhODztUIx2yB8Evxu9R0aOzY4Fa3fE+NYMzNAiLA5h&#10;nk6SsxDVHNNEweJyoIC6ICRmRVkeSMaaxslFFGaX3H+HIjxOTJwVlWYlUIKz4tOsrHsxHQux9rhn&#10;NEm3b2g79DP6tN2IC5uiQqSxa/rdnu+jlBlH96cnTSdW1/vQiBumum+LiLWPzouxK6lUOjDKxNIm&#10;R9McwTjDi6rGCwJN7fCwg2koYarBG5AHn/QGq2QV02PR4Jv1S+XJhqEWq1WOzyDZnTDnISwZtH1c&#10;cg1hCruSxZHphyRaa1tdpdlJ/3GeE5Xh7okXxnidsvf37e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p/UcStcAAAAHAQAADwAAAAAAAAABACAAAAAiAAAAZHJzL2Rvd25yZXYueG1sUEsBAhQAFAAA&#10;AAgAh07iQFBAt+ebAgAAtwUAAA4AAAAAAAAAAQAgAAAAJgEAAGRycy9lMm9Eb2MueG1sUEsFBgAA&#10;AAAGAAYAWQEAADMGAAAAAA==&#10;" path="m178435,4445l0,0e">
                      <v:path o:connectlocs="178435,4445;0,0" o:connectangles="0,0"/>
                      <v:fill on="f"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3031490" cy="2127885"/>
                  <wp:effectExtent l="0" t="0" r="16510" b="5715"/>
                  <wp:docPr id="28" name="图片 28" descr="PANO_0001"/>
                  <wp:cNvGraphicFramePr/>
                  <a:graphic xmlns:a="http://schemas.openxmlformats.org/drawingml/2006/main">
                    <a:graphicData uri="http://schemas.openxmlformats.org/drawingml/2006/picture">
                      <pic:pic xmlns:pic="http://schemas.openxmlformats.org/drawingml/2006/picture">
                        <pic:nvPicPr>
                          <pic:cNvPr id="28" name="图片 28" descr="PANO_0001"/>
                          <pic:cNvPicPr/>
                        </pic:nvPicPr>
                        <pic:blipFill>
                          <a:blip r:embed="rId19"/>
                          <a:stretch>
                            <a:fillRect/>
                          </a:stretch>
                        </pic:blipFill>
                        <pic:spPr>
                          <a:xfrm>
                            <a:off x="0" y="0"/>
                            <a:ext cx="3031490" cy="2127885"/>
                          </a:xfrm>
                          <a:prstGeom prst="rect">
                            <a:avLst/>
                          </a:prstGeom>
                        </pic:spPr>
                      </pic:pic>
                    </a:graphicData>
                  </a:graphic>
                </wp:inline>
              </w:drawing>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5648" behindDoc="0" locked="0" layoutInCell="1" allowOverlap="1">
                      <wp:simplePos x="0" y="0"/>
                      <wp:positionH relativeFrom="column">
                        <wp:posOffset>399415</wp:posOffset>
                      </wp:positionH>
                      <wp:positionV relativeFrom="paragraph">
                        <wp:posOffset>965200</wp:posOffset>
                      </wp:positionV>
                      <wp:extent cx="832485" cy="278765"/>
                      <wp:effectExtent l="6350" t="6350" r="18415" b="514985"/>
                      <wp:wrapNone/>
                      <wp:docPr id="63" name="线形标注 1 63"/>
                      <wp:cNvGraphicFramePr/>
                      <a:graphic xmlns:a="http://schemas.openxmlformats.org/drawingml/2006/main">
                        <a:graphicData uri="http://schemas.microsoft.com/office/word/2010/wordprocessingShape">
                          <wps:wsp>
                            <wps:cNvSpPr/>
                            <wps:spPr>
                              <a:xfrm>
                                <a:off x="0" y="0"/>
                                <a:ext cx="832485" cy="278765"/>
                              </a:xfrm>
                              <a:prstGeom prst="borderCallout1">
                                <a:avLst>
                                  <a:gd name="adj1" fmla="val 103092"/>
                                  <a:gd name="adj2" fmla="val 52419"/>
                                  <a:gd name="adj3" fmla="val 279381"/>
                                  <a:gd name="adj4" fmla="val 79032"/>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23017088">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7#光伏阵列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1.45pt;margin-top:76pt;height:21.95pt;width:65.55pt;z-index:251675648;v-text-anchor:middle;mso-width-relative:page;mso-height-relative:page;" fillcolor="#FFFFFF [3212]" filled="t" stroked="t" coordsize="21600,21600" o:gfxdata="UEsDBAoAAAAAAIdO4kAAAAAAAAAAAAAAAAAEAAAAZHJzL1BLAwQUAAAACACHTuJAv3KoktkAAAAK&#10;AQAADwAAAGRycy9kb3ducmV2LnhtbE2PQUvDQBCF7wX/wzKCt3bTaIuJ2RSUFgl4aRXR2zY7JqHZ&#10;2ZDdNum/d3LS25uZx5vvZZvRtuKCvW8cKVguIhBIpTMNVQo+3nfzRxA+aDK6dYQKruhhk9/MMp0a&#10;N9AeL4dQCQ4hn2oFdQhdKqUva7TaL1yHxLcf11sdeOwraXo9cLhtZRxFa2l1Q/yh1h2+1FieDmer&#10;4PX+s3g+bd+K8fq1pf33UOwIO6XubpfRE4iAY/gzw4TP6JAz09GdyXjRKljHCTt5v4q502RIHlgc&#10;J7FKQOaZ/F8h/wVQSwMEFAAAAAgAh07iQL6TGVHbAgAA2QUAAA4AAABkcnMvZTJvRG9jLnhtbK1U&#10;yY4TMRC9I/EPlu9ML0kmi6YzihKCkEbMSAPi7LjtdCNv2M7GD/AbiBN3bkiIr2H4DcrunknPcuBA&#10;H7qrXNVVr15V+ex8LwXaMutqrQqcnaQYMUV1Wat1gd+9Xb4YYeQ8USURWrECH5jD59Pnz852ZsJy&#10;XWlRMosgiHKTnSlw5b2ZJImjFZPEnWjDFBi5tpJ4UO06KS3ZQXQpkjxNT5OdtqWxmjLn4HTRGHEb&#10;0f5LQM15TdlC041kyjdRLRPEQ0muqo3D04iWc0b9JeeOeSQKDJX6+IYkIK/CO5mekcnaElPVtIVA&#10;/gXCg5okqRUkvQu1IJ6gja0fhZI1tdpp7k+olklTSGQEqsjSB9xcV8SwWAtQ7cwd6e7/haVvtlcW&#10;1WWBT3sYKSKh439+/Pr98+vNl88337+hDIEBWNoZNwHna3NlW82BGErecyvDF4pB+8js4Y5ZtveI&#10;wuGol/dHA4womPLhaHg6CDGT48/GOv+KaYmCUOAVzAizcyKE3vgsMku2F85HissWJyk/ZBhxKaBj&#10;WyJQlvbScd62tOOUd50GeT8bP/aB4o+B8uG4N8oeO/W7TsNx2ovJoIoWG0i3dQSgTou6XNZCRMWu&#10;V3NhEQAt8DI+LQX33IRCO9jKfJjChFIC+8VhrkGUBnrk1BojItawuNTbSMu9v103SRqfp5IEkAvi&#10;qgZMjNAUWzFSvlQl8gcDc6Bg/5tzT2pxPCfW6h0OOCUrMRIM4ASp6ahQ0NgwLc18BMnvV/t2aFa6&#10;PMDAWd1sojN0WQOaC+L8FbHQSCgbLid/CS8uNOTQrYRRpe2np86DP2wEWAEUrDLw9HFDLANorxXs&#10;yjjr98PuR6U/GOag2K5l1bWojZxr6BGMFqCLYvD34lbkVsv3MJ+zkBVMRFHI3XSkVea+uWLgFqRs&#10;NotusO+G+At1bWgIHmZC6dnGa177wFwgqmGnVWDj44q0t1O4Urp69DreyN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v3KoktkAAAAKAQAADwAAAAAAAAABACAAAAAiAAAAZHJzL2Rvd25yZXYueG1s&#10;UEsBAhQAFAAAAAgAh07iQL6TGVHbAgAA2QUAAA4AAAAAAAAAAQAgAAAAKAEAAGRycy9lMm9Eb2Mu&#10;eG1sUEsFBgAAAAAGAAYAWQEAAHUGAAAAAA==&#10;" adj="17071,60346,11323,22268">
                      <v:fill on="t" focussize="0,0"/>
                      <v:stroke weight="1pt" color="#000000 [3213]" joinstyle="round" startarrow="open"/>
                      <v:imagedata o:title=""/>
                      <o:lock v:ext="edit" aspectratio="f"/>
                      <v:textbox>
                        <w:txbxContent>
                          <w:p w14:paraId="23017088">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7#光伏阵列</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3600" behindDoc="0" locked="0" layoutInCell="1" allowOverlap="1">
                      <wp:simplePos x="0" y="0"/>
                      <wp:positionH relativeFrom="column">
                        <wp:posOffset>175895</wp:posOffset>
                      </wp:positionH>
                      <wp:positionV relativeFrom="paragraph">
                        <wp:posOffset>1030605</wp:posOffset>
                      </wp:positionV>
                      <wp:extent cx="2458720" cy="1087755"/>
                      <wp:effectExtent l="3810" t="12700" r="13970" b="23495"/>
                      <wp:wrapNone/>
                      <wp:docPr id="61" name="任意多边形 61"/>
                      <wp:cNvGraphicFramePr/>
                      <a:graphic xmlns:a="http://schemas.openxmlformats.org/drawingml/2006/main">
                        <a:graphicData uri="http://schemas.microsoft.com/office/word/2010/wordprocessingShape">
                          <wps:wsp>
                            <wps:cNvSpPr/>
                            <wps:spPr>
                              <a:xfrm>
                                <a:off x="895985" y="1708785"/>
                                <a:ext cx="2458720" cy="1087755"/>
                              </a:xfrm>
                              <a:custGeom>
                                <a:avLst/>
                                <a:gdLst>
                                  <a:gd name="connisteX0" fmla="*/ 0 w 2406650"/>
                                  <a:gd name="connsiteY0" fmla="*/ 212725 h 909955"/>
                                  <a:gd name="connisteX1" fmla="*/ 365125 w 2406650"/>
                                  <a:gd name="connsiteY1" fmla="*/ 302260 h 909955"/>
                                  <a:gd name="connisteX2" fmla="*/ 594995 w 2406650"/>
                                  <a:gd name="connsiteY2" fmla="*/ 357505 h 909955"/>
                                  <a:gd name="connisteX3" fmla="*/ 981710 w 2406650"/>
                                  <a:gd name="connsiteY3" fmla="*/ 365760 h 909955"/>
                                  <a:gd name="connisteX4" fmla="*/ 1169035 w 2406650"/>
                                  <a:gd name="connsiteY4" fmla="*/ 400050 h 909955"/>
                                  <a:gd name="connisteX5" fmla="*/ 1428750 w 2406650"/>
                                  <a:gd name="connsiteY5" fmla="*/ 455295 h 909955"/>
                                  <a:gd name="connisteX6" fmla="*/ 1653540 w 2406650"/>
                                  <a:gd name="connsiteY6" fmla="*/ 506095 h 909955"/>
                                  <a:gd name="connisteX7" fmla="*/ 1725930 w 2406650"/>
                                  <a:gd name="connsiteY7" fmla="*/ 497840 h 909955"/>
                                  <a:gd name="connisteX8" fmla="*/ 1704975 w 2406650"/>
                                  <a:gd name="connsiteY8" fmla="*/ 403860 h 909955"/>
                                  <a:gd name="connisteX9" fmla="*/ 1560195 w 2406650"/>
                                  <a:gd name="connsiteY9" fmla="*/ 306070 h 909955"/>
                                  <a:gd name="connisteX10" fmla="*/ 1317625 w 2406650"/>
                                  <a:gd name="connsiteY10" fmla="*/ 200025 h 909955"/>
                                  <a:gd name="connisteX11" fmla="*/ 1160780 w 2406650"/>
                                  <a:gd name="connsiteY11" fmla="*/ 97790 h 909955"/>
                                  <a:gd name="connisteX12" fmla="*/ 1194435 w 2406650"/>
                                  <a:gd name="connsiteY12" fmla="*/ 0 h 909955"/>
                                  <a:gd name="connisteX13" fmla="*/ 1356360 w 2406650"/>
                                  <a:gd name="connsiteY13" fmla="*/ 67945 h 909955"/>
                                  <a:gd name="connisteX14" fmla="*/ 1555750 w 2406650"/>
                                  <a:gd name="connsiteY14" fmla="*/ 76835 h 909955"/>
                                  <a:gd name="connisteX15" fmla="*/ 1764665 w 2406650"/>
                                  <a:gd name="connsiteY15" fmla="*/ 110490 h 909955"/>
                                  <a:gd name="connisteX16" fmla="*/ 1968500 w 2406650"/>
                                  <a:gd name="connsiteY16" fmla="*/ 238125 h 909955"/>
                                  <a:gd name="connisteX17" fmla="*/ 2049145 w 2406650"/>
                                  <a:gd name="connsiteY17" fmla="*/ 344805 h 909955"/>
                                  <a:gd name="connisteX18" fmla="*/ 2185670 w 2406650"/>
                                  <a:gd name="connsiteY18" fmla="*/ 442595 h 909955"/>
                                  <a:gd name="connisteX19" fmla="*/ 2253615 w 2406650"/>
                                  <a:gd name="connsiteY19" fmla="*/ 514985 h 909955"/>
                                  <a:gd name="connisteX20" fmla="*/ 2261870 w 2406650"/>
                                  <a:gd name="connsiteY20" fmla="*/ 595630 h 909955"/>
                                  <a:gd name="connisteX21" fmla="*/ 2406650 w 2406650"/>
                                  <a:gd name="connsiteY21" fmla="*/ 676275 h 909955"/>
                                  <a:gd name="connisteX22" fmla="*/ 2364105 w 2406650"/>
                                  <a:gd name="connsiteY22" fmla="*/ 778510 h 909955"/>
                                  <a:gd name="connisteX23" fmla="*/ 2138680 w 2406650"/>
                                  <a:gd name="connsiteY23" fmla="*/ 697865 h 909955"/>
                                  <a:gd name="connisteX24" fmla="*/ 2023745 w 2406650"/>
                                  <a:gd name="connsiteY24" fmla="*/ 718820 h 909955"/>
                                  <a:gd name="connisteX25" fmla="*/ 1943100 w 2406650"/>
                                  <a:gd name="connsiteY25" fmla="*/ 723265 h 909955"/>
                                  <a:gd name="connisteX26" fmla="*/ 1862455 w 2406650"/>
                                  <a:gd name="connsiteY26" fmla="*/ 765810 h 909955"/>
                                  <a:gd name="connisteX27" fmla="*/ 1675130 w 2406650"/>
                                  <a:gd name="connsiteY27" fmla="*/ 909955 h 90995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Lst>
                                <a:rect l="l" t="t" r="r" b="b"/>
                                <a:pathLst>
                                  <a:path w="2406650" h="909955">
                                    <a:moveTo>
                                      <a:pt x="0" y="212725"/>
                                    </a:moveTo>
                                    <a:lnTo>
                                      <a:pt x="365125" y="302260"/>
                                    </a:lnTo>
                                    <a:lnTo>
                                      <a:pt x="594995" y="357505"/>
                                    </a:lnTo>
                                    <a:lnTo>
                                      <a:pt x="981710" y="365760"/>
                                    </a:lnTo>
                                    <a:lnTo>
                                      <a:pt x="1169035" y="400050"/>
                                    </a:lnTo>
                                    <a:lnTo>
                                      <a:pt x="1428750" y="455295"/>
                                    </a:lnTo>
                                    <a:lnTo>
                                      <a:pt x="1653540" y="506095"/>
                                    </a:lnTo>
                                    <a:lnTo>
                                      <a:pt x="1725930" y="497840"/>
                                    </a:lnTo>
                                    <a:lnTo>
                                      <a:pt x="1704975" y="403860"/>
                                    </a:lnTo>
                                    <a:lnTo>
                                      <a:pt x="1560195" y="306070"/>
                                    </a:lnTo>
                                    <a:lnTo>
                                      <a:pt x="1317625" y="200025"/>
                                    </a:lnTo>
                                    <a:lnTo>
                                      <a:pt x="1160780" y="97790"/>
                                    </a:lnTo>
                                    <a:lnTo>
                                      <a:pt x="1194435" y="0"/>
                                    </a:lnTo>
                                    <a:lnTo>
                                      <a:pt x="1356360" y="67945"/>
                                    </a:lnTo>
                                    <a:lnTo>
                                      <a:pt x="1555750" y="76835"/>
                                    </a:lnTo>
                                    <a:lnTo>
                                      <a:pt x="1764665" y="110490"/>
                                    </a:lnTo>
                                    <a:lnTo>
                                      <a:pt x="1968500" y="238125"/>
                                    </a:lnTo>
                                    <a:lnTo>
                                      <a:pt x="2049145" y="344805"/>
                                    </a:lnTo>
                                    <a:lnTo>
                                      <a:pt x="2185670" y="442595"/>
                                    </a:lnTo>
                                    <a:lnTo>
                                      <a:pt x="2253615" y="514985"/>
                                    </a:lnTo>
                                    <a:lnTo>
                                      <a:pt x="2261870" y="595630"/>
                                    </a:lnTo>
                                    <a:lnTo>
                                      <a:pt x="2406650" y="676275"/>
                                    </a:lnTo>
                                    <a:lnTo>
                                      <a:pt x="2364105" y="778510"/>
                                    </a:lnTo>
                                    <a:lnTo>
                                      <a:pt x="2138680" y="697865"/>
                                    </a:lnTo>
                                    <a:lnTo>
                                      <a:pt x="2023745" y="718820"/>
                                    </a:lnTo>
                                    <a:lnTo>
                                      <a:pt x="1943100" y="723265"/>
                                    </a:lnTo>
                                    <a:lnTo>
                                      <a:pt x="1862455" y="765810"/>
                                    </a:lnTo>
                                    <a:lnTo>
                                      <a:pt x="1675130" y="909955"/>
                                    </a:lnTo>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3.85pt;margin-top:81.15pt;height:85.65pt;width:193.6pt;z-index:251673600;mso-width-relative:page;mso-height-relative:page;" filled="f" stroked="t" coordsize="2406650,909955" o:gfxdata="UEsDBAoAAAAAAIdO4kAAAAAAAAAAAAAAAAAEAAAAZHJzL1BLAwQUAAAACACHTuJAqMY4sNoAAAAK&#10;AQAADwAAAGRycy9kb3ducmV2LnhtbE2PwU7DMAyG70i8Q2QkbixpO3Vb13QSSEgcEIzChVvaeG21&#10;xKmadBtvTzixo+1Pv7+/3F2sYSec/OBIQrIQwJBapwfqJHx9Pj+sgfmgSCvjCCX8oIdddXtTqkK7&#10;M33gqQ4diyHkCyWhD2EsOPdtj1b5hRuR4u3gJqtCHKeO60mdY7g1PBUi51YNFD/0asSnHttjPVsJ&#10;+WGfmtauX2rcN+9vr8dRzI/fUt7fJWILLOAl/MPwpx/VoYpOjZtJe2YkpKtVJOM+TzNgEVgmyw2w&#10;RkKWZTnwquTXFapfUEsDBBQAAAAIAIdO4kC27ojiLQYAAI4bAAAOAAAAZHJzL2Uyb0RvYy54bWyt&#10;Wc2O5DQQviPxDlGOSGzHTuwko+nZA6PhgmClXSQ4ZtLp7kj5U5Kdnr1z584R8RJoBU/DIh6DclW6&#10;p9JIsSNxmUk63+dylavsqvLt6+e68p6KfijbZuuLV4HvFU3e7srmsPW/f/fwZeJ7w5g1u6xqm2Lr&#10;fygG//Xd55/dnrqbQrbHttoVvQeDNMPNqdv6x3HsbjabIT8WdTa8aruigY/7tq+zEV77w2bXZycY&#10;va42Mgj05tT2u65v82IY4Nd7+uhPI/YuA7b7fZkX923+vi6akUbtiyobQaXhWHaDf4ez3e+LfPxu&#10;vx+K0au2Pmg64l8QAs+P5u/m7ja7OfRZdyzzaQqZyxSudKqzsgGhl6HuszHz3vflf4aqy7xvh3Y/&#10;vsrbekOKoEVACxFc2ebtMesK1AVMPXQXow//37D5t09veq/cbX0tfK/Jaljxvz5+/Punnz/99ss/&#10;f/7+6Y9fPfgCZjp1ww2g33Zv+ultgEej8/O+r81/0MZ73vpJqtJE+d4H8K44SGJ4RisXz6OXw3cZ&#10;qSSWsAC5QQAgVojYvIyUvx/Gr4sWR82evhlGWqYdPKGRd9NM87ZpymEsfoDR9nUFK/fFxgu8kyej&#10;QGt1Xl4OH8qx+JHDpZCxVN7RS4M0pZnAMnIKSgDrXCSEWgmgWMXMOIGUOrCKkUyMSiOYkV0M54Qq&#10;VoFdm5CJSRMRCwejcQ5YIHbQJmJihNBpEDqow0lREATKbjXwtsviiEgmYAO72TgpUkqCqW1OoLkc&#10;rUIVOcjhJBXowEFOzOWAd6ahgxxOitI4gbnZ9IGt/sVucQAsh/XhpCgIEwc/SLkcpQPh4tacFILd&#10;Yrs+gge2CEWsncKUs+CICly2Ax7b4NpBnDgskeCsNI5TB5V4dAuRRpFLDAnOchDCY1uESoewqPbt&#10;jbN0nEb2ABI8uIVSZrdyEMRZsU7AAjbPFjy6wQ8iOA4cBM1YAgLCwXY8vkWqExW4qMRZMkzMeWLV&#10;iUe4hMkJsLh9lTgrjKLE4XgQPMalSJSG4LNL4qwogm3LQSce5VKqUAsXnThLiQjyDav1TMZx2ezg&#10;LBaJi04zFiikYSe2rZPkUT5lInbrzVgadi7Yi62SeJjLUEcCFte6TpKzYsjP4PS3SuKxLgXs+i77&#10;neQsDWcSBKFVEg92GcgwdvFyyVmxSBLpoNMs2tMoFC6RKzkrlqF00YlHu0g0pMAu68RZsVaJyzrx&#10;aBc6VsIldZCcRXnwbJ0gNT+ck+/seM7H8+dmSsjhyctM/RhgEdS1gykEeHYOqb55nbJvSOdhSGCZ&#10;bN5ChmDiZKxFnMng6ZwsTSXiTAbn5eRwFRn8kZOjVWRwMU4+l0duBgOv4WS9SjI4AifHq8iw/3Ny&#10;sooMWzonp6vIJvHjbHhfs9ImL5vR13mZybZm9HV+Jq4cDd5XTf7K1SDHWkW/cjbInFbRr9xNrPM3&#10;ceVw8L5K+pXLQeKyin7ldGKd15nkgK87vK+Rbk78GX2d15ljfEZf53XmbJ7R13mdOXBn9HVeZ07R&#10;GX2d18krr4P3VZa/8jo4/xidDojpaOuhhWiahxU2D0ffg+Zhj83DR8PJbrpsNCfi+dE7mQ4XdZ+8&#10;49afukrmc90+Fe9aBI7mfCTvof7TJP8FUjUcSh0nNFmIjaQJf0ad/3c4MDWOCI39oEU09X8IjW2d&#10;RfTUxkE4dWeW4dSNITg2WZbh1FRBOPVKluHUG6HRseVhgWOLY5q76Vwsw6lTgXBqQCzDqd+AcOoi&#10;LMOpaYBwbAVY0Fj5I9oyayrfEYlF+fK4VIMjGivrZTQV0ogWWB4vw6kaRjjVuIvwqaRFOBWqy3Cq&#10;SxFO1eYynIpLhFPJaIFjhUhwrPuW4eeQh02NirdlONVqODpVYMtwKrgQTmXUMpyqJhoda6FFODSV&#10;TOlDcCxoluFUvxAcq5JlOBUhCH9pscMeS3sWPJgdFNPyy1ZqdmB2BdC0D2VV4W5bNbjBQuMV5ptn&#10;cP+0h3sfeKw7uMMYmoPvZdUBLrbyscdaZGircmfoZt8d+sPjV1XvPWWwoz88QKvvHEszWNcP4302&#10;HAmHny4qwkTNTQjdfZinx3b3Aa9E8He4pkFVpislcw/E35H9co129y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gCAAAW0NvbnRlbnRfVHlwZXNd&#10;LnhtbFBLAQIUAAoAAAAAAIdO4kAAAAAAAAAAAAAAAAAGAAAAAAAAAAAAEAAAAIIHAABfcmVscy9Q&#10;SwECFAAUAAAACACHTuJAihRmPNEAAACUAQAACwAAAAAAAAABACAAAACmBwAAX3JlbHMvLnJlbHNQ&#10;SwECFAAKAAAAAACHTuJAAAAAAAAAAAAAAAAABAAAAAAAAAAAABAAAAAAAAAAZHJzL1BLAQIUABQA&#10;AAAIAIdO4kCoxjiw2gAAAAoBAAAPAAAAAAAAAAEAIAAAACIAAABkcnMvZG93bnJldi54bWxQSwEC&#10;FAAUAAAACACHTuJAtu6I4i0GAACOGwAADgAAAAAAAAABACAAAAApAQAAZHJzL2Uyb0RvYy54bWxQ&#10;SwUGAAAAAAYABgBZAQAAyAkAAAAA&#10;" path="m0,212725l365125,302260,594995,357505,981710,365760,1169035,400050,1428750,455295,1653540,506095,1725930,497840,1704975,403860,1560195,306070,1317625,200025,1160780,97790,1194435,0,1356360,67945,1555750,76835,1764665,110490,1968500,238125,2049145,344805,2185670,442595,2253615,514985,2261870,595630,2406650,676275,2364105,778510,2138680,697865,2023745,718820,1943100,723265,1862455,765810,1675130,909955e">
                      <v:path o:connectlocs="0,254290;373024,361319;607868,427359;1002950,437227;1194328,478217;1459662,544257;1689315,604983;1763272,595115;1741863,482771;1593951,365874;1346132,239108;1185894,116897;1220277,0;1385706,81221;1589410,91848;1802845,132079;2011090,284653;2093480,412177;2232958,529075;2302373,615610;2310807,712012;2458720,808415;2415254,930626;2184952,834223;2067530,859273;1985140,864586;1902750,915444;1711372,1087755" o:connectangles="0,0,0,0,0,0,0,0,0,0,0,0,0,0,0,0,0,0,0,0,0,0,0,0,0,0,0,0"/>
                      <v:fill on="f" focussize="0,0"/>
                      <v:stroke weight="2pt" color="#FF0000 [2404]" joinstyle="round"/>
                      <v:imagedata o:title=""/>
                      <o:lock v:ext="edit" aspectratio="f"/>
                    </v:shape>
                  </w:pict>
                </mc:Fallback>
              </mc:AlternateContent>
            </w:r>
          </w:p>
        </w:tc>
        <w:tc>
          <w:tcPr>
            <w:tcW w:w="4878" w:type="dxa"/>
            <w:vAlign w:val="center"/>
          </w:tcPr>
          <w:p w14:paraId="09825D6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mc:AlternateContent>
                <mc:Choice Requires="wps">
                  <w:drawing>
                    <wp:anchor distT="0" distB="0" distL="114300" distR="114300" simplePos="0" relativeHeight="251698176" behindDoc="0" locked="0" layoutInCell="1" allowOverlap="1">
                      <wp:simplePos x="0" y="0"/>
                      <wp:positionH relativeFrom="column">
                        <wp:posOffset>3175</wp:posOffset>
                      </wp:positionH>
                      <wp:positionV relativeFrom="paragraph">
                        <wp:posOffset>1768475</wp:posOffset>
                      </wp:positionV>
                      <wp:extent cx="1306195" cy="39941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4FFC7">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139.25pt;height:31.45pt;width:102.85pt;z-index:251698176;mso-width-relative:page;mso-height-relative:page;" filled="f" stroked="f" coordsize="21600,21600" o:gfxdata="UEsDBAoAAAAAAIdO4kAAAAAAAAAAAAAAAAAEAAAAZHJzL1BLAwQUAAAACACHTuJAPqPVvtoAAAAI&#10;AQAADwAAAGRycy9kb3ducmV2LnhtbE2PS0/DMBCE70j8B2uRuFE7pi1RiFOhSBUSgkNLL9w28TaJ&#10;8CPE7gN+PeZUbrOa0cy35epsDTvSFAbvFGQzAYxc6/XgOgW79/VdDixEdBqNd6TgmwKsquurEgvt&#10;T25Dx23sWCpxoUAFfYxjwXloe7IYZn4kl7y9nyzGdE4d1xOeUrk1XAqx5BYHlxZ6HKnuqf3cHqyC&#10;l3r9hptG2vzH1M+v+6fxa/exUOr2JhOPwCKd4yUMf/gJHarE1PiD04EZBYuUUyAf8iSSLcVSAmsU&#10;3M+zOfCq5P8fqH4BUEsDBBQAAAAIAIdO4kBAU+6TPAIAAGgEAAAOAAAAZHJzL2Uyb0RvYy54bWyt&#10;VM2O0zAQviPxDpbvNE3/oFXTVdmqCGnFrlQQZ9dxmki2x9huk/IA8AacuHDnufocjJ20Wy0c9sDF&#10;GXvG3/j7Zibzm0ZJchDWVaAzmvb6lAjNIa/0LqOfPq5fvaHEeaZzJkGLjB6FozeLly/mtZmJAZQg&#10;c2EJgmg3q01GS+/NLEkcL4VirgdGaHQWYBXzuLW7JLesRnQlk0G/P0lqsLmxwIVzeLpqnbRDtM8B&#10;hKKouFgB3yuhfYtqhWQeKbmyMo4u4muLQnB/XxROeCIzikx9XDEJ2tuwJos5m+0sM2XFuyew5zzh&#10;CSfFKo1JL1Ar5hnZ2+ovKFVxCw4K3+OgkpZIVARZpP0n2mxKZkTkglI7cxHd/T9Y/uHwYEmVZ3SI&#10;kmimsOKnH99PP3+ffn0jeIYC1cbNMG5jMNI3b6HBtjmfOzwMvJvCqvBFRgT9iHW8yCsaT3i4NOxP&#10;0umYEo6+4XQ6SscBJnm8bazz7wQoEoyMWixfVJUd7pxvQ88hIZmGdSVlLKHUpM7oZDjuxwsXD4JL&#10;jTkCh/atwfLNtumIbSE/Ii8LbWs4w9cVJr9jzj8wi72AVHBa/D0uhQRMAp1FSQn267/OQzyWCL2U&#10;1NhbGXVf9swKSuR7jcWbpqMRwvq4GY1fD3Bjrz3ba4/eq1vA9k1xLg2PZoj38mwWFtRnHKplyIou&#10;pjnmzqg/m7e+7XgcSi6WyxiE7WeYv9MbwwN0K+dy76GootJBplabTj1swFirblhCh1/vY9TjD2L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6j1b7aAAAACAEAAA8AAAAAAAAAAQAgAAAAIgAAAGRy&#10;cy9kb3ducmV2LnhtbFBLAQIUABQAAAAIAIdO4kBAU+6TPAIAAGgEAAAOAAAAAAAAAAEAIAAAACkB&#10;AABkcnMvZTJvRG9jLnhtbFBLBQYAAAAABgAGAFkBAADXBQAAAAA=&#10;">
                      <v:fill on="f" focussize="0,0"/>
                      <v:stroke on="f" weight="0.5pt"/>
                      <v:imagedata o:title=""/>
                      <o:lock v:ext="edit" aspectratio="f"/>
                      <v:textbox>
                        <w:txbxContent>
                          <w:p w14:paraId="5114FFC7">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7936" behindDoc="0" locked="0" layoutInCell="1" allowOverlap="1">
                      <wp:simplePos x="0" y="0"/>
                      <wp:positionH relativeFrom="column">
                        <wp:posOffset>1438275</wp:posOffset>
                      </wp:positionH>
                      <wp:positionV relativeFrom="paragraph">
                        <wp:posOffset>1185545</wp:posOffset>
                      </wp:positionV>
                      <wp:extent cx="649605" cy="280035"/>
                      <wp:effectExtent l="407670" t="212090" r="9525" b="22225"/>
                      <wp:wrapNone/>
                      <wp:docPr id="97" name="线形标注 1 97"/>
                      <wp:cNvGraphicFramePr/>
                      <a:graphic xmlns:a="http://schemas.openxmlformats.org/drawingml/2006/main">
                        <a:graphicData uri="http://schemas.microsoft.com/office/word/2010/wordprocessingShape">
                          <wps:wsp>
                            <wps:cNvSpPr/>
                            <wps:spPr>
                              <a:xfrm>
                                <a:off x="0" y="0"/>
                                <a:ext cx="649605" cy="280035"/>
                              </a:xfrm>
                              <a:prstGeom prst="borderCallout1">
                                <a:avLst>
                                  <a:gd name="adj1" fmla="val -1814"/>
                                  <a:gd name="adj2" fmla="val 6922"/>
                                  <a:gd name="adj3" fmla="val -71428"/>
                                  <a:gd name="adj4" fmla="val -62726"/>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49635B06">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箐沟村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13.25pt;margin-top:93.35pt;height:22.05pt;width:51.15pt;z-index:251687936;v-text-anchor:middle;mso-width-relative:page;mso-height-relative:page;" fillcolor="#FFFFFF [3212]" filled="t" stroked="t" coordsize="21600,21600" o:gfxdata="UEsDBAoAAAAAAIdO4kAAAAAAAAAAAAAAAAAEAAAAZHJzL1BLAwQUAAAACACHTuJAs/3W5dkAAAAL&#10;AQAADwAAAGRycy9kb3ducmV2LnhtbE2PMU/DMBCFdyT+g3VILIjaddQQhTgdkIJADIjCwOjGbhw1&#10;Pkexm5R/zzHR8fQ+vftetT37gc12in1ABeuVAGaxDabHTsHXZ3NfAItJo9FDQKvgx0bY1tdXlS5N&#10;WPDDzrvUMSrBWGoFLqWx5Dy2znodV2G0SNkhTF4nOqeOm0kvVO4HLoXIudc90genR/vkbHvcnbyC&#10;5vDWTHfZa4wvz/Lovpf3doOzUrc3a/EILNlz+ofhT5/UoSanfTihiWxQIGW+IZSCIn8ARkQmCxqz&#10;pygTBfC64pcb6l9QSwMEFAAAAAgAh07iQOI/sVXZAgAA2AUAAA4AAABkcnMvZTJvRG9jLnhtbK1U&#10;yW7cMAy9F+g/CLonXjKZDfEEg5lOUSBoAqRFzxxZHrvQVkmzpD/Q3yh66r23AkW/pulvlJKdZLIc&#10;cqgPNinS5OMjqZPTnRRkw61rtCpodphSwhXTZaNWBX3/bnEwpMR5UCUIrXhBr7ijp5OXL062Zsxz&#10;XWtRckswiHLjrSlo7b0ZJ4ljNZfgDrXhCo2VthI8qnaVlBa2GF2KJE/TfrLVtjRWM+4cns5bI+0i&#10;2ucE1FXVMD7XbC258m1UywV4LMnVjXF0EtFWFWf+vKoc90QUFCv18Y1JUF6GdzI5gfHKgqkb1kGA&#10;50B4UJOERmHS21Bz8EDWtnkUSjbMaqcrf8i0TNpCIiNYRZY+4OayBsNjLUi1M7eku/8Xlr3dXFjS&#10;lAUdDShRILHjf3/+/vPr2/XXL9c/vpOMoAFZ2ho3RudLc2E7zaEYSt5VVoYvFkN2kdmrW2b5zhOG&#10;h/3eqJ8eU8LQlA/T9Og4xEzufjbW+ddcSxKEgi5xRridgRB67bPILGzOnI8Ulx1OKD9mlFRSYMc2&#10;IMhBNsx6XUf3fPJ9n/4ozx+7HO27HAyyXj587NS759TPB3m/K6KDhuXclBFwOi2actEIERW7Ws6E&#10;JYizoIv4dD/fcxOKbHEp80GKA8oA16vCsUZRGmyRUytKQKxwb5m3kZV7f7v9JGl8nkoSQM7B1S2Y&#10;GKGttuZQvlIl8VcGx0Dh+rfnHhpxdw7W6i0NOCUvKREc4QSpbahQ2NcwLO14BMnvlrtuZpa6vMJ5&#10;s7pdRGfYokE0Z+D8BVjsI5aNd5M/x1clNObQnURJre3np86DPy4EWhEUbjLy9GkNliO0NwpXZZT1&#10;emH1o9I7HuSo2H3Lct+i1nKmsUc4WYguisHfixuxslp+wPGchqxoAsUwd9uRTpn59obBS5Dx6TS6&#10;4bob8Gfq0rAQPMyE0tO111XjA3OBqJadTsGFjxvSXU7hRtnXo9fdhTz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LP91uXZAAAACwEAAA8AAAAAAAAAAQAgAAAAIgAAAGRycy9kb3ducmV2LnhtbFBL&#10;AQIUABQAAAAIAIdO4kDiP7FV2QIAANgFAAAOAAAAAAAAAAEAIAAAACgBAABkcnMvZTJvRG9jLnht&#10;bFBLBQYAAAAABgAGAFkBAABzBgAAAAA=&#10;" adj="-13549,-15428,1495,-392">
                      <v:fill on="t" focussize="0,0"/>
                      <v:stroke weight="1pt" color="#000000 [3213]" joinstyle="round" startarrow="open"/>
                      <v:imagedata o:title=""/>
                      <o:lock v:ext="edit" aspectratio="f"/>
                      <v:textbox>
                        <w:txbxContent>
                          <w:p w14:paraId="49635B06">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箐沟村</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6912" behindDoc="0" locked="0" layoutInCell="1" allowOverlap="1">
                      <wp:simplePos x="0" y="0"/>
                      <wp:positionH relativeFrom="column">
                        <wp:posOffset>801370</wp:posOffset>
                      </wp:positionH>
                      <wp:positionV relativeFrom="paragraph">
                        <wp:posOffset>774700</wp:posOffset>
                      </wp:positionV>
                      <wp:extent cx="355600" cy="268605"/>
                      <wp:effectExtent l="4445" t="4445" r="20955" b="12700"/>
                      <wp:wrapNone/>
                      <wp:docPr id="96" name="任意多边形 96"/>
                      <wp:cNvGraphicFramePr/>
                      <a:graphic xmlns:a="http://schemas.openxmlformats.org/drawingml/2006/main">
                        <a:graphicData uri="http://schemas.microsoft.com/office/word/2010/wordprocessingShape">
                          <wps:wsp>
                            <wps:cNvSpPr/>
                            <wps:spPr>
                              <a:xfrm>
                                <a:off x="4681220" y="1572895"/>
                                <a:ext cx="355600" cy="268605"/>
                              </a:xfrm>
                              <a:custGeom>
                                <a:avLst/>
                                <a:gdLst>
                                  <a:gd name="connisteX0" fmla="*/ 0 w 355600"/>
                                  <a:gd name="connsiteY0" fmla="*/ 11430 h 268605"/>
                                  <a:gd name="connisteX1" fmla="*/ 109855 w 355600"/>
                                  <a:gd name="connsiteY1" fmla="*/ 0 h 268605"/>
                                  <a:gd name="connisteX2" fmla="*/ 93345 w 355600"/>
                                  <a:gd name="connsiteY2" fmla="*/ 43815 h 268605"/>
                                  <a:gd name="connisteX3" fmla="*/ 158750 w 355600"/>
                                  <a:gd name="connsiteY3" fmla="*/ 93345 h 268605"/>
                                  <a:gd name="connisteX4" fmla="*/ 252095 w 355600"/>
                                  <a:gd name="connsiteY4" fmla="*/ 126365 h 268605"/>
                                  <a:gd name="connisteX5" fmla="*/ 290195 w 355600"/>
                                  <a:gd name="connsiteY5" fmla="*/ 186055 h 268605"/>
                                  <a:gd name="connisteX6" fmla="*/ 355600 w 355600"/>
                                  <a:gd name="connsiteY6" fmla="*/ 246380 h 268605"/>
                                  <a:gd name="connisteX7" fmla="*/ 284480 w 355600"/>
                                  <a:gd name="connsiteY7" fmla="*/ 268605 h 268605"/>
                                  <a:gd name="connisteX8" fmla="*/ 246380 w 355600"/>
                                  <a:gd name="connsiteY8" fmla="*/ 197485 h 268605"/>
                                  <a:gd name="connisteX9" fmla="*/ 131445 w 355600"/>
                                  <a:gd name="connsiteY9" fmla="*/ 164465 h 268605"/>
                                  <a:gd name="connisteX10" fmla="*/ 104140 w 355600"/>
                                  <a:gd name="connsiteY10" fmla="*/ 109855 h 268605"/>
                                  <a:gd name="connisteX11" fmla="*/ 43815 w 355600"/>
                                  <a:gd name="connsiteY11" fmla="*/ 76835 h 268605"/>
                                  <a:gd name="connisteX12" fmla="*/ 10795 w 355600"/>
                                  <a:gd name="connsiteY12" fmla="*/ 43815 h 268605"/>
                                  <a:gd name="connisteX13" fmla="*/ 0 w 355600"/>
                                  <a:gd name="connsiteY13" fmla="*/ 11430 h 26860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Lst>
                                <a:rect l="l" t="t" r="r" b="b"/>
                                <a:pathLst>
                                  <a:path w="355600" h="268605">
                                    <a:moveTo>
                                      <a:pt x="0" y="11430"/>
                                    </a:moveTo>
                                    <a:lnTo>
                                      <a:pt x="109855" y="0"/>
                                    </a:lnTo>
                                    <a:lnTo>
                                      <a:pt x="93345" y="43815"/>
                                    </a:lnTo>
                                    <a:lnTo>
                                      <a:pt x="158750" y="93345"/>
                                    </a:lnTo>
                                    <a:lnTo>
                                      <a:pt x="252095" y="126365"/>
                                    </a:lnTo>
                                    <a:lnTo>
                                      <a:pt x="290195" y="186055"/>
                                    </a:lnTo>
                                    <a:lnTo>
                                      <a:pt x="355600" y="246380"/>
                                    </a:lnTo>
                                    <a:lnTo>
                                      <a:pt x="284480" y="268605"/>
                                    </a:lnTo>
                                    <a:lnTo>
                                      <a:pt x="246380" y="197485"/>
                                    </a:lnTo>
                                    <a:lnTo>
                                      <a:pt x="131445" y="164465"/>
                                    </a:lnTo>
                                    <a:lnTo>
                                      <a:pt x="104140" y="109855"/>
                                    </a:lnTo>
                                    <a:lnTo>
                                      <a:pt x="43815" y="76835"/>
                                    </a:lnTo>
                                    <a:lnTo>
                                      <a:pt x="10795" y="43815"/>
                                    </a:lnTo>
                                    <a:lnTo>
                                      <a:pt x="0" y="11430"/>
                                    </a:lnTo>
                                    <a:close/>
                                  </a:path>
                                </a:pathLst>
                              </a:custGeom>
                              <a:noFill/>
                              <a:ln w="63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63.1pt;margin-top:61pt;height:21.15pt;width:28pt;z-index:251686912;mso-width-relative:page;mso-height-relative:page;" filled="f" stroked="t" coordsize="355600,268605" o:gfxdata="UEsDBAoAAAAAAIdO4kAAAAAAAAAAAAAAAAAEAAAAZHJzL1BLAwQUAAAACACHTuJA3yLWftkAAAAL&#10;AQAADwAAAGRycy9kb3ducmV2LnhtbE1Py07DMBC8I/EP1iJxQdRJClYJcSqE1AMn1AeivbnxNomI&#10;11HsPvh7Nqdym9kZzc4U84vrxAmH0HrSkE4SEEiVty3VGjbrxeMMRIiGrOk8oYZfDDAvb28Kk1t/&#10;piWeVrEWHEIhNxqaGPtcylA16EyY+B6JtYMfnIlMh1rawZw53HUySxIlnWmJPzSmx/cGq5/V0Wl4&#10;2L7t1Pd0ffjcLV++PjbPC7dVqdb3d2nyCiLiJV7NMNbn6lByp70/kg2iY56pjK0jyHjU6JhlfNkz&#10;UE9TkGUh/28o/wBQSwMEFAAAAAgAh07iQP9SHnE8BAAAjQ8AAA4AAABkcnMvZTJvRG9jLnhtbK1X&#10;y27jNhTdF+g/EFoWaCzqZdmIM4sG6aZoB5gp0C4ZibIFSKJAMraz7777Lov+xGDQfk1nMJ/Ry0vJ&#10;phLAlIFmYVHRPff94u2bY9uQPZeqFt0moDdhQHhXiLLutpvg5/cP3+YBUZp1JWtExzfBM1fBm7uv&#10;v7o99GseiZ1oSi4JMOnU+tBvgp3W/XqxUMWOt0zdiJ538LESsmUaXuV2UUp2AO5ts4jCMFschCx7&#10;KQquFPz33n4MBo5yDkNRVXXB70Xx1PJOW66SN0yDSWpX9yq4Q22rihf6p6pSXJNmE4ClGn9BCJwf&#10;ze/i7patt5L1u7oYVGBzVHhhU8vqDoSeWN0zzciTrF+xautCCiUqfVOIdmENQY+AFTR84Zt3O9Zz&#10;tAVcrfqT09X/x7b4cf9WkrrcBKssIB1rIeL/fvz4+bffP/31x5d/Pnz6+08CX8BNh16tgfpd/1YO&#10;bwqOxuZjJVvzBGvIcRMkWU6jCBz8DOmVLqN8lVo386MmBRDEaZqF8L0AgijLsxC/L86Miielv+cC&#10;mbL9D0rbKJVwQh+Xg6KF6Lpaaf4LMKvaBgL3zYKE5EAGCQPMoVa15r+61JQmcUh25KwHxPAVf+rw&#10;p+EqT1OvEBfiFxA5AlZxnPj5u4gkzmnqNSJ2ZNA0X6Z+T7kQq5bPU4kjJEqjcOW3xIXQKIszvymp&#10;K2UV0hlSXAg1OeeXAgVxyiqbUd6ou5AoyeLcH/qlIyXKkwQgvgSeQLCAvMGHpn6yZVDMJ8WF0NUy&#10;yf0eWzlSaEyTGXk8gWRJMiP6dFLAYUITv8teYLCEfblM3Rq2Nebz2QSyzPLY7zPqVjINlzNyeQKZ&#10;V/zULeUZ7nLJX/dI6NXbsRuz3digi2M3dGg4EWb2iRCHYi+UGQxuu4bWb16HfgyNGlgCyrR3DxiC&#10;4oKpmS2zweBrFxxdBQafuOD4KjB0ORecXAWG5uWCx3k5z2HQk1wwDvPZDoNW44KXV6kNHcQF51eB&#10;oTG44NVVYFPuLhrer0kTU8YT+HVZZupzAr8uz0ytTuCTTLOhGwpNwoJrVtsGV1sdEFhtJa62j8Zg&#10;tu6ZNvU5HsnhvH7tTtuX+dqKPX8vkE6bYrUOxNIfXHemaDqX0i5EqPLo5ZFgfPbIEjcIpMOeNbAd&#10;acanpbULChJbmA3fSDQ+LbFdNJDYLhAXWUe4MFhqXAQuUo/LKgTEzs2L1HaAI+/zRgkRG/Udn4Pe&#10;uCFYTXDAXuRtB6qlxkF5mRrnoqXGjfUitQ2IyTocWhdpcUYhY38YX2fR6IGiEYrboJocxR5+SlaT&#10;484doBMPddNgPjedSeEsToFzweD6WcG1D45tD1cY1W0Dwpot3GsLLXH0KNHUpUGbzFZy+/hdI8me&#10;Qck8wB/cQqwKE7JeKn3P1M7S4aeTQ0BPcxGyVx9zehTlM96I8P9wS0NLhhuluQa674g+36Lv/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uBgAA&#10;W0NvbnRlbnRfVHlwZXNdLnhtbFBLAQIUAAoAAAAAAIdO4kAAAAAAAAAAAAAAAAAGAAAAAAAAAAAA&#10;EAAAAJAFAABfcmVscy9QSwECFAAUAAAACACHTuJAihRmPNEAAACUAQAACwAAAAAAAAABACAAAAC0&#10;BQAAX3JlbHMvLnJlbHNQSwECFAAKAAAAAACHTuJAAAAAAAAAAAAAAAAABAAAAAAAAAAAABAAAAAA&#10;AAAAZHJzL1BLAQIUABQAAAAIAIdO4kDfItZ+2QAAAAsBAAAPAAAAAAAAAAEAIAAAACIAAABkcnMv&#10;ZG93bnJldi54bWxQSwECFAAUAAAACACHTuJA/1IecTwEAACNDwAADgAAAAAAAAABACAAAAAoAQAA&#10;ZHJzL2Uyb0RvYy54bWxQSwUGAAAAAAYABgBZAQAA1gcAAAAA&#10;" path="m0,11430l109855,0,93345,43815,158750,93345,252095,126365,290195,186055,355600,246380,284480,268605,246380,197485,131445,164465,104140,109855,43815,76835,10795,43815,0,11430xe">
                      <v:path o:connectlocs="0,11430;109855,0;93345,43815;158750,93345;252095,126365;290195,186055;355600,246380;284480,268605;246380,197485;131445,164465;104140,109855;43815,76835;10795,43815;0,11430" o:connectangles="0,0,0,0,0,0,0,0,0,0,0,0,0,0"/>
                      <v:fill on="f" focussize="0,0"/>
                      <v:stroke weight="0.5pt" color="#FFFF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1936750</wp:posOffset>
                      </wp:positionH>
                      <wp:positionV relativeFrom="paragraph">
                        <wp:posOffset>139065</wp:posOffset>
                      </wp:positionV>
                      <wp:extent cx="859790" cy="278765"/>
                      <wp:effectExtent l="190500" t="6350" r="16510" b="153035"/>
                      <wp:wrapNone/>
                      <wp:docPr id="72" name="线形标注 1 72"/>
                      <wp:cNvGraphicFramePr/>
                      <a:graphic xmlns:a="http://schemas.openxmlformats.org/drawingml/2006/main">
                        <a:graphicData uri="http://schemas.microsoft.com/office/word/2010/wordprocessingShape">
                          <wps:wsp>
                            <wps:cNvSpPr/>
                            <wps:spPr>
                              <a:xfrm>
                                <a:off x="0" y="0"/>
                                <a:ext cx="859790" cy="278765"/>
                              </a:xfrm>
                              <a:prstGeom prst="borderCallout1">
                                <a:avLst>
                                  <a:gd name="adj1" fmla="val 98405"/>
                                  <a:gd name="adj2" fmla="val 9453"/>
                                  <a:gd name="adj3" fmla="val 146697"/>
                                  <a:gd name="adj4" fmla="val -22156"/>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2DEAAB8E">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9#光伏阵列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52.5pt;margin-top:10.95pt;height:21.95pt;width:67.7pt;z-index:251679744;v-text-anchor:middle;mso-width-relative:page;mso-height-relative:page;" fillcolor="#FFFFFF [3212]" filled="t" stroked="t" coordsize="21600,21600" o:gfxdata="UEsDBAoAAAAAAIdO4kAAAAAAAAAAAAAAAAAEAAAAZHJzL1BLAwQUAAAACACHTuJAoE25ztYAAAAJ&#10;AQAADwAAAGRycy9kb3ducmV2LnhtbE2PzU7DMBCE70i8g7VI3KidkJYkxOmhtCdOtIjzNl7iiHgd&#10;xe4Pb485wXE0o5lvmvXVjeJMcxg8a8gWCgRx583AvYb3w+6hBBEissHRM2n4pgDr9vamwdr4C7/R&#10;eR97kUo41KjBxjjVUobOksOw8BNx8j797DAmOffSzHhJ5W6UuVIr6XDgtGBxoo2l7mt/chq2Hzv5&#10;xIc8Vq8bWdiXrceq9Frf32XqGUSka/wLwy9+Qoc2MR39iU0Qo4ZHtUxfooY8q0CkQFGoAsRRw2pZ&#10;gmwb+f9B+wNQSwMEFAAAAAgAh07iQFvf8e7cAgAA2AUAAA4AAABkcnMvZTJvRG9jLnhtbK1US27b&#10;MBDdF+gdCO4TW47/iB0Ydl0UCJoAadE1TVGWCopkSfrXC/QaRVfdd1eg6GmaXqOPlJIon0UW1UKa&#10;4Yxm3ryZ4enZvpRkK6wrtJrQ5LhNiVBcp4VaT+j7d8ujISXOM5UyqZWY0INw9Gz68sXpzoxFR+da&#10;psISBFFuvDMTmntvxq2W47komTvWRigYM21L5qHadSu1bIfopWx12u1+a6dtaqzmwjmcLiojrSPa&#10;5wTUWVZwsdB8Uwrlq6hWSOZRkssL4+g0os0ywf1FljnhiZxQVOrjG0kgr8K7NT1l47VlJi94DYE9&#10;B8KDmkpWKCS9DbVgnpGNLR6FKgtutdOZP+a6bFWFREZQRdJ+wM1VzoyItYBqZ25Jd/8vLH+7vbSk&#10;SCd00KFEsRId//vz959f366/frn+8Z0kBAawtDNuDOcrc2lrzUEMJe8zW4YviiH7yOzhllmx94Tj&#10;cNgbDUbgnMPUGQwH/V6I2br72VjnXwtdkiBM6AozIuycSak3PonMsu2585HitMbJ0o8JJVkp0bEt&#10;k2Q07LZjXLSh4YO6Gj7d3knd9IbLSdMl6fb7o8Fjp27T6ajTSXr9uogaGsq5KSPgdFoW6bKQMip2&#10;vZpLS4BzQpfxqX++5yYV2WEpO4N2IIthvTKMNcTSoEVOrSlhco295d5GVu797ZpJ2vF5KkkAuWAu&#10;r8DECFW1uWDpK5USfzAYA4X1r849K+TdObNW72jAWYqUEikAJ0hVQ6VCX8OwVOMRJL9f7euZWen0&#10;gHmzulpEZ/iyAJpz5vwls+gjysbd5C/wyqRGDl1LlOTafn7qPPhjIWAFKGwyePq0YVYA2huFVRkl&#10;3S7C+qh0e4MOFNu0rJoWtSnnGj3CZAFdFIO/lzdiZnX5AeM5C1lhYoojd9WRWpn76obBJcjFbBbd&#10;sO6G+XN1ZXgIHmZC6dnG66zwgblAVMVOrWDh44bUl1O4UZp69Lq7kK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KBNuc7WAAAACQEAAA8AAAAAAAAAAQAgAAAAIgAAAGRycy9kb3ducmV2LnhtbFBL&#10;AQIUABQAAAAIAIdO4kBb3/Hu3AIAANgFAAAOAAAAAAAAAAEAIAAAACUBAABkcnMvZTJvRG9jLnht&#10;bFBLBQYAAAAABgAGAFkBAABzBgAAAAA=&#10;" adj="-4786,31687,2042,21255">
                      <v:fill on="t" focussize="0,0"/>
                      <v:stroke weight="1pt" color="#000000 [3213]" joinstyle="round" startarrow="open"/>
                      <v:imagedata o:title=""/>
                      <o:lock v:ext="edit" aspectratio="f"/>
                      <v:textbox>
                        <w:txbxContent>
                          <w:p w14:paraId="2DEAAB8E">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9#光伏阵列</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7696" behindDoc="0" locked="0" layoutInCell="1" allowOverlap="1">
                      <wp:simplePos x="0" y="0"/>
                      <wp:positionH relativeFrom="column">
                        <wp:posOffset>208915</wp:posOffset>
                      </wp:positionH>
                      <wp:positionV relativeFrom="paragraph">
                        <wp:posOffset>280670</wp:posOffset>
                      </wp:positionV>
                      <wp:extent cx="859790" cy="278765"/>
                      <wp:effectExtent l="6350" t="6350" r="10160" b="324485"/>
                      <wp:wrapNone/>
                      <wp:docPr id="66" name="线形标注 1 66"/>
                      <wp:cNvGraphicFramePr/>
                      <a:graphic xmlns:a="http://schemas.openxmlformats.org/drawingml/2006/main">
                        <a:graphicData uri="http://schemas.microsoft.com/office/word/2010/wordprocessingShape">
                          <wps:wsp>
                            <wps:cNvSpPr/>
                            <wps:spPr>
                              <a:xfrm>
                                <a:off x="0" y="0"/>
                                <a:ext cx="859790" cy="278765"/>
                              </a:xfrm>
                              <a:prstGeom prst="borderCallout1">
                                <a:avLst>
                                  <a:gd name="adj1" fmla="val 103092"/>
                                  <a:gd name="adj2" fmla="val 52419"/>
                                  <a:gd name="adj3" fmla="val 210706"/>
                                  <a:gd name="adj4" fmla="val 13589"/>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158E57C4">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8#光伏阵列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6.45pt;margin-top:22.1pt;height:21.95pt;width:67.7pt;z-index:251677696;v-text-anchor:middle;mso-width-relative:page;mso-height-relative:page;" fillcolor="#FFFFFF [3212]" filled="t" stroked="t" coordsize="21600,21600" o:gfxdata="UEsDBAoAAAAAAIdO4kAAAAAAAAAAAAAAAAAEAAAAZHJzL1BLAwQUAAAACACHTuJA4ohry9kAAAAI&#10;AQAADwAAAGRycy9kb3ducmV2LnhtbE2PT0vDQBTE74LfYXmCF7GbP6WkaV4KKh68CDYi7W2bfSbB&#10;7NuQ3Sb127s91eMww8xviu3Z9GKi0XWWEeJFBIK4trrjBuGzen3MQDivWKveMiH8koNteXtTqFzb&#10;mT9o2vlGhBJ2uUJovR9yKV3dklFuYQfi4H3b0Sgf5NhIPao5lJteJlG0kkZ1HBZaNdBzS/XP7mQQ&#10;Xt4etJ/T9V5H3V5PT4fqff6qEO/v4mgDwtPZX8NwwQ/oUAamoz2xdqJHSJN1SCIslwmIi7/KUhBH&#10;hCyLQZaF/H+g/ANQSwMEFAAAAAgAh07iQG0cWbfcAgAA2QUAAA4AAABkcnMvZTJvRG9jLnhtbK1U&#10;zW7UMBC+I/EOlu90k3T/1d1qtaUIqaKVCuLsdZxNkGMb2/tTXoDXQJy4c0NCPA3lNfjspG36c+BA&#10;DsmMZzLzzTczPjre15JshXWVVjOaHiSUCMV1Xqn1jL57e/piTInzTOVMaiVm9Eo4ejx//uxoZ6Yi&#10;06WWubAEQZSb7syMlt6baa/neClq5g60EQrGQtuaeah23cst2yF6LXtZkgx7O21zYzUXzuH0pDHS&#10;NqL9l4C6KCouTjTf1EL5JqoVknmU5MrKODqPaItCcH9eFE54ImcUlfr4RhLIq/DuzY/YdG2ZKSve&#10;QmD/AuFBTTWrFJLehjphnpGNrR6FqitutdOFP+C67jWFREZQRZo84OayZEbEWkC1M7eku/8Xlr/Z&#10;XlhS5TM6HFKiWI2O//nx6/fPr9dfPl9//0ZSAgNY2hk3hfOlubCt5iCGkveFrcMXxZB9ZPbqllmx&#10;94TjcDyYjCbgnMOUjcaj4SDE7N39bKzzr4SuSRBmdIUZEXbJpNQbn0Zm2fbM+Uhx3uJk+YeUkqKW&#10;6NiWSZImh8kka1vaccq6ToOsn04e+xx2fbI0GSWxajS0E6jfdUoPB+MYCFW02CDd1BGAOi2r/LSS&#10;Mip2vVpKSwB0Rk/j01Jwz00qssNWZqMksMWwXwXmGmJt0COn1pQwucbicm8jLff+dt0kSXyeShJA&#10;njBXNmBihIaRUrD8pcqJvzKYA4X9b849q+TdObNW72jAWYucEikAJ0hNR6VCY8O0NPMRJL9f7duh&#10;Wen8CgNndbOJzvDTCmjOmPMXzKKRKBuXkz/Hq5AaOXQrUVJq++mp8+CPjYAVoLDK4OnjhlkBaK8V&#10;dmWS9vsI66PSH4wyKLZrWXUtalMvNXqE0QK6KAZ/L2/Ewur6PeZzEbLCxBRH7qYjrbL0zRWDW5CL&#10;xSK6Yd8N82fq0vAQPMyE0ouN10XlA3OBqIadVsHGxxVpb6dwpXT16HV3I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OKIa8vZAAAACAEAAA8AAAAAAAAAAQAgAAAAIgAAAGRycy9kb3ducmV2Lnht&#10;bFBLAQIUABQAAAAIAIdO4kBtHFm33AIAANkFAAAOAAAAAAAAAAEAIAAAACgBAABkcnMvZTJvRG9j&#10;LnhtbFBLBQYAAAAABgAGAFkBAAB2BgAAAAA=&#10;" adj="2935,45512,11323,22268">
                      <v:fill on="t" focussize="0,0"/>
                      <v:stroke weight="1pt" color="#000000 [3213]" joinstyle="round" startarrow="open"/>
                      <v:imagedata o:title=""/>
                      <o:lock v:ext="edit" aspectratio="f"/>
                      <v:textbox>
                        <w:txbxContent>
                          <w:p w14:paraId="158E57C4">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8#光伏阵列</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8720" behindDoc="0" locked="0" layoutInCell="1" allowOverlap="1">
                      <wp:simplePos x="0" y="0"/>
                      <wp:positionH relativeFrom="column">
                        <wp:posOffset>1363345</wp:posOffset>
                      </wp:positionH>
                      <wp:positionV relativeFrom="paragraph">
                        <wp:posOffset>488950</wp:posOffset>
                      </wp:positionV>
                      <wp:extent cx="547370" cy="222885"/>
                      <wp:effectExtent l="12700" t="12700" r="30480" b="31115"/>
                      <wp:wrapNone/>
                      <wp:docPr id="70" name="任意多边形 70"/>
                      <wp:cNvGraphicFramePr/>
                      <a:graphic xmlns:a="http://schemas.openxmlformats.org/drawingml/2006/main">
                        <a:graphicData uri="http://schemas.microsoft.com/office/word/2010/wordprocessingShape">
                          <wps:wsp>
                            <wps:cNvSpPr/>
                            <wps:spPr>
                              <a:xfrm>
                                <a:off x="5243195" y="1167130"/>
                                <a:ext cx="547370" cy="222885"/>
                              </a:xfrm>
                              <a:custGeom>
                                <a:avLst/>
                                <a:gdLst>
                                  <a:gd name="connisteX0" fmla="*/ 0 w 547370"/>
                                  <a:gd name="connsiteY0" fmla="*/ 222885 h 222885"/>
                                  <a:gd name="connisteX1" fmla="*/ 93345 w 547370"/>
                                  <a:gd name="connsiteY1" fmla="*/ 191770 h 222885"/>
                                  <a:gd name="connisteX2" fmla="*/ 168910 w 547370"/>
                                  <a:gd name="connsiteY2" fmla="*/ 160655 h 222885"/>
                                  <a:gd name="connisteX3" fmla="*/ 213360 w 547370"/>
                                  <a:gd name="connsiteY3" fmla="*/ 173990 h 222885"/>
                                  <a:gd name="connisteX4" fmla="*/ 275590 w 547370"/>
                                  <a:gd name="connsiteY4" fmla="*/ 200660 h 222885"/>
                                  <a:gd name="connisteX5" fmla="*/ 328930 w 547370"/>
                                  <a:gd name="connsiteY5" fmla="*/ 191770 h 222885"/>
                                  <a:gd name="connisteX6" fmla="*/ 324485 w 547370"/>
                                  <a:gd name="connsiteY6" fmla="*/ 133350 h 222885"/>
                                  <a:gd name="connisteX7" fmla="*/ 364490 w 547370"/>
                                  <a:gd name="connsiteY7" fmla="*/ 88900 h 222885"/>
                                  <a:gd name="connisteX8" fmla="*/ 449580 w 547370"/>
                                  <a:gd name="connsiteY8" fmla="*/ 93345 h 222885"/>
                                  <a:gd name="connisteX9" fmla="*/ 534035 w 547370"/>
                                  <a:gd name="connsiteY9" fmla="*/ 88900 h 222885"/>
                                  <a:gd name="connisteX10" fmla="*/ 547370 w 547370"/>
                                  <a:gd name="connsiteY10" fmla="*/ 40005 h 222885"/>
                                  <a:gd name="connisteX11" fmla="*/ 511810 w 547370"/>
                                  <a:gd name="connsiteY11" fmla="*/ 8890 h 222885"/>
                                  <a:gd name="connisteX12" fmla="*/ 409575 w 547370"/>
                                  <a:gd name="connsiteY12" fmla="*/ 0 h 222885"/>
                                  <a:gd name="connisteX13" fmla="*/ 342265 w 547370"/>
                                  <a:gd name="connsiteY13" fmla="*/ 8890 h 222885"/>
                                  <a:gd name="connisteX14" fmla="*/ 240030 w 547370"/>
                                  <a:gd name="connsiteY14" fmla="*/ 31115 h 222885"/>
                                  <a:gd name="connisteX15" fmla="*/ 191135 w 547370"/>
                                  <a:gd name="connsiteY15" fmla="*/ 75565 h 222885"/>
                                  <a:gd name="connisteX16" fmla="*/ 97790 w 547370"/>
                                  <a:gd name="connsiteY16" fmla="*/ 115570 h 222885"/>
                                  <a:gd name="connisteX17" fmla="*/ 57785 w 547370"/>
                                  <a:gd name="connsiteY17" fmla="*/ 146685 h 222885"/>
                                  <a:gd name="connisteX18" fmla="*/ 0 w 547370"/>
                                  <a:gd name="connsiteY18" fmla="*/ 222885 h 22288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Lst>
                                <a:rect l="l" t="t" r="r" b="b"/>
                                <a:pathLst>
                                  <a:path w="547370" h="222885">
                                    <a:moveTo>
                                      <a:pt x="0" y="222885"/>
                                    </a:moveTo>
                                    <a:lnTo>
                                      <a:pt x="93345" y="191770"/>
                                    </a:lnTo>
                                    <a:lnTo>
                                      <a:pt x="168910" y="160655"/>
                                    </a:lnTo>
                                    <a:lnTo>
                                      <a:pt x="213360" y="173990"/>
                                    </a:lnTo>
                                    <a:lnTo>
                                      <a:pt x="275590" y="200660"/>
                                    </a:lnTo>
                                    <a:lnTo>
                                      <a:pt x="328930" y="191770"/>
                                    </a:lnTo>
                                    <a:lnTo>
                                      <a:pt x="324485" y="133350"/>
                                    </a:lnTo>
                                    <a:lnTo>
                                      <a:pt x="364490" y="88900"/>
                                    </a:lnTo>
                                    <a:lnTo>
                                      <a:pt x="449580" y="93345"/>
                                    </a:lnTo>
                                    <a:lnTo>
                                      <a:pt x="534035" y="88900"/>
                                    </a:lnTo>
                                    <a:lnTo>
                                      <a:pt x="547370" y="40005"/>
                                    </a:lnTo>
                                    <a:lnTo>
                                      <a:pt x="511810" y="8890"/>
                                    </a:lnTo>
                                    <a:lnTo>
                                      <a:pt x="409575" y="0"/>
                                    </a:lnTo>
                                    <a:lnTo>
                                      <a:pt x="342265" y="8890"/>
                                    </a:lnTo>
                                    <a:lnTo>
                                      <a:pt x="240030" y="31115"/>
                                    </a:lnTo>
                                    <a:lnTo>
                                      <a:pt x="191135" y="75565"/>
                                    </a:lnTo>
                                    <a:lnTo>
                                      <a:pt x="97790" y="115570"/>
                                    </a:lnTo>
                                    <a:lnTo>
                                      <a:pt x="57785" y="146685"/>
                                    </a:lnTo>
                                    <a:lnTo>
                                      <a:pt x="0" y="222885"/>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07.35pt;margin-top:38.5pt;height:17.55pt;width:43.1pt;z-index:251678720;mso-width-relative:page;mso-height-relative:page;" filled="f" stroked="t" coordsize="547370,222885" o:gfxdata="UEsDBAoAAAAAAIdO4kAAAAAAAAAAAAAAAAAEAAAAZHJzL1BLAwQUAAAACACHTuJAJ9ppJdcAAAAK&#10;AQAADwAAAGRycy9kb3ducmV2LnhtbE2Py07DMBBF90j8gzVIbBC1HSihIU4XSEXqso8PcGITp43H&#10;Ueym6d8zrGA5mqN7zy3Xs+/ZZMfYBVQgFwKYxSaYDlsFx8Pm+R1YTBqN7gNaBTcbYV3d35W6MOGK&#10;OzvtU8soBGOhFbiUhoLz2DjrdVyEwSL9vsPodaJzbLkZ9ZXCfc8zId641x1Sg9OD/XS2Oe8vXsFX&#10;nLZnt7w9bY4S+e6Utq6el0o9PkjxASzZOf3B8KtP6lCRUx0uaCLrFWTyNSdUQZ7TJgJehFgBq4mU&#10;mQRelfz/hOoHUEsDBBQAAAAIAIdO4kAFM7iuzAQAAK8TAAAOAAAAZHJzL2Uyb0RvYy54bWytWM2O&#10;2zYQvhfoOxA6Fuha1L+M9ebQxfZStAGSAu2RK1G2AEkUSK69e++99x6LvkQQtE/TBHmMDknJppTA&#10;lIBe1tJqvvnjzPAjb189tw06Ui5q1u08fON7iHYFK+tuv/N+fvvwbeYhIUlXkoZ1dOe9UOG9uvv6&#10;q9tTv6UBO7CmpByBkk5sT/3OO0jZbzcbURxoS8QN62kHHyvGWyLhle83JScn0N42m8D3k82J8bLn&#10;rKBCwH/vzUdv0MiXKGRVVRf0nhVPLe2k0cppQySEJA51L7w77W1V0UL+VFWCStTsPIhU6r9gBJ4f&#10;1d/N3S3Z7jnpD3UxuECWuDCLqSV1B0bPqu6JJOiJ15+pauuCM8EqeVOwdmMC0RmBKLA/y82bA+mp&#10;jgVSLfpz0sX/p7b48fiao7rceSmkpCMtrPi/799//O33D3/98emfdx/+/hPBF0jTqRdbkH7Tv+bD&#10;m4BHFfNzxVv1C9Gg550XB1GI89hDL1BeOElxOKSZPktUKIEoDZW1AgSCIMiyWOnfXBQVT0J+T5lW&#10;So4/CGlWqYQnneNycLRgXVcLSX8BZVXbwMJ9s0E+OqHBwgCzpEUt6a+2tLGPDujiCCziZwawZSAP&#10;wyh2GrEROMdp6juNBJYRnGQ5docyhfhJHDuthJaVAIdh4rZiQ3Aa5rk7lsi2ksYxQFzLMoHAoADH&#10;XMsCRXZe9zDI8tBtxYYsXJdkYiWKMvfq2xDIcRi7Y0ltK0kULciYDcmy3Hcbgdl+ThiYiDN3wmyI&#10;KX3XquSWkTiM/NCdLxuyLBJsd7Hpd2eFTTCR7/vubsF2H8cYZwuacoJR0TjrGNt9HPl5nLpTNsEs&#10;MGE3cRgFQbLAhI1ZFsikiSHFCzoS25gQY7xgVWZdjBeUGLYxMJEgflchY7uN8zRd0JITCIQSL5j7&#10;2O7jOE0XzJcJBEdJAhhnNHYnu/se2+Jf2CZhv96POzI5jJt08dwNuzQ8IaI4pa+JUc+EIgf2lg3b&#10;v3od9mRDAQCltngHGJrSBuOBPywDQ6/Z4GAVGDrCBoerwFDoNjhaBYbytcEjZ1oWMxSyDU5WWYby&#10;tMHpKjBUkQ3OVoFhW7DB+SqwmvY2Gt5X1di8yNZVmRrPE+vr6gzPCg3eVzk/KzWYsavgs2KD2bkK&#10;Pis3GIqr4LOCg2G3Cj4rORhkFhzGFrTMMKM4nA/VybDRJ0PpITgZcn0yfFQYsu2JVKNtfESny+nl&#10;cD68qK8tO9K3TMtJNedM7V0OFWD2ItJ0tqgmVbpYDB8dvB2Fxt9e6zXnAiOdKL5/VdrweyOteft1&#10;ac3TtbQ6qCdjv4wejL/GE8O3l/odBoo3G2nNh696Emr+q6U1G7wqbHisFjapNKs9ejv+Gq8NH12o&#10;eTyoQh9rtnjVDUMOz5qvyhqKp2UdSdZEbZnSQNMtLatZ1FUPoNSANGlhzYWuCmvqo2UNo7kqrAmM&#10;Eda85KrwF9pkXK+iYYKapVRdqC8Izu2outi6JOjYQ900umObTjVpEEMy4IaBwAVVBRdD8Nj2cMkh&#10;ur2HSLOHm69Cck1MBGvqUsFV8wq+f/yu4ehIYCo8PMARYVyfiVjPhbwn4mDk9KdzmOCouioxlyPq&#10;6ZGVL/rORP8f7nF0KMOdk7oost81+nLPdvc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PAcAAFtDb250ZW50X1R5cGVzXS54bWxQSwECFAAKAAAA&#10;AACHTuJAAAAAAAAAAAAAAAAABgAAAAAAAAAAABAAAAAeBgAAX3JlbHMvUEsBAhQAFAAAAAgAh07i&#10;QIoUZjzRAAAAlAEAAAsAAAAAAAAAAQAgAAAAQgYAAF9yZWxzLy5yZWxzUEsBAhQACgAAAAAAh07i&#10;QAAAAAAAAAAAAAAAAAQAAAAAAAAAAAAQAAAAAAAAAGRycy9QSwECFAAUAAAACACHTuJAJ9ppJdcA&#10;AAAKAQAADwAAAAAAAAABACAAAAAiAAAAZHJzL2Rvd25yZXYueG1sUEsBAhQAFAAAAAgAh07iQAUz&#10;uK7MBAAArxMAAA4AAAAAAAAAAQAgAAAAJgEAAGRycy9lMm9Eb2MueG1sUEsFBgAAAAAGAAYAWQEA&#10;AGQIAAAAAA==&#10;" path="m0,222885l93345,191770,168910,160655,213360,173990,275590,200660,328930,191770,324485,133350,364490,88900,449580,93345,534035,88900,547370,40005,511810,8890,409575,0,342265,8890,240030,31115,191135,75565,97790,115570,57785,146685,0,222885xe">
                      <v:path o:connectlocs="0,222885;93345,191770;168910,160655;213360,173990;275590,200660;328930,191770;324485,133350;364490,88900;449580,93345;534035,88900;547370,40005;511810,8890;409575,0;342265,8890;240030,31115;191135,75565;97790,115570;57785,146685;0,222885" o:connectangles="0,0,0,0,0,0,0,0,0,0,0,0,0,0,0,0,0,0,0"/>
                      <v:fill on="f"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76672" behindDoc="0" locked="0" layoutInCell="1" allowOverlap="1">
                      <wp:simplePos x="0" y="0"/>
                      <wp:positionH relativeFrom="column">
                        <wp:posOffset>635</wp:posOffset>
                      </wp:positionH>
                      <wp:positionV relativeFrom="paragraph">
                        <wp:posOffset>650240</wp:posOffset>
                      </wp:positionV>
                      <wp:extent cx="1217295" cy="814070"/>
                      <wp:effectExtent l="1905" t="12700" r="19050" b="30480"/>
                      <wp:wrapNone/>
                      <wp:docPr id="65" name="任意多边形 65"/>
                      <wp:cNvGraphicFramePr/>
                      <a:graphic xmlns:a="http://schemas.openxmlformats.org/drawingml/2006/main">
                        <a:graphicData uri="http://schemas.microsoft.com/office/word/2010/wordprocessingShape">
                          <wps:wsp>
                            <wps:cNvSpPr/>
                            <wps:spPr>
                              <a:xfrm>
                                <a:off x="3880485" y="1328420"/>
                                <a:ext cx="1217295" cy="814070"/>
                              </a:xfrm>
                              <a:custGeom>
                                <a:avLst/>
                                <a:gdLst>
                                  <a:gd name="connisteX0" fmla="*/ 0 w 1217295"/>
                                  <a:gd name="connsiteY0" fmla="*/ 0 h 814070"/>
                                  <a:gd name="connisteX1" fmla="*/ 81280 w 1217295"/>
                                  <a:gd name="connsiteY1" fmla="*/ 4445 h 814070"/>
                                  <a:gd name="connisteX2" fmla="*/ 138430 w 1217295"/>
                                  <a:gd name="connsiteY2" fmla="*/ 20320 h 814070"/>
                                  <a:gd name="connisteX3" fmla="*/ 227965 w 1217295"/>
                                  <a:gd name="connsiteY3" fmla="*/ 28575 h 814070"/>
                                  <a:gd name="connisteX4" fmla="*/ 329565 w 1217295"/>
                                  <a:gd name="connsiteY4" fmla="*/ 28575 h 814070"/>
                                  <a:gd name="connisteX5" fmla="*/ 411480 w 1217295"/>
                                  <a:gd name="connsiteY5" fmla="*/ 53340 h 814070"/>
                                  <a:gd name="connisteX6" fmla="*/ 521335 w 1217295"/>
                                  <a:gd name="connsiteY6" fmla="*/ 60960 h 814070"/>
                                  <a:gd name="connisteX7" fmla="*/ 582295 w 1217295"/>
                                  <a:gd name="connsiteY7" fmla="*/ 77470 h 814070"/>
                                  <a:gd name="connisteX8" fmla="*/ 614680 w 1217295"/>
                                  <a:gd name="connsiteY8" fmla="*/ 60960 h 814070"/>
                                  <a:gd name="connisteX9" fmla="*/ 704215 w 1217295"/>
                                  <a:gd name="connsiteY9" fmla="*/ 122555 h 814070"/>
                                  <a:gd name="connisteX10" fmla="*/ 724535 w 1217295"/>
                                  <a:gd name="connsiteY10" fmla="*/ 154940 h 814070"/>
                                  <a:gd name="connisteX11" fmla="*/ 810260 w 1217295"/>
                                  <a:gd name="connsiteY11" fmla="*/ 215900 h 814070"/>
                                  <a:gd name="connisteX12" fmla="*/ 875030 w 1217295"/>
                                  <a:gd name="connsiteY12" fmla="*/ 248285 h 814070"/>
                                  <a:gd name="connisteX13" fmla="*/ 830580 w 1217295"/>
                                  <a:gd name="connsiteY13" fmla="*/ 268605 h 814070"/>
                                  <a:gd name="connisteX14" fmla="*/ 810260 w 1217295"/>
                                  <a:gd name="connsiteY14" fmla="*/ 256540 h 814070"/>
                                  <a:gd name="connisteX15" fmla="*/ 810260 w 1217295"/>
                                  <a:gd name="connsiteY15" fmla="*/ 281305 h 814070"/>
                                  <a:gd name="connisteX16" fmla="*/ 789940 w 1217295"/>
                                  <a:gd name="connsiteY16" fmla="*/ 285115 h 814070"/>
                                  <a:gd name="connisteX17" fmla="*/ 663575 w 1217295"/>
                                  <a:gd name="connsiteY17" fmla="*/ 175260 h 814070"/>
                                  <a:gd name="connisteX18" fmla="*/ 631190 w 1217295"/>
                                  <a:gd name="connsiteY18" fmla="*/ 187325 h 814070"/>
                                  <a:gd name="connisteX19" fmla="*/ 577850 w 1217295"/>
                                  <a:gd name="connsiteY19" fmla="*/ 150495 h 814070"/>
                                  <a:gd name="connisteX20" fmla="*/ 516890 w 1217295"/>
                                  <a:gd name="connsiteY20" fmla="*/ 163195 h 814070"/>
                                  <a:gd name="connisteX21" fmla="*/ 508635 w 1217295"/>
                                  <a:gd name="connsiteY21" fmla="*/ 236220 h 814070"/>
                                  <a:gd name="connisteX22" fmla="*/ 411480 w 1217295"/>
                                  <a:gd name="connsiteY22" fmla="*/ 118110 h 814070"/>
                                  <a:gd name="connisteX23" fmla="*/ 464185 w 1217295"/>
                                  <a:gd name="connsiteY23" fmla="*/ 281305 h 814070"/>
                                  <a:gd name="connisteX24" fmla="*/ 476250 w 1217295"/>
                                  <a:gd name="connsiteY24" fmla="*/ 321945 h 814070"/>
                                  <a:gd name="connisteX25" fmla="*/ 533400 w 1217295"/>
                                  <a:gd name="connsiteY25" fmla="*/ 337820 h 814070"/>
                                  <a:gd name="connisteX26" fmla="*/ 513080 w 1217295"/>
                                  <a:gd name="connsiteY26" fmla="*/ 366395 h 814070"/>
                                  <a:gd name="connisteX27" fmla="*/ 439420 w 1217295"/>
                                  <a:gd name="connsiteY27" fmla="*/ 391160 h 814070"/>
                                  <a:gd name="connisteX28" fmla="*/ 264795 w 1217295"/>
                                  <a:gd name="connsiteY28" fmla="*/ 321945 h 814070"/>
                                  <a:gd name="connisteX29" fmla="*/ 248285 w 1217295"/>
                                  <a:gd name="connsiteY29" fmla="*/ 330200 h 814070"/>
                                  <a:gd name="connisteX30" fmla="*/ 215900 w 1217295"/>
                                  <a:gd name="connsiteY30" fmla="*/ 362585 h 814070"/>
                                  <a:gd name="connisteX31" fmla="*/ 224155 w 1217295"/>
                                  <a:gd name="connsiteY31" fmla="*/ 399415 h 814070"/>
                                  <a:gd name="connisteX32" fmla="*/ 305435 w 1217295"/>
                                  <a:gd name="connsiteY32" fmla="*/ 484505 h 814070"/>
                                  <a:gd name="connisteX33" fmla="*/ 394970 w 1217295"/>
                                  <a:gd name="connsiteY33" fmla="*/ 492760 h 814070"/>
                                  <a:gd name="connisteX34" fmla="*/ 480060 w 1217295"/>
                                  <a:gd name="connsiteY34" fmla="*/ 525145 h 814070"/>
                                  <a:gd name="connisteX35" fmla="*/ 565785 w 1217295"/>
                                  <a:gd name="connsiteY35" fmla="*/ 541655 h 814070"/>
                                  <a:gd name="connisteX36" fmla="*/ 720725 w 1217295"/>
                                  <a:gd name="connsiteY36" fmla="*/ 570230 h 814070"/>
                                  <a:gd name="connisteX37" fmla="*/ 830580 w 1217295"/>
                                  <a:gd name="connsiteY37" fmla="*/ 590550 h 814070"/>
                                  <a:gd name="connisteX38" fmla="*/ 944245 w 1217295"/>
                                  <a:gd name="connsiteY38" fmla="*/ 626745 h 814070"/>
                                  <a:gd name="connisteX39" fmla="*/ 1005205 w 1217295"/>
                                  <a:gd name="connsiteY39" fmla="*/ 655320 h 814070"/>
                                  <a:gd name="connisteX40" fmla="*/ 1102995 w 1217295"/>
                                  <a:gd name="connsiteY40" fmla="*/ 700405 h 814070"/>
                                  <a:gd name="connisteX41" fmla="*/ 1217295 w 1217295"/>
                                  <a:gd name="connsiteY41" fmla="*/ 728980 h 814070"/>
                                  <a:gd name="connisteX42" fmla="*/ 1184275 w 1217295"/>
                                  <a:gd name="connsiteY42" fmla="*/ 765175 h 814070"/>
                                  <a:gd name="connisteX43" fmla="*/ 1021715 w 1217295"/>
                                  <a:gd name="connsiteY43" fmla="*/ 793750 h 814070"/>
                                  <a:gd name="connisteX44" fmla="*/ 732790 w 1217295"/>
                                  <a:gd name="connsiteY44" fmla="*/ 802005 h 814070"/>
                                  <a:gd name="connisteX45" fmla="*/ 488315 w 1217295"/>
                                  <a:gd name="connsiteY45" fmla="*/ 741045 h 814070"/>
                                  <a:gd name="connisteX46" fmla="*/ 386715 w 1217295"/>
                                  <a:gd name="connsiteY46" fmla="*/ 688340 h 814070"/>
                                  <a:gd name="connisteX47" fmla="*/ 280670 w 1217295"/>
                                  <a:gd name="connsiteY47" fmla="*/ 639445 h 814070"/>
                                  <a:gd name="connisteX48" fmla="*/ 154940 w 1217295"/>
                                  <a:gd name="connsiteY48" fmla="*/ 635000 h 814070"/>
                                  <a:gd name="connisteX49" fmla="*/ 109855 w 1217295"/>
                                  <a:gd name="connsiteY49" fmla="*/ 651510 h 814070"/>
                                  <a:gd name="connisteX50" fmla="*/ 285115 w 1217295"/>
                                  <a:gd name="connsiteY50" fmla="*/ 700405 h 814070"/>
                                  <a:gd name="connisteX51" fmla="*/ 240030 w 1217295"/>
                                  <a:gd name="connsiteY51" fmla="*/ 769620 h 814070"/>
                                  <a:gd name="connisteX52" fmla="*/ 175260 w 1217295"/>
                                  <a:gd name="connsiteY52" fmla="*/ 777875 h 814070"/>
                                  <a:gd name="connisteX53" fmla="*/ 130175 w 1217295"/>
                                  <a:gd name="connsiteY53" fmla="*/ 777875 h 814070"/>
                                  <a:gd name="connisteX54" fmla="*/ 73025 w 1217295"/>
                                  <a:gd name="connsiteY54" fmla="*/ 802005 h 814070"/>
                                  <a:gd name="connisteX55" fmla="*/ 0 w 1217295"/>
                                  <a:gd name="connsiteY55" fmla="*/ 814070 h 81407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 ang="0">
                                    <a:pos x="connisteX40" y="connsiteY40"/>
                                  </a:cxn>
                                  <a:cxn ang="0">
                                    <a:pos x="connisteX41" y="connsiteY41"/>
                                  </a:cxn>
                                  <a:cxn ang="0">
                                    <a:pos x="connisteX42" y="connsiteY42"/>
                                  </a:cxn>
                                  <a:cxn ang="0">
                                    <a:pos x="connisteX43" y="connsiteY43"/>
                                  </a:cxn>
                                  <a:cxn ang="0">
                                    <a:pos x="connisteX44" y="connsiteY44"/>
                                  </a:cxn>
                                  <a:cxn ang="0">
                                    <a:pos x="connisteX45" y="connsiteY45"/>
                                  </a:cxn>
                                  <a:cxn ang="0">
                                    <a:pos x="connisteX46" y="connsiteY46"/>
                                  </a:cxn>
                                  <a:cxn ang="0">
                                    <a:pos x="connisteX47" y="connsiteY47"/>
                                  </a:cxn>
                                  <a:cxn ang="0">
                                    <a:pos x="connisteX48" y="connsiteY48"/>
                                  </a:cxn>
                                  <a:cxn ang="0">
                                    <a:pos x="connisteX49" y="connsiteY49"/>
                                  </a:cxn>
                                  <a:cxn ang="0">
                                    <a:pos x="connisteX50" y="connsiteY50"/>
                                  </a:cxn>
                                  <a:cxn ang="0">
                                    <a:pos x="connisteX51" y="connsiteY51"/>
                                  </a:cxn>
                                  <a:cxn ang="0">
                                    <a:pos x="connisteX52" y="connsiteY52"/>
                                  </a:cxn>
                                  <a:cxn ang="0">
                                    <a:pos x="connisteX53" y="connsiteY53"/>
                                  </a:cxn>
                                  <a:cxn ang="0">
                                    <a:pos x="connisteX54" y="connsiteY54"/>
                                  </a:cxn>
                                  <a:cxn ang="0">
                                    <a:pos x="connisteX55" y="connsiteY55"/>
                                  </a:cxn>
                                </a:cxnLst>
                                <a:rect l="l" t="t" r="r" b="b"/>
                                <a:pathLst>
                                  <a:path w="1217295" h="814070">
                                    <a:moveTo>
                                      <a:pt x="0" y="0"/>
                                    </a:moveTo>
                                    <a:lnTo>
                                      <a:pt x="81280" y="4445"/>
                                    </a:lnTo>
                                    <a:lnTo>
                                      <a:pt x="138430" y="20320"/>
                                    </a:lnTo>
                                    <a:lnTo>
                                      <a:pt x="227965" y="28575"/>
                                    </a:lnTo>
                                    <a:lnTo>
                                      <a:pt x="329565" y="28575"/>
                                    </a:lnTo>
                                    <a:lnTo>
                                      <a:pt x="411480" y="53340"/>
                                    </a:lnTo>
                                    <a:lnTo>
                                      <a:pt x="521335" y="60960"/>
                                    </a:lnTo>
                                    <a:lnTo>
                                      <a:pt x="582295" y="77470"/>
                                    </a:lnTo>
                                    <a:lnTo>
                                      <a:pt x="614680" y="60960"/>
                                    </a:lnTo>
                                    <a:lnTo>
                                      <a:pt x="704215" y="122555"/>
                                    </a:lnTo>
                                    <a:lnTo>
                                      <a:pt x="724535" y="154940"/>
                                    </a:lnTo>
                                    <a:lnTo>
                                      <a:pt x="810260" y="215900"/>
                                    </a:lnTo>
                                    <a:lnTo>
                                      <a:pt x="875030" y="248285"/>
                                    </a:lnTo>
                                    <a:lnTo>
                                      <a:pt x="830580" y="268605"/>
                                    </a:lnTo>
                                    <a:lnTo>
                                      <a:pt x="810260" y="256540"/>
                                    </a:lnTo>
                                    <a:lnTo>
                                      <a:pt x="810260" y="281305"/>
                                    </a:lnTo>
                                    <a:lnTo>
                                      <a:pt x="789940" y="285115"/>
                                    </a:lnTo>
                                    <a:lnTo>
                                      <a:pt x="663575" y="175260"/>
                                    </a:lnTo>
                                    <a:lnTo>
                                      <a:pt x="631190" y="187325"/>
                                    </a:lnTo>
                                    <a:lnTo>
                                      <a:pt x="577850" y="150495"/>
                                    </a:lnTo>
                                    <a:lnTo>
                                      <a:pt x="516890" y="163195"/>
                                    </a:lnTo>
                                    <a:lnTo>
                                      <a:pt x="508635" y="236220"/>
                                    </a:lnTo>
                                    <a:lnTo>
                                      <a:pt x="411480" y="118110"/>
                                    </a:lnTo>
                                    <a:lnTo>
                                      <a:pt x="464185" y="281305"/>
                                    </a:lnTo>
                                    <a:lnTo>
                                      <a:pt x="476250" y="321945"/>
                                    </a:lnTo>
                                    <a:lnTo>
                                      <a:pt x="533400" y="337820"/>
                                    </a:lnTo>
                                    <a:lnTo>
                                      <a:pt x="513080" y="366395"/>
                                    </a:lnTo>
                                    <a:lnTo>
                                      <a:pt x="439420" y="391160"/>
                                    </a:lnTo>
                                    <a:lnTo>
                                      <a:pt x="264795" y="321945"/>
                                    </a:lnTo>
                                    <a:lnTo>
                                      <a:pt x="248285" y="330200"/>
                                    </a:lnTo>
                                    <a:lnTo>
                                      <a:pt x="215900" y="362585"/>
                                    </a:lnTo>
                                    <a:lnTo>
                                      <a:pt x="224155" y="399415"/>
                                    </a:lnTo>
                                    <a:lnTo>
                                      <a:pt x="305435" y="484505"/>
                                    </a:lnTo>
                                    <a:lnTo>
                                      <a:pt x="394970" y="492760"/>
                                    </a:lnTo>
                                    <a:lnTo>
                                      <a:pt x="480060" y="525145"/>
                                    </a:lnTo>
                                    <a:lnTo>
                                      <a:pt x="565785" y="541655"/>
                                    </a:lnTo>
                                    <a:lnTo>
                                      <a:pt x="720725" y="570230"/>
                                    </a:lnTo>
                                    <a:lnTo>
                                      <a:pt x="830580" y="590550"/>
                                    </a:lnTo>
                                    <a:lnTo>
                                      <a:pt x="944245" y="626745"/>
                                    </a:lnTo>
                                    <a:lnTo>
                                      <a:pt x="1005205" y="655320"/>
                                    </a:lnTo>
                                    <a:lnTo>
                                      <a:pt x="1102995" y="700405"/>
                                    </a:lnTo>
                                    <a:lnTo>
                                      <a:pt x="1217295" y="728980"/>
                                    </a:lnTo>
                                    <a:lnTo>
                                      <a:pt x="1184275" y="765175"/>
                                    </a:lnTo>
                                    <a:lnTo>
                                      <a:pt x="1021715" y="793750"/>
                                    </a:lnTo>
                                    <a:lnTo>
                                      <a:pt x="732790" y="802005"/>
                                    </a:lnTo>
                                    <a:lnTo>
                                      <a:pt x="488315" y="741045"/>
                                    </a:lnTo>
                                    <a:lnTo>
                                      <a:pt x="386715" y="688340"/>
                                    </a:lnTo>
                                    <a:lnTo>
                                      <a:pt x="280670" y="639445"/>
                                    </a:lnTo>
                                    <a:lnTo>
                                      <a:pt x="154940" y="635000"/>
                                    </a:lnTo>
                                    <a:lnTo>
                                      <a:pt x="109855" y="651510"/>
                                    </a:lnTo>
                                    <a:lnTo>
                                      <a:pt x="285115" y="700405"/>
                                    </a:lnTo>
                                    <a:lnTo>
                                      <a:pt x="240030" y="769620"/>
                                    </a:lnTo>
                                    <a:lnTo>
                                      <a:pt x="175260" y="777875"/>
                                    </a:lnTo>
                                    <a:lnTo>
                                      <a:pt x="130175" y="777875"/>
                                    </a:lnTo>
                                    <a:lnTo>
                                      <a:pt x="73025" y="802005"/>
                                    </a:lnTo>
                                    <a:lnTo>
                                      <a:pt x="0" y="814070"/>
                                    </a:lnTo>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0.05pt;margin-top:51.2pt;height:64.1pt;width:95.85pt;z-index:251676672;mso-width-relative:page;mso-height-relative:page;" filled="f" stroked="t" coordsize="1217295,814070" o:gfxdata="UEsDBAoAAAAAAIdO4kAAAAAAAAAAAAAAAAAEAAAAZHJzL1BLAwQUAAAACACHTuJAzrhzwtQAAAAI&#10;AQAADwAAAGRycy9kb3ducmV2LnhtbE2PwU7DMBBE70j8g7VI3KidUBUIcXpA6gdQKtTeXHtJIuJ1&#10;8Lpt+vc4J7isNJrR7Jt6PflBnDFyH0hDsVAgkGxwPbUadh+bh2cQnAw5MwRCDVdkWDe3N7WpXLjQ&#10;O563qRW5hLgyGrqUxkpKth16w4swImXvK0RvUpaxlS6aSy73gyyVWklvesofOjPiW4f2e3vyGp4O&#10;P9209J+7qw+Rbb9n3m+s1vd3hXoFkXBKf2GY8TM6NJnpGE7kWAyzFilfVS5BzPZLkZccNZSPagWy&#10;qeX/Ac0vUEsDBBQAAAAIAIdO4kB9S3T8QgkAALYyAAAOAAAAZHJzL2Uyb0RvYy54bWytW82O47gR&#10;vgfIOwg+Bsi0+CNRakzPHjKYXIJkgd0AyVFjy20DtmVImu6ee+655xjkJRaL5GmyQR4jxSq5u6gF&#10;yCKQy4zV/j6WSFYVi1Xl99+8nE/FUz9Ox+HysFHvyk3RX7bD7nh5fNj88ftPv242xTR3l113Gi79&#10;w+ZrP22++fDLX7x/vt73ejgMp10/FjDIZbp/vj5sDvN8vb+7m7aH/txN74Zrf4Ev98N47mZ4HB/v&#10;dmP3DKOfT3e6LOu752HcXcdh208T/PUjfblZRhwlAw77/XHbfxy2X879ZaZRx/7UzTCl6XC8TpsP&#10;+Lb7fb+d/7DfT/1cnB42MNMZ/wUh8Pmz//fuw/vu/nHsrofjdnmFTvIKqzmdu+MFhL4O9bGbu+LL&#10;ePzZUOfjdhymYT+/2w7nO5oIrgjMQpWrtfnu0F17nAss9XR9XfTp/zfs9vdP347FcfewqatNcenO&#10;sOP//vHH//zlrz/942///dcPP/3z7wV8A8v0fJ3uAf3d9dtxeZrgo5/zy348+/9hNsXLw8Y0TWkb&#10;GO0rqJfRjdXLMvcvc7EFgNLK6RYAW0A0ypYOAXdvI22/TPNv+wFH7Z5+N820TTv4hIu8W950O1wu&#10;x2nu/wTbuT+fYOd+dVeUxXNxE7HwGHw6zv2fQ/iheHsJ2MGfDa7Y4I3SjUAAp1hrqyIlQzMZyjTW&#10;CIRwji6NLpNSDJOitWvrKr1WAaepXHoulkkxsNESKZyjRVJAf1633CplJdvCOZUxNr1iNZNSaWWM&#10;YMU4py7bOi3FcSmNhjVL7wvnOGddWgo49tcVq5WtJSsWcERzaZkUV1qtBHPhHKV1VaWVTHEbdtpW&#10;kp0JSKqyrUADFLflRpUa9jPpYAISLEFbprdHcXtuXFVKfEBA0rYB20l6AcVNujFlJVGEgKTrpi4F&#10;grhVi5eOkzQ4D8keccMWC+Ik3ShYiPTScdt2TesVKK0MnAQbpMAkUueB4uZd18b73bQgTlKu8qqa&#10;FBRYuFGqlcyIk1TjjBbMiBt55VxTSQRxkqpKC54xNSMIN978XKXqRjKjgKRqoySCuGeoygZ2Kb1H&#10;mpO0qbXg2NbcM0jPuoCkVKNUWhk09wy2tgq8SVLrApLQjjQ3cutqLVGGgGS0aiVxFTdyPPIFWqc5&#10;yRjXSPaIG3kFzkTiVDUnGTBzidZxI7emhfBasEecZFqlBJ5BcyPXtXWSqCQgSfeIG/lyhqW1jpOM&#10;KeFqmfQMhnuG5VROCgpIYK+V4IQ1gZFrqyCgSQviJANHi+CYMNwzwAFmJS4oINnGVoKDz3DPAErX&#10;QryZnhEn2VY7gdaZwDM0kDCQCOKkSldK4BkMN3IIM+BAEswoIFlVCyJVw43c6dLBYZleOk6qXKkh&#10;GEwdfIYbuTSuC0gQp1bgiZOCuGdorYXoWzAjTqp17SR7xI1clWWlQVXTa8dZsEOSm7HlrgGOSt1K&#10;vF3AcmVpBZZkuZkveYr0nAKW000Lx0tqmyx3DhABWC0JIgOWqyuII9OSuKHD4iknufVZznKtgStP&#10;WhK3dIg7nSS4s5zU+KNCMCVu6bZpjGhGnOSsKgU6brmlm6aWLR0n1fB2gkuS5e4Bsli1xIUHJIhP&#10;JLksyy19uWUnjTYgQSRdCs5zyw1dlW0jOWYDEqh3JYiLK+4dlhtcckYBSegcKu4ctC1FOYCA5Oq2&#10;FoSrVeAb6KqYnhEnObjCCVxDxY0cwmLvTtKCOEkqiBu5g4BQIodzhI6h4jYuiE0CPCWaAy8Hae/H&#10;W2K7O9xy3duXy5Lshk9F52szJRYYrsPkk+w88w1ZdP+4ZLYh5Q1DAstnyhNk0DZOVj7PLyaDMnCy&#10;ziLDBnOyySLDrnGyzSLD9nEy1jbEcwa3y8l1lmTwv5zsssjgUzm5ySKDn+TkNovsk6acDc85auJT&#10;oQE9T8t8gjOg5+mZT1sG9DxNUytVg+esua+UTeVpm1qpGzxnSV8pHOQUs+grlVN5OqdWSgfPOdJ9&#10;Qo5vHDxn0VdaB2m3LPpK6yCZlkVfaR2kyLLoK62DxFcWfaV1kM7Koq+0DpJUWfSV1uk8rfMJpGDf&#10;87ROr7QOnnNe3id7uHR4zqKvtA7yQFn0ldZBoiaLvtI6yNlk0VdaB5mYLPpK6yC/kkVfaR1kTbLo&#10;K62DtEYWfaV1Jk/rzErr4DlHuk8jcK2D5yz6SusgV5BFX2kdJACy6Cutg1t9Fn2ldXBXz6KvtM7m&#10;aZ2/fAcrn6d1/nYc0PO0zt95A3qe1vmbbEDP0zp/P+V0eM5ZeX/rDOh5WucvoAE9T+v8tTKg52ld&#10;tdI6eM6a+0rr4I7H6HSbWK5vI7Sg+eazEzafzZsCms9GbD777Dnd/bWb/a3v9rF4Zg1Sh9f+KP/1&#10;eXjqvx8QOPs7IO3fbdfevj1dOAo7lnCxfCPS8p43yO3/Kw5IjUeIxX6iKJj6hwjsG3aiYGoDEoKp&#10;wolgrNhFR6amHARjr00cjL01CMaWmSiYWmSEI1OnC4KpgSU6NPWrEBq7UKJoamhANBWt4mjsHCE0&#10;9oPE0dj+QWhs6oijsf2F0NiZIUZje0UUTd0UNDb2SETR1BKBaGp0iKOxr4HQ2K0QRVNzAqGx5SCO&#10;xg4DQmPfQByNbQKIpuJ/FM0sgSr4cTQW7Gns9HpT1R3RVKeNjk2lc0JjQTyOxvo3obGqHUVTEZvQ&#10;WJqOoqkSLX1vKicv7+0z//GxsVNreW9f6Y2jsbC7vLcv10bRVJ1FNNVc42gssRIaC6dRNDQ/Qp0U&#10;0VT9jKKp2EloLGFG0VSxJDTWIaNoKjsSGouJUTTVDhFNFcEoeikAEhzLenE4VfEQTun3OPzWlQxh&#10;BRXY4nCqp9HoWCWLw6koRnAsdUXhVNlCNKWlo2gqT9HYWHSKoqnGhGiqHEXRVCgiNJZ/omiq9ixo&#10;X8OJo7FkQ2gsxETRVHdBtGA7qXhCaCyJRMdezhAfUlK5IY7GMgaNjVWQKBprEQgWbCUZ8Vs/OsSS&#10;FKPBBx8pYn7+NWT0kSZrlb8Mn46nE0aVp4sPJDU0T8KI2w5+p7GH30fAx/MVev2ny+Om6E6P8AOQ&#10;7TxiXWEaTsedp/v4chofP//mNBZPHUSunz7BPt42MoBdx2n+2E0HwuFXrysBL+p/MUC/EfCfPg+7&#10;r/jTAfw7/JwBp7L89ML/XoI/I/vt5yYf/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vCwAAW0NvbnRlbnRfVHlwZXNdLnhtbFBLAQIUAAoAAAAA&#10;AIdO4kAAAAAAAAAAAAAAAAAGAAAAAAAAAAAAEAAAAJEKAABfcmVscy9QSwECFAAUAAAACACHTuJA&#10;ihRmPNEAAACUAQAACwAAAAAAAAABACAAAAC1CgAAX3JlbHMvLnJlbHNQSwECFAAKAAAAAACHTuJA&#10;AAAAAAAAAAAAAAAABAAAAAAAAAAAABAAAAAAAAAAZHJzL1BLAQIUABQAAAAIAIdO4kDOuHPC1AAA&#10;AAgBAAAPAAAAAAAAAAEAIAAAACIAAABkcnMvZG93bnJldi54bWxQSwECFAAUAAAACACHTuJAfUt0&#10;/EIJAAC2MgAADgAAAAAAAAABACAAAAAjAQAAZHJzL2Uyb0RvYy54bWxQSwUGAAAAAAYABgBZAQAA&#10;1wwAAAAA&#10;" path="m0,0l81280,4445,138430,20320,227965,28575,329565,28575,411480,53340,521335,60960,582295,77470,614680,60960,704215,122555,724535,154940,810260,215900,875030,248285,830580,268605,810260,256540,810260,281305,789940,285115,663575,175260,631190,187325,577850,150495,516890,163195,508635,236220,411480,118110,464185,281305,476250,321945,533400,337820,513080,366395,439420,391160,264795,321945,248285,330200,215900,362585,224155,399415,305435,484505,394970,492760,480060,525145,565785,541655,720725,570230,830580,590550,944245,626745,1005205,655320,1102995,700405,1217295,728980,1184275,765175,1021715,793750,732790,802005,488315,741045,386715,688340,280670,639445,154940,635000,109855,651510,285115,700405,240030,769620,175260,777875,130175,777875,73025,802005,0,814070e">
                      <v:path o:connectlocs="0,0;81280,4445;138430,20320;227965,28575;329565,28575;411480,53340;521335,60960;582295,77470;614680,60960;704215,122555;724535,154940;810260,215900;875030,248285;830580,268605;810260,256540;810260,281305;789940,285115;663575,175260;631190,187325;577850,150495;516890,163195;508635,236220;411480,118110;464185,281305;476250,321945;533400,337820;513080,366395;439420,391160;264795,321945;248285,330200;215900,362585;224155,399415;305435,484505;394970,492760;480060,525145;565785,541655;720725,570230;830580,590550;944245,626745;1005205,655320;1102995,700405;1217295,728980;1184275,765175;1021715,793750;732790,802005;488315,741045;386715,688340;280670,639445;154940,635000;109855,651510;285115,700405;240030,769620;175260,777875;130175,777875;73025,802005;0,814070" o:connectangles="0,0,0,0,0,0,0,0,0,0,0,0,0,0,0,0,0,0,0,0,0,0,0,0,0,0,0,0,0,0,0,0,0,0,0,0,0,0,0,0,0,0,0,0,0,0,0,0,0,0,0,0,0,0,0,0"/>
                      <v:fill on="f"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3031490" cy="2174875"/>
                  <wp:effectExtent l="0" t="0" r="16510" b="15875"/>
                  <wp:docPr id="20" name="图片 20" descr="PANO_0001"/>
                  <wp:cNvGraphicFramePr/>
                  <a:graphic xmlns:a="http://schemas.openxmlformats.org/drawingml/2006/main">
                    <a:graphicData uri="http://schemas.openxmlformats.org/drawingml/2006/picture">
                      <pic:pic xmlns:pic="http://schemas.openxmlformats.org/drawingml/2006/picture">
                        <pic:nvPicPr>
                          <pic:cNvPr id="20" name="图片 20" descr="PANO_0001"/>
                          <pic:cNvPicPr/>
                        </pic:nvPicPr>
                        <pic:blipFill>
                          <a:blip r:embed="rId20"/>
                          <a:stretch>
                            <a:fillRect/>
                          </a:stretch>
                        </pic:blipFill>
                        <pic:spPr>
                          <a:xfrm>
                            <a:off x="0" y="0"/>
                            <a:ext cx="3031490" cy="2174875"/>
                          </a:xfrm>
                          <a:prstGeom prst="rect">
                            <a:avLst/>
                          </a:prstGeom>
                        </pic:spPr>
                      </pic:pic>
                    </a:graphicData>
                  </a:graphic>
                </wp:inline>
              </w:drawing>
            </w:r>
          </w:p>
        </w:tc>
      </w:tr>
      <w:tr w14:paraId="1E0C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4976" w:type="dxa"/>
            <w:shd w:val="clear" w:color="auto" w:fill="auto"/>
            <w:vAlign w:val="center"/>
          </w:tcPr>
          <w:p w14:paraId="0E213D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color w:val="auto"/>
                <w:highlight w:val="none"/>
                <w:vertAlign w:val="baseline"/>
                <w:lang w:val="en-US" w:eastAsia="zh-CN"/>
              </w:rPr>
              <w:t>项目场地环境现状（7#光伏阵列）</w:t>
            </w:r>
          </w:p>
        </w:tc>
        <w:tc>
          <w:tcPr>
            <w:tcW w:w="4878" w:type="dxa"/>
            <w:vAlign w:val="center"/>
          </w:tcPr>
          <w:p w14:paraId="6E6811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项目场地环境现状（8#光伏阵列）</w:t>
            </w:r>
          </w:p>
        </w:tc>
      </w:tr>
      <w:tr w14:paraId="3134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3" w:hRule="atLeast"/>
        </w:trPr>
        <w:tc>
          <w:tcPr>
            <w:tcW w:w="4976" w:type="dxa"/>
            <w:vAlign w:val="center"/>
          </w:tcPr>
          <w:p w14:paraId="2C9440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mc:AlternateContent>
                <mc:Choice Requires="wps">
                  <w:drawing>
                    <wp:anchor distT="0" distB="0" distL="114300" distR="114300" simplePos="0" relativeHeight="251699200" behindDoc="0" locked="0" layoutInCell="1" allowOverlap="1">
                      <wp:simplePos x="0" y="0"/>
                      <wp:positionH relativeFrom="column">
                        <wp:posOffset>5715</wp:posOffset>
                      </wp:positionH>
                      <wp:positionV relativeFrom="paragraph">
                        <wp:posOffset>1690370</wp:posOffset>
                      </wp:positionV>
                      <wp:extent cx="1306195" cy="39941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DCD3">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5pt;margin-top:133.1pt;height:31.45pt;width:102.85pt;z-index:251699200;mso-width-relative:page;mso-height-relative:page;" filled="f" stroked="f" coordsize="21600,21600" o:gfxdata="UEsDBAoAAAAAAIdO4kAAAAAAAAAAAAAAAAAEAAAAZHJzL1BLAwQUAAAACACHTuJAvSmd19kAAAAI&#10;AQAADwAAAGRycy9kb3ducmV2LnhtbE2PzU7DMBCE70h9B2srcaN2jIjaEKdCkSokBIeWXrg58TaJ&#10;sNchdn/g6TEnehzNaOabcn1xlp1wCoMnBdlCAENqvRmoU7B/39wtgYWoyWjrCRV8Y4B1NbspdWH8&#10;mbZ42sWOpRIKhVbQxzgWnIe2R6fDwo9IyTv4yemY5NRxM+lzKneWSyFy7vRAaaHXI9Y9tp+7o1Pw&#10;Um/e9LaRbvlj6+fXw9P4tf94UOp2nolHYBEv8T8Mf/gJHarE1PgjmcCsglXKKZB5LoElW4o8B9Yo&#10;uJerDHhV8usD1S9QSwMEFAAAAAgAh07iQL7ZZdU9AgAAaAQAAA4AAABkcnMvZTJvRG9jLnhtbK1U&#10;zY7TMBC+I/EOlu80Tf+gVdNV2aoIacWuVBBn13GaSLbH2G6T8gDwBpy4cOe5+hyMnbRbLRz2wMUZ&#10;e8bf+PtmJvObRklyENZVoDOa9vqUCM0hr/Quo58+rl+9ocR5pnMmQYuMHoWjN4uXL+a1mYkBlCBz&#10;YQmCaDerTUZL780sSRwvhWKuB0ZodBZgFfO4tbskt6xGdCWTQb8/SWqwubHAhXN4umqdtEO0zwGE&#10;oqi4WAHfK6F9i2qFZB4pubIyji7ia4tCcH9fFE54IjOKTH1cMQna27Amizmb7SwzZcW7J7DnPOEJ&#10;J8UqjUkvUCvmGdnb6i8oVXELDgrf46CSlkhUBFmk/SfabEpmROSCUjtzEd39P1j+4fBgSZVndDik&#10;RDOFFT/9+H76+fv06xvBMxSoNm6GcRuDkb55Cw22zfnc4WHg3RRWhS8yIuhHeY8XeUXjCQ+Xhv1J&#10;Oh1TwtE3nE5H6TjAJI+3jXX+nQBFgpFRi+WLqrLDnfNt6DkkJNOwrqSMJZSa1BmdDMf9eOHiQXCp&#10;MUfg0L41WL7ZNh2xLeRH5GWhbQ1n+LrC5HfM+QdmsReQCk6Lv8elkIBJoLMoKcF+/dd5iMcSoZeS&#10;Gnsro+7LnllBiXyvsXjTdDQKzRg3o/HrAW7stWd77dF7dQvYvinOpeHRDPFens3CgvqMQ7UMWdHF&#10;NMfcGfVn89a3HY9DycVyGYOw/Qzzd3pjeIBu5VzuPRRVVDrI1GrTqYcNGGvVDUvo8Ot9jHr8QS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0pndfZAAAACAEAAA8AAAAAAAAAAQAgAAAAIgAAAGRy&#10;cy9kb3ducmV2LnhtbFBLAQIUABQAAAAIAIdO4kC+2WXVPQIAAGgEAAAOAAAAAAAAAAEAIAAAACgB&#10;AABkcnMvZTJvRG9jLnhtbFBLBQYAAAAABgAGAFkBAADXBQAAAAA=&#10;">
                      <v:fill on="f" focussize="0,0"/>
                      <v:stroke on="f" weight="0.5pt"/>
                      <v:imagedata o:title=""/>
                      <o:lock v:ext="edit" aspectratio="f"/>
                      <v:textbox>
                        <w:txbxContent>
                          <w:p w14:paraId="1152DCD3">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2124710</wp:posOffset>
                      </wp:positionH>
                      <wp:positionV relativeFrom="paragraph">
                        <wp:posOffset>579120</wp:posOffset>
                      </wp:positionV>
                      <wp:extent cx="788035" cy="274955"/>
                      <wp:effectExtent l="4445" t="4445" r="7620" b="6350"/>
                      <wp:wrapNone/>
                      <wp:docPr id="84" name="任意多边形 84"/>
                      <wp:cNvGraphicFramePr/>
                      <a:graphic xmlns:a="http://schemas.openxmlformats.org/drawingml/2006/main">
                        <a:graphicData uri="http://schemas.microsoft.com/office/word/2010/wordprocessingShape">
                          <wps:wsp>
                            <wps:cNvSpPr/>
                            <wps:spPr>
                              <a:xfrm>
                                <a:off x="5085715" y="6017260"/>
                                <a:ext cx="788035" cy="274955"/>
                              </a:xfrm>
                              <a:custGeom>
                                <a:avLst/>
                                <a:gdLst>
                                  <a:gd name="connisteX0" fmla="*/ 179705 w 687070"/>
                                  <a:gd name="connsiteY0" fmla="*/ 42545 h 424815"/>
                                  <a:gd name="connisteX1" fmla="*/ 176530 w 687070"/>
                                  <a:gd name="connsiteY1" fmla="*/ 88265 h 424815"/>
                                  <a:gd name="connisteX2" fmla="*/ 80010 w 687070"/>
                                  <a:gd name="connsiteY2" fmla="*/ 76835 h 424815"/>
                                  <a:gd name="connisteX3" fmla="*/ 80010 w 687070"/>
                                  <a:gd name="connsiteY3" fmla="*/ 176530 h 424815"/>
                                  <a:gd name="connisteX4" fmla="*/ 0 w 687070"/>
                                  <a:gd name="connsiteY4" fmla="*/ 210820 h 424815"/>
                                  <a:gd name="connisteX5" fmla="*/ 17145 w 687070"/>
                                  <a:gd name="connsiteY5" fmla="*/ 245110 h 424815"/>
                                  <a:gd name="connisteX6" fmla="*/ 53975 w 687070"/>
                                  <a:gd name="connsiteY6" fmla="*/ 276860 h 424815"/>
                                  <a:gd name="connisteX7" fmla="*/ 102870 w 687070"/>
                                  <a:gd name="connsiteY7" fmla="*/ 273685 h 424815"/>
                                  <a:gd name="connisteX8" fmla="*/ 105410 w 687070"/>
                                  <a:gd name="connsiteY8" fmla="*/ 294005 h 424815"/>
                                  <a:gd name="connisteX9" fmla="*/ 85725 w 687070"/>
                                  <a:gd name="connsiteY9" fmla="*/ 327660 h 424815"/>
                                  <a:gd name="connisteX10" fmla="*/ 120015 w 687070"/>
                                  <a:gd name="connsiteY10" fmla="*/ 339090 h 424815"/>
                                  <a:gd name="connisteX11" fmla="*/ 162560 w 687070"/>
                                  <a:gd name="connsiteY11" fmla="*/ 313690 h 424815"/>
                                  <a:gd name="connisteX12" fmla="*/ 248285 w 687070"/>
                                  <a:gd name="connsiteY12" fmla="*/ 311150 h 424815"/>
                                  <a:gd name="connisteX13" fmla="*/ 299085 w 687070"/>
                                  <a:gd name="connsiteY13" fmla="*/ 285115 h 424815"/>
                                  <a:gd name="connisteX14" fmla="*/ 296545 w 687070"/>
                                  <a:gd name="connsiteY14" fmla="*/ 236855 h 424815"/>
                                  <a:gd name="connisteX15" fmla="*/ 413385 w 687070"/>
                                  <a:gd name="connsiteY15" fmla="*/ 294005 h 424815"/>
                                  <a:gd name="connisteX16" fmla="*/ 516255 w 687070"/>
                                  <a:gd name="connsiteY16" fmla="*/ 336550 h 424815"/>
                                  <a:gd name="connisteX17" fmla="*/ 587375 w 687070"/>
                                  <a:gd name="connsiteY17" fmla="*/ 399415 h 424815"/>
                                  <a:gd name="connisteX18" fmla="*/ 684530 w 687070"/>
                                  <a:gd name="connsiteY18" fmla="*/ 424815 h 424815"/>
                                  <a:gd name="connisteX19" fmla="*/ 687070 w 687070"/>
                                  <a:gd name="connsiteY19" fmla="*/ 359410 h 424815"/>
                                  <a:gd name="connisteX20" fmla="*/ 553085 w 687070"/>
                                  <a:gd name="connsiteY20" fmla="*/ 282575 h 424815"/>
                                  <a:gd name="connisteX21" fmla="*/ 422275 w 687070"/>
                                  <a:gd name="connsiteY21" fmla="*/ 262255 h 424815"/>
                                  <a:gd name="connisteX22" fmla="*/ 453390 w 687070"/>
                                  <a:gd name="connsiteY22" fmla="*/ 205105 h 424815"/>
                                  <a:gd name="connisteX23" fmla="*/ 316230 w 687070"/>
                                  <a:gd name="connsiteY23" fmla="*/ 91440 h 424815"/>
                                  <a:gd name="connisteX24" fmla="*/ 333375 w 687070"/>
                                  <a:gd name="connsiteY24" fmla="*/ 80010 h 424815"/>
                                  <a:gd name="connisteX25" fmla="*/ 410845 w 687070"/>
                                  <a:gd name="connsiteY25" fmla="*/ 137160 h 424815"/>
                                  <a:gd name="connisteX26" fmla="*/ 513080 w 687070"/>
                                  <a:gd name="connsiteY26" fmla="*/ 193675 h 424815"/>
                                  <a:gd name="connisteX27" fmla="*/ 533400 w 687070"/>
                                  <a:gd name="connsiteY27" fmla="*/ 242570 h 424815"/>
                                  <a:gd name="connisteX28" fmla="*/ 558800 w 687070"/>
                                  <a:gd name="connsiteY28" fmla="*/ 265430 h 424815"/>
                                  <a:gd name="connisteX29" fmla="*/ 635635 w 687070"/>
                                  <a:gd name="connsiteY29" fmla="*/ 279400 h 424815"/>
                                  <a:gd name="connisteX30" fmla="*/ 633095 w 687070"/>
                                  <a:gd name="connsiteY30" fmla="*/ 231140 h 424815"/>
                                  <a:gd name="connisteX31" fmla="*/ 647065 w 687070"/>
                                  <a:gd name="connsiteY31" fmla="*/ 227965 h 424815"/>
                                  <a:gd name="connisteX32" fmla="*/ 647065 w 687070"/>
                                  <a:gd name="connsiteY32" fmla="*/ 182245 h 424815"/>
                                  <a:gd name="connisteX33" fmla="*/ 621665 w 687070"/>
                                  <a:gd name="connsiteY33" fmla="*/ 173990 h 424815"/>
                                  <a:gd name="connisteX34" fmla="*/ 618490 w 687070"/>
                                  <a:gd name="connsiteY34" fmla="*/ 139700 h 424815"/>
                                  <a:gd name="connisteX35" fmla="*/ 564515 w 687070"/>
                                  <a:gd name="connsiteY35" fmla="*/ 85725 h 424815"/>
                                  <a:gd name="connisteX36" fmla="*/ 558800 w 687070"/>
                                  <a:gd name="connsiteY36" fmla="*/ 128270 h 424815"/>
                                  <a:gd name="connisteX37" fmla="*/ 478790 w 687070"/>
                                  <a:gd name="connsiteY37" fmla="*/ 102870 h 424815"/>
                                  <a:gd name="connisteX38" fmla="*/ 410845 w 687070"/>
                                  <a:gd name="connsiteY38" fmla="*/ 19685 h 424815"/>
                                  <a:gd name="connisteX39" fmla="*/ 302260 w 687070"/>
                                  <a:gd name="connsiteY39" fmla="*/ 19685 h 424815"/>
                                  <a:gd name="connisteX40" fmla="*/ 267970 w 687070"/>
                                  <a:gd name="connsiteY40" fmla="*/ 0 h 424815"/>
                                  <a:gd name="connisteX41" fmla="*/ 248285 w 687070"/>
                                  <a:gd name="connsiteY41" fmla="*/ 2540 h 424815"/>
                                  <a:gd name="connisteX42" fmla="*/ 276860 w 687070"/>
                                  <a:gd name="connsiteY42" fmla="*/ 22860 h 424815"/>
                                  <a:gd name="connisteX43" fmla="*/ 279400 w 687070"/>
                                  <a:gd name="connsiteY43" fmla="*/ 42545 h 424815"/>
                                  <a:gd name="connisteX44" fmla="*/ 248285 w 687070"/>
                                  <a:gd name="connsiteY44" fmla="*/ 34290 h 424815"/>
                                  <a:gd name="connisteX45" fmla="*/ 248285 w 687070"/>
                                  <a:gd name="connsiteY45" fmla="*/ 76835 h 424815"/>
                                  <a:gd name="connisteX46" fmla="*/ 179705 w 687070"/>
                                  <a:gd name="connsiteY46" fmla="*/ 42545 h 42481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 ang="0">
                                    <a:pos x="connisteX40" y="connsiteY40"/>
                                  </a:cxn>
                                  <a:cxn ang="0">
                                    <a:pos x="connisteX41" y="connsiteY41"/>
                                  </a:cxn>
                                  <a:cxn ang="0">
                                    <a:pos x="connisteX42" y="connsiteY42"/>
                                  </a:cxn>
                                  <a:cxn ang="0">
                                    <a:pos x="connisteX43" y="connsiteY43"/>
                                  </a:cxn>
                                  <a:cxn ang="0">
                                    <a:pos x="connisteX44" y="connsiteY44"/>
                                  </a:cxn>
                                  <a:cxn ang="0">
                                    <a:pos x="connisteX45" y="connsiteY45"/>
                                  </a:cxn>
                                  <a:cxn ang="0">
                                    <a:pos x="connisteX46" y="connsiteY46"/>
                                  </a:cxn>
                                </a:cxnLst>
                                <a:rect l="l" t="t" r="r" b="b"/>
                                <a:pathLst>
                                  <a:path w="687070" h="424815">
                                    <a:moveTo>
                                      <a:pt x="179705" y="42545"/>
                                    </a:moveTo>
                                    <a:lnTo>
                                      <a:pt x="176530" y="88265"/>
                                    </a:lnTo>
                                    <a:lnTo>
                                      <a:pt x="80010" y="76835"/>
                                    </a:lnTo>
                                    <a:lnTo>
                                      <a:pt x="80010" y="176530"/>
                                    </a:lnTo>
                                    <a:lnTo>
                                      <a:pt x="0" y="210820"/>
                                    </a:lnTo>
                                    <a:lnTo>
                                      <a:pt x="17145" y="245110"/>
                                    </a:lnTo>
                                    <a:lnTo>
                                      <a:pt x="53975" y="276860"/>
                                    </a:lnTo>
                                    <a:lnTo>
                                      <a:pt x="102870" y="273685"/>
                                    </a:lnTo>
                                    <a:lnTo>
                                      <a:pt x="105410" y="294005"/>
                                    </a:lnTo>
                                    <a:lnTo>
                                      <a:pt x="85725" y="327660"/>
                                    </a:lnTo>
                                    <a:lnTo>
                                      <a:pt x="120015" y="339090"/>
                                    </a:lnTo>
                                    <a:lnTo>
                                      <a:pt x="162560" y="313690"/>
                                    </a:lnTo>
                                    <a:lnTo>
                                      <a:pt x="248285" y="311150"/>
                                    </a:lnTo>
                                    <a:lnTo>
                                      <a:pt x="299085" y="285115"/>
                                    </a:lnTo>
                                    <a:lnTo>
                                      <a:pt x="296545" y="236855"/>
                                    </a:lnTo>
                                    <a:lnTo>
                                      <a:pt x="413385" y="294005"/>
                                    </a:lnTo>
                                    <a:lnTo>
                                      <a:pt x="516255" y="336550"/>
                                    </a:lnTo>
                                    <a:lnTo>
                                      <a:pt x="587375" y="399415"/>
                                    </a:lnTo>
                                    <a:lnTo>
                                      <a:pt x="684530" y="424815"/>
                                    </a:lnTo>
                                    <a:lnTo>
                                      <a:pt x="687070" y="359410"/>
                                    </a:lnTo>
                                    <a:lnTo>
                                      <a:pt x="553085" y="282575"/>
                                    </a:lnTo>
                                    <a:lnTo>
                                      <a:pt x="422275" y="262255"/>
                                    </a:lnTo>
                                    <a:lnTo>
                                      <a:pt x="453390" y="205105"/>
                                    </a:lnTo>
                                    <a:lnTo>
                                      <a:pt x="316230" y="91440"/>
                                    </a:lnTo>
                                    <a:lnTo>
                                      <a:pt x="333375" y="80010"/>
                                    </a:lnTo>
                                    <a:lnTo>
                                      <a:pt x="410845" y="137160"/>
                                    </a:lnTo>
                                    <a:lnTo>
                                      <a:pt x="513080" y="193675"/>
                                    </a:lnTo>
                                    <a:lnTo>
                                      <a:pt x="533400" y="242570"/>
                                    </a:lnTo>
                                    <a:lnTo>
                                      <a:pt x="558800" y="265430"/>
                                    </a:lnTo>
                                    <a:lnTo>
                                      <a:pt x="635635" y="279400"/>
                                    </a:lnTo>
                                    <a:lnTo>
                                      <a:pt x="633095" y="231140"/>
                                    </a:lnTo>
                                    <a:lnTo>
                                      <a:pt x="647065" y="227965"/>
                                    </a:lnTo>
                                    <a:lnTo>
                                      <a:pt x="647065" y="182245"/>
                                    </a:lnTo>
                                    <a:lnTo>
                                      <a:pt x="621665" y="173990"/>
                                    </a:lnTo>
                                    <a:lnTo>
                                      <a:pt x="618490" y="139700"/>
                                    </a:lnTo>
                                    <a:lnTo>
                                      <a:pt x="564515" y="85725"/>
                                    </a:lnTo>
                                    <a:lnTo>
                                      <a:pt x="558800" y="128270"/>
                                    </a:lnTo>
                                    <a:lnTo>
                                      <a:pt x="478790" y="102870"/>
                                    </a:lnTo>
                                    <a:lnTo>
                                      <a:pt x="410845" y="19685"/>
                                    </a:lnTo>
                                    <a:lnTo>
                                      <a:pt x="302260" y="19685"/>
                                    </a:lnTo>
                                    <a:lnTo>
                                      <a:pt x="267970" y="0"/>
                                    </a:lnTo>
                                    <a:lnTo>
                                      <a:pt x="248285" y="2540"/>
                                    </a:lnTo>
                                    <a:lnTo>
                                      <a:pt x="276860" y="22860"/>
                                    </a:lnTo>
                                    <a:lnTo>
                                      <a:pt x="279400" y="42545"/>
                                    </a:lnTo>
                                    <a:lnTo>
                                      <a:pt x="248285" y="34290"/>
                                    </a:lnTo>
                                    <a:lnTo>
                                      <a:pt x="248285" y="76835"/>
                                    </a:lnTo>
                                    <a:lnTo>
                                      <a:pt x="179705" y="42545"/>
                                    </a:lnTo>
                                    <a:close/>
                                  </a:path>
                                </a:pathLst>
                              </a:custGeom>
                              <a:noFill/>
                              <a:ln w="63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67.3pt;margin-top:45.6pt;height:21.65pt;width:62.05pt;z-index:251680768;mso-width-relative:page;mso-height-relative:page;" filled="f" stroked="t" coordsize="687070,424815" o:gfxdata="UEsDBAoAAAAAAIdO4kAAAAAAAAAAAAAAAAAEAAAAZHJzL1BLAwQUAAAACACHTuJA8nIhFtkAAAAK&#10;AQAADwAAAGRycy9kb3ducmV2LnhtbE2Py07DMBBF90j8gzVI7KidVwkhTheotBLqhsKCpRsPSUQ8&#10;NrHTx99jVrAc3aN7z9SrsxnZESc/WJKQLAQwpNbqgToJ72/PdyUwHxRpNVpCCRf0sGqur2pVaXui&#10;VzzuQ8diCflKSehDcBXnvu3RKL+wDilmn3YyKsRz6rie1CmWm5GnQiy5UQPFhV45fOqx/drPRsKH&#10;XrttJuZ1UaYv7lJ2m+/ddiPl7U0iHoEFPIc/GH71ozo00elgZ9KejRKyLF9GVMJDkgKLQF6U98AO&#10;kczyAnhT8/8vND9QSwMEFAAAAAgAh07iQMYa2FUyCAAA9ioAAA4AAABkcnMvZTJvRG9jLnhtbK1a&#10;zY7bNhC+F+g7CDoWaCyS+l3Em0OD9FK0AZIC7VEry2sDtiRIyu7m3nvvPRZ9iSJon6Yp+hgdzsi7&#10;QwXlD9AgiK34+zgi+c2QnOHzFw/nU3TXjtOx77axeJbEUds1/e7Y3W7j79+++rKMo2muu1196rt2&#10;G79vp/jF9eefPb8frlrZH/rTrh0jaKSbru6HbXyY5+Fqs5maQ3uup2f90Hbw474fz/UMj+PtZjfW&#10;99D6+bSRSZJv7vtxN4x9004T/O9L+jFeWhx9Guz3+2PTvuybd+e2m6nVsT3VM3RpOhyHKb7Gt93v&#10;22b+br+f2jk6bWPo6Yz/ghH4fqP/3Vw/r69ux3o4HJvlFWqfV1j16VwfOzD62NTLeq6jd+Pxk6bO&#10;x2bsp34/P2v684Y6giMCvRDJamzeHOqhxb7AUE/D46BP/1+zzbd3r8fouNvGZRpHXX2GGf/rw4e/&#10;f/r542+//PPn7x//+DWCX2CY7ofpCtBvhtfj8jTBV93nh/141p/Qm+hhG2dJmRUii6P32zhPRCHz&#10;ZZjbhzlqAFCUZaLg9wYAskirLNPtb54aat5N89dtj43Wd99MM83SDr7hGO+WF236rjtOc/sDzOb+&#10;fIKJ+2ITiaIqkiy6j/KySIrLDHPKdJzbHzkllVmaRYcolWkJL75YWxsRhpE8U4nTCKeUpczdRiQz&#10;UiYgCacNzijyUrltqGAbnCEK7LprtEBNj1Pi7gRHS5GUMnFOBwjo0YAoBEyga8o5Q6aZgMF19SJn&#10;RjJVFW4jnCFhPnK3kYIZEYkE2Tq7wimyUHnpnnUI60/jlWSph7Q4RVZpAm7lGrCKWYEwIN0DxhkK&#10;RsxjwAR3XgGLinCbMThKVUnlnhjB/VfkMoN3c4nM4Cihch873IchBkmYTqcdzlFCiMyjP9yPZVVB&#10;oHbbMTgleI1bBMJw5yrX0dXZH4OjFe1hh3t0KpTy6Q/neIpacKfOtBA8+sM5SuWZz/xwt87KQnnE&#10;G8E5qqpSn/nhjp2XqddSxjm0UDqDgeC+TcuxWwecozLoj1vXkseDDHrjoQODI0uZwVi7gpvk8SCV&#10;UnrMj8GRudTacdrhvg2zA9HKOW6Sc2SSCY9gLblvK9C1x5bG4FQiTT2mh7u2gj8+w8Y5tBFyjhr3&#10;bJAN6No9apwjVCE8Vh/JPTsToDaP2eEcUancR23cs0EEsP66+8M5Eva1sJdwjhv37CyDzbmHHc6B&#10;fW0KynHa4Z6dqwz+uvvDObLQexCnHcWjQa5UUrntGBwJy6mHrBWPBnlaJLC9d61yBgfiB6yN7v5w&#10;z/a1wzmilLDdddvh0SCXIvfpD+eIAtYfj/nhrp2LMvWIbopzBGzEfXTAfTvLYcPvMT+cQ/tXl6wV&#10;d21P9zE4AlYfDzdV3LXToix8ho1zlqOFsz/ctT3DqOIcUfkcRxT3bJVIyBK4vYdz/MykPBjIXOcG&#10;nGYMjlvPKY8Dnrt3k5N5RJuUe/RysHRFG5Mjfc6iKXfoJeA6zXCOXy4l5f7sO2aco1LpEWpS7s6+&#10;ZjjHL6GS8hDgmX8yOJ8OGmTDbi/5rvpwSYE1D92SA4NvUa0ztgmmHYd+0qk3nhCD5Jp+XJJdlGAD&#10;lk6gOcigZ04WS3bOjwwy5WQZRAYhcbIKIoM8OBmTljCMfq8Nk87Jl4ykHxmmn5PzoNeGEM3JRRAZ&#10;4i4nl0FkiKacXAWRdT6Fs+E5SGNrkYWpTKxkBs9B1ldCE2FK0/kNo+9hWlty44/eSSlnb6nqbIRh&#10;PUxvOmFg0MMUJ1aSg+egkV+JDlIEIXR9aucvD89B9JXq4HAeRF+pDs7cQfSV6uAoHURfqU6GqU6u&#10;Qhw8B1lfqQ5OwUH0lepkmOrkSnXwHGR9pToZpjp9OuSqg+cQ6/rQZ9DDVKdWqoPnIOsr1akw1emT&#10;l/HyYarTdT6DHqY6fVAy6GGq02cmgx6mOn2sMehhqtNHHIMepjp9DOF0eA6Zd33EMOhhqtNnB4Me&#10;pjp9jjDoYarT5wODHqY6ve836GGq03tzg26ojhbqZR8+wg0DfbfghHcL5jiCuwUj3i240bNVXw31&#10;rLfvl6/RPRTFqTAdHbbxUnHWv577u/Ztj7hZ7+XpHIEvgseDZfKfYKfOhOuyLMKx0rzAL6DL54Bt&#10;Y0IVsXjA8cRS5dcKphegCq4ViBVbfAOqxFrBWHklMFZUrWBKcyxoXUdyoHUllNBY4bSiMSOEYKpU&#10;WsFUmCQ01hvtaCwvEhqrhlY0nWUXtK792dFY6kM0lBYB7kDrgh2hsQ5nRVPZjdDuAaTiGb031sSs&#10;bVMJjNBY2bKiqZCF6KeLHOCsF+lfPskFLk4Ifk5VJmvbVFSiXmKtyIqm0hChseJjR2OBh9BYt7Gi&#10;qUyDaKy+2MFYbEEwuTwtIJeRuHzSiFCuD8FUCbE2TYUPQmM9w47G8gWiqSphR2MRgtBYW7CiqZRA&#10;aKwQONC6IEBozPPb0ZjWJzRm633RlHO3ozHFjm1T5tyOxkQ5oTH/bUVTuhvRFLNsE09Ja2oac9HW&#10;pin1TGi8rGJHYx2O0DovbAVTGtgTTMlcBDuiH16oQCDc83JgaX3Rq7/U+VLr61J6FBvmK/TFqy6f&#10;5F08Yuvcpb3lp1d2L9D/sVG4mG9O/dTS9Ou9CF60e9yU6L3Mu6fLdl3/6ng6AVhHTdyqKFhaoqaG&#10;e557uF8JX88D3BWcuts4qk+3cIG0mUfMQE796bjTbE2extubr05jdFfD1ujVqwT+LP01YMM4zS/r&#10;6UA4/OlxWOA99Y1DumOov930u/d49RD/H65DYk+Wq5v6viV/RvbTddXr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kCgAAW0NvbnRlbnRfVHlw&#10;ZXNdLnhtbFBLAQIUAAoAAAAAAIdO4kAAAAAAAAAAAAAAAAAGAAAAAAAAAAAAEAAAAIYJAABfcmVs&#10;cy9QSwECFAAUAAAACACHTuJAihRmPNEAAACUAQAACwAAAAAAAAABACAAAACqCQAAX3JlbHMvLnJl&#10;bHNQSwECFAAKAAAAAACHTuJAAAAAAAAAAAAAAAAABAAAAAAAAAAAABAAAAAAAAAAZHJzL1BLAQIU&#10;ABQAAAAIAIdO4kDyciEW2QAAAAoBAAAPAAAAAAAAAAEAIAAAACIAAABkcnMvZG93bnJldi54bWxQ&#10;SwECFAAUAAAACACHTuJAxhrYVTIIAAD2KgAADgAAAAAAAAABACAAAAAoAQAAZHJzL2Uyb0RvYy54&#10;bWxQSwUGAAAAAAYABgBZAQAAzAsAAAAA&#10;" path="m179705,42545l176530,88265,80010,76835,80010,176530,0,210820,17145,245110,53975,276860,102870,273685,105410,294005,85725,327660,120015,339090,162560,313690,248285,311150,299085,285115,296545,236855,413385,294005,516255,336550,587375,399415,684530,424815,687070,359410,553085,282575,422275,262255,453390,205105,316230,91440,333375,80010,410845,137160,513080,193675,533400,242570,558800,265430,635635,279400,633095,231140,647065,227965,647065,182245,621665,173990,618490,139700,564515,85725,558800,128270,478790,102870,410845,19685,302260,19685,267970,0,248285,2540,276860,22860,279400,42545,248285,34290,248285,76835,179705,42545xe">
                      <v:path o:connectlocs="206112,27536;202471,57128;91767,49730;91767,114256;0,136450;19664,158643;61906,179193;117986,177138;120900,190290;98322,212072;137651,219470;186448,203031;284770,201387;343035,184536;340122,153300;474131,190290;592118,217826;673689,258515;785121,274955;788035,232622;634360,182892;484328,169740;520015,132751;362700,59183;382364,51785;471218,88774;588477,125353;611783,156999;640915,171795;729041,180837;726128,149601;742151,147546;742151,117955;713018,112612;709377,90418;647470,55484;640915,83020;549148,66581;471218,12740;346677,12740;307348,0;284770,1643;317544,14795;320457,27536;284770,22193;284770,49730;206112,27536" o:connectangles="0,0,0,0,0,0,0,0,0,0,0,0,0,0,0,0,0,0,0,0,0,0,0,0,0,0,0,0,0,0,0,0,0,0,0,0,0,0,0,0,0,0,0,0,0,0,0"/>
                      <v:fill on="f" focussize="0,0"/>
                      <v:stroke weight="0.5pt" color="#FF0000 [2404]" joinstyle="round"/>
                      <v:imagedata o:title=""/>
                      <o:lock v:ext="edit" aspectratio="f"/>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3840" behindDoc="0" locked="0" layoutInCell="1" allowOverlap="1">
                      <wp:simplePos x="0" y="0"/>
                      <wp:positionH relativeFrom="column">
                        <wp:posOffset>1409065</wp:posOffset>
                      </wp:positionH>
                      <wp:positionV relativeFrom="paragraph">
                        <wp:posOffset>1225550</wp:posOffset>
                      </wp:positionV>
                      <wp:extent cx="894080" cy="278765"/>
                      <wp:effectExtent l="6350" t="6350" r="90170" b="343535"/>
                      <wp:wrapNone/>
                      <wp:docPr id="91" name="线形标注 1 91"/>
                      <wp:cNvGraphicFramePr/>
                      <a:graphic xmlns:a="http://schemas.openxmlformats.org/drawingml/2006/main">
                        <a:graphicData uri="http://schemas.microsoft.com/office/word/2010/wordprocessingShape">
                          <wps:wsp>
                            <wps:cNvSpPr/>
                            <wps:spPr>
                              <a:xfrm>
                                <a:off x="0" y="0"/>
                                <a:ext cx="894080" cy="278765"/>
                              </a:xfrm>
                              <a:prstGeom prst="borderCallout1">
                                <a:avLst>
                                  <a:gd name="adj1" fmla="val 103092"/>
                                  <a:gd name="adj2" fmla="val 52419"/>
                                  <a:gd name="adj3" fmla="val 217084"/>
                                  <a:gd name="adj4" fmla="val 108695"/>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27B69096">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19#光伏阵列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10.95pt;margin-top:96.5pt;height:21.95pt;width:70.4pt;z-index:251683840;v-text-anchor:middle;mso-width-relative:page;mso-height-relative:page;" fillcolor="#FFFFFF [3212]" filled="t" stroked="t" coordsize="21600,21600" o:gfxdata="UEsDBAoAAAAAAIdO4kAAAAAAAAAAAAAAAAAEAAAAZHJzL1BLAwQUAAAACACHTuJA4vZt9dcAAAAL&#10;AQAADwAAAGRycy9kb3ducmV2LnhtbE2Pu07EMBBFeyT+wRokOtaOI4VNiLMFEg0Sgn0UlE48JNHG&#10;dmQ72eXvGSooR/fozrn17montmKIo3cKso0Ahq7zZnS9gtPx5WELLCbtjJ68QwXfGGHX3N7UujL+&#10;4va4HlLPqMTFSisYUporzmM3oNVx42d0lH35YHWiM/TcBH2hcjtxKUTBrR4dfRj0jM8DdufDYhW0&#10;WOD+/JFew9uyPclV4PtnWpS6v8vEE7CE1/QHw68+qUNDTq1fnIlsUiBlVhJKQZnTKCLyQj4CaynK&#10;ixJ4U/P/G5ofUEsDBBQAAAAIAIdO4kDVR+G42AIAANoFAAAOAAAAZHJzL2Uyb0RvYy54bWytVMlu&#10;1EAQvSPxD62+Ey+ZZBbFE41mGIQUkUgBca5pt8dGvdHds4Qf4DcQJ+7ckBBfQ/gNqttO4iwHDvhg&#10;V3WVq1+9Wk5O91KQLbeu0aqg2UFKCVdMl41aF/Td2+WLESXOgypBaMULesUdPZ0+f3ayMxOe61qL&#10;kluCQZSb7ExBa+/NJEkcq7kEd6ANV2istJXgUbXrpLSww+hSJHmaHic7bUtjNePO4emiNdIuov2X&#10;gLqqGsYXmm0kV76NarkAjym5ujGOTiPaquLMn1eV456IgmKmPr7xEpRX4Z1MT2CytmDqhnUQ4F8g&#10;PMhJQqPw0ttQC/BANrZ5FEo2zGqnK3/AtEzaRCIjmEWWPuDmsgbDYy5ItTO3pLv/F5a92V5Y0pQF&#10;HWeUKJBY8T8/fv3++fX6y+fr799IRtCALO2Mm6DzpbmwneZQDCnvKyvDF5Mh+8js1S2zfO8Jw8PR&#10;eJCOkHOGpnw4Gh4fhZjJ3c/GOv+Ka0mCUNAV9gi3cxBCb3wWmYXtmfOR4rLDCeUHxFxJgRXbgiBZ&#10;epiO866kPae873SUD7LxY5/Dvk+eDdPR4LHToO+UpaPj8U0aHThM6CaRgNRp0ZTLRoio2PVqLixB&#10;pAVdxqfj4J6bUGSHY5kP00AX4IBV2NgoSoNFcmpNCYg1Ti7zNvJy72/XvySNz1OXBJALcHULJkZo&#10;s605lC9VSfyVwUZQuADacw+NuDsHa/WOBpySl5QIjnCC1JZUKKxsaJe2QYLk96t91zUrXV5hx1nd&#10;jqIzbNkgmjNw/gIsVhLTxu3kz/FVCY136E6ipNb201PnwR9HAq0ICmcZefq4AcsR2muFwzLOBgMM&#10;66MyOBrmqNi+ZdW3qI2ca6wR9haii2Lw9+JGrKyW77FBZ+FWNIFieHdbkU6Z+3bH4BpkfDaLbjjw&#10;BvyZujQsBA89ofRs43XV+MBcIKplp1Nw5OOMdOsp7JS+Hr3uVvL0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OL2bfXXAAAACwEAAA8AAAAAAAAAAQAgAAAAIgAAAGRycy9kb3ducmV2LnhtbFBLAQIU&#10;ABQAAAAIAIdO4kDVR+G42AIAANoFAAAOAAAAAAAAAAEAIAAAACYBAABkcnMvZTJvRG9jLnhtbFBL&#10;BQYAAAAABgAGAFkBAABwBgAAAAA=&#10;" adj="23478,46890,11323,22268">
                      <v:fill on="t" focussize="0,0"/>
                      <v:stroke weight="1pt" color="#000000 [3213]" joinstyle="round" startarrow="open"/>
                      <v:imagedata o:title=""/>
                      <o:lock v:ext="edit" aspectratio="f"/>
                      <v:textbox>
                        <w:txbxContent>
                          <w:p w14:paraId="27B69096">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19#光伏阵列</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2816" behindDoc="0" locked="0" layoutInCell="1" allowOverlap="1">
                      <wp:simplePos x="0" y="0"/>
                      <wp:positionH relativeFrom="column">
                        <wp:posOffset>1417320</wp:posOffset>
                      </wp:positionH>
                      <wp:positionV relativeFrom="paragraph">
                        <wp:posOffset>46355</wp:posOffset>
                      </wp:positionV>
                      <wp:extent cx="894080" cy="278765"/>
                      <wp:effectExtent l="6350" t="6350" r="90170" b="343535"/>
                      <wp:wrapNone/>
                      <wp:docPr id="90" name="线形标注 1 90"/>
                      <wp:cNvGraphicFramePr/>
                      <a:graphic xmlns:a="http://schemas.openxmlformats.org/drawingml/2006/main">
                        <a:graphicData uri="http://schemas.microsoft.com/office/word/2010/wordprocessingShape">
                          <wps:wsp>
                            <wps:cNvSpPr/>
                            <wps:spPr>
                              <a:xfrm>
                                <a:off x="0" y="0"/>
                                <a:ext cx="894080" cy="278765"/>
                              </a:xfrm>
                              <a:prstGeom prst="borderCallout1">
                                <a:avLst>
                                  <a:gd name="adj1" fmla="val 103092"/>
                                  <a:gd name="adj2" fmla="val 52419"/>
                                  <a:gd name="adj3" fmla="val 217084"/>
                                  <a:gd name="adj4" fmla="val 108695"/>
                                </a:avLst>
                              </a:prstGeom>
                              <a:solidFill>
                                <a:schemeClr val="bg1"/>
                              </a:solidFill>
                              <a:ln w="12700" cmpd="sng">
                                <a:solidFill>
                                  <a:schemeClr val="tx1"/>
                                </a:solidFill>
                                <a:prstDash val="solid"/>
                                <a:headEnd type="none"/>
                                <a:tailEnd type="arrow" w="med" len="med"/>
                              </a:ln>
                            </wps:spPr>
                            <wps:style>
                              <a:lnRef idx="2">
                                <a:schemeClr val="accent1">
                                  <a:lumMod val="75000"/>
                                </a:schemeClr>
                              </a:lnRef>
                              <a:fillRef idx="1">
                                <a:schemeClr val="accent1"/>
                              </a:fillRef>
                              <a:effectRef idx="0">
                                <a:srgbClr val="FFFFFF"/>
                              </a:effectRef>
                              <a:fontRef idx="minor">
                                <a:schemeClr val="lt1"/>
                              </a:fontRef>
                            </wps:style>
                            <wps:txbx>
                              <w:txbxContent>
                                <w:p w14:paraId="7D5FBD3B">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26#光伏阵列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111.6pt;margin-top:3.65pt;height:21.95pt;width:70.4pt;z-index:251682816;v-text-anchor:middle;mso-width-relative:page;mso-height-relative:page;" fillcolor="#FFFFFF [3212]" filled="t" stroked="t" coordsize="21600,21600" o:gfxdata="UEsDBAoAAAAAAIdO4kAAAAAAAAAAAAAAAAAEAAAAZHJzL1BLAwQUAAAACACHTuJAhFpBc9YAAAAI&#10;AQAADwAAAGRycy9kb3ducmV2LnhtbE2PP0/DMBTEdyS+g/WQ2KgdB0KVxumAxIKEoH8GRid+TaLG&#10;z5HtpOXbYyYYT3e6+121vdqRLejD4EhBthLAkFpnBuoUHA+vD2tgIWoyenSECr4xwLa+val0adyF&#10;drjsY8dSCYVSK+hjnErOQ9uj1WHlJqTknZy3OibpO268vqRyO3IpRMGtHigt9HrClx7b8362Chos&#10;cHf+jG/+fV4f5SLw4yvOSt3fZWIDLOI1/oXhFz+hQ52YGjeTCWxUIGUuU1TBcw4s+XnxmL41Cp4y&#10;Cbyu+P8D9Q9QSwMEFAAAAAgAh07iQGF8V4nZAgAA2gUAAA4AAABkcnMvZTJvRG9jLnhtbK1UyW7U&#10;QBC9I/EPrb4TL5lkFsUTjWYYhBSRSAFxrmm3x0a90d2zhB/gNxAn7tyQEF9D+A2q207iLAcO+GBX&#10;dZWrXr2q6pPTvRRky61rtCpodpBSwhXTZaPWBX33dvliRInzoEoQWvGCXnFHT6fPn53szITnutai&#10;5JZgEOUmO1PQ2nszSRLHai7BHWjDFRorbSV4VO06KS3sMLoUSZ6mx8lO29JYzbhzeLpojbSLaP8l&#10;oK6qhvGFZhvJlW+jWi7AY0muboyj04i2qjjz51XluCeioFipj29MgvIqvJPpCUzWFkzdsA4C/AuE&#10;BzVJaBQmvQ21AA9kY5tHoWTDrHa68gdMy6QtJDKCVWTpA24uazA81oJUO3NLuvt/Ydmb7YUlTVnQ&#10;MVKiQGLH//z49fvn1+svn6+/fyMZQQOytDNugs6X5sJ2mkMxlLyvrAxfLIbsI7NXt8zyvScMD0fj&#10;QTrCBAxN+XA0PD4KMZO7n411/hXXkgShoCucEW7nIITe+CwyC9sz5yPFZYcTyg8ZJZUU2LEtCJKl&#10;h+k471rac8r7Tkf5IBs/9jns++TZMB0NHjsN+k5ZOjoe35TRgcOCbgoJSJ0WTblshIiKXa/mwhJE&#10;WtBlfDoO7rkJRXa4lvkwDXQBLliFg42iNNgkp9aUgFjj5jJvIy/3/nb9JGl8nkoSQC7A1S2YGKGt&#10;tuZQvlQl8VcGB0HhBdCee2jE3TlYq3c04JS8pERwhBOktqVCYWfDuLQDEiS/X+27qVnp8gonzup2&#10;FZ1hywbRnIHzF2Cxk1g23k7+HF+V0JhDdxIltbafnjoP/rgSaEVQuMvI08cNWI7QXitclnE2GGBY&#10;H5XB0TBHxfYtq75FbeRcY49wthBdFIO/FzdiZbV8jwM6C1nRBIph7rYjnTL37R2D1yDjs1l0w4U3&#10;4M/UpWEheJgJpWcbr6vGB+YCUS07nYIrH3eku57CndLXo9fdlTz9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IRaQXPWAAAACAEAAA8AAAAAAAAAAQAgAAAAIgAAAGRycy9kb3ducmV2LnhtbFBLAQIU&#10;ABQAAAAIAIdO4kBhfFeJ2QIAANoFAAAOAAAAAAAAAAEAIAAAACUBAABkcnMvZTJvRG9jLnhtbFBL&#10;BQYAAAAABgAGAFkBAABwBgAAAAA=&#10;" adj="23478,46890,11323,22268">
                      <v:fill on="t" focussize="0,0"/>
                      <v:stroke weight="1pt" color="#000000 [3213]" joinstyle="round" startarrow="open"/>
                      <v:imagedata o:title=""/>
                      <o:lock v:ext="edit" aspectratio="f"/>
                      <v:textbox>
                        <w:txbxContent>
                          <w:p w14:paraId="7D5FBD3B">
                            <w:pPr>
                              <w:ind w:left="0" w:leftChars="0" w:firstLine="0" w:firstLineChars="0"/>
                              <w:rPr>
                                <w:rFonts w:hint="default"/>
                                <w:color w:val="000000" w:themeColor="text1"/>
                                <w:lang w:val="en-US" w:eastAsia="zh-CN"/>
                                <w14:textFill>
                                  <w14:solidFill>
                                    <w14:schemeClr w14:val="tx1"/>
                                  </w14:solidFill>
                                </w14:textFill>
                              </w:rPr>
                            </w:pPr>
                            <w:r>
                              <w:rPr>
                                <w:rFonts w:hint="eastAsia"/>
                                <w:b w:val="0"/>
                                <w:bCs w:val="0"/>
                                <w:color w:val="000000" w:themeColor="text1"/>
                                <w:spacing w:val="-6"/>
                                <w:sz w:val="21"/>
                                <w:szCs w:val="21"/>
                                <w:lang w:val="en-US" w:eastAsia="zh-CN"/>
                                <w14:textFill>
                                  <w14:solidFill>
                                    <w14:schemeClr w14:val="tx1"/>
                                  </w14:solidFill>
                                </w14:textFill>
                              </w:rPr>
                              <w:t>26#光伏阵列</w:t>
                            </w:r>
                          </w:p>
                        </w:txbxContent>
                      </v:textbox>
                    </v:shape>
                  </w:pict>
                </mc:Fallback>
              </mc:AlternateContent>
            </w:r>
            <w:r>
              <w:rPr>
                <w:rFonts w:hint="default" w:ascii="Times New Roman" w:hAnsi="Times New Roman" w:eastAsia="仿宋" w:cs="Times New Roman"/>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2169795</wp:posOffset>
                      </wp:positionH>
                      <wp:positionV relativeFrom="paragraph">
                        <wp:posOffset>1456690</wp:posOffset>
                      </wp:positionV>
                      <wp:extent cx="869950" cy="490220"/>
                      <wp:effectExtent l="12700" t="11430" r="12700" b="12700"/>
                      <wp:wrapNone/>
                      <wp:docPr id="89" name="任意多边形 89"/>
                      <wp:cNvGraphicFramePr/>
                      <a:graphic xmlns:a="http://schemas.openxmlformats.org/drawingml/2006/main">
                        <a:graphicData uri="http://schemas.microsoft.com/office/word/2010/wordprocessingShape">
                          <wps:wsp>
                            <wps:cNvSpPr/>
                            <wps:spPr>
                              <a:xfrm>
                                <a:off x="2869565" y="4649470"/>
                                <a:ext cx="869950" cy="490220"/>
                              </a:xfrm>
                              <a:custGeom>
                                <a:avLst/>
                                <a:gdLst>
                                  <a:gd name="connisteX0" fmla="*/ 850265 w 869950"/>
                                  <a:gd name="connsiteY0" fmla="*/ 0 h 490220"/>
                                  <a:gd name="connisteX1" fmla="*/ 661670 w 869950"/>
                                  <a:gd name="connsiteY1" fmla="*/ 85090 h 490220"/>
                                  <a:gd name="connisteX2" fmla="*/ 525145 w 869950"/>
                                  <a:gd name="connsiteY2" fmla="*/ 159385 h 490220"/>
                                  <a:gd name="connisteX3" fmla="*/ 240030 w 869950"/>
                                  <a:gd name="connsiteY3" fmla="*/ 256540 h 490220"/>
                                  <a:gd name="connisteX4" fmla="*/ 0 w 869950"/>
                                  <a:gd name="connsiteY4" fmla="*/ 444500 h 490220"/>
                                  <a:gd name="connisteX5" fmla="*/ 14605 w 869950"/>
                                  <a:gd name="connsiteY5" fmla="*/ 490220 h 490220"/>
                                  <a:gd name="connisteX6" fmla="*/ 128270 w 869950"/>
                                  <a:gd name="connsiteY6" fmla="*/ 444500 h 490220"/>
                                  <a:gd name="connisteX7" fmla="*/ 262890 w 869950"/>
                                  <a:gd name="connsiteY7" fmla="*/ 398780 h 490220"/>
                                  <a:gd name="connisteX8" fmla="*/ 405130 w 869950"/>
                                  <a:gd name="connsiteY8" fmla="*/ 330200 h 490220"/>
                                  <a:gd name="connisteX9" fmla="*/ 579120 w 869950"/>
                                  <a:gd name="connsiteY9" fmla="*/ 256540 h 490220"/>
                                  <a:gd name="connisteX10" fmla="*/ 727710 w 869950"/>
                                  <a:gd name="connsiteY10" fmla="*/ 145415 h 490220"/>
                                  <a:gd name="connisteX11" fmla="*/ 869950 w 869950"/>
                                  <a:gd name="connsiteY11" fmla="*/ 67945 h 49022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Lst>
                                <a:rect l="l" t="t" r="r" b="b"/>
                                <a:pathLst>
                                  <a:path w="869950" h="490220">
                                    <a:moveTo>
                                      <a:pt x="850265" y="0"/>
                                    </a:moveTo>
                                    <a:lnTo>
                                      <a:pt x="661670" y="85090"/>
                                    </a:lnTo>
                                    <a:lnTo>
                                      <a:pt x="525145" y="159385"/>
                                    </a:lnTo>
                                    <a:lnTo>
                                      <a:pt x="240030" y="256540"/>
                                    </a:lnTo>
                                    <a:lnTo>
                                      <a:pt x="0" y="444500"/>
                                    </a:lnTo>
                                    <a:lnTo>
                                      <a:pt x="14605" y="490220"/>
                                    </a:lnTo>
                                    <a:lnTo>
                                      <a:pt x="128270" y="444500"/>
                                    </a:lnTo>
                                    <a:lnTo>
                                      <a:pt x="262890" y="398780"/>
                                    </a:lnTo>
                                    <a:lnTo>
                                      <a:pt x="405130" y="330200"/>
                                    </a:lnTo>
                                    <a:lnTo>
                                      <a:pt x="579120" y="256540"/>
                                    </a:lnTo>
                                    <a:lnTo>
                                      <a:pt x="727710" y="145415"/>
                                    </a:lnTo>
                                    <a:lnTo>
                                      <a:pt x="869950" y="67945"/>
                                    </a:lnTo>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70.85pt;margin-top:114.7pt;height:38.6pt;width:68.5pt;z-index:251681792;mso-width-relative:page;mso-height-relative:page;" filled="f" stroked="t" coordsize="869950,490220" o:gfxdata="UEsDBAoAAAAAAIdO4kAAAAAAAAAAAAAAAAAEAAAAZHJzL1BLAwQUAAAACACHTuJAGi2e69gAAAAL&#10;AQAADwAAAGRycy9kb3ducmV2LnhtbE2PPU/DMBCGdyT+g3VIbNROGiUlxOmAyFDEQsvC5sRuEmGf&#10;I9v94N9zTDDevY/ee67ZXp1lZxPi7FFCthLADA5ezzhK+Dh0DxtgMSnUyno0Er5NhG17e9OoWvsL&#10;vpvzPo2MSjDWSsKU0lJzHofJOBVXfjFI2dEHpxKNYeQ6qAuVO8tzIUru1Ix0YVKLeZ7M8LU/OQkv&#10;u1d+/OxdtR79m99x13V5sFLe32XiCVgy1/QHw68+qUNLTr0/oY7MSlgXWUWohDx/LIARUVQb2vQU&#10;ibIE3jb8/w/tD1BLAwQUAAAACACHTuJAEsgEjAEEAADwDQAADgAAAGRycy9lMm9Eb2MueG1srVfN&#10;jts2EL4X6DsQOhbo6sf6NdabQxabS9EGSAq0R65EWQIkUSC5tvfee+89Fn2JIEiepgnyGB0OJZlO&#10;ANMG6oNEmfPNP2eGty8OfUd2TMiWDxsvvAk8woaSV+2w3Xi/vn34MfeIVHSoaMcHtvGemfRe3H3/&#10;3e1+XLOIN7yrmCDAZJDr/bjxGqXGte/LsmE9lTd8ZANs1lz0VMGn2PqVoHvg3nd+FASpv+eiGgUv&#10;mZTw773Z9CaO4hKGvK7bkt3z8qlngzJcBeuoApNk047Su0Nt65qV6pe6lkyRbuOBpQqfIATWj/rp&#10;393S9VbQsWnLSQV6iQpf2dTTdgChC6t7qih5Eu03rPq2FFzyWt2UvPeNIegRsCIMvvLNm4aODG0B&#10;V8txcbr8/9iWP+9eC9JWGy8vPDLQHiL+7/v3n//489M/f335+O7Th78J7ICb9qNcA/Wb8bWYviQs&#10;tc2HWvT6DdaQw8aL8rRI0sQjzxsvTuMiziY3s4MiJRDAfpFAAEpNUARRhPv+kVH5JNUrxpEp3f0k&#10;lYlSBSv0cTUpWvJhaKVivwGzuu8gcD/4JE+CKE3InkxiJqwFka1iv9uQgDTkqAgE8RsBoSUgTcM0&#10;C5wCbAjoVLiFRJaQJErC2G2FDQmTYpUnTlNWlpQoDoKV25QTCIQ2dtsSW1LcAmzqOI6TwC0A8msJ&#10;eRingdtXNsJE2+mr1BYS5dEFYbchF5qSWVKiNMohVVzZa0NWRZ7lbodBWV8cFgdJeEHcbchqFUD1&#10;dnoMisgiJcmKMHLbYkOiy7IrtE9vFmVZ6BZzgoGzFYfusxKeHGIsW87QnGDSrIBTbFcXKHPbuZDR&#10;Zq5t5WGYihusCNWtOMB+MnKpa6pd6aBq6s+pikF5A5aA0pXRAQZrbHCoy/rFYCg1Nji6CgwVxAav&#10;rgJDdbDB8VVg04cWhyVXgeEw25LTq8BwRm1wdhUYjp4Nzq8Cw4mywdi+L46zPic2Gr6vSROd/ifw&#10;kywzWkypLmA603NZh3OZ8gjMZQLnskctkq5HqvQJmZdkf5wdmmV00Ls937G3HOmUPi5mBkBFZu2P&#10;JN1gk5pujqTYpSdjZ6L5PSJf05WR2HTbs9SmuyK1qWtnqY3bTcs4S4jdDrkeZxbw66zp/DYah9i1&#10;DDU21rOsTfdBatNVzlKbLmKosTucpTbdAKkv8IYp6khtavVZ3vNECYmHFfeEGHyjEwlL3ZJROhGt&#10;KXPgD23XYdJ1g86zCIYciEhJ4YZTw80Clv0IU7Icth6h3RauTqUSWKIl79pKw3X+SbF9fNkJsqOQ&#10;2A8PAfwmZU7IRiHVPZWNocOtRWdQVM/aZrrWq0dePePQjf/DRQBNmS4t+qZhfyP6eFG7+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AaLZ7r2AAAAAsBAAAPAAAAAAAAAAEAIAAAACIAAABkcnMvZG93&#10;bnJldi54bWxQSwECFAAUAAAACACHTuJAEsgEjAEEAADwDQAADgAAAAAAAAABACAAAAAnAQAAZHJz&#10;L2Uyb0RvYy54bWxQSwUGAAAAAAYABgBZAQAAmgcAAAAA&#10;" path="m850265,0l661670,85090,525145,159385,240030,256540,0,444500,14605,490220,128270,444500,262890,398780,405130,330200,579120,256540,727710,145415,869950,67945e">
                      <v:path o:connectlocs="850265,0;661670,85090;525145,159385;240030,256540;0,444500;14605,490220;128270,444500;262890,398780;405130,330200;579120,256540;727710,145415;869950,67945" o:connectangles="0,0,0,0,0,0,0,0,0,0,0,0"/>
                      <v:fill on="f"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3031490" cy="2087880"/>
                  <wp:effectExtent l="0" t="0" r="16510" b="7620"/>
                  <wp:docPr id="16" name="图片 16" descr="PANO_0001"/>
                  <wp:cNvGraphicFramePr/>
                  <a:graphic xmlns:a="http://schemas.openxmlformats.org/drawingml/2006/main">
                    <a:graphicData uri="http://schemas.openxmlformats.org/drawingml/2006/picture">
                      <pic:pic xmlns:pic="http://schemas.openxmlformats.org/drawingml/2006/picture">
                        <pic:nvPicPr>
                          <pic:cNvPr id="16" name="图片 16" descr="PANO_0001"/>
                          <pic:cNvPicPr/>
                        </pic:nvPicPr>
                        <pic:blipFill>
                          <a:blip r:embed="rId21"/>
                          <a:stretch>
                            <a:fillRect/>
                          </a:stretch>
                        </pic:blipFill>
                        <pic:spPr>
                          <a:xfrm>
                            <a:off x="0" y="0"/>
                            <a:ext cx="3031490" cy="2087880"/>
                          </a:xfrm>
                          <a:prstGeom prst="rect">
                            <a:avLst/>
                          </a:prstGeom>
                        </pic:spPr>
                      </pic:pic>
                    </a:graphicData>
                  </a:graphic>
                </wp:inline>
              </w:drawing>
            </w:r>
          </w:p>
        </w:tc>
        <w:tc>
          <w:tcPr>
            <w:tcW w:w="4878" w:type="dxa"/>
            <w:shd w:val="clear" w:color="auto" w:fill="auto"/>
            <w:vAlign w:val="center"/>
          </w:tcPr>
          <w:p w14:paraId="3B7EE0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color w:val="auto"/>
                <w:highlight w:val="none"/>
                <w:vertAlign w:val="baseline"/>
                <w:lang w:val="en-US" w:eastAsia="zh-CN"/>
              </w:rPr>
              <mc:AlternateContent>
                <mc:Choice Requires="wps">
                  <w:drawing>
                    <wp:anchor distT="0" distB="0" distL="114300" distR="114300" simplePos="0" relativeHeight="251700224" behindDoc="0" locked="0" layoutInCell="1" allowOverlap="1">
                      <wp:simplePos x="0" y="0"/>
                      <wp:positionH relativeFrom="column">
                        <wp:posOffset>-12065</wp:posOffset>
                      </wp:positionH>
                      <wp:positionV relativeFrom="paragraph">
                        <wp:posOffset>1708785</wp:posOffset>
                      </wp:positionV>
                      <wp:extent cx="1306195" cy="39941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AC1D0">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5pt;margin-top:134.55pt;height:31.45pt;width:102.85pt;z-index:251700224;mso-width-relative:page;mso-height-relative:page;" filled="f" stroked="f" coordsize="21600,21600" o:gfxdata="UEsDBAoAAAAAAIdO4kAAAAAAAAAAAAAAAAAEAAAAZHJzL1BLAwQUAAAACACHTuJAHEQYPdsAAAAK&#10;AQAADwAAAGRycy9kb3ducmV2LnhtbE2Py07DMBBF90j8gzVI7Fo7jqjakEmFIlVICBYt3bCbxG4S&#10;4UeI3Qd8PWZFl6M5uvfccn2xhp30FAbvELK5AKZd69XgOoT9+2a2BBYiOUXGO43wrQOsq9ubkgrl&#10;z26rT7vYsRTiQkEIfYxjwXloe20pzP2oXfod/GQppnPquJronMKt4VKIBbc0uNTQ06jrXrefu6NF&#10;eKk3b7RtpF3+mPr59fA0fu0/HhDv7zLxCCzqS/yH4U8/qUOVnBp/dCowgzDLVolEkItVBiwBUuRp&#10;S4OQ51IAr0p+PaH6BVBLAwQUAAAACACHTuJAQsxyWD0CAABoBAAADgAAAGRycy9lMm9Eb2MueG1s&#10;rVTNbhMxEL4j8Q6W73STJi0k6qYKrYqQKlqpIM6O19tdyfYY2+lueQB4A05cuPNceQ4+e5O0Khx6&#10;4OIde36/b2b25LQ3mt0pH1qyJR8fjDhTVlLV2tuSf/p48eoNZyEKWwlNVpX8XgV+unj54qRzc3VI&#10;DelKeYYgNsw7V/ImRjcviiAbZUQ4IKcslDV5IyKu/raovOgQ3ejicDQ6LjrylfMkVQh4PR+UfBvR&#10;Pycg1XUr1TnJtVE2DlG90iICUmhaF/giV1vXSsarug4qMl1yII35RBLIq3QWixMxv/XCNa3cliCe&#10;U8ITTEa0Fkn3oc5FFGzt279CmVZ6ClTHA0mmGIBkRoBiPHrCzU0jnMpYQHVwe9LD/wsrP9xde9ZW&#10;JZ8ccWaFQcc3P75vfv7e/PrG8AaCOhfmsLtxsIz9W+oxNrv3gMeEu6+9SV8gYtCD3vs9vaqPTCan&#10;yeh4PEMaCd1kNpuOc/jiwdv5EN8pMiwJJfdoX2ZV3F2GiEpgujNJySxdtFrnFmrLupIfT45G2WGv&#10;gYe2cEwYhlqTFPtVvwW2ouoeuDwNoxGcvGiR/FKEeC08ZgFQsC3xCketCUloK3HWkP/6r/dkjxZB&#10;y1mH2Sp5+LIWXnGm31s0bzaeTtMw5sv06PUhLv6xZvVYY9fmjDC+Y+ylk1lM9lHvxNqT+YylWqas&#10;UAkrkbvkcSeexWHisZRSLZfZCOPnRLy0N06m0AOdy3Wkus1MJ5oGbrbsYQBzA7bLkib88T1bPfwg&#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EQYPdsAAAAKAQAADwAAAAAAAAABACAAAAAiAAAA&#10;ZHJzL2Rvd25yZXYueG1sUEsBAhQAFAAAAAgAh07iQELMclg9AgAAaAQAAA4AAAAAAAAAAQAgAAAA&#10;KgEAAGRycy9lMm9Eb2MueG1sUEsFBgAAAAAGAAYAWQEAANkFAAAAAA==&#10;">
                      <v:fill on="f" focussize="0,0"/>
                      <v:stroke on="f" weight="0.5pt"/>
                      <v:imagedata o:title=""/>
                      <o:lock v:ext="edit" aspectratio="f"/>
                      <v:textbox>
                        <w:txbxContent>
                          <w:p w14:paraId="616AC1D0">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3031490" cy="2101215"/>
                  <wp:effectExtent l="0" t="0" r="16510" b="13335"/>
                  <wp:docPr id="25" name="图片 25" descr="DJI_20251025130307_0001_V"/>
                  <wp:cNvGraphicFramePr/>
                  <a:graphic xmlns:a="http://schemas.openxmlformats.org/drawingml/2006/main">
                    <a:graphicData uri="http://schemas.openxmlformats.org/drawingml/2006/picture">
                      <pic:pic xmlns:pic="http://schemas.openxmlformats.org/drawingml/2006/picture">
                        <pic:nvPicPr>
                          <pic:cNvPr id="25" name="图片 25" descr="DJI_20251025130307_0001_V"/>
                          <pic:cNvPicPr/>
                        </pic:nvPicPr>
                        <pic:blipFill>
                          <a:blip r:embed="rId22"/>
                          <a:stretch>
                            <a:fillRect/>
                          </a:stretch>
                        </pic:blipFill>
                        <pic:spPr>
                          <a:xfrm>
                            <a:off x="0" y="0"/>
                            <a:ext cx="3031490" cy="2101215"/>
                          </a:xfrm>
                          <a:prstGeom prst="rect">
                            <a:avLst/>
                          </a:prstGeom>
                        </pic:spPr>
                      </pic:pic>
                    </a:graphicData>
                  </a:graphic>
                </wp:inline>
              </w:drawing>
            </w:r>
          </w:p>
        </w:tc>
      </w:tr>
      <w:tr w14:paraId="1F7D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4976" w:type="dxa"/>
            <w:vAlign w:val="center"/>
          </w:tcPr>
          <w:p w14:paraId="7C8E9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项目场地环境现状（19#光伏阵列）</w:t>
            </w:r>
          </w:p>
        </w:tc>
        <w:tc>
          <w:tcPr>
            <w:tcW w:w="4878" w:type="dxa"/>
            <w:shd w:val="clear" w:color="auto" w:fill="auto"/>
            <w:vAlign w:val="center"/>
          </w:tcPr>
          <w:p w14:paraId="097258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居民点：唐家村（35#光伏阵列北侧）</w:t>
            </w:r>
          </w:p>
        </w:tc>
      </w:tr>
      <w:tr w14:paraId="2EBA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6" w:type="dxa"/>
            <w:shd w:val="clear" w:color="auto" w:fill="auto"/>
            <w:vAlign w:val="center"/>
          </w:tcPr>
          <w:p w14:paraId="5873E4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color w:val="auto"/>
                <w:highlight w:val="none"/>
                <w:vertAlign w:val="baseline"/>
                <w:lang w:val="en-US" w:eastAsia="zh-CN"/>
              </w:rPr>
              <mc:AlternateContent>
                <mc:Choice Requires="wps">
                  <w:drawing>
                    <wp:anchor distT="0" distB="0" distL="114300" distR="114300" simplePos="0" relativeHeight="251701248" behindDoc="0" locked="0" layoutInCell="1" allowOverlap="1">
                      <wp:simplePos x="0" y="0"/>
                      <wp:positionH relativeFrom="column">
                        <wp:posOffset>5715</wp:posOffset>
                      </wp:positionH>
                      <wp:positionV relativeFrom="paragraph">
                        <wp:posOffset>1763395</wp:posOffset>
                      </wp:positionV>
                      <wp:extent cx="1306195" cy="39941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54E47">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5pt;margin-top:138.85pt;height:31.45pt;width:102.85pt;z-index:251701248;mso-width-relative:page;mso-height-relative:page;" filled="f" stroked="f" coordsize="21600,21600" o:gfxdata="UEsDBAoAAAAAAIdO4kAAAAAAAAAAAAAAAAAEAAAAZHJzL1BLAwQUAAAACACHTuJAL/2AvtoAAAAI&#10;AQAADwAAAGRycy9kb3ducmV2LnhtbE2PzU7DMBCE70i8g7VI3KjdAEkJcSoUqUJC9NDSC7dNvE0i&#10;4nWI3R94eswJjqMZzXxTLM92EEeafO9Yw3ymQBA3zvTcati9rW4WIHxANjg4Jg1f5GFZXl4UmBt3&#10;4g0dt6EVsYR9jhq6EMZcSt90ZNHP3Egcvb2bLIYop1aaCU+x3A4yUSqVFnuOCx2OVHXUfGwPVsNL&#10;tVrjpk7s4nuonl/3T+Pn7v1e6+uruXoEEegc/sLwix/RoYxMtTuw8WLQ8BBzGpIsy0BEO1FpCqLW&#10;cHunUpBlIf8fKH8AUEsDBBQAAAAIAIdO4kC8RvkePQIAAGgEAAAOAAAAZHJzL2Uyb0RvYy54bWyt&#10;VM2O0zAQviPxDpbvNE3/oFXTVdmqCGnFrlQQZ9dxmki2x9huk/IA8AacuHDnufocjJ20Wy0c9sDF&#10;GXvG3/j7Zibzm0ZJchDWVaAzmvb6lAjNIa/0LqOfPq5fvaHEeaZzJkGLjB6FozeLly/mtZmJAZQg&#10;c2EJgmg3q01GS+/NLEkcL4VirgdGaHQWYBXzuLW7JLesRnQlk0G/P0lqsLmxwIVzeLpqnbRDtM8B&#10;hKKouFgB3yuhfYtqhWQeKbmyMo4u4muLQnB/XxROeCIzikx9XDEJ2tuwJos5m+0sM2XFuyew5zzh&#10;CSfFKo1JL1Ar5hnZ2+ovKFVxCw4K3+OgkpZIVARZpP0n2mxKZkTkglI7cxHd/T9Y/uHwYEmVZ3Q4&#10;oUQzhRU//fh++vn79OsbwTMUqDZuhnEbg5G+eQsNts353OFh4N0UVoUvMiLoR3mPF3lF4wkPl4b9&#10;STodU8LRN5xOR+k4wCSPt411/p0ARYKRUYvli6qyw53zbeg5JCTTsK6kjCWUmtQZnQzH/Xjh4kFw&#10;qTFH4NC+NVi+2TYdsS3kR+RloW0NZ/i6wuR3zPkHZrEXkApOi7/HpZCASaCzKCnBfv3XeYjHEqGX&#10;khp7K6Puy55ZQYl8r7F403Q0Cs0YN6Px6wFu7LVne+3Re3UL2L4pzqXh0QzxXp7NwoL6jEO1DFnR&#10;xTTH3Bn1Z/PWtx2PQ8nFchmDsP0M83d6Y3iAbuVc7j0UVVQ6yNRq06mHDRhr1Q1L6PDrfYx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v/YC+2gAAAAgBAAAPAAAAAAAAAAEAIAAAACIAAABk&#10;cnMvZG93bnJldi54bWxQSwECFAAUAAAACACHTuJAvEb5Hj0CAABoBAAADgAAAAAAAAABACAAAAAp&#10;AQAAZHJzL2Uyb0RvYy54bWxQSwUGAAAAAAYABgBZAQAA2AUAAAAA&#10;">
                      <v:fill on="f" focussize="0,0"/>
                      <v:stroke on="f" weight="0.5pt"/>
                      <v:imagedata o:title=""/>
                      <o:lock v:ext="edit" aspectratio="f"/>
                      <v:textbox>
                        <w:txbxContent>
                          <w:p w14:paraId="7C754E47">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3031490" cy="2174875"/>
                  <wp:effectExtent l="0" t="0" r="16510" b="15875"/>
                  <wp:docPr id="27" name="图片 27" descr="DJI_20251026152444_0003_V"/>
                  <wp:cNvGraphicFramePr/>
                  <a:graphic xmlns:a="http://schemas.openxmlformats.org/drawingml/2006/main">
                    <a:graphicData uri="http://schemas.openxmlformats.org/drawingml/2006/picture">
                      <pic:pic xmlns:pic="http://schemas.openxmlformats.org/drawingml/2006/picture">
                        <pic:nvPicPr>
                          <pic:cNvPr id="27" name="图片 27" descr="DJI_20251026152444_0003_V"/>
                          <pic:cNvPicPr/>
                        </pic:nvPicPr>
                        <pic:blipFill>
                          <a:blip r:embed="rId23"/>
                          <a:stretch>
                            <a:fillRect/>
                          </a:stretch>
                        </pic:blipFill>
                        <pic:spPr>
                          <a:xfrm>
                            <a:off x="0" y="0"/>
                            <a:ext cx="3031490" cy="2174875"/>
                          </a:xfrm>
                          <a:prstGeom prst="rect">
                            <a:avLst/>
                          </a:prstGeom>
                        </pic:spPr>
                      </pic:pic>
                    </a:graphicData>
                  </a:graphic>
                </wp:inline>
              </w:drawing>
            </w:r>
          </w:p>
        </w:tc>
        <w:tc>
          <w:tcPr>
            <w:tcW w:w="4878" w:type="dxa"/>
            <w:shd w:val="clear" w:color="auto" w:fill="auto"/>
            <w:vAlign w:val="center"/>
          </w:tcPr>
          <w:p w14:paraId="45D0D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vertAlign w:val="baseline"/>
                <w:lang w:val="en-US" w:eastAsia="zh-CN" w:bidi="ar-SA"/>
              </w:rPr>
            </w:pPr>
            <w:r>
              <w:rPr>
                <w:rFonts w:hint="default" w:ascii="Times New Roman" w:hAnsi="Times New Roman" w:eastAsia="仿宋" w:cs="Times New Roman"/>
                <w:color w:val="auto"/>
                <w:highlight w:val="none"/>
                <w:vertAlign w:val="baseline"/>
                <w:lang w:val="en-US" w:eastAsia="zh-CN"/>
              </w:rPr>
              <mc:AlternateContent>
                <mc:Choice Requires="wps">
                  <w:drawing>
                    <wp:anchor distT="0" distB="0" distL="114300" distR="114300" simplePos="0" relativeHeight="251702272" behindDoc="0" locked="0" layoutInCell="1" allowOverlap="1">
                      <wp:simplePos x="0" y="0"/>
                      <wp:positionH relativeFrom="column">
                        <wp:posOffset>-5080</wp:posOffset>
                      </wp:positionH>
                      <wp:positionV relativeFrom="paragraph">
                        <wp:posOffset>1751965</wp:posOffset>
                      </wp:positionV>
                      <wp:extent cx="1306195" cy="399415"/>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306195" cy="399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61DAE">
                                  <w:pPr>
                                    <w:rPr>
                                      <w:rFonts w:hint="default" w:eastAsia="宋体"/>
                                      <w:color w:val="FFFF00"/>
                                      <w:lang w:val="en-US" w:eastAsia="zh-CN"/>
                                    </w:rPr>
                                  </w:pPr>
                                  <w:r>
                                    <w:rPr>
                                      <w:rFonts w:hint="eastAsia"/>
                                      <w:color w:val="FFFF00"/>
                                      <w:lang w:val="en-US" w:eastAsia="zh-CN"/>
                                    </w:rPr>
                                    <w:t>2025.10.25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pt;margin-top:137.95pt;height:31.45pt;width:102.85pt;z-index:251702272;mso-width-relative:page;mso-height-relative:page;" filled="f" stroked="f" coordsize="21600,21600" o:gfxdata="UEsDBAoAAAAAAIdO4kAAAAAAAAAAAAAAAAAEAAAAZHJzL1BLAwQUAAAACACHTuJASIuNRdoAAAAJ&#10;AQAADwAAAGRycy9kb3ducmV2LnhtbE2PzU7DMBCE70i8g7VI3KjdlEKaZlOhSBUSgkNLL9yceJtE&#10;xOsQuz/w9LgnuO1oRjPf5quz7cWRRt85RphOFAji2pmOG4Td+/ouBeGDZqN7x4TwTR5WxfVVrjPj&#10;Tryh4zY0IpawzzRCG8KQSenrlqz2EzcQR2/vRqtDlGMjzahPsdz2MlHqQVrdcVxo9UBlS/Xn9mAR&#10;Xsr1m95UiU1/+vL5df80fO0+5oi3N1O1BBHoHP7CcMGP6FBEpsod2HjRI1zAA0LyOF+AiH6i7uNR&#10;IcxmaQqyyOX/D4pfUEsDBBQAAAAIAIdO4kDQVBpsPQIAAGgEAAAOAAAAZHJzL2Uyb0RvYy54bWyt&#10;VM1uEzEQviPxDpbvdJMmLSTqpgqtipAqWqkgzo7Xm13J9hjb6W55AHgDTly481x9Dj57k7QqHHrg&#10;4h17fr9vZvbktDea3SofWrIlHx+MOFNWUtXadck/fbx49YazEIWthCarSn6nAj9dvHxx0rm5OqSG&#10;dKU8QxAb5p0reROjmxdFkI0yIhyQUxbKmrwREVe/LiovOkQ3ujgcjY6LjnzlPEkVAl7PByXfRvTP&#10;CUh13Up1TnJjlI1DVK+0iIAUmtYFvsjV1rWS8aqug4pMlxxIYz6RBPIqncXiRMzXXrimldsSxHNK&#10;eILJiNYi6T7UuYiCbXz7VyjTSk+B6nggyRQDkMwIUIxHT7i5aYRTGQuoDm5Pevh/YeWH22vP2qrk&#10;0yPOrDDo+P2P7/c/f9//+sbwBoI6F+awu3GwjP1b6jE2u/eAx4S7r71JXyBi0IPeuz29qo9MJqfJ&#10;6Hg8QxoJ3WQ2m45z+OLB2/kQ3ykyLAkl92hfZlXcXoaISmC6M0nJLF20WucWasu6kh9PjkbZYa+B&#10;h7ZwTBiGWpMU+1W/Bbai6g64PA2jEZy8aJH8UoR4LTxmAVCwLfEKR60JSWgrcdaQ//qv92SPFkHL&#10;WYfZKnn4shFecabfWzRvNp5O0zDmy/To9SEu/rFm9VhjN+aMML5j7KWTWUz2Ue/E2pP5jKVapqxQ&#10;CSuRu+RxJ57FYeKxlFItl9kI4+dEvLQ3TqbQA53LTaS6zUwnmgZutuxhAHMDtsuSJvzxPVs9/CAW&#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Ii41F2gAAAAkBAAAPAAAAAAAAAAEAIAAAACIAAABk&#10;cnMvZG93bnJldi54bWxQSwECFAAUAAAACACHTuJA0FQabD0CAABoBAAADgAAAAAAAAABACAAAAAp&#10;AQAAZHJzL2Uyb0RvYy54bWxQSwUGAAAAAAYABgBZAQAA2AUAAAAA&#10;">
                      <v:fill on="f" focussize="0,0"/>
                      <v:stroke on="f" weight="0.5pt"/>
                      <v:imagedata o:title=""/>
                      <o:lock v:ext="edit" aspectratio="f"/>
                      <v:textbox>
                        <w:txbxContent>
                          <w:p w14:paraId="1D361DAE">
                            <w:pPr>
                              <w:rPr>
                                <w:rFonts w:hint="default" w:eastAsia="宋体"/>
                                <w:color w:val="FFFF00"/>
                                <w:lang w:val="en-US" w:eastAsia="zh-CN"/>
                              </w:rPr>
                            </w:pPr>
                            <w:r>
                              <w:rPr>
                                <w:rFonts w:hint="eastAsia"/>
                                <w:color w:val="FFFF00"/>
                                <w:lang w:val="en-US" w:eastAsia="zh-CN"/>
                              </w:rPr>
                              <w:t>2025.10.25</w:t>
                            </w:r>
                          </w:p>
                        </w:txbxContent>
                      </v:textbox>
                    </v:shape>
                  </w:pict>
                </mc:Fallback>
              </mc:AlternateContent>
            </w:r>
            <w:r>
              <w:rPr>
                <w:rFonts w:hint="default" w:ascii="Times New Roman" w:hAnsi="Times New Roman" w:eastAsia="仿宋" w:cs="Times New Roman"/>
                <w:color w:val="auto"/>
                <w:highlight w:val="none"/>
                <w:vertAlign w:val="baseline"/>
                <w:lang w:val="en-US" w:eastAsia="zh-CN"/>
              </w:rPr>
              <w:drawing>
                <wp:inline distT="0" distB="0" distL="114300" distR="114300">
                  <wp:extent cx="3031490" cy="2148205"/>
                  <wp:effectExtent l="0" t="0" r="16510" b="4445"/>
                  <wp:docPr id="26" name="图片 26" descr="DJI_20251025162815_0004_V(8960602948411427418)"/>
                  <wp:cNvGraphicFramePr/>
                  <a:graphic xmlns:a="http://schemas.openxmlformats.org/drawingml/2006/main">
                    <a:graphicData uri="http://schemas.openxmlformats.org/drawingml/2006/picture">
                      <pic:pic xmlns:pic="http://schemas.openxmlformats.org/drawingml/2006/picture">
                        <pic:nvPicPr>
                          <pic:cNvPr id="26" name="图片 26" descr="DJI_20251025162815_0004_V(8960602948411427418)"/>
                          <pic:cNvPicPr/>
                        </pic:nvPicPr>
                        <pic:blipFill>
                          <a:blip r:embed="rId24"/>
                          <a:stretch>
                            <a:fillRect/>
                          </a:stretch>
                        </pic:blipFill>
                        <pic:spPr>
                          <a:xfrm>
                            <a:off x="0" y="0"/>
                            <a:ext cx="3031490" cy="2148205"/>
                          </a:xfrm>
                          <a:prstGeom prst="rect">
                            <a:avLst/>
                          </a:prstGeom>
                        </pic:spPr>
                      </pic:pic>
                    </a:graphicData>
                  </a:graphic>
                </wp:inline>
              </w:drawing>
            </w:r>
          </w:p>
        </w:tc>
      </w:tr>
      <w:tr w14:paraId="4903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4976" w:type="dxa"/>
            <w:shd w:val="clear" w:color="auto" w:fill="auto"/>
            <w:vAlign w:val="center"/>
          </w:tcPr>
          <w:p w14:paraId="0E837E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居民点：义庄散户（35#光伏阵列北侧）</w:t>
            </w:r>
          </w:p>
        </w:tc>
        <w:tc>
          <w:tcPr>
            <w:tcW w:w="4878" w:type="dxa"/>
            <w:shd w:val="clear" w:color="auto" w:fill="auto"/>
            <w:vAlign w:val="center"/>
          </w:tcPr>
          <w:p w14:paraId="6C3478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highlight w:val="none"/>
                <w:vertAlign w:val="baseline"/>
                <w:lang w:val="en-US" w:eastAsia="zh-CN"/>
              </w:rPr>
              <w:t>居民点：马路沟（7#光伏阵列东侧）</w:t>
            </w:r>
          </w:p>
        </w:tc>
      </w:tr>
    </w:tbl>
    <w:p w14:paraId="513D546D">
      <w:pPr>
        <w:rPr>
          <w:rFonts w:hint="default" w:ascii="Times New Roman" w:hAnsi="Times New Roman" w:eastAsia="仿宋" w:cs="Times New Roman"/>
          <w:color w:val="auto"/>
          <w:highlight w:val="none"/>
          <w:lang w:val="en-US" w:eastAsia="zh-CN"/>
        </w:rPr>
        <w:sectPr>
          <w:pgSz w:w="11906" w:h="16838"/>
          <w:pgMar w:top="850" w:right="1134" w:bottom="850" w:left="1134" w:header="851" w:footer="1077" w:gutter="0"/>
          <w:pgNumType w:start="21"/>
          <w:cols w:space="720" w:num="1"/>
          <w:docGrid w:linePitch="312" w:charSpace="0"/>
        </w:sectPr>
      </w:pPr>
    </w:p>
    <w:p w14:paraId="4E93D6AF">
      <w:pPr>
        <w:ind w:left="0" w:leftChars="0" w:firstLine="0" w:firstLineChars="0"/>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前言</w:t>
      </w:r>
    </w:p>
    <w:p w14:paraId="5ECDE3E4">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left="0" w:leftChars="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2022年4月，曲靖市人民政府办公室发布《曲靖市2022年光伏发电建设实施方案》（</w:t>
      </w:r>
      <w:r>
        <w:rPr>
          <w:rFonts w:hint="default" w:ascii="Times New Roman" w:hAnsi="Times New Roman" w:eastAsia="仿宋" w:cs="Times New Roman"/>
          <w:color w:val="auto"/>
          <w:sz w:val="24"/>
          <w:szCs w:val="24"/>
          <w:highlight w:val="none"/>
        </w:rPr>
        <w:t>曲政办发〔2022〕29号</w:t>
      </w:r>
      <w:r>
        <w:rPr>
          <w:rFonts w:hint="default" w:ascii="Times New Roman" w:hAnsi="Times New Roman" w:eastAsia="仿宋" w:cs="Times New Roman"/>
          <w:color w:val="auto"/>
          <w:sz w:val="24"/>
          <w:szCs w:val="24"/>
          <w:highlight w:val="none"/>
          <w:lang w:val="en-US" w:eastAsia="zh-CN"/>
        </w:rPr>
        <w:t>），全市2022年光伏发电项目涉及会泽县、麒麟区、罗平县、师宗县、宣威市、陆良县、沾益区7个县（市、区），其中会泽县36个项目、总装机299.9万kW，会泽县迤车镇中寨村委会竹子箐光伏项目为实施方案的项目之一。</w:t>
      </w:r>
      <w:r>
        <w:rPr>
          <w:rFonts w:hint="default" w:ascii="Times New Roman" w:hAnsi="Times New Roman" w:eastAsia="仿宋" w:cs="Times New Roman"/>
          <w:color w:val="auto"/>
          <w:sz w:val="24"/>
          <w:szCs w:val="24"/>
          <w:highlight w:val="none"/>
        </w:rPr>
        <w:t>2022年11月，建设单位会泽华电道成清洁能源开发有限公司委托中国电建集团贵阳勘测设计研究院有限公司编制了《迤车镇中寨村委会竹子箐光伏项目（复合型光伏发电项目）环境影响报告表》，并于2022年12月21日取得《曲靖市生态环境局关于迤车镇中寨村委会竹子箐光伏项目（复合型光伏发电项目）环境影响报告表的批复》（曲环审</w:t>
      </w:r>
      <w:r>
        <w:rPr>
          <w:rFonts w:hint="eastAsia" w:cs="Times New Roman"/>
          <w:color w:val="auto"/>
          <w:sz w:val="24"/>
          <w:szCs w:val="24"/>
          <w:highlight w:val="none"/>
          <w:lang w:eastAsia="zh-CN"/>
        </w:rPr>
        <w:t>〔2022〕71号</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b w:val="0"/>
          <w:bCs w:val="0"/>
          <w:color w:val="auto"/>
          <w:sz w:val="24"/>
          <w:szCs w:val="24"/>
          <w:highlight w:val="none"/>
          <w:lang w:val="en-US" w:eastAsia="zh-CN"/>
        </w:rPr>
        <w:t>。环评批复的主要内容为：该项目位于曲靖市会泽县迤车镇，于2022年2月25日取得投资项目备案证，项目代码：2022-530326-04-05-183949。项目开发方式为光伏+农业，共布设48个光伏阵列，总装机规模为交流侧148MW</w:t>
      </w:r>
      <w:r>
        <w:rPr>
          <w:rFonts w:hint="eastAsia" w:cs="Times New Roman"/>
          <w:b w:val="0"/>
          <w:bCs w:val="0"/>
          <w:color w:val="auto"/>
          <w:sz w:val="24"/>
          <w:szCs w:val="24"/>
          <w:highlight w:val="none"/>
          <w:lang w:val="en-US" w:eastAsia="zh-CN"/>
        </w:rPr>
        <w:t>ac</w:t>
      </w:r>
      <w:r>
        <w:rPr>
          <w:rFonts w:hint="default" w:ascii="Times New Roman" w:hAnsi="Times New Roman" w:eastAsia="仿宋" w:cs="Times New Roman"/>
          <w:b w:val="0"/>
          <w:bCs w:val="0"/>
          <w:color w:val="auto"/>
          <w:sz w:val="24"/>
          <w:szCs w:val="24"/>
          <w:highlight w:val="none"/>
          <w:lang w:val="en-US" w:eastAsia="zh-CN"/>
        </w:rPr>
        <w:t>、直流侧176.18MWp，建设220kV升压站1座，升压站内布设3台150MVA的主变压器，通过6回35kV集电线路将光伏阵列产生的电能接至220kV升压站，集电线路采用电缆直埋敷设+架空形式（线路长40km，其中直埋敷设长度12km、架空长度28km），并配套建设生活污水处理设施、事故油池、危废暂存间等环保工程，项目拟总投资65268.92万元，其中环保投资346.53万元，占总投资的0.53%。</w:t>
      </w:r>
    </w:p>
    <w:p w14:paraId="53BB5598">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left="0" w:leftChars="0" w:right="0" w:firstLine="480" w:firstLineChars="200"/>
        <w:textAlignment w:val="auto"/>
        <w:rPr>
          <w:rFonts w:hint="default" w:ascii="Times New Roman" w:hAnsi="Times New Roman" w:eastAsia="仿宋" w:cs="Times New Roman"/>
          <w:b w:val="0"/>
          <w:bCs w:val="0"/>
          <w:color w:val="auto"/>
          <w:sz w:val="24"/>
          <w:szCs w:val="24"/>
          <w:highlight w:val="none"/>
          <w:u w:val="none"/>
          <w:lang w:val="en-US" w:eastAsia="zh-CN"/>
        </w:rPr>
      </w:pPr>
      <w:r>
        <w:rPr>
          <w:rFonts w:hint="default" w:ascii="Times New Roman" w:hAnsi="Times New Roman" w:eastAsia="仿宋" w:cs="Times New Roman"/>
          <w:b w:val="0"/>
          <w:bCs w:val="0"/>
          <w:color w:val="auto"/>
          <w:sz w:val="24"/>
          <w:szCs w:val="24"/>
          <w:highlight w:val="none"/>
          <w:u w:val="none"/>
          <w:lang w:val="en-US" w:eastAsia="zh-CN"/>
        </w:rPr>
        <w:t>由于建设方案变化，该项目批复后实际未实施。2024年，云南省发展和改革委员会、云南省能源局制定印发《云南省2024年第一批新能源项目开发建设方案》（云能源水电〔2024〕74号），经调整后的迤车镇中寨村委会竹子箐光伏项目列入该开发建设方案名单，设计容量为148MW</w:t>
      </w:r>
      <w:r>
        <w:rPr>
          <w:rFonts w:hint="eastAsia" w:cs="Times New Roman"/>
          <w:b w:val="0"/>
          <w:bCs w:val="0"/>
          <w:color w:val="auto"/>
          <w:sz w:val="24"/>
          <w:szCs w:val="24"/>
          <w:highlight w:val="none"/>
          <w:u w:val="none"/>
          <w:lang w:val="en-US" w:eastAsia="zh-CN"/>
        </w:rPr>
        <w:t>ac</w:t>
      </w:r>
      <w:r>
        <w:rPr>
          <w:rFonts w:hint="default" w:ascii="Times New Roman" w:hAnsi="Times New Roman" w:eastAsia="仿宋" w:cs="Times New Roman"/>
          <w:b w:val="0"/>
          <w:bCs w:val="0"/>
          <w:color w:val="auto"/>
          <w:sz w:val="24"/>
          <w:szCs w:val="24"/>
          <w:highlight w:val="none"/>
          <w:u w:val="none"/>
          <w:lang w:val="en-US" w:eastAsia="zh-CN"/>
        </w:rPr>
        <w:t>。</w:t>
      </w:r>
    </w:p>
    <w:p w14:paraId="15FBC847">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left="0" w:leftChars="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相较于2022年环评阶段，本项目设计方案变更后内容包括：220kv升压站向西南方向位移1050米，项目整体新增用地</w:t>
      </w:r>
      <w:r>
        <w:rPr>
          <w:rFonts w:hint="eastAsia" w:cs="Times New Roman"/>
          <w:b w:val="0"/>
          <w:bCs/>
          <w:color w:val="auto"/>
          <w:sz w:val="24"/>
          <w:szCs w:val="24"/>
          <w:highlight w:val="none"/>
          <w:lang w:val="en-US" w:eastAsia="zh-CN"/>
        </w:rPr>
        <w:t>141.89</w:t>
      </w:r>
      <w:r>
        <w:rPr>
          <w:rFonts w:hint="default" w:ascii="Times New Roman" w:hAnsi="Times New Roman" w:eastAsia="仿宋" w:cs="Times New Roman"/>
          <w:b w:val="0"/>
          <w:bCs/>
          <w:color w:val="auto"/>
          <w:sz w:val="24"/>
          <w:szCs w:val="24"/>
          <w:highlight w:val="none"/>
          <w:lang w:val="en-US" w:eastAsia="zh-CN"/>
        </w:rPr>
        <w:t>hm</w:t>
      </w:r>
      <w:r>
        <w:rPr>
          <w:rFonts w:hint="default" w:ascii="Times New Roman" w:hAnsi="Times New Roman" w:eastAsia="仿宋" w:cs="Times New Roman"/>
          <w:b w:val="0"/>
          <w:bCs/>
          <w:color w:val="auto"/>
          <w:sz w:val="24"/>
          <w:szCs w:val="24"/>
          <w:highlight w:val="none"/>
          <w:vertAlign w:val="superscript"/>
          <w:lang w:val="en-US" w:eastAsia="zh-CN"/>
        </w:rPr>
        <w:t>2</w:t>
      </w:r>
      <w:r>
        <w:rPr>
          <w:rFonts w:hint="default" w:ascii="Times New Roman" w:hAnsi="Times New Roman" w:eastAsia="仿宋" w:cs="Times New Roman"/>
          <w:b w:val="0"/>
          <w:bCs/>
          <w:color w:val="auto"/>
          <w:sz w:val="24"/>
          <w:szCs w:val="24"/>
          <w:highlight w:val="none"/>
          <w:lang w:val="en-US" w:eastAsia="zh-CN"/>
        </w:rPr>
        <w:t>，取消用地</w:t>
      </w:r>
      <w:r>
        <w:rPr>
          <w:rFonts w:hint="eastAsia" w:cs="Times New Roman"/>
          <w:b w:val="0"/>
          <w:bCs/>
          <w:color w:val="auto"/>
          <w:sz w:val="24"/>
          <w:szCs w:val="24"/>
          <w:highlight w:val="none"/>
          <w:lang w:val="en-US" w:eastAsia="zh-CN"/>
        </w:rPr>
        <w:t>154.09</w:t>
      </w:r>
      <w:r>
        <w:rPr>
          <w:rFonts w:hint="default" w:ascii="Times New Roman" w:hAnsi="Times New Roman" w:eastAsia="仿宋" w:cs="Times New Roman"/>
          <w:b w:val="0"/>
          <w:bCs/>
          <w:color w:val="auto"/>
          <w:sz w:val="24"/>
          <w:szCs w:val="24"/>
          <w:highlight w:val="none"/>
          <w:lang w:val="en-US" w:eastAsia="zh-CN"/>
        </w:rPr>
        <w:t>hm</w:t>
      </w:r>
      <w:r>
        <w:rPr>
          <w:rFonts w:hint="default" w:ascii="Times New Roman" w:hAnsi="Times New Roman" w:eastAsia="仿宋" w:cs="Times New Roman"/>
          <w:b w:val="0"/>
          <w:bCs/>
          <w:color w:val="auto"/>
          <w:sz w:val="24"/>
          <w:szCs w:val="24"/>
          <w:highlight w:val="none"/>
          <w:vertAlign w:val="superscript"/>
          <w:lang w:val="en-US" w:eastAsia="zh-CN"/>
        </w:rPr>
        <w:t>2</w:t>
      </w:r>
      <w:r>
        <w:rPr>
          <w:rFonts w:hint="default" w:ascii="Times New Roman" w:hAnsi="Times New Roman" w:eastAsia="仿宋" w:cs="Times New Roman"/>
          <w:b w:val="0"/>
          <w:bCs/>
          <w:color w:val="auto"/>
          <w:sz w:val="24"/>
          <w:szCs w:val="24"/>
          <w:highlight w:val="none"/>
          <w:lang w:val="en-US" w:eastAsia="zh-CN"/>
        </w:rPr>
        <w:t>，集电线路增加201%，声环境保护目标增加</w:t>
      </w:r>
      <w:r>
        <w:rPr>
          <w:rFonts w:hint="eastAsia" w:cs="Times New Roman"/>
          <w:b w:val="0"/>
          <w:bCs/>
          <w:color w:val="auto"/>
          <w:sz w:val="24"/>
          <w:szCs w:val="24"/>
          <w:highlight w:val="none"/>
          <w:lang w:val="en-US" w:eastAsia="zh-CN"/>
        </w:rPr>
        <w:t>47</w:t>
      </w:r>
      <w:r>
        <w:rPr>
          <w:rFonts w:hint="default" w:ascii="Times New Roman" w:hAnsi="Times New Roman" w:eastAsia="仿宋" w:cs="Times New Roman"/>
          <w:b w:val="0"/>
          <w:bCs/>
          <w:color w:val="auto"/>
          <w:sz w:val="24"/>
          <w:szCs w:val="24"/>
          <w:highlight w:val="none"/>
          <w:lang w:val="en-US" w:eastAsia="zh-CN"/>
        </w:rPr>
        <w:t>%。根据环境保护部办公厅关于印发&lt;输变电建设项目重大变动清单（试行）&gt;》（环办辐射</w:t>
      </w:r>
      <w:r>
        <w:rPr>
          <w:rFonts w:hint="eastAsia" w:cs="Times New Roman"/>
          <w:b w:val="0"/>
          <w:bCs/>
          <w:color w:val="auto"/>
          <w:sz w:val="24"/>
          <w:szCs w:val="24"/>
          <w:highlight w:val="none"/>
          <w:lang w:val="en-US" w:eastAsia="zh-CN"/>
        </w:rPr>
        <w:t>〔2016〕84号</w:t>
      </w:r>
      <w:r>
        <w:rPr>
          <w:rFonts w:hint="default" w:ascii="Times New Roman" w:hAnsi="Times New Roman" w:eastAsia="仿宋" w:cs="Times New Roman"/>
          <w:b w:val="0"/>
          <w:bCs/>
          <w:color w:val="auto"/>
          <w:sz w:val="24"/>
          <w:szCs w:val="24"/>
          <w:highlight w:val="none"/>
          <w:lang w:val="en-US" w:eastAsia="zh-CN"/>
        </w:rPr>
        <w:t>）需要重新报批环境影响评价文件。</w:t>
      </w:r>
      <w:r>
        <w:rPr>
          <w:rFonts w:hint="default" w:ascii="Times New Roman" w:hAnsi="Times New Roman" w:eastAsia="仿宋" w:cs="Times New Roman"/>
          <w:b w:val="0"/>
          <w:bCs w:val="0"/>
          <w:color w:val="auto"/>
          <w:sz w:val="24"/>
          <w:szCs w:val="24"/>
          <w:highlight w:val="none"/>
          <w:lang w:val="en-US" w:eastAsia="zh-CN"/>
        </w:rPr>
        <w:t>受会泽华电道成清洁能源开发有限公司委托，我公司编制了《</w:t>
      </w:r>
      <w:r>
        <w:rPr>
          <w:rFonts w:hint="default" w:ascii="Times New Roman" w:hAnsi="Times New Roman" w:eastAsia="仿宋" w:cs="Times New Roman"/>
          <w:b w:val="0"/>
          <w:bCs/>
          <w:color w:val="auto"/>
          <w:sz w:val="24"/>
          <w:szCs w:val="24"/>
          <w:highlight w:val="none"/>
          <w:lang w:val="en-US" w:eastAsia="zh-CN"/>
        </w:rPr>
        <w:t>迤车镇中寨村委会竹子箐光伏项目（复合型光伏发电项目）</w:t>
      </w:r>
      <w:r>
        <w:rPr>
          <w:rFonts w:hint="default" w:ascii="Times New Roman" w:hAnsi="Times New Roman" w:eastAsia="仿宋" w:cs="Times New Roman"/>
          <w:b w:val="0"/>
          <w:bCs w:val="0"/>
          <w:color w:val="auto"/>
          <w:sz w:val="24"/>
          <w:szCs w:val="24"/>
          <w:highlight w:val="none"/>
          <w:lang w:val="en-US" w:eastAsia="zh-CN"/>
        </w:rPr>
        <w:t>（重新报批）</w:t>
      </w:r>
      <w:r>
        <w:rPr>
          <w:rFonts w:hint="default" w:ascii="Times New Roman" w:hAnsi="Times New Roman" w:eastAsia="仿宋" w:cs="Times New Roman"/>
          <w:b w:val="0"/>
          <w:bCs/>
          <w:color w:val="auto"/>
          <w:sz w:val="24"/>
          <w:szCs w:val="24"/>
          <w:highlight w:val="none"/>
          <w:lang w:val="en-US" w:eastAsia="zh-CN"/>
        </w:rPr>
        <w:t>环境影响报告表</w:t>
      </w:r>
      <w:r>
        <w:rPr>
          <w:rFonts w:hint="default" w:ascii="Times New Roman" w:hAnsi="Times New Roman" w:eastAsia="仿宋" w:cs="Times New Roman"/>
          <w:b w:val="0"/>
          <w:bCs w:val="0"/>
          <w:color w:val="auto"/>
          <w:sz w:val="24"/>
          <w:szCs w:val="24"/>
          <w:highlight w:val="none"/>
          <w:lang w:val="en-US" w:eastAsia="zh-CN"/>
        </w:rPr>
        <w:t>》，供其报环境保护主管部门审批。</w:t>
      </w:r>
    </w:p>
    <w:p w14:paraId="61A8403F">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default"/>
          <w:color w:val="auto"/>
          <w:highlight w:val="none"/>
          <w:lang w:val="en-US" w:eastAsia="zh-CN"/>
        </w:rPr>
        <w:t>表</w:t>
      </w:r>
      <w:r>
        <w:rPr>
          <w:rFonts w:hint="eastAsia"/>
          <w:color w:val="auto"/>
          <w:highlight w:val="none"/>
          <w:lang w:val="en-US" w:eastAsia="zh-CN"/>
        </w:rPr>
        <w:t xml:space="preserve">1 </w:t>
      </w:r>
      <w:r>
        <w:rPr>
          <w:rFonts w:hint="default"/>
          <w:color w:val="auto"/>
          <w:highlight w:val="none"/>
          <w:lang w:val="en-US" w:eastAsia="zh-CN"/>
        </w:rPr>
        <w:t>项目与输变电建设项目重大变动清单对比分析</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
        <w:gridCol w:w="2235"/>
        <w:gridCol w:w="1811"/>
        <w:gridCol w:w="1867"/>
        <w:gridCol w:w="872"/>
        <w:gridCol w:w="1327"/>
      </w:tblGrid>
      <w:tr w14:paraId="2EC4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5A03F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序号</w:t>
            </w:r>
          </w:p>
        </w:tc>
        <w:tc>
          <w:tcPr>
            <w:tcW w:w="1311" w:type="pct"/>
            <w:noWrap w:val="0"/>
            <w:vAlign w:val="center"/>
          </w:tcPr>
          <w:p w14:paraId="60EB0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变动清单</w:t>
            </w:r>
          </w:p>
        </w:tc>
        <w:tc>
          <w:tcPr>
            <w:tcW w:w="1062" w:type="pct"/>
            <w:noWrap w:val="0"/>
            <w:vAlign w:val="center"/>
          </w:tcPr>
          <w:p w14:paraId="52B13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环评</w:t>
            </w:r>
            <w:r>
              <w:rPr>
                <w:rFonts w:hint="eastAsia"/>
                <w:color w:val="auto"/>
                <w:sz w:val="21"/>
                <w:szCs w:val="21"/>
                <w:highlight w:val="none"/>
                <w:lang w:val="en-US" w:eastAsia="zh-CN"/>
              </w:rPr>
              <w:t>情况</w:t>
            </w:r>
          </w:p>
        </w:tc>
        <w:tc>
          <w:tcPr>
            <w:tcW w:w="1095" w:type="pct"/>
            <w:noWrap w:val="0"/>
            <w:vAlign w:val="center"/>
          </w:tcPr>
          <w:p w14:paraId="2FDA7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实际</w:t>
            </w:r>
            <w:r>
              <w:rPr>
                <w:rFonts w:hint="eastAsia"/>
                <w:color w:val="auto"/>
                <w:sz w:val="21"/>
                <w:szCs w:val="21"/>
                <w:highlight w:val="none"/>
                <w:lang w:val="en-US" w:eastAsia="zh-CN"/>
              </w:rPr>
              <w:t>情况</w:t>
            </w:r>
          </w:p>
        </w:tc>
        <w:tc>
          <w:tcPr>
            <w:tcW w:w="511" w:type="pct"/>
            <w:noWrap w:val="0"/>
            <w:vAlign w:val="center"/>
          </w:tcPr>
          <w:p w14:paraId="0C535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是否属于重大变更</w:t>
            </w:r>
          </w:p>
        </w:tc>
        <w:tc>
          <w:tcPr>
            <w:tcW w:w="778" w:type="pct"/>
            <w:noWrap w:val="0"/>
            <w:vAlign w:val="center"/>
          </w:tcPr>
          <w:p w14:paraId="2C7ED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不利环境影响变化情况</w:t>
            </w:r>
          </w:p>
        </w:tc>
      </w:tr>
      <w:tr w14:paraId="2131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049E15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w:t>
            </w:r>
          </w:p>
        </w:tc>
        <w:tc>
          <w:tcPr>
            <w:tcW w:w="1311" w:type="pct"/>
            <w:noWrap w:val="0"/>
            <w:vAlign w:val="center"/>
          </w:tcPr>
          <w:p w14:paraId="1A9BB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电压等级升高。</w:t>
            </w:r>
          </w:p>
        </w:tc>
        <w:tc>
          <w:tcPr>
            <w:tcW w:w="1062" w:type="pct"/>
            <w:noWrap w:val="0"/>
            <w:vAlign w:val="center"/>
          </w:tcPr>
          <w:p w14:paraId="18D56C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220kV</w:t>
            </w:r>
          </w:p>
        </w:tc>
        <w:tc>
          <w:tcPr>
            <w:tcW w:w="1095" w:type="pct"/>
            <w:noWrap w:val="0"/>
            <w:vAlign w:val="center"/>
          </w:tcPr>
          <w:p w14:paraId="351254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与环评一致</w:t>
            </w:r>
          </w:p>
        </w:tc>
        <w:tc>
          <w:tcPr>
            <w:tcW w:w="511" w:type="pct"/>
            <w:noWrap w:val="0"/>
            <w:vAlign w:val="center"/>
          </w:tcPr>
          <w:p w14:paraId="53A239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否</w:t>
            </w:r>
          </w:p>
        </w:tc>
        <w:tc>
          <w:tcPr>
            <w:tcW w:w="778" w:type="pct"/>
            <w:noWrap w:val="0"/>
            <w:vAlign w:val="center"/>
          </w:tcPr>
          <w:p w14:paraId="6D5899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未新增</w:t>
            </w:r>
            <w:r>
              <w:rPr>
                <w:rFonts w:hint="eastAsia"/>
                <w:color w:val="auto"/>
                <w:sz w:val="21"/>
                <w:szCs w:val="21"/>
                <w:highlight w:val="none"/>
              </w:rPr>
              <w:t>不利环境影响</w:t>
            </w:r>
          </w:p>
        </w:tc>
      </w:tr>
      <w:tr w14:paraId="703B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15935F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2</w:t>
            </w:r>
          </w:p>
        </w:tc>
        <w:tc>
          <w:tcPr>
            <w:tcW w:w="1311" w:type="pct"/>
            <w:noWrap w:val="0"/>
            <w:vAlign w:val="center"/>
          </w:tcPr>
          <w:p w14:paraId="73F6A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主变压器、换流变压器、高压电抗器等主要设备总数量增加超过原数量的30%。</w:t>
            </w:r>
          </w:p>
        </w:tc>
        <w:tc>
          <w:tcPr>
            <w:tcW w:w="1062" w:type="pct"/>
            <w:noWrap w:val="0"/>
            <w:vAlign w:val="center"/>
          </w:tcPr>
          <w:p w14:paraId="0DB3A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3台150MVA主变</w:t>
            </w:r>
          </w:p>
        </w:tc>
        <w:tc>
          <w:tcPr>
            <w:tcW w:w="1095" w:type="pct"/>
            <w:noWrap w:val="0"/>
            <w:vAlign w:val="center"/>
          </w:tcPr>
          <w:p w14:paraId="6C33F8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1台230MVA主变和1台210MVA主变</w:t>
            </w:r>
          </w:p>
        </w:tc>
        <w:tc>
          <w:tcPr>
            <w:tcW w:w="511" w:type="pct"/>
            <w:noWrap w:val="0"/>
            <w:vAlign w:val="center"/>
          </w:tcPr>
          <w:p w14:paraId="19CC1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否</w:t>
            </w:r>
          </w:p>
        </w:tc>
        <w:tc>
          <w:tcPr>
            <w:tcW w:w="778" w:type="pct"/>
            <w:noWrap w:val="0"/>
            <w:vAlign w:val="center"/>
          </w:tcPr>
          <w:p w14:paraId="3A2C2D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电磁环境影响降低</w:t>
            </w:r>
          </w:p>
        </w:tc>
      </w:tr>
      <w:tr w14:paraId="439D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0F308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3</w:t>
            </w:r>
          </w:p>
        </w:tc>
        <w:tc>
          <w:tcPr>
            <w:tcW w:w="1311" w:type="pct"/>
            <w:noWrap w:val="0"/>
            <w:vAlign w:val="center"/>
          </w:tcPr>
          <w:p w14:paraId="7F8DA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输电线路路径长度增加超过原路径长度的30%。</w:t>
            </w:r>
          </w:p>
        </w:tc>
        <w:tc>
          <w:tcPr>
            <w:tcW w:w="1062" w:type="pct"/>
            <w:noWrap w:val="0"/>
            <w:vAlign w:val="center"/>
          </w:tcPr>
          <w:p w14:paraId="04E206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集电线路总长40km，其中直埋敷设长度12km、架空长度28km</w:t>
            </w:r>
          </w:p>
        </w:tc>
        <w:tc>
          <w:tcPr>
            <w:tcW w:w="1095" w:type="pct"/>
            <w:noWrap w:val="0"/>
            <w:vAlign w:val="center"/>
          </w:tcPr>
          <w:p w14:paraId="593B89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线路总长120.34km，其中直埋敷设长度22km、架空长度98.34km，增加201%</w:t>
            </w:r>
          </w:p>
        </w:tc>
        <w:tc>
          <w:tcPr>
            <w:tcW w:w="511" w:type="pct"/>
            <w:noWrap w:val="0"/>
            <w:vAlign w:val="center"/>
          </w:tcPr>
          <w:p w14:paraId="065081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lang w:val="en-US" w:eastAsia="zh-CN"/>
              </w:rPr>
              <w:t>是</w:t>
            </w:r>
          </w:p>
        </w:tc>
        <w:tc>
          <w:tcPr>
            <w:tcW w:w="778" w:type="pct"/>
            <w:noWrap w:val="0"/>
            <w:vAlign w:val="center"/>
          </w:tcPr>
          <w:p w14:paraId="2911D2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增加施工期生态环境不利影响，完成植被恢复后环境影响可控</w:t>
            </w:r>
          </w:p>
        </w:tc>
      </w:tr>
      <w:tr w14:paraId="022B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327BB2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4</w:t>
            </w:r>
          </w:p>
        </w:tc>
        <w:tc>
          <w:tcPr>
            <w:tcW w:w="1311" w:type="pct"/>
            <w:noWrap w:val="0"/>
            <w:vAlign w:val="center"/>
          </w:tcPr>
          <w:p w14:paraId="3BFB7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变电站、换流站、开关站、串补站站址位移超过500米。</w:t>
            </w:r>
          </w:p>
        </w:tc>
        <w:tc>
          <w:tcPr>
            <w:tcW w:w="1062" w:type="pct"/>
            <w:noWrap w:val="0"/>
            <w:vAlign w:val="center"/>
          </w:tcPr>
          <w:p w14:paraId="4FFFA9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升压站中心坐标东经</w:t>
            </w:r>
            <w:r>
              <w:rPr>
                <w:rFonts w:hint="eastAsia"/>
                <w:color w:val="auto"/>
                <w:sz w:val="21"/>
                <w:szCs w:val="21"/>
                <w:highlight w:val="none"/>
                <w:lang w:val="en-US" w:eastAsia="zh-CN"/>
              </w:rPr>
              <w:t>103°33'20.6024"，北纬26°54'35.8572"</w:t>
            </w:r>
          </w:p>
        </w:tc>
        <w:tc>
          <w:tcPr>
            <w:tcW w:w="1095" w:type="pct"/>
            <w:noWrap w:val="0"/>
            <w:vAlign w:val="center"/>
          </w:tcPr>
          <w:p w14:paraId="66F33E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升压站中心坐标：东经103°33′2.568″，北纬26°53′58.313″</w:t>
            </w:r>
          </w:p>
          <w:p w14:paraId="667578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升压站站址向西南方向位移约1050米，</w:t>
            </w:r>
          </w:p>
        </w:tc>
        <w:tc>
          <w:tcPr>
            <w:tcW w:w="511" w:type="pct"/>
            <w:noWrap w:val="0"/>
            <w:vAlign w:val="center"/>
          </w:tcPr>
          <w:p w14:paraId="45C6DF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是</w:t>
            </w:r>
          </w:p>
        </w:tc>
        <w:tc>
          <w:tcPr>
            <w:tcW w:w="778" w:type="pct"/>
            <w:noWrap w:val="0"/>
            <w:vAlign w:val="center"/>
          </w:tcPr>
          <w:p w14:paraId="0B2344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影响范围变化</w:t>
            </w:r>
          </w:p>
        </w:tc>
      </w:tr>
      <w:tr w14:paraId="7E0B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1210C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5</w:t>
            </w:r>
          </w:p>
        </w:tc>
        <w:tc>
          <w:tcPr>
            <w:tcW w:w="1311" w:type="pct"/>
            <w:noWrap w:val="0"/>
            <w:vAlign w:val="center"/>
          </w:tcPr>
          <w:p w14:paraId="7BD905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输电线路横向位移超出500米的累计长度超过原路径长度的30%。</w:t>
            </w:r>
          </w:p>
        </w:tc>
        <w:tc>
          <w:tcPr>
            <w:tcW w:w="1062" w:type="pct"/>
            <w:noWrap w:val="0"/>
            <w:vAlign w:val="center"/>
          </w:tcPr>
          <w:p w14:paraId="46603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1095" w:type="pct"/>
            <w:noWrap w:val="0"/>
            <w:vAlign w:val="center"/>
          </w:tcPr>
          <w:p w14:paraId="0C0AFE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511" w:type="pct"/>
            <w:noWrap w:val="0"/>
            <w:vAlign w:val="center"/>
          </w:tcPr>
          <w:p w14:paraId="0526F6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w:t>
            </w:r>
          </w:p>
        </w:tc>
        <w:tc>
          <w:tcPr>
            <w:tcW w:w="778" w:type="pct"/>
            <w:noWrap w:val="0"/>
            <w:vAlign w:val="center"/>
          </w:tcPr>
          <w:p w14:paraId="4E67D9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r>
      <w:tr w14:paraId="441B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15E94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6</w:t>
            </w:r>
          </w:p>
        </w:tc>
        <w:tc>
          <w:tcPr>
            <w:tcW w:w="1311" w:type="pct"/>
            <w:noWrap w:val="0"/>
            <w:vAlign w:val="center"/>
          </w:tcPr>
          <w:p w14:paraId="2FACA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因输变电工程路径、站址等发生变化，导致进入新的自然保护区、风景名胜区、饮用水水源保护区等生态敏感区。</w:t>
            </w:r>
          </w:p>
        </w:tc>
        <w:tc>
          <w:tcPr>
            <w:tcW w:w="1062" w:type="pct"/>
            <w:noWrap w:val="0"/>
            <w:vAlign w:val="center"/>
          </w:tcPr>
          <w:p w14:paraId="125151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项目</w:t>
            </w:r>
            <w:r>
              <w:rPr>
                <w:rFonts w:hint="default"/>
                <w:color w:val="auto"/>
                <w:sz w:val="21"/>
                <w:szCs w:val="21"/>
                <w:highlight w:val="none"/>
                <w:lang w:val="en-US" w:eastAsia="zh-CN"/>
              </w:rPr>
              <w:t>不涉及</w:t>
            </w:r>
            <w:r>
              <w:rPr>
                <w:rFonts w:hint="default"/>
                <w:color w:val="auto"/>
                <w:sz w:val="21"/>
                <w:szCs w:val="21"/>
                <w:highlight w:val="none"/>
              </w:rPr>
              <w:t>自然保护区、风景名胜区、饮用水水源保护区等生态敏感区。</w:t>
            </w:r>
          </w:p>
        </w:tc>
        <w:tc>
          <w:tcPr>
            <w:tcW w:w="1095" w:type="pct"/>
            <w:noWrap w:val="0"/>
            <w:vAlign w:val="center"/>
          </w:tcPr>
          <w:p w14:paraId="7C275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与环评一致</w:t>
            </w:r>
          </w:p>
        </w:tc>
        <w:tc>
          <w:tcPr>
            <w:tcW w:w="511" w:type="pct"/>
            <w:noWrap w:val="0"/>
            <w:vAlign w:val="center"/>
          </w:tcPr>
          <w:p w14:paraId="40D63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否</w:t>
            </w:r>
          </w:p>
        </w:tc>
        <w:tc>
          <w:tcPr>
            <w:tcW w:w="778" w:type="pct"/>
            <w:noWrap w:val="0"/>
            <w:vAlign w:val="center"/>
          </w:tcPr>
          <w:p w14:paraId="41952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未新增</w:t>
            </w:r>
            <w:r>
              <w:rPr>
                <w:rFonts w:hint="eastAsia"/>
                <w:color w:val="auto"/>
                <w:sz w:val="21"/>
                <w:szCs w:val="21"/>
                <w:highlight w:val="none"/>
              </w:rPr>
              <w:t>不利环境影响</w:t>
            </w:r>
          </w:p>
        </w:tc>
      </w:tr>
      <w:tr w14:paraId="73C7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353BC4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7</w:t>
            </w:r>
          </w:p>
        </w:tc>
        <w:tc>
          <w:tcPr>
            <w:tcW w:w="1311" w:type="pct"/>
            <w:noWrap w:val="0"/>
            <w:vAlign w:val="center"/>
          </w:tcPr>
          <w:p w14:paraId="756F9D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因输变电工程路径、站址等发生变化，导致新增的电磁和声环境敏感目标超过原数量的30%。</w:t>
            </w:r>
          </w:p>
        </w:tc>
        <w:tc>
          <w:tcPr>
            <w:tcW w:w="1062" w:type="pct"/>
            <w:noWrap w:val="0"/>
            <w:vAlign w:val="center"/>
          </w:tcPr>
          <w:p w14:paraId="22112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仿宋"/>
                <w:color w:val="auto"/>
                <w:sz w:val="21"/>
                <w:szCs w:val="21"/>
                <w:highlight w:val="none"/>
                <w:lang w:val="en-US" w:eastAsia="zh-CN"/>
              </w:rPr>
            </w:pPr>
            <w:r>
              <w:rPr>
                <w:rFonts w:hint="default"/>
                <w:color w:val="auto"/>
                <w:sz w:val="21"/>
                <w:szCs w:val="21"/>
                <w:highlight w:val="none"/>
              </w:rPr>
              <w:t>声环境敏感点</w:t>
            </w:r>
            <w:r>
              <w:rPr>
                <w:rFonts w:hint="eastAsia"/>
                <w:color w:val="auto"/>
                <w:sz w:val="21"/>
                <w:szCs w:val="21"/>
                <w:highlight w:val="none"/>
              </w:rPr>
              <w:t>17个</w:t>
            </w:r>
            <w:r>
              <w:rPr>
                <w:rFonts w:hint="eastAsia"/>
                <w:color w:val="auto"/>
                <w:sz w:val="21"/>
                <w:szCs w:val="21"/>
                <w:highlight w:val="none"/>
                <w:lang w:eastAsia="zh-CN"/>
              </w:rPr>
              <w:t>，</w:t>
            </w:r>
            <w:r>
              <w:rPr>
                <w:rFonts w:hint="eastAsia"/>
                <w:color w:val="auto"/>
                <w:sz w:val="21"/>
                <w:szCs w:val="21"/>
                <w:highlight w:val="none"/>
                <w:lang w:val="en-US" w:eastAsia="zh-CN"/>
              </w:rPr>
              <w:t>电磁环境敏感点0个</w:t>
            </w:r>
          </w:p>
        </w:tc>
        <w:tc>
          <w:tcPr>
            <w:tcW w:w="1095" w:type="pct"/>
            <w:noWrap w:val="0"/>
            <w:vAlign w:val="center"/>
          </w:tcPr>
          <w:p w14:paraId="2195A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仿宋"/>
                <w:color w:val="auto"/>
                <w:sz w:val="21"/>
                <w:szCs w:val="21"/>
                <w:highlight w:val="none"/>
                <w:lang w:val="en-US" w:eastAsia="zh-CN"/>
              </w:rPr>
            </w:pPr>
            <w:r>
              <w:rPr>
                <w:rFonts w:hint="eastAsia"/>
                <w:color w:val="auto"/>
                <w:sz w:val="21"/>
                <w:szCs w:val="21"/>
                <w:highlight w:val="none"/>
              </w:rPr>
              <w:t>声环境敏感点</w:t>
            </w:r>
            <w:r>
              <w:rPr>
                <w:rFonts w:hint="eastAsia"/>
                <w:color w:val="auto"/>
                <w:sz w:val="21"/>
                <w:szCs w:val="21"/>
                <w:highlight w:val="none"/>
                <w:lang w:val="en-US" w:eastAsia="zh-CN"/>
              </w:rPr>
              <w:t>25</w:t>
            </w:r>
            <w:r>
              <w:rPr>
                <w:rFonts w:hint="eastAsia"/>
                <w:color w:val="auto"/>
                <w:sz w:val="21"/>
                <w:szCs w:val="21"/>
                <w:highlight w:val="none"/>
              </w:rPr>
              <w:t>个，增加</w:t>
            </w:r>
            <w:r>
              <w:rPr>
                <w:rFonts w:hint="eastAsia"/>
                <w:color w:val="auto"/>
                <w:sz w:val="21"/>
                <w:szCs w:val="21"/>
                <w:highlight w:val="none"/>
                <w:lang w:val="en-US" w:eastAsia="zh-CN"/>
              </w:rPr>
              <w:t>47</w:t>
            </w:r>
            <w:r>
              <w:rPr>
                <w:rFonts w:hint="eastAsia"/>
                <w:color w:val="auto"/>
                <w:sz w:val="21"/>
                <w:szCs w:val="21"/>
                <w:highlight w:val="none"/>
              </w:rPr>
              <w:t>%</w:t>
            </w:r>
            <w:r>
              <w:rPr>
                <w:rFonts w:hint="eastAsia"/>
                <w:color w:val="auto"/>
                <w:sz w:val="21"/>
                <w:szCs w:val="21"/>
                <w:highlight w:val="none"/>
                <w:lang w:eastAsia="zh-CN"/>
              </w:rPr>
              <w:t>；</w:t>
            </w:r>
            <w:r>
              <w:rPr>
                <w:rFonts w:hint="eastAsia"/>
                <w:color w:val="auto"/>
                <w:sz w:val="21"/>
                <w:szCs w:val="21"/>
                <w:highlight w:val="none"/>
                <w:lang w:val="en-US" w:eastAsia="zh-CN"/>
              </w:rPr>
              <w:t>电磁环境敏感点0个不变。</w:t>
            </w:r>
          </w:p>
        </w:tc>
        <w:tc>
          <w:tcPr>
            <w:tcW w:w="511" w:type="pct"/>
            <w:noWrap w:val="0"/>
            <w:vAlign w:val="center"/>
          </w:tcPr>
          <w:p w14:paraId="0A14E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仿宋"/>
                <w:color w:val="auto"/>
                <w:sz w:val="21"/>
                <w:szCs w:val="21"/>
                <w:highlight w:val="none"/>
                <w:lang w:val="en-US" w:eastAsia="zh-CN"/>
              </w:rPr>
            </w:pPr>
            <w:r>
              <w:rPr>
                <w:rFonts w:hint="eastAsia"/>
                <w:color w:val="auto"/>
                <w:sz w:val="21"/>
                <w:szCs w:val="21"/>
                <w:highlight w:val="none"/>
                <w:lang w:val="en-US" w:eastAsia="zh-CN"/>
              </w:rPr>
              <w:t>是</w:t>
            </w:r>
          </w:p>
        </w:tc>
        <w:tc>
          <w:tcPr>
            <w:tcW w:w="778" w:type="pct"/>
            <w:noWrap w:val="0"/>
            <w:vAlign w:val="center"/>
          </w:tcPr>
          <w:p w14:paraId="568CC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受施工影响居民增多</w:t>
            </w:r>
          </w:p>
        </w:tc>
      </w:tr>
      <w:tr w14:paraId="53BE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255620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8</w:t>
            </w:r>
          </w:p>
        </w:tc>
        <w:tc>
          <w:tcPr>
            <w:tcW w:w="1311" w:type="pct"/>
            <w:noWrap w:val="0"/>
            <w:vAlign w:val="center"/>
          </w:tcPr>
          <w:p w14:paraId="087BF8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变电站由户内布置变为户外布置。</w:t>
            </w:r>
          </w:p>
        </w:tc>
        <w:tc>
          <w:tcPr>
            <w:tcW w:w="1062" w:type="pct"/>
            <w:noWrap w:val="0"/>
            <w:vAlign w:val="center"/>
          </w:tcPr>
          <w:p w14:paraId="38903B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1095" w:type="pct"/>
            <w:noWrap w:val="0"/>
            <w:vAlign w:val="center"/>
          </w:tcPr>
          <w:p w14:paraId="6C4757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511" w:type="pct"/>
            <w:noWrap w:val="0"/>
            <w:vAlign w:val="center"/>
          </w:tcPr>
          <w:p w14:paraId="14F77F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w:t>
            </w:r>
          </w:p>
        </w:tc>
        <w:tc>
          <w:tcPr>
            <w:tcW w:w="778" w:type="pct"/>
            <w:noWrap w:val="0"/>
            <w:vAlign w:val="center"/>
          </w:tcPr>
          <w:p w14:paraId="154F36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r>
      <w:tr w14:paraId="78CA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57173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9</w:t>
            </w:r>
          </w:p>
        </w:tc>
        <w:tc>
          <w:tcPr>
            <w:tcW w:w="1311" w:type="pct"/>
            <w:noWrap w:val="0"/>
            <w:vAlign w:val="center"/>
          </w:tcPr>
          <w:p w14:paraId="3C862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输电线路由地下电缆改为架空线路。</w:t>
            </w:r>
          </w:p>
        </w:tc>
        <w:tc>
          <w:tcPr>
            <w:tcW w:w="1062" w:type="pct"/>
            <w:noWrap w:val="0"/>
            <w:vAlign w:val="center"/>
          </w:tcPr>
          <w:p w14:paraId="5E3301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项目</w:t>
            </w:r>
            <w:r>
              <w:rPr>
                <w:rFonts w:hint="default"/>
                <w:color w:val="auto"/>
                <w:sz w:val="21"/>
                <w:szCs w:val="21"/>
                <w:highlight w:val="none"/>
                <w:lang w:val="en-US" w:eastAsia="zh-CN"/>
              </w:rPr>
              <w:t>集电</w:t>
            </w:r>
            <w:r>
              <w:rPr>
                <w:rFonts w:hint="default"/>
                <w:color w:val="auto"/>
                <w:sz w:val="21"/>
                <w:szCs w:val="21"/>
                <w:highlight w:val="none"/>
              </w:rPr>
              <w:t>线路</w:t>
            </w:r>
            <w:r>
              <w:rPr>
                <w:rFonts w:hint="default"/>
                <w:color w:val="auto"/>
                <w:sz w:val="21"/>
                <w:szCs w:val="21"/>
                <w:highlight w:val="none"/>
                <w:lang w:val="en-US" w:eastAsia="zh-CN"/>
              </w:rPr>
              <w:t>为直埋电缆与</w:t>
            </w:r>
            <w:r>
              <w:rPr>
                <w:rFonts w:hint="default"/>
                <w:color w:val="auto"/>
                <w:sz w:val="21"/>
                <w:szCs w:val="21"/>
                <w:highlight w:val="none"/>
              </w:rPr>
              <w:t>架空线路</w:t>
            </w:r>
          </w:p>
        </w:tc>
        <w:tc>
          <w:tcPr>
            <w:tcW w:w="1095" w:type="pct"/>
            <w:noWrap w:val="0"/>
            <w:vAlign w:val="center"/>
          </w:tcPr>
          <w:p w14:paraId="66D52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与环评一致</w:t>
            </w:r>
          </w:p>
        </w:tc>
        <w:tc>
          <w:tcPr>
            <w:tcW w:w="511" w:type="pct"/>
            <w:noWrap w:val="0"/>
            <w:vAlign w:val="center"/>
          </w:tcPr>
          <w:p w14:paraId="6D24D4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否</w:t>
            </w:r>
          </w:p>
        </w:tc>
        <w:tc>
          <w:tcPr>
            <w:tcW w:w="778" w:type="pct"/>
            <w:noWrap w:val="0"/>
            <w:vAlign w:val="center"/>
          </w:tcPr>
          <w:p w14:paraId="2A2BE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未新增</w:t>
            </w:r>
            <w:r>
              <w:rPr>
                <w:rFonts w:hint="eastAsia"/>
                <w:color w:val="auto"/>
                <w:sz w:val="21"/>
                <w:szCs w:val="21"/>
                <w:highlight w:val="none"/>
              </w:rPr>
              <w:t>不利环境影响</w:t>
            </w:r>
          </w:p>
        </w:tc>
      </w:tr>
      <w:tr w14:paraId="72C5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39519A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10</w:t>
            </w:r>
          </w:p>
        </w:tc>
        <w:tc>
          <w:tcPr>
            <w:tcW w:w="1311" w:type="pct"/>
            <w:noWrap w:val="0"/>
            <w:vAlign w:val="center"/>
          </w:tcPr>
          <w:p w14:paraId="514DF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输电线路同塔多回架设改为多条线路架设累计长度超过原路径长度的30%。</w:t>
            </w:r>
          </w:p>
        </w:tc>
        <w:tc>
          <w:tcPr>
            <w:tcW w:w="1062" w:type="pct"/>
            <w:noWrap w:val="0"/>
            <w:vAlign w:val="center"/>
          </w:tcPr>
          <w:p w14:paraId="6693FF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1095" w:type="pct"/>
            <w:noWrap w:val="0"/>
            <w:vAlign w:val="center"/>
          </w:tcPr>
          <w:p w14:paraId="25A6CF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511" w:type="pct"/>
            <w:noWrap w:val="0"/>
            <w:vAlign w:val="center"/>
          </w:tcPr>
          <w:p w14:paraId="231064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w:t>
            </w:r>
          </w:p>
        </w:tc>
        <w:tc>
          <w:tcPr>
            <w:tcW w:w="778" w:type="pct"/>
            <w:noWrap w:val="0"/>
            <w:vAlign w:val="center"/>
          </w:tcPr>
          <w:p w14:paraId="1067C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r>
    </w:tbl>
    <w:p w14:paraId="7F0931A3">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left="0" w:leftChars="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sectPr>
          <w:pgSz w:w="11906" w:h="16838"/>
          <w:pgMar w:top="1440" w:right="1797" w:bottom="1440" w:left="1797" w:header="851" w:footer="1077" w:gutter="0"/>
          <w:pgNumType w:start="21"/>
          <w:cols w:space="720" w:num="1"/>
          <w:docGrid w:linePitch="312" w:charSpace="0"/>
        </w:sectPr>
      </w:pPr>
    </w:p>
    <w:p w14:paraId="0090ABC0">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left="0" w:leftChars="0" w:right="0" w:firstLine="0" w:firstLineChars="0"/>
        <w:jc w:val="center"/>
        <w:textAlignment w:val="auto"/>
        <w:rPr>
          <w:color w:val="auto"/>
          <w:highlight w:val="none"/>
        </w:rPr>
      </w:pPr>
      <w:r>
        <w:rPr>
          <w:color w:val="auto"/>
          <w:sz w:val="24"/>
          <w:highlight w:val="none"/>
        </w:rPr>
        <mc:AlternateContent>
          <mc:Choice Requires="wps">
            <w:drawing>
              <wp:anchor distT="0" distB="0" distL="114300" distR="114300" simplePos="0" relativeHeight="251712512" behindDoc="0" locked="0" layoutInCell="1" allowOverlap="1">
                <wp:simplePos x="0" y="0"/>
                <wp:positionH relativeFrom="column">
                  <wp:posOffset>1437005</wp:posOffset>
                </wp:positionH>
                <wp:positionV relativeFrom="paragraph">
                  <wp:posOffset>4912360</wp:posOffset>
                </wp:positionV>
                <wp:extent cx="1161415" cy="534035"/>
                <wp:effectExtent l="0" t="0" r="0" b="0"/>
                <wp:wrapNone/>
                <wp:docPr id="58" name="矩形 58"/>
                <wp:cNvGraphicFramePr/>
                <a:graphic xmlns:a="http://schemas.openxmlformats.org/drawingml/2006/main">
                  <a:graphicData uri="http://schemas.microsoft.com/office/word/2010/wordprocessingShape">
                    <wps:wsp>
                      <wps:cNvSpPr/>
                      <wps:spPr>
                        <a:xfrm>
                          <a:off x="0" y="0"/>
                          <a:ext cx="1161415" cy="53403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C8C6445">
                            <w:pPr>
                              <w:ind w:left="0" w:leftChars="0" w:firstLine="0" w:firstLineChars="0"/>
                              <w:rPr>
                                <w:rFonts w:hint="default"/>
                                <w:b/>
                                <w:bCs/>
                                <w:lang w:val="en-US" w:eastAsia="zh-CN"/>
                              </w:rPr>
                            </w:pPr>
                            <w:r>
                              <w:rPr>
                                <w:rFonts w:hint="eastAsia"/>
                                <w:b/>
                                <w:bCs/>
                                <w:lang w:val="en-US" w:eastAsia="zh-CN"/>
                              </w:rPr>
                              <w:t>升压站新位置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15pt;margin-top:386.8pt;height:42.05pt;width:91.45pt;z-index:251712512;v-text-anchor:middle;mso-width-relative:page;mso-height-relative:page;" filled="f" stroked="f" coordsize="21600,21600" o:gfxdata="UEsDBAoAAAAAAIdO4kAAAAAAAAAAAAAAAAAEAAAAZHJzL1BLAwQUAAAACACHTuJAKEsU4tsAAAAL&#10;AQAADwAAAGRycy9kb3ducmV2LnhtbE2PQU+DQBCF7yb+h82YeLNLaYUWGZrGqEmPLSbG28JOAWVn&#10;Cbul7b93Pelx8r68902+uZheTDS6zjLCfBaBIK6t7rhBeC9fH1YgnFesVW+ZEK7kYFPc3uQq0/bM&#10;e5oOvhGhhF2mEFrvh0xKV7dklJvZgThkRzsa5cM5NlKP6hzKTS/jKEqkUR2HhVYN9NxS/X04GQRX&#10;TbvyOmw/vj5dXW1f2JTL3Rvi/d08egLh6eL/YPjVD+pQBKfKnlg70SPEcbIIKEKaLhIQgVhG6xhE&#10;hbB6TFOQRS7//1D8AFBLAwQUAAAACACHTuJAAhlfjFQCAACYBAAADgAAAGRycy9lMm9Eb2MueG1s&#10;rVTNbhMxEL4j8Q6W72SzaVIg6qaKGgUhVbRSQZwdr5215D9sJ5vyMkjceAgeB/EafN7dplHh0AMX&#10;Z8Yz+3m+b2ZycXkwmuxFiMrZipajMSXCclcru63op4/rV28oiYnZmmlnRUXvRaSXi5cvLlo/FxPX&#10;OF2LQABi47z1FW1S8vOiiLwRhsWR88IiKF0wLMEN26IOrAW60cVkPD4vWhdqHxwXMeJ21QfpgBie&#10;A+ikVFysHN8ZYVOPGoRmCZRio3yki65aKQVPN1JGkYiuKJim7sQjsDf5LBYXbL4NzDeKDyWw55Tw&#10;hJNhyuLRI9SKJUZ2Qf0FZRQPLjqZRtyZoifSKQIW5fiJNncN86LjAqmjP4oe/x8s/7C/DUTVFZ2h&#10;75YZdPz3tx+/fn4nuIA6rY9zJN352zB4EWamepDB5F+QIIdO0fujouKQCMdlWZ6X03JGCUdsdjYd&#10;n80yaPH4tQ8xvRPOkGxUNKBjnZBsfx1Tn/qQkh+zbq20xj2ba0vaik5m0zGayRlGUWIEYBoPOtFu&#10;KWF6ixnnKXSQJ99myBWLDdkzDEZ0WtVDXdqivEy6p5mtdNgcBu4bV99Dr+D6QYqerxWgrllMtyxg&#10;clAKdivd4JDaoT43WJQ0Lnz9133OR0MRpaTFJKKeLzsWBCX6vUWr35bTaR7dzpnOXk/ghNPI5jRi&#10;d+bKgVOJLfa8M3N+0g+mDM58xgou86sIMcvxdq/S4FylfkOwxFwsl10axtWzdG3vPM/gfS+Wu+Sk&#10;6tqUherVGfTDwHaNHpYrb8Sp32U9/qE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oSxTi2wAA&#10;AAsBAAAPAAAAAAAAAAEAIAAAACIAAABkcnMvZG93bnJldi54bWxQSwECFAAUAAAACACHTuJAAhlf&#10;jFQCAACYBAAADgAAAAAAAAABACAAAAAqAQAAZHJzL2Uyb0RvYy54bWxQSwUGAAAAAAYABgBZAQAA&#10;8AUAAAAA&#10;">
                <v:fill on="f" focussize="0,0"/>
                <v:stroke on="f" weight="2pt"/>
                <v:imagedata o:title=""/>
                <o:lock v:ext="edit" aspectratio="f"/>
                <v:textbox>
                  <w:txbxContent>
                    <w:p w14:paraId="7C8C6445">
                      <w:pPr>
                        <w:ind w:left="0" w:leftChars="0" w:firstLine="0" w:firstLineChars="0"/>
                        <w:rPr>
                          <w:rFonts w:hint="default"/>
                          <w:b/>
                          <w:bCs/>
                          <w:lang w:val="en-US" w:eastAsia="zh-CN"/>
                        </w:rPr>
                      </w:pPr>
                      <w:r>
                        <w:rPr>
                          <w:rFonts w:hint="eastAsia"/>
                          <w:b/>
                          <w:bCs/>
                          <w:lang w:val="en-US" w:eastAsia="zh-CN"/>
                        </w:rPr>
                        <w:t>升压站新位置</w:t>
                      </w:r>
                    </w:p>
                  </w:txbxContent>
                </v:textbox>
              </v:rect>
            </w:pict>
          </mc:Fallback>
        </mc:AlternateContent>
      </w:r>
      <w:r>
        <w:rPr>
          <w:color w:val="auto"/>
          <w:sz w:val="24"/>
          <w:highlight w:val="none"/>
        </w:rPr>
        <mc:AlternateContent>
          <mc:Choice Requires="wps">
            <w:drawing>
              <wp:anchor distT="0" distB="0" distL="114300" distR="114300" simplePos="0" relativeHeight="251711488" behindDoc="0" locked="0" layoutInCell="1" allowOverlap="1">
                <wp:simplePos x="0" y="0"/>
                <wp:positionH relativeFrom="column">
                  <wp:posOffset>3117215</wp:posOffset>
                </wp:positionH>
                <wp:positionV relativeFrom="paragraph">
                  <wp:posOffset>473710</wp:posOffset>
                </wp:positionV>
                <wp:extent cx="1161415" cy="534035"/>
                <wp:effectExtent l="0" t="0" r="0" b="0"/>
                <wp:wrapNone/>
                <wp:docPr id="57" name="矩形 57"/>
                <wp:cNvGraphicFramePr/>
                <a:graphic xmlns:a="http://schemas.openxmlformats.org/drawingml/2006/main">
                  <a:graphicData uri="http://schemas.microsoft.com/office/word/2010/wordprocessingShape">
                    <wps:wsp>
                      <wps:cNvSpPr/>
                      <wps:spPr>
                        <a:xfrm>
                          <a:off x="0" y="0"/>
                          <a:ext cx="1161415" cy="53403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6C58F67">
                            <w:pPr>
                              <w:ind w:left="0" w:leftChars="0" w:firstLine="0" w:firstLineChars="0"/>
                              <w:jc w:val="both"/>
                              <w:rPr>
                                <w:rFonts w:hint="default" w:eastAsia="仿宋"/>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原升压站位置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45pt;margin-top:37.3pt;height:42.05pt;width:91.45pt;z-index:251711488;v-text-anchor:middle;mso-width-relative:page;mso-height-relative:page;" filled="f" stroked="f" coordsize="21600,21600" o:gfxdata="UEsDBAoAAAAAAIdO4kAAAAAAAAAAAAAAAAAEAAAAZHJzL1BLAwQUAAAACACHTuJAx3HUnNkAAAAK&#10;AQAADwAAAGRycy9kb3ducmV2LnhtbE2PwU7DMBBE70j8g7VI3KhdCEkb4lQVAqQeaZAQNydekkC8&#10;jmI3bf+e5QTH1T7NvCk2JzeIGafQe9KwXCgQSI23PbUa3qrnmxWIEA1ZM3hCDWcMsCkvLwqTW3+k&#10;V5z3sRUcQiE3GroYx1zK0HToTFj4EYl/n35yJvI5tdJO5sjhbpC3SqXSmZ64oTMjPnbYfO8PTkOo&#10;5111HrfvXx+hqbdP5Kpk96L19dVSPYCIeIp/MPzqszqU7FT7A9kgBg3JWq0Z1ZAlKQgG0uyOt9RM&#10;3q8ykGUh/08ofwBQSwMEFAAAAAgAh07iQOnTBK1VAgAAmAQAAA4AAABkcnMvZTJvRG9jLnhtbK1U&#10;zW4TMRC+I/EOlu90s2nSQpRNFTUKQqpopYI4O147u5L/sJ1syssgceMh+jiI1+Czd9tGhUMPXJwZ&#10;z+zn+b6ZyfzioBXZCx9aaypanowoEYbbujXbin7+tH7zlpIQmamZskZU9E4EerF4/WreuZkY28aq&#10;WngCEBNmnatoE6ObFUXgjdAsnFgnDILSes0iXL8tas86oGtVjEejs6KzvnbechECbld9kA6I/iWA&#10;VsqWi5XlOy1M7FG9UCyCUmhaF+giVyul4PFayiAiURUF05hPPAJ7k85iMWezrWeuaflQAntJCc84&#10;adYaPPoItWKRkZ1v/4LSLfc2WBlPuNVFTyQrAhbl6Jk2tw1zInOB1ME9ih7+Hyz/uL/xpK0rOj2n&#10;xDCNjv/+/vPX/Q+CC6jTuTBD0q278YMXYCaqB+l1+gUJcsiK3j0qKg6RcFyW5Vk5KaeUcMSmp5PR&#10;6TSBFk9fOx/ie2E1SUZFPTqWhWT7qxD71IeU9Jix61Yp3LOZMqSr6Hg6GaGZnGEUJUYApnagE8yW&#10;Eqa2mHEefYY8+jZBrlhoyJ5hMIJVbT3UpQzKS6R7msmKh81h4L6x9R308rYfpOD4ugXUFQvxhnlM&#10;DkrBbsVrHFJZ1GcHi5LG+m//uk/5aCiilHSYRNTzdce8oER9MGj1u3IySaObncn0fAzHH0c2xxGz&#10;05cWnEpssePZTPlRPZjSW/0FK7hMryLEDMfbvUqDcxn7DcESc7Fc5jSMq2Pxytw6nsD7Xix30co2&#10;tykJ1asz6IeBzY0elittxLGfs57+UB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dx1JzZAAAA&#10;CgEAAA8AAAAAAAAAAQAgAAAAIgAAAGRycy9kb3ducmV2LnhtbFBLAQIUABQAAAAIAIdO4kDp0wSt&#10;VQIAAJgEAAAOAAAAAAAAAAEAIAAAACgBAABkcnMvZTJvRG9jLnhtbFBLBQYAAAAABgAGAFkBAADv&#10;BQAAAAA=&#10;">
                <v:fill on="f" focussize="0,0"/>
                <v:stroke on="f" weight="2pt"/>
                <v:imagedata o:title=""/>
                <o:lock v:ext="edit" aspectratio="f"/>
                <v:textbox>
                  <w:txbxContent>
                    <w:p w14:paraId="36C58F67">
                      <w:pPr>
                        <w:ind w:left="0" w:leftChars="0" w:firstLine="0" w:firstLineChars="0"/>
                        <w:jc w:val="both"/>
                        <w:rPr>
                          <w:rFonts w:hint="default" w:eastAsia="仿宋"/>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原升压站位置</w:t>
                      </w:r>
                    </w:p>
                  </w:txbxContent>
                </v:textbox>
              </v:rect>
            </w:pict>
          </mc:Fallback>
        </mc:AlternateContent>
      </w:r>
      <w:r>
        <w:rPr>
          <w:color w:val="auto"/>
          <w:sz w:val="24"/>
          <w:highlight w:val="none"/>
        </w:rPr>
        <mc:AlternateContent>
          <mc:Choice Requires="wps">
            <w:drawing>
              <wp:anchor distT="0" distB="0" distL="114300" distR="114300" simplePos="0" relativeHeight="251710464" behindDoc="0" locked="0" layoutInCell="1" allowOverlap="1">
                <wp:simplePos x="0" y="0"/>
                <wp:positionH relativeFrom="column">
                  <wp:posOffset>2415540</wp:posOffset>
                </wp:positionH>
                <wp:positionV relativeFrom="paragraph">
                  <wp:posOffset>4761230</wp:posOffset>
                </wp:positionV>
                <wp:extent cx="375285" cy="461645"/>
                <wp:effectExtent l="10160" t="0" r="14605" b="14605"/>
                <wp:wrapNone/>
                <wp:docPr id="56" name="直接箭头连接符 56"/>
                <wp:cNvGraphicFramePr/>
                <a:graphic xmlns:a="http://schemas.openxmlformats.org/drawingml/2006/main">
                  <a:graphicData uri="http://schemas.microsoft.com/office/word/2010/wordprocessingShape">
                    <wps:wsp>
                      <wps:cNvCnPr/>
                      <wps:spPr>
                        <a:xfrm flipV="1">
                          <a:off x="0" y="0"/>
                          <a:ext cx="375285" cy="461645"/>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90.2pt;margin-top:374.9pt;height:36.35pt;width:29.55pt;z-index:251710464;mso-width-relative:page;mso-height-relative:page;" filled="f" stroked="t" coordsize="21600,21600" o:gfxdata="UEsDBAoAAAAAAIdO4kAAAAAAAAAAAAAAAAAEAAAAZHJzL1BLAwQUAAAACACHTuJADeGw/dsAAAAL&#10;AQAADwAAAGRycy9kb3ducmV2LnhtbE2PwU7DMBBE70j8g7VIXBC1m6aQhmwqVIkLQpVogbMTL0kg&#10;Xkex27R/jznBcbVPM2+K9cn24kij7xwjzGcKBHHtTMcNwtv+6TYD4YNmo3vHhHAmD+vy8qLQuXET&#10;v9JxFxoRQ9jnGqENYcil9HVLVvuZG4jj79ONVod4jo00o55iuO1lotSdtLrj2NDqgTYt1d+7g0Wg&#10;x4+XZ0nb8NXddK56rzfb/XRGvL6aqwcQgU7hD4Zf/agOZXSq3IGNFz3CIlNpRBHu01XcEIl0sVqC&#10;qBCyJFmCLAv5f0P5A1BLAwQUAAAACACHTuJAkqU9jQgCAADYAwAADgAAAGRycy9lMm9Eb2MueG1s&#10;rVPNjtMwEL4j8Q6W7zRpacsqarqHlnJBUImf+9RxEkv+09jbtC/BCyBxAk7Aae88DSyPwTgpBZbL&#10;HsghGs94vpnvm/Hi8mA020sMytmSj0c5Z9IKVynblPzVy82DC85CBFuBdlaW/CgDv1zev7fofCEn&#10;rnW6ksgIxIai8yVvY/RFlgXRSgNh5Ly0FKwdGoh0xCarEDpCNzqb5Pk86xxWHp2QIZB3PQT5CRHv&#10;AujqWgm5duLKSBsHVJQaIlEKrfKBL/tu61qK+Lyug4xMl5yYxv5PRcjepX+2XEDRIPhWiVMLcJcW&#10;bnEyoCwVPUOtIQK7QvUPlFECXXB1HAlnsoFIrwixGOe3tHnRgpc9F5I6+LPo4f/Bimf7LTJVlXw2&#10;58yCoYnfvL3+/ubDzZfP395f//j6LtmfPjKKk1idDwXlrOwWT6fgt5iYH2o0rNbKv6at6rUgduzQ&#10;S308Sy0PkQlyPnw0m1zMOBMUms7H8+ksoWcDTILzGOIT6QxLRslDRFBNG1fOWhqqw6EE7J+GOCT+&#10;SkjJ1m2U1uSHQlvWlXwym+Y0cgG0sDUtCpnGE+lgG85AN/QSRMS+6+C0qlJ6yg7Y7FYa2R5ofzab&#10;nL5Tn39dS7XXENrhXh9K16CIoPRjW7F49CQsILrulK8t0U1qDvola+eqYy9r76eB94KcljNt1J/n&#10;Pvv3g1z+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3hsP3bAAAACwEAAA8AAAAAAAAAAQAgAAAA&#10;IgAAAGRycy9kb3ducmV2LnhtbFBLAQIUABQAAAAIAIdO4kCSpT2NCAIAANgDAAAOAAAAAAAAAAEA&#10;IAAAACoBAABkcnMvZTJvRG9jLnhtbFBLBQYAAAAABgAGAFkBAACkBQAAAAA=&#10;">
                <v:fill on="f" focussize="0,0"/>
                <v:stroke weight="2pt" color="#FF0000 [3204]" joinstyle="round" endarrow="open"/>
                <v:imagedata o:title=""/>
                <o:lock v:ext="edit" aspectratio="f"/>
              </v:shape>
            </w:pict>
          </mc:Fallback>
        </mc:AlternateContent>
      </w:r>
      <w:r>
        <w:rPr>
          <w:color w:val="auto"/>
          <w:sz w:val="24"/>
          <w:highlight w:val="none"/>
        </w:rPr>
        <mc:AlternateContent>
          <mc:Choice Requires="wps">
            <w:drawing>
              <wp:anchor distT="0" distB="0" distL="114300" distR="114300" simplePos="0" relativeHeight="251709440" behindDoc="0" locked="0" layoutInCell="1" allowOverlap="1">
                <wp:simplePos x="0" y="0"/>
                <wp:positionH relativeFrom="column">
                  <wp:posOffset>4097020</wp:posOffset>
                </wp:positionH>
                <wp:positionV relativeFrom="paragraph">
                  <wp:posOffset>551815</wp:posOffset>
                </wp:positionV>
                <wp:extent cx="793750" cy="57785"/>
                <wp:effectExtent l="635" t="12700" r="5715" b="62865"/>
                <wp:wrapNone/>
                <wp:docPr id="55" name="直接箭头连接符 55"/>
                <wp:cNvGraphicFramePr/>
                <a:graphic xmlns:a="http://schemas.openxmlformats.org/drawingml/2006/main">
                  <a:graphicData uri="http://schemas.microsoft.com/office/word/2010/wordprocessingShape">
                    <wps:wsp>
                      <wps:cNvCnPr/>
                      <wps:spPr>
                        <a:xfrm>
                          <a:off x="4229735" y="1195070"/>
                          <a:ext cx="793750" cy="57785"/>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22.6pt;margin-top:43.45pt;height:4.55pt;width:62.5pt;z-index:251709440;mso-width-relative:page;mso-height-relative:page;" filled="f" stroked="t" coordsize="21600,21600" o:gfxdata="UEsDBAoAAAAAAIdO4kAAAAAAAAAAAAAAAAAEAAAAZHJzL1BLAwQUAAAACACHTuJApwuFhdYAAAAJ&#10;AQAADwAAAGRycy9kb3ducmV2LnhtbE2PwU7DMAyG70i8Q+RJ3FiyCrqt1J0QUi/cGFMlblnjNdUa&#10;p2qyrbw94QRH259+f3+5m90grjSF3jPCaqlAELfe9NwhHD7rxw2IEDUbPXgmhG8KsKvu70pdGH/j&#10;D7ruYydSCIdCI9gYx0LK0FpyOiz9SJxuJz85HdM4ddJM+pbC3SAzpXLpdM/pg9UjvVlqz/uLQzDx&#10;/SueqOlc/VrPzcE2iscM8WGxUi8gIs3xD4Zf/aQOVXI6+gubIAaE/Ok5SyjCJt+CSMB6rdLiiLDN&#10;FciqlP8bVD9QSwMEFAAAAAgAh07iQD+XWKENAgAA2QMAAA4AAABkcnMvZTJvRG9jLnhtbK1TzXLT&#10;MBC+M8M7aHQndtIat5k4PSSECwOZAR5AkWVbM/qblRonL8ELMMMJOFFOvfM0UB6DlWxaKJce8EFe&#10;Sbvf7vftanFx0IrsBXhpTUWnk5wSYbitpWkr+vbN5skZJT4wUzNljajoUXh6sXz8aNG7uZjZzqpa&#10;AEEQ4+e9q2gXgptnmeed0MxPrBMGLxsLmgXcQpvVwHpE1yqb5fnTrLdQO7BceI+n6+GSjojwEEDb&#10;NJKLteWXWpgwoIJQLCAl30nn6TJV2zSCh1dN40UgqqLINKQVk6C9i2u2XLB5C8x1ko8lsIeUcI+T&#10;ZtJg0luoNQuMXIL8B0pLDtbbJky41dlAJCmCLKb5PW1ed8yJxAWl9u5WdP//YPnL/RaIrCtaFJQY&#10;prHjN++vf7z7dPP16vvH65/fPkT7y2eC9yhW7/wcY1ZmC+POuy1E5ocGdPwjJ3Ko6Olsdl6eIOYR&#10;h2x6XuTlKLY4BMLRoTw/KQtsA0eHoizPEnx2h+PAh+fCahKNivoATLZdWFljsKsWpklvtn/hA1aC&#10;gb8DYhHGbqRSqbnKkL6is+I0j8kYTmyDk4Kmdsjam5YSplp8CjxAgvRWyTqGRyAP7W6lgOwZDtBm&#10;k+MXZcB0f7nF3Gvmu8EvXQ2jFZhUz0xNwtGhsgzA9mO8MggT5RwEjNbO1sekazrHjqdE43TGkfpz&#10;n6LvXuTy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cLhYXWAAAACQEAAA8AAAAAAAAAAQAgAAAA&#10;IgAAAGRycy9kb3ducmV2LnhtbFBLAQIUABQAAAAIAIdO4kA/l1ihDQIAANkDAAAOAAAAAAAAAAEA&#10;IAAAACUBAABkcnMvZTJvRG9jLnhtbFBLBQYAAAAABgAGAFkBAACkBQAAAAA=&#10;">
                <v:fill on="f" focussize="0,0"/>
                <v:stroke weight="2pt" color="#FF0000 [3204]" joinstyle="round" endarrow="open"/>
                <v:imagedata o:title=""/>
                <o:lock v:ext="edit" aspectratio="f"/>
              </v:shape>
            </w:pict>
          </mc:Fallback>
        </mc:AlternateContent>
      </w:r>
      <w:r>
        <w:rPr>
          <w:color w:val="auto"/>
          <w:sz w:val="24"/>
          <w:highlight w:val="none"/>
        </w:rPr>
        <mc:AlternateContent>
          <mc:Choice Requires="wps">
            <w:drawing>
              <wp:anchor distT="0" distB="0" distL="114300" distR="114300" simplePos="0" relativeHeight="251708416" behindDoc="0" locked="0" layoutInCell="1" allowOverlap="1">
                <wp:simplePos x="0" y="0"/>
                <wp:positionH relativeFrom="column">
                  <wp:posOffset>8571230</wp:posOffset>
                </wp:positionH>
                <wp:positionV relativeFrom="paragraph">
                  <wp:posOffset>443865</wp:posOffset>
                </wp:positionV>
                <wp:extent cx="1010285" cy="534035"/>
                <wp:effectExtent l="0" t="0" r="0" b="0"/>
                <wp:wrapNone/>
                <wp:docPr id="22" name="矩形 22"/>
                <wp:cNvGraphicFramePr/>
                <a:graphic xmlns:a="http://schemas.openxmlformats.org/drawingml/2006/main">
                  <a:graphicData uri="http://schemas.microsoft.com/office/word/2010/wordprocessingShape">
                    <wps:wsp>
                      <wps:cNvSpPr/>
                      <wps:spPr>
                        <a:xfrm>
                          <a:off x="8501380" y="2306320"/>
                          <a:ext cx="1010285" cy="53403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43C1D2E">
                            <w:pPr>
                              <w:ind w:left="0" w:leftChars="0" w:firstLine="0" w:firstLineChars="0"/>
                              <w:jc w:val="both"/>
                              <w:rPr>
                                <w:rFonts w:hint="eastAsia" w:eastAsia="仿宋"/>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4.9pt;margin-top:34.95pt;height:42.05pt;width:79.55pt;z-index:251708416;v-text-anchor:middle;mso-width-relative:page;mso-height-relative:page;" filled="f" stroked="f" coordsize="21600,21600" o:gfxdata="UEsDBAoAAAAAAIdO4kAAAAAAAAAAAAAAAAAEAAAAZHJzL1BLAwQUAAAACACHTuJAwFfFY9gAAAAM&#10;AQAADwAAAGRycy9kb3ducmV2LnhtbE2PwU7DMBBE70j8g7VI3KhdCFUT4lQVAqQeaZAQNydekkC8&#10;jmI3bf+ezancZrSj2Tf55uR6MeEYOk8algsFAqn2tqNGw0f5ercGEaIha3pPqOGMATbF9VVuMuuP&#10;9I7TPjaCSyhkRkMb45BJGeoWnQkLPyDx7duPzkS2YyPtaI5c7np5r9RKOtMRf2jNgM8t1r/7g9MQ&#10;qmlXnoft589XqKvtC7ky2b1pfXuzVE8gIp7iJQwzPqNDwUyVP5ANomf/kKTMHjWs0hTEnHhUa1bV&#10;rBIFssjl/xHFH1BLAwQUAAAACACHTuJAaFko/14CAACkBAAADgAAAGRycy9lMm9Eb2MueG1srVTN&#10;bhMxEL4j8Q6W73Q3fyVE3VRRoyKkilYqiLPjtbOW/IftZFNeBokbD9HHQbwGn3e3bVQ49MDFGXsm&#10;38z3zcyenR+MJnsRonK2oqOTkhJhuauV3Vb086fLN3NKYmK2ZtpZUdE7Een58vWrs9YvxNg1Ttci&#10;EIDYuGh9RZuU/KIoIm+EYfHEeWHhlC4YlnAN26IOrAW60cW4LE+L1oXaB8dFjHhd9046IIaXADop&#10;FRdrx3dG2NSjBqFZAqXYKB/psqtWSsHTtZRRJKIrCqapO5EE9iafxfKMLbaB+UbxoQT2khKecTJM&#10;WSR9hFqzxMguqL+gjOLBRSfTCXem6Il0ioDFqHymzW3DvOi4QOroH0WP/w+Wf9zfBKLqio7HlFhm&#10;0PHf33/+uv9B8AB1Wh8XCLr1N2G4RZiZ6kEGk39BghwqOp+Vo8kcut4Ba1KeTsaDuuKQCEfACATH&#10;8xklHBGzybSczHKC4gnJh5jeC2dINioa0L1OVLa/iqkPfQjJia27VFrjnS20JS3SzqYlCuAMYykx&#10;DjCNB7Vot5QwvcW88xQ6yKP/Zsg1iw3ZMwxJdFrVQ13aorwsQE85W+mwOQw6bFx9B+2C64cqen6p&#10;AHXFYrphAVOEUrBn6RqH1A71ucGipHHh27/eczyaCy8lLaYS9XzdsSAo0R8s2v5uNJ0CNnWX6ewt&#10;NCbh2LM59tiduXDgNMJGe96ZOT7pB1MGZ75gHVc5K1zMcuTuVRouF6nfFiw0F6tVF4bR9Sxd2VvP&#10;M3jfi9UuOam6NmWhenUG/TC8XaOHRcvbcXzvop4+Ls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FfFY9gAAAAMAQAADwAAAAAAAAABACAAAAAiAAAAZHJzL2Rvd25yZXYueG1sUEsBAhQAFAAAAAgA&#10;h07iQGhZKP9eAgAApAQAAA4AAAAAAAAAAQAgAAAAJwEAAGRycy9lMm9Eb2MueG1sUEsFBgAAAAAG&#10;AAYAWQEAAPcFAAAAAA==&#10;">
                <v:fill on="f" focussize="0,0"/>
                <v:stroke on="f" weight="2pt"/>
                <v:imagedata o:title=""/>
                <o:lock v:ext="edit" aspectratio="f"/>
                <v:textbox>
                  <w:txbxContent>
                    <w:p w14:paraId="543C1D2E">
                      <w:pPr>
                        <w:ind w:left="0" w:leftChars="0" w:firstLine="0" w:firstLineChars="0"/>
                        <w:jc w:val="both"/>
                        <w:rPr>
                          <w:rFonts w:hint="eastAsia" w:eastAsia="仿宋"/>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北</w:t>
                      </w:r>
                    </w:p>
                  </w:txbxContent>
                </v:textbox>
              </v:rect>
            </w:pict>
          </mc:Fallback>
        </mc:AlternateContent>
      </w:r>
      <w:r>
        <w:rPr>
          <w:color w:val="auto"/>
          <w:sz w:val="24"/>
          <w:highlight w:val="none"/>
        </w:rPr>
        <mc:AlternateContent>
          <mc:Choice Requires="wps">
            <w:drawing>
              <wp:anchor distT="0" distB="0" distL="114300" distR="114300" simplePos="0" relativeHeight="251707392" behindDoc="0" locked="0" layoutInCell="1" allowOverlap="1">
                <wp:simplePos x="0" y="0"/>
                <wp:positionH relativeFrom="column">
                  <wp:posOffset>8730615</wp:posOffset>
                </wp:positionH>
                <wp:positionV relativeFrom="paragraph">
                  <wp:posOffset>183515</wp:posOffset>
                </wp:positionV>
                <wp:extent cx="512445" cy="685800"/>
                <wp:effectExtent l="12700" t="12700" r="27305" b="25400"/>
                <wp:wrapNone/>
                <wp:docPr id="21" name="上箭头 21"/>
                <wp:cNvGraphicFramePr/>
                <a:graphic xmlns:a="http://schemas.openxmlformats.org/drawingml/2006/main">
                  <a:graphicData uri="http://schemas.microsoft.com/office/word/2010/wordprocessingShape">
                    <wps:wsp>
                      <wps:cNvSpPr/>
                      <wps:spPr>
                        <a:xfrm>
                          <a:off x="1293495" y="1266825"/>
                          <a:ext cx="512445" cy="685800"/>
                        </a:xfrm>
                        <a:prstGeom prst="upArrow">
                          <a:avLst>
                            <a:gd name="adj1" fmla="val 35811"/>
                            <a:gd name="adj2" fmla="val 52912"/>
                          </a:avLst>
                        </a:prstGeom>
                        <a:solidFill>
                          <a:schemeClr val="bg1"/>
                        </a:solidFill>
                        <a:ln>
                          <a:solidFill>
                            <a:schemeClr val="tx1">
                              <a:lumMod val="95000"/>
                              <a:lumOff val="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687.45pt;margin-top:14.45pt;height:54pt;width:40.35pt;z-index:251707392;v-text-anchor:middle;mso-width-relative:page;mso-height-relative:page;" fillcolor="#FFFFFF [3212]" filled="t" stroked="t" coordsize="21600,21600" o:gfxdata="UEsDBAoAAAAAAIdO4kAAAAAAAAAAAAAAAAAEAAAAZHJzL1BLAwQUAAAACACHTuJAmCVnEtkAAAAM&#10;AQAADwAAAGRycy9kb3ducmV2LnhtbE2PwU7DMBBE70j8g7VI3Kjd0iRtiFMhJA5ckNpy4ebE2zgi&#10;Xlux27R/j3OC02o0T7Mz1e5qB3bBMfSOJCwXAhhS63RPnYSv4/vTBliIirQaHKGEGwbY1fd3lSq1&#10;m2iPl0PsWAqhUCoJJkZfch5ag1aFhfNIyTu50aqY5NhxPaophduBr4TIuVU9pQ9GeXwz2P4czlZC&#10;PGXHht8mg2IfPj6/Xwvv+0LKx4eleAEW8Rr/YJjrp+pQp06NO5MObEj6uVhvEythtUl3JtZZlgNr&#10;Zi/fAq8r/n9E/QtQSwMEFAAAAAgAh07iQCEDuaW2AgAAeQUAAA4AAABkcnMvZTJvRG9jLnhtbK1U&#10;zW4TMRC+I/EOlu90kyUbkqjbKmoUhFRopYI4O15vdpH/sJ2f8gg8B1c4ceCBQLwGn73bNi0ceqCV&#10;NjOe8cx838z4+HSvJNkK51ujSzo8GlAiNDdVq9clffd2+WxCiQ9MV0waLUp6LTw9PXn65HhnZyI3&#10;jZGVcARBtJ/tbEmbEOwsyzxvhGL+yFihYayNUyxAdeuscmyH6Epm+WAwznbGVdYZLrzH6aIz0j6i&#10;e0xAU9ctFwvDN0ro0EV1QrIASL5pracnqdq6Fjxc1LUXgciSAmlIXySBvIrf7OSYzdaO2ablfQns&#10;MSU8wKRYq5H0NtSCBUY2rv0rlGq5M97U4YgblXVAEiNAMRw84OaqYVYkLKDa21vS/f8Ly99sLx1p&#10;q5LmQ0o0U+j4zx+ff3/7+uvLd4IzELSzfga/K3vpes1DjGj3tVPxFzjIHsOUT5+PpgUl11Eejyd5&#10;0REs9oFwOBTDfDSCncNhPCkmg9SA7C6QdT68FEaRKJR0Y+fOmV1ilm3PfUgUV32drPqAmmsl0bEt&#10;k+R5MRmmgtGGA5/80KfIp8M8FoWkfURIN2ljeG9kWy1bKZPi1qsz6QjCl3SZ/vrL99ykJjswWIwA&#10;iHCGragxjRCVBbNerylhco1148ElMPdu+8Mkg0X8T05yo16bqss9LQYdWWyGY8x0d3xzCgx9lITs&#10;XvgIbsF8091Iph6D1PCO3e36GaWVqa4xEM50m+ItX7a4f858uGQORAMgHo9wgU8tDVCbXqKkMe7T&#10;v86jPyYWVkp2WDUw8nHDnKBEvtKY5elwNIq7mZRR8SKH4g4tq0OL3qgzg26g9aguidE/yBuxdka9&#10;xxszj1lhYpojd8d9r5yF7gnAK8XFfJ7csI+WhXN9ZXkMHruvzXwTTN2GOC937PQKNjKR3b8eceUP&#10;9eR192Ke/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CYJWcS2QAAAAwBAAAPAAAAAAAAAAEAIAAA&#10;ACIAAABkcnMvZG93bnJldi54bWxQSwECFAAUAAAACACHTuJAIQO5pbYCAAB5BQAADgAAAAAAAAAB&#10;ACAAAAAoAQAAZHJzL2Uyb0RvYy54bWxQSwUGAAAAAAYABgBZAQAAUAYAAAAA&#10;" adj="8539,6932">
                <v:fill on="t" focussize="0,0"/>
                <v:stroke weight="2pt" color="#0D0D0D [3069]" joinstyle="round"/>
                <v:imagedata o:title=""/>
                <o:lock v:ext="edit" aspectratio="f"/>
              </v:shape>
            </w:pict>
          </mc:Fallback>
        </mc:AlternateContent>
      </w:r>
      <w:r>
        <w:rPr>
          <w:color w:val="auto"/>
          <w:highlight w:val="none"/>
        </w:rPr>
        <w:drawing>
          <wp:inline distT="0" distB="0" distL="114300" distR="114300">
            <wp:extent cx="9020175" cy="5612130"/>
            <wp:effectExtent l="0" t="0" r="9525" b="762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25"/>
                    <a:stretch>
                      <a:fillRect/>
                    </a:stretch>
                  </pic:blipFill>
                  <pic:spPr>
                    <a:xfrm>
                      <a:off x="0" y="0"/>
                      <a:ext cx="9020175" cy="5612130"/>
                    </a:xfrm>
                    <a:prstGeom prst="rect">
                      <a:avLst/>
                    </a:prstGeom>
                    <a:noFill/>
                    <a:ln>
                      <a:noFill/>
                    </a:ln>
                  </pic:spPr>
                </pic:pic>
              </a:graphicData>
            </a:graphic>
          </wp:inline>
        </w:drawing>
      </w:r>
    </w:p>
    <w:p w14:paraId="0442422C">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left="0" w:leftChars="0" w:right="0" w:firstLine="0" w:firstLineChars="0"/>
        <w:jc w:val="center"/>
        <w:textAlignment w:val="auto"/>
        <w:rPr>
          <w:rFonts w:hint="default" w:ascii="Times New Roman" w:hAnsi="Times New Roman" w:eastAsia="仿宋" w:cs="Times New Roman"/>
          <w:b w:val="0"/>
          <w:bCs w:val="0"/>
          <w:color w:val="auto"/>
          <w:sz w:val="24"/>
          <w:szCs w:val="24"/>
          <w:highlight w:val="none"/>
          <w:lang w:val="en-US" w:eastAsia="zh-CN"/>
        </w:rPr>
      </w:pPr>
      <w:r>
        <w:rPr>
          <w:rFonts w:hint="eastAsia"/>
          <w:color w:val="auto"/>
          <w:highlight w:val="none"/>
          <w:lang w:val="en-US" w:eastAsia="zh-CN"/>
        </w:rPr>
        <w:t>升压站位移示意图</w:t>
      </w:r>
    </w:p>
    <w:p w14:paraId="0B467118">
      <w:pPr>
        <w:spacing w:line="360" w:lineRule="auto"/>
        <w:ind w:firstLine="480" w:firstLineChars="200"/>
        <w:rPr>
          <w:rFonts w:hint="default" w:ascii="Times New Roman" w:hAnsi="Times New Roman" w:eastAsia="仿宋" w:cs="Times New Roman"/>
          <w:b w:val="0"/>
          <w:bCs w:val="0"/>
          <w:color w:val="auto"/>
          <w:highlight w:val="none"/>
          <w:lang w:val="en-US" w:eastAsia="zh-CN"/>
        </w:rPr>
        <w:sectPr>
          <w:pgSz w:w="16838" w:h="11906" w:orient="landscape"/>
          <w:pgMar w:top="720" w:right="720" w:bottom="720" w:left="720" w:header="851" w:footer="1077" w:gutter="0"/>
          <w:pgNumType w:start="21"/>
          <w:cols w:space="720" w:num="1"/>
          <w:docGrid w:linePitch="312" w:charSpace="0"/>
        </w:sectPr>
      </w:pPr>
    </w:p>
    <w:p w14:paraId="06C30D4E">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color w:val="auto"/>
          <w:sz w:val="28"/>
          <w:szCs w:val="28"/>
          <w:highlight w:val="none"/>
        </w:rPr>
        <w:sectPr>
          <w:footerReference r:id="rId8" w:type="default"/>
          <w:pgSz w:w="11906" w:h="16838"/>
          <w:pgMar w:top="1440" w:right="1797" w:bottom="1440" w:left="1797" w:header="851" w:footer="1077" w:gutter="0"/>
          <w:pgBorders>
            <w:top w:val="none" w:sz="0" w:space="0"/>
            <w:left w:val="none" w:sz="0" w:space="0"/>
            <w:bottom w:val="none" w:sz="0" w:space="0"/>
            <w:right w:val="none" w:sz="0" w:space="0"/>
          </w:pgBorders>
          <w:pgNumType w:fmt="decimal" w:start="1"/>
          <w:cols w:space="720" w:num="1"/>
          <w:docGrid w:linePitch="312" w:charSpace="0"/>
        </w:sectPr>
      </w:pPr>
      <w:bookmarkStart w:id="0" w:name="_Toc15845"/>
    </w:p>
    <w:p w14:paraId="5644124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color w:val="auto"/>
          <w:sz w:val="28"/>
          <w:szCs w:val="28"/>
          <w:highlight w:val="none"/>
        </w:rPr>
      </w:pPr>
      <w:r>
        <w:rPr>
          <w:rFonts w:hint="default"/>
          <w:color w:val="auto"/>
          <w:sz w:val="28"/>
          <w:szCs w:val="28"/>
          <w:highlight w:val="none"/>
        </w:rPr>
        <w:t>一、建设项目基本情况</w:t>
      </w:r>
      <w:bookmarkEnd w:id="0"/>
    </w:p>
    <w:tbl>
      <w:tblPr>
        <w:tblStyle w:val="10"/>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31"/>
        <w:gridCol w:w="2363"/>
        <w:gridCol w:w="2230"/>
        <w:gridCol w:w="10"/>
        <w:gridCol w:w="2697"/>
      </w:tblGrid>
      <w:tr w14:paraId="6EF91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2A8097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建设项目名称</w:t>
            </w:r>
          </w:p>
        </w:tc>
        <w:tc>
          <w:tcPr>
            <w:tcW w:w="4381" w:type="pct"/>
            <w:gridSpan w:val="4"/>
            <w:noWrap w:val="0"/>
            <w:vAlign w:val="center"/>
          </w:tcPr>
          <w:p w14:paraId="0CBC75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1"/>
                <w:highlight w:val="none"/>
                <w:lang w:val="en-US" w:eastAsia="zh-CN"/>
              </w:rPr>
              <w:t>迤车镇中寨村委会竹子箐光伏项目（复合型光伏发电项目）（重新报批）</w:t>
            </w:r>
          </w:p>
        </w:tc>
      </w:tr>
      <w:tr w14:paraId="0B752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630D0B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项目代码</w:t>
            </w:r>
          </w:p>
        </w:tc>
        <w:tc>
          <w:tcPr>
            <w:tcW w:w="4381" w:type="pct"/>
            <w:gridSpan w:val="4"/>
            <w:noWrap w:val="0"/>
            <w:vAlign w:val="center"/>
          </w:tcPr>
          <w:p w14:paraId="2C7A58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2202-530326-04-05-183949</w:t>
            </w:r>
          </w:p>
        </w:tc>
      </w:tr>
      <w:tr w14:paraId="0457C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188572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建设单位联系人</w:t>
            </w:r>
          </w:p>
        </w:tc>
        <w:tc>
          <w:tcPr>
            <w:tcW w:w="1418" w:type="pct"/>
            <w:noWrap w:val="0"/>
            <w:vAlign w:val="center"/>
          </w:tcPr>
          <w:p w14:paraId="42BE57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p>
        </w:tc>
        <w:tc>
          <w:tcPr>
            <w:tcW w:w="1341" w:type="pct"/>
            <w:gridSpan w:val="2"/>
            <w:noWrap w:val="0"/>
            <w:vAlign w:val="center"/>
          </w:tcPr>
          <w:p w14:paraId="096544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联系方式</w:t>
            </w:r>
          </w:p>
        </w:tc>
        <w:tc>
          <w:tcPr>
            <w:tcW w:w="1621" w:type="pct"/>
            <w:noWrap w:val="0"/>
            <w:vAlign w:val="center"/>
          </w:tcPr>
          <w:p w14:paraId="7CA260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p>
        </w:tc>
      </w:tr>
      <w:tr w14:paraId="2DB06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662632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建设地点</w:t>
            </w:r>
          </w:p>
        </w:tc>
        <w:tc>
          <w:tcPr>
            <w:tcW w:w="4381" w:type="pct"/>
            <w:gridSpan w:val="4"/>
            <w:noWrap w:val="0"/>
            <w:vAlign w:val="center"/>
          </w:tcPr>
          <w:p w14:paraId="3EC4DF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1"/>
                <w:highlight w:val="none"/>
                <w:u w:val="none"/>
                <w:lang w:val="en-US" w:eastAsia="zh-CN"/>
              </w:rPr>
              <w:t>云南</w:t>
            </w:r>
            <w:r>
              <w:rPr>
                <w:rFonts w:hint="default" w:ascii="Times New Roman" w:hAnsi="Times New Roman" w:eastAsia="仿宋" w:cs="Times New Roman"/>
                <w:color w:val="auto"/>
                <w:sz w:val="24"/>
                <w:szCs w:val="21"/>
                <w:highlight w:val="none"/>
                <w:u w:val="none"/>
                <w:lang w:eastAsia="zh-CN"/>
              </w:rPr>
              <w:t>省</w:t>
            </w:r>
            <w:r>
              <w:rPr>
                <w:rFonts w:hint="default" w:ascii="Times New Roman" w:hAnsi="Times New Roman" w:eastAsia="仿宋" w:cs="Times New Roman"/>
                <w:color w:val="auto"/>
                <w:sz w:val="24"/>
                <w:szCs w:val="21"/>
                <w:highlight w:val="none"/>
                <w:u w:val="none"/>
                <w:lang w:val="en-US" w:eastAsia="zh-CN"/>
              </w:rPr>
              <w:t>曲靖</w:t>
            </w:r>
            <w:r>
              <w:rPr>
                <w:rFonts w:hint="default" w:ascii="Times New Roman" w:hAnsi="Times New Roman" w:eastAsia="仿宋" w:cs="Times New Roman"/>
                <w:color w:val="auto"/>
                <w:sz w:val="24"/>
                <w:szCs w:val="21"/>
                <w:highlight w:val="none"/>
                <w:u w:val="none"/>
              </w:rPr>
              <w:t>市</w:t>
            </w:r>
            <w:r>
              <w:rPr>
                <w:rFonts w:hint="default" w:ascii="Times New Roman" w:hAnsi="Times New Roman" w:eastAsia="仿宋" w:cs="Times New Roman"/>
                <w:color w:val="auto"/>
                <w:sz w:val="24"/>
                <w:szCs w:val="21"/>
                <w:highlight w:val="none"/>
                <w:u w:val="none"/>
                <w:lang w:val="en-US" w:eastAsia="zh-CN"/>
              </w:rPr>
              <w:t>会泽</w:t>
            </w:r>
            <w:r>
              <w:rPr>
                <w:rFonts w:hint="default" w:ascii="Times New Roman" w:hAnsi="Times New Roman" w:eastAsia="仿宋" w:cs="Times New Roman"/>
                <w:color w:val="auto"/>
                <w:sz w:val="24"/>
                <w:szCs w:val="21"/>
                <w:highlight w:val="none"/>
                <w:u w:val="none"/>
              </w:rPr>
              <w:t>县</w:t>
            </w:r>
            <w:r>
              <w:rPr>
                <w:rFonts w:hint="default" w:ascii="Times New Roman" w:hAnsi="Times New Roman" w:eastAsia="仿宋" w:cs="Times New Roman"/>
                <w:color w:val="auto"/>
                <w:sz w:val="24"/>
                <w:szCs w:val="21"/>
                <w:highlight w:val="none"/>
                <w:u w:val="none"/>
                <w:lang w:val="en-US" w:eastAsia="zh-CN"/>
              </w:rPr>
              <w:t>迤车镇、马路乡、纸厂乡</w:t>
            </w:r>
          </w:p>
        </w:tc>
      </w:tr>
      <w:tr w14:paraId="31B13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12281A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地理坐标</w:t>
            </w:r>
          </w:p>
        </w:tc>
        <w:tc>
          <w:tcPr>
            <w:tcW w:w="4381" w:type="pct"/>
            <w:gridSpan w:val="4"/>
            <w:noWrap w:val="0"/>
            <w:vAlign w:val="center"/>
          </w:tcPr>
          <w:p w14:paraId="26A270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升压站中心坐标：东经103°33′2.568″，北纬26°53′58.313″；</w:t>
            </w:r>
          </w:p>
          <w:p w14:paraId="1951B4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szCs w:val="24"/>
                <w:highlight w:val="none"/>
                <w:lang w:val="en-US" w:eastAsia="zh-CN"/>
              </w:rPr>
              <w:t>光伏区：东经103°30′8.729″~103°39′0.308″，北纬26°49′35.181″~26°59′17.840″。</w:t>
            </w:r>
          </w:p>
        </w:tc>
      </w:tr>
      <w:tr w14:paraId="0DBB5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4B4F7F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建设项目</w:t>
            </w:r>
          </w:p>
          <w:p w14:paraId="201B86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行业类别</w:t>
            </w:r>
          </w:p>
        </w:tc>
        <w:tc>
          <w:tcPr>
            <w:tcW w:w="1418" w:type="pct"/>
            <w:noWrap w:val="0"/>
            <w:vAlign w:val="center"/>
          </w:tcPr>
          <w:p w14:paraId="4C103F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四十一</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val="en-US" w:eastAsia="zh-CN"/>
              </w:rPr>
              <w:t>电力、热力生产和供应业 90</w:t>
            </w:r>
            <w:r>
              <w:rPr>
                <w:rFonts w:hint="default" w:ascii="Times New Roman" w:hAnsi="Times New Roman" w:eastAsia="仿宋" w:cs="Times New Roman"/>
                <w:color w:val="auto"/>
                <w:sz w:val="24"/>
                <w:szCs w:val="24"/>
                <w:highlight w:val="none"/>
              </w:rPr>
              <w:t xml:space="preserve">太阳能发电 </w:t>
            </w:r>
            <w:r>
              <w:rPr>
                <w:rFonts w:hint="default" w:ascii="Times New Roman" w:hAnsi="Times New Roman" w:eastAsia="仿宋" w:cs="Times New Roman"/>
                <w:color w:val="auto"/>
                <w:sz w:val="24"/>
                <w:szCs w:val="24"/>
                <w:highlight w:val="none"/>
                <w:lang w:val="en-US" w:eastAsia="zh-CN"/>
              </w:rPr>
              <w:t>4416</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val="en-US" w:eastAsia="zh-CN"/>
              </w:rPr>
              <w:t>不含居民家用光伏发电</w:t>
            </w:r>
            <w:r>
              <w:rPr>
                <w:rFonts w:hint="default" w:ascii="Times New Roman" w:hAnsi="Times New Roman" w:eastAsia="仿宋" w:cs="Times New Roman"/>
                <w:color w:val="auto"/>
                <w:sz w:val="24"/>
                <w:szCs w:val="24"/>
                <w:highlight w:val="none"/>
              </w:rPr>
              <w:t>）</w:t>
            </w:r>
          </w:p>
        </w:tc>
        <w:tc>
          <w:tcPr>
            <w:tcW w:w="1338" w:type="pct"/>
            <w:noWrap w:val="0"/>
            <w:vAlign w:val="center"/>
          </w:tcPr>
          <w:p w14:paraId="32C45C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用地（用海）面积（m</w:t>
            </w:r>
            <w:r>
              <w:rPr>
                <w:rFonts w:hint="default" w:ascii="Times New Roman" w:hAnsi="Times New Roman" w:eastAsia="仿宋" w:cs="Times New Roman"/>
                <w:color w:val="auto"/>
                <w:sz w:val="24"/>
                <w:szCs w:val="24"/>
                <w:highlight w:val="none"/>
                <w:vertAlign w:val="superscript"/>
              </w:rPr>
              <w:t>2</w:t>
            </w:r>
            <w:r>
              <w:rPr>
                <w:rFonts w:hint="default" w:ascii="Times New Roman" w:hAnsi="Times New Roman" w:eastAsia="仿宋" w:cs="Times New Roman"/>
                <w:color w:val="auto"/>
                <w:sz w:val="24"/>
                <w:szCs w:val="24"/>
                <w:highlight w:val="none"/>
              </w:rPr>
              <w:t>）/长度（km）</w:t>
            </w:r>
          </w:p>
        </w:tc>
        <w:tc>
          <w:tcPr>
            <w:tcW w:w="1624" w:type="pct"/>
            <w:gridSpan w:val="2"/>
            <w:noWrap w:val="0"/>
            <w:vAlign w:val="center"/>
          </w:tcPr>
          <w:p w14:paraId="1FD25E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eastAsia" w:cs="Times New Roman"/>
                <w:color w:val="auto"/>
                <w:highlight w:val="none"/>
                <w:lang w:val="en-US" w:eastAsia="zh-CN"/>
              </w:rPr>
              <w:t>203.14</w:t>
            </w:r>
            <w:r>
              <w:rPr>
                <w:rFonts w:hint="default" w:ascii="Times New Roman" w:hAnsi="Times New Roman" w:eastAsia="仿宋" w:cs="Times New Roman"/>
                <w:color w:val="auto"/>
                <w:sz w:val="24"/>
                <w:szCs w:val="24"/>
                <w:highlight w:val="none"/>
                <w:lang w:val="en-US" w:eastAsia="zh-CN"/>
              </w:rPr>
              <w:t>hm</w:t>
            </w:r>
            <w:r>
              <w:rPr>
                <w:rFonts w:hint="default" w:ascii="Times New Roman" w:hAnsi="Times New Roman" w:eastAsia="仿宋" w:cs="Times New Roman"/>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vertAlign w:val="baseline"/>
                <w:lang w:val="en-US" w:eastAsia="zh-CN"/>
              </w:rPr>
              <w:t>（永久用地3.05hm</w:t>
            </w:r>
            <w:r>
              <w:rPr>
                <w:rFonts w:hint="default" w:ascii="Times New Roman" w:hAnsi="Times New Roman" w:eastAsia="仿宋" w:cs="Times New Roman"/>
                <w:b w:val="0"/>
                <w:bCs w:val="0"/>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vertAlign w:val="baseline"/>
                <w:lang w:val="en-US" w:eastAsia="zh-CN"/>
              </w:rPr>
              <w:t>，临时用地2</w:t>
            </w:r>
            <w:r>
              <w:rPr>
                <w:rFonts w:hint="eastAsia" w:cs="Times New Roman"/>
                <w:b w:val="0"/>
                <w:bCs w:val="0"/>
                <w:color w:val="auto"/>
                <w:sz w:val="24"/>
                <w:szCs w:val="24"/>
                <w:highlight w:val="none"/>
                <w:vertAlign w:val="baseline"/>
                <w:lang w:val="en-US" w:eastAsia="zh-CN"/>
              </w:rPr>
              <w:t>00.09</w:t>
            </w:r>
            <w:r>
              <w:rPr>
                <w:rFonts w:hint="default" w:ascii="Times New Roman" w:hAnsi="Times New Roman" w:eastAsia="仿宋" w:cs="Times New Roman"/>
                <w:b w:val="0"/>
                <w:bCs w:val="0"/>
                <w:color w:val="auto"/>
                <w:sz w:val="24"/>
                <w:szCs w:val="24"/>
                <w:highlight w:val="none"/>
                <w:vertAlign w:val="baseline"/>
                <w:lang w:val="en-US" w:eastAsia="zh-CN"/>
              </w:rPr>
              <w:t>hm</w:t>
            </w:r>
            <w:r>
              <w:rPr>
                <w:rFonts w:hint="default" w:ascii="Times New Roman" w:hAnsi="Times New Roman" w:eastAsia="仿宋" w:cs="Times New Roman"/>
                <w:b w:val="0"/>
                <w:bCs w:val="0"/>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vertAlign w:val="baseline"/>
                <w:lang w:val="en-US" w:eastAsia="zh-CN"/>
              </w:rPr>
              <w:t>）</w:t>
            </w:r>
          </w:p>
        </w:tc>
      </w:tr>
      <w:tr w14:paraId="49B5C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2DB3D5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建设性质</w:t>
            </w:r>
          </w:p>
        </w:tc>
        <w:tc>
          <w:tcPr>
            <w:tcW w:w="1418" w:type="pct"/>
            <w:noWrap w:val="0"/>
            <w:vAlign w:val="center"/>
          </w:tcPr>
          <w:p w14:paraId="5A2B1D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sym w:font="Wingdings 2" w:char="0052"/>
            </w:r>
            <w:r>
              <w:rPr>
                <w:rFonts w:hint="default" w:ascii="Times New Roman" w:hAnsi="Times New Roman" w:eastAsia="仿宋" w:cs="Times New Roman"/>
                <w:color w:val="auto"/>
                <w:sz w:val="24"/>
                <w:szCs w:val="24"/>
                <w:highlight w:val="none"/>
              </w:rPr>
              <w:t>新建（迁建）</w:t>
            </w:r>
          </w:p>
          <w:p w14:paraId="539842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□改建</w:t>
            </w:r>
          </w:p>
          <w:p w14:paraId="6ADC6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扩建</w:t>
            </w:r>
          </w:p>
          <w:p w14:paraId="625D80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□技术改造</w:t>
            </w:r>
          </w:p>
        </w:tc>
        <w:tc>
          <w:tcPr>
            <w:tcW w:w="1338" w:type="pct"/>
            <w:noWrap w:val="0"/>
            <w:vAlign w:val="center"/>
          </w:tcPr>
          <w:p w14:paraId="212727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建设项目</w:t>
            </w:r>
          </w:p>
          <w:p w14:paraId="60DEC4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申报情形</w:t>
            </w:r>
          </w:p>
        </w:tc>
        <w:tc>
          <w:tcPr>
            <w:tcW w:w="1624" w:type="pct"/>
            <w:gridSpan w:val="2"/>
            <w:noWrap w:val="0"/>
            <w:vAlign w:val="center"/>
          </w:tcPr>
          <w:p w14:paraId="677B40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sym w:font="Wingdings 2" w:char="00A3"/>
            </w:r>
            <w:r>
              <w:rPr>
                <w:rFonts w:hint="default" w:ascii="Times New Roman" w:hAnsi="Times New Roman" w:eastAsia="仿宋" w:cs="Times New Roman"/>
                <w:color w:val="auto"/>
                <w:sz w:val="24"/>
                <w:szCs w:val="24"/>
                <w:highlight w:val="none"/>
              </w:rPr>
              <w:t>首次申报项目</w:t>
            </w:r>
          </w:p>
          <w:p w14:paraId="51F773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□不予批准后再次申报项目</w:t>
            </w:r>
          </w:p>
          <w:p w14:paraId="6B9495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□超五年重新审核项目</w:t>
            </w:r>
          </w:p>
          <w:p w14:paraId="6C6EA1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重大变动重新报批项目</w:t>
            </w:r>
          </w:p>
        </w:tc>
      </w:tr>
      <w:tr w14:paraId="17088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7B6E1A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项目审批（核准/备案）部门（选填）</w:t>
            </w:r>
          </w:p>
        </w:tc>
        <w:tc>
          <w:tcPr>
            <w:tcW w:w="1418" w:type="pct"/>
            <w:noWrap w:val="0"/>
            <w:vAlign w:val="center"/>
          </w:tcPr>
          <w:p w14:paraId="0FCE89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会泽县发展和改革局</w:t>
            </w:r>
          </w:p>
        </w:tc>
        <w:tc>
          <w:tcPr>
            <w:tcW w:w="1338" w:type="pct"/>
            <w:noWrap w:val="0"/>
            <w:vAlign w:val="center"/>
          </w:tcPr>
          <w:p w14:paraId="6E7496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项目审批（核准/</w:t>
            </w:r>
          </w:p>
          <w:p w14:paraId="139180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备案）文号（选填）</w:t>
            </w:r>
          </w:p>
        </w:tc>
        <w:tc>
          <w:tcPr>
            <w:tcW w:w="1624" w:type="pct"/>
            <w:gridSpan w:val="2"/>
            <w:noWrap w:val="0"/>
            <w:vAlign w:val="center"/>
          </w:tcPr>
          <w:p w14:paraId="6BF90B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2202-530326-04-05-183949</w:t>
            </w:r>
          </w:p>
        </w:tc>
      </w:tr>
      <w:tr w14:paraId="4E9AD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1193AD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总投资（万元）</w:t>
            </w:r>
          </w:p>
        </w:tc>
        <w:tc>
          <w:tcPr>
            <w:tcW w:w="1418" w:type="pct"/>
            <w:noWrap w:val="0"/>
            <w:vAlign w:val="center"/>
          </w:tcPr>
          <w:p w14:paraId="730AE0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eastAsia" w:cs="Times New Roman"/>
                <w:color w:val="auto"/>
                <w:sz w:val="24"/>
                <w:szCs w:val="24"/>
                <w:highlight w:val="none"/>
                <w:lang w:val="en-US" w:eastAsia="zh-CN"/>
              </w:rPr>
              <w:t>61795</w:t>
            </w:r>
          </w:p>
        </w:tc>
        <w:tc>
          <w:tcPr>
            <w:tcW w:w="1338" w:type="pct"/>
            <w:noWrap w:val="0"/>
            <w:tcMar>
              <w:top w:w="16" w:type="dxa"/>
              <w:left w:w="16" w:type="dxa"/>
              <w:right w:w="16" w:type="dxa"/>
            </w:tcMar>
            <w:vAlign w:val="center"/>
          </w:tcPr>
          <w:p w14:paraId="56C43B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环保投资（万元）</w:t>
            </w:r>
          </w:p>
        </w:tc>
        <w:tc>
          <w:tcPr>
            <w:tcW w:w="1624" w:type="pct"/>
            <w:gridSpan w:val="2"/>
            <w:noWrap w:val="0"/>
            <w:vAlign w:val="center"/>
          </w:tcPr>
          <w:p w14:paraId="46BDE3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222.5</w:t>
            </w:r>
          </w:p>
        </w:tc>
      </w:tr>
      <w:tr w14:paraId="6F765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5D8A5B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环保投资占比（%）</w:t>
            </w:r>
          </w:p>
        </w:tc>
        <w:tc>
          <w:tcPr>
            <w:tcW w:w="1418" w:type="pct"/>
            <w:noWrap w:val="0"/>
            <w:vAlign w:val="center"/>
          </w:tcPr>
          <w:p w14:paraId="2FE536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eastAsia" w:cs="Times New Roman"/>
                <w:color w:val="auto"/>
                <w:sz w:val="24"/>
                <w:szCs w:val="24"/>
                <w:highlight w:val="none"/>
                <w:lang w:val="en-US" w:eastAsia="zh-CN"/>
              </w:rPr>
              <w:t>0.36</w:t>
            </w:r>
          </w:p>
        </w:tc>
        <w:tc>
          <w:tcPr>
            <w:tcW w:w="1338" w:type="pct"/>
            <w:noWrap w:val="0"/>
            <w:tcMar>
              <w:top w:w="16" w:type="dxa"/>
              <w:left w:w="16" w:type="dxa"/>
              <w:right w:w="16" w:type="dxa"/>
            </w:tcMar>
            <w:vAlign w:val="center"/>
          </w:tcPr>
          <w:p w14:paraId="1FA200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施工工期</w:t>
            </w:r>
          </w:p>
        </w:tc>
        <w:tc>
          <w:tcPr>
            <w:tcW w:w="1624" w:type="pct"/>
            <w:gridSpan w:val="2"/>
            <w:noWrap w:val="0"/>
            <w:vAlign w:val="center"/>
          </w:tcPr>
          <w:p w14:paraId="2FAB15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8个月</w:t>
            </w:r>
          </w:p>
        </w:tc>
      </w:tr>
      <w:tr w14:paraId="5E616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1C34A2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是否开工建设</w:t>
            </w:r>
          </w:p>
        </w:tc>
        <w:tc>
          <w:tcPr>
            <w:tcW w:w="4381" w:type="pct"/>
            <w:gridSpan w:val="4"/>
            <w:noWrap w:val="0"/>
            <w:vAlign w:val="center"/>
          </w:tcPr>
          <w:p w14:paraId="35FF43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sym w:font="Wingdings 2" w:char="0052"/>
            </w:r>
            <w:r>
              <w:rPr>
                <w:rFonts w:hint="default" w:ascii="Times New Roman" w:hAnsi="Times New Roman" w:eastAsia="仿宋" w:cs="Times New Roman"/>
                <w:color w:val="auto"/>
                <w:sz w:val="24"/>
                <w:szCs w:val="24"/>
                <w:highlight w:val="none"/>
              </w:rPr>
              <w:t>否</w:t>
            </w:r>
          </w:p>
          <w:p w14:paraId="6510D9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是：</w:t>
            </w:r>
            <w:r>
              <w:rPr>
                <w:rFonts w:hint="default" w:ascii="Times New Roman" w:hAnsi="Times New Roman" w:eastAsia="仿宋" w:cs="Times New Roman"/>
                <w:color w:val="auto"/>
                <w:sz w:val="24"/>
                <w:szCs w:val="24"/>
                <w:highlight w:val="none"/>
                <w:u w:val="single"/>
                <w:lang w:val="en-US" w:eastAsia="zh-CN"/>
              </w:rPr>
              <w:t xml:space="preserve">                                                       </w:t>
            </w:r>
          </w:p>
        </w:tc>
      </w:tr>
      <w:tr w14:paraId="7CA38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5302F8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专项评价设置情况</w:t>
            </w:r>
          </w:p>
        </w:tc>
        <w:tc>
          <w:tcPr>
            <w:tcW w:w="4381" w:type="pct"/>
            <w:gridSpan w:val="4"/>
            <w:noWrap w:val="0"/>
            <w:tcMar>
              <w:top w:w="16" w:type="dxa"/>
              <w:left w:w="16" w:type="dxa"/>
              <w:right w:w="16" w:type="dxa"/>
            </w:tcMar>
            <w:vAlign w:val="center"/>
          </w:tcPr>
          <w:p w14:paraId="7358DC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kern w:val="0"/>
                <w:sz w:val="24"/>
                <w:highlight w:val="none"/>
                <w:u w:val="none" w:color="auto"/>
                <w:lang w:val="en-US" w:eastAsia="zh-CN"/>
              </w:rPr>
            </w:pPr>
            <w:r>
              <w:rPr>
                <w:rFonts w:hint="default" w:ascii="Times New Roman" w:hAnsi="Times New Roman" w:eastAsia="仿宋" w:cs="Times New Roman"/>
                <w:color w:val="auto"/>
                <w:spacing w:val="0"/>
                <w:kern w:val="0"/>
                <w:sz w:val="24"/>
                <w:highlight w:val="none"/>
                <w:u w:val="none" w:color="auto"/>
                <w:lang w:val="en-US" w:eastAsia="zh-CN"/>
              </w:rPr>
              <w:t>根据</w:t>
            </w:r>
            <w:r>
              <w:rPr>
                <w:rFonts w:hint="default" w:ascii="Times New Roman" w:hAnsi="Times New Roman" w:eastAsia="仿宋" w:cs="Times New Roman"/>
                <w:color w:val="auto"/>
                <w:spacing w:val="0"/>
                <w:kern w:val="0"/>
                <w:sz w:val="24"/>
                <w:highlight w:val="none"/>
                <w:u w:val="none" w:color="auto"/>
              </w:rPr>
              <w:t>《建设项目环境影响报告表编制技术指南（生态影响类）</w:t>
            </w:r>
            <w:r>
              <w:rPr>
                <w:rFonts w:hint="eastAsia" w:cs="Times New Roman"/>
                <w:color w:val="auto"/>
                <w:spacing w:val="0"/>
                <w:kern w:val="0"/>
                <w:sz w:val="24"/>
                <w:highlight w:val="none"/>
                <w:u w:val="none" w:color="auto"/>
                <w:lang w:eastAsia="zh-CN"/>
              </w:rPr>
              <w:t>（试行）》</w:t>
            </w:r>
            <w:r>
              <w:rPr>
                <w:rFonts w:hint="default" w:ascii="Times New Roman" w:hAnsi="Times New Roman" w:eastAsia="仿宋" w:cs="Times New Roman"/>
                <w:color w:val="auto"/>
                <w:spacing w:val="0"/>
                <w:kern w:val="0"/>
                <w:sz w:val="24"/>
                <w:highlight w:val="none"/>
                <w:u w:val="none" w:color="auto"/>
              </w:rPr>
              <w:t>中专项评价设置原则，</w:t>
            </w:r>
            <w:r>
              <w:rPr>
                <w:rFonts w:hint="default" w:ascii="Times New Roman" w:hAnsi="Times New Roman" w:eastAsia="仿宋" w:cs="Times New Roman"/>
                <w:color w:val="auto"/>
                <w:spacing w:val="0"/>
                <w:kern w:val="0"/>
                <w:sz w:val="24"/>
                <w:highlight w:val="none"/>
                <w:u w:val="none" w:color="auto"/>
                <w:lang w:val="en-US" w:eastAsia="zh-CN"/>
              </w:rPr>
              <w:t>本项目不属于地表水、地下水、大气、噪声、环境风险专项评价涉及的项目类别，故不设地表水、地下水、大气、噪声、环境风险专项评价；项目临时、永久占地未占用</w:t>
            </w:r>
            <w:r>
              <w:rPr>
                <w:rFonts w:hint="default" w:ascii="Times New Roman" w:hAnsi="Times New Roman" w:eastAsia="仿宋" w:cs="Times New Roman"/>
                <w:color w:val="auto"/>
                <w:highlight w:val="none"/>
                <w:lang w:val="en-US" w:eastAsia="zh-CN"/>
              </w:rPr>
              <w:t>环境敏感区</w:t>
            </w:r>
            <w:r>
              <w:rPr>
                <w:rFonts w:hint="default" w:ascii="Times New Roman" w:hAnsi="Times New Roman" w:eastAsia="仿宋" w:cs="Times New Roman"/>
                <w:color w:val="auto"/>
                <w:spacing w:val="0"/>
                <w:kern w:val="0"/>
                <w:sz w:val="24"/>
                <w:highlight w:val="none"/>
                <w:u w:val="none" w:color="auto"/>
                <w:lang w:val="en-US" w:eastAsia="zh-CN"/>
              </w:rPr>
              <w:t>，集电线路未跨越环境敏感区，故本次评价不设置生态专项评价。分析判定情况见表1-1：</w:t>
            </w:r>
          </w:p>
          <w:p w14:paraId="0C58146B">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仿宋" w:cs="Times New Roman"/>
                <w:b/>
                <w:bCs/>
                <w:color w:val="auto"/>
                <w:sz w:val="21"/>
                <w:szCs w:val="21"/>
                <w:highlight w:val="none"/>
                <w:u w:val="none" w:color="auto"/>
                <w:lang w:val="en-US" w:eastAsia="zh-CN"/>
              </w:rPr>
            </w:pPr>
            <w:r>
              <w:rPr>
                <w:rFonts w:hint="default" w:ascii="Times New Roman" w:hAnsi="Times New Roman" w:eastAsia="仿宋" w:cs="Times New Roman"/>
                <w:b/>
                <w:bCs/>
                <w:color w:val="auto"/>
                <w:sz w:val="21"/>
                <w:szCs w:val="21"/>
                <w:highlight w:val="none"/>
                <w:u w:val="none" w:color="auto"/>
                <w:lang w:val="en-US" w:eastAsia="zh-CN"/>
              </w:rPr>
              <w:t>表1-1  编制技术指南专项设置判定情况</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4464"/>
              <w:gridCol w:w="2033"/>
            </w:tblGrid>
            <w:tr w14:paraId="2C73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31B911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u w:val="none" w:color="auto"/>
                      <w:vertAlign w:val="baseline"/>
                      <w:lang w:val="en-US" w:eastAsia="zh-CN"/>
                    </w:rPr>
                  </w:pPr>
                  <w:r>
                    <w:rPr>
                      <w:rFonts w:hint="default" w:ascii="Times New Roman" w:hAnsi="Times New Roman" w:eastAsia="仿宋" w:cs="Times New Roman"/>
                      <w:b/>
                      <w:bCs/>
                      <w:color w:val="auto"/>
                      <w:sz w:val="21"/>
                      <w:szCs w:val="21"/>
                      <w:highlight w:val="none"/>
                      <w:u w:val="none" w:color="auto"/>
                      <w:vertAlign w:val="baseline"/>
                      <w:lang w:val="en-US" w:eastAsia="zh-CN"/>
                    </w:rPr>
                    <w:t>专项评价类别</w:t>
                  </w:r>
                </w:p>
              </w:tc>
              <w:tc>
                <w:tcPr>
                  <w:tcW w:w="3076" w:type="pct"/>
                  <w:noWrap w:val="0"/>
                  <w:vAlign w:val="center"/>
                </w:tcPr>
                <w:p w14:paraId="732C23C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u w:val="none" w:color="auto"/>
                      <w:vertAlign w:val="baseline"/>
                      <w:lang w:val="en-US" w:eastAsia="zh-CN"/>
                    </w:rPr>
                  </w:pPr>
                  <w:r>
                    <w:rPr>
                      <w:rFonts w:hint="default" w:ascii="Times New Roman" w:hAnsi="Times New Roman" w:eastAsia="仿宋" w:cs="Times New Roman"/>
                      <w:b/>
                      <w:bCs/>
                      <w:color w:val="auto"/>
                      <w:sz w:val="21"/>
                      <w:szCs w:val="21"/>
                      <w:highlight w:val="none"/>
                      <w:u w:val="none" w:color="auto"/>
                      <w:vertAlign w:val="baseline"/>
                      <w:lang w:val="en-US" w:eastAsia="zh-CN"/>
                    </w:rPr>
                    <w:t>涉及项目类别</w:t>
                  </w:r>
                </w:p>
              </w:tc>
              <w:tc>
                <w:tcPr>
                  <w:tcW w:w="1401" w:type="pct"/>
                  <w:noWrap w:val="0"/>
                  <w:vAlign w:val="center"/>
                </w:tcPr>
                <w:p w14:paraId="6625A6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u w:val="none" w:color="auto"/>
                      <w:vertAlign w:val="baseline"/>
                      <w:lang w:val="en-US" w:eastAsia="zh-CN"/>
                    </w:rPr>
                  </w:pPr>
                  <w:r>
                    <w:rPr>
                      <w:rFonts w:hint="default" w:ascii="Times New Roman" w:hAnsi="Times New Roman" w:eastAsia="仿宋" w:cs="Times New Roman"/>
                      <w:b/>
                      <w:bCs/>
                      <w:color w:val="auto"/>
                      <w:sz w:val="21"/>
                      <w:szCs w:val="21"/>
                      <w:highlight w:val="none"/>
                      <w:u w:val="none" w:color="auto"/>
                      <w:vertAlign w:val="baseline"/>
                      <w:lang w:val="en-US" w:eastAsia="zh-CN"/>
                    </w:rPr>
                    <w:t>分析判定</w:t>
                  </w:r>
                </w:p>
              </w:tc>
            </w:tr>
            <w:tr w14:paraId="4E6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507E61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地表水</w:t>
                  </w:r>
                </w:p>
              </w:tc>
              <w:tc>
                <w:tcPr>
                  <w:tcW w:w="3076" w:type="pct"/>
                  <w:noWrap w:val="0"/>
                  <w:vAlign w:val="center"/>
                </w:tcPr>
                <w:p w14:paraId="2FEE48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水利发电：引水式发电，涉及调峰发电的项目；</w:t>
                  </w:r>
                </w:p>
                <w:p w14:paraId="7310418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人工湖、人工湿地：全部；</w:t>
                  </w:r>
                </w:p>
                <w:p w14:paraId="3CD4FD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饮水工程：全部（配套的管线工程等除外）；</w:t>
                  </w:r>
                </w:p>
                <w:p w14:paraId="4BDB49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防洪除涝工程：包含水库的项目；</w:t>
                  </w:r>
                </w:p>
                <w:p w14:paraId="3265E2D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河湖整治：涉及清淤且底泥存在重金属污染的项目</w:t>
                  </w:r>
                </w:p>
              </w:tc>
              <w:tc>
                <w:tcPr>
                  <w:tcW w:w="1401" w:type="pct"/>
                  <w:noWrap w:val="0"/>
                  <w:vAlign w:val="center"/>
                </w:tcPr>
                <w:p w14:paraId="05923A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本项目不属于地表水专项评价涉及的项目类别</w:t>
                  </w:r>
                </w:p>
              </w:tc>
            </w:tr>
            <w:tr w14:paraId="7313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3068E3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地下水</w:t>
                  </w:r>
                </w:p>
              </w:tc>
              <w:tc>
                <w:tcPr>
                  <w:tcW w:w="3076" w:type="pct"/>
                  <w:noWrap w:val="0"/>
                  <w:vAlign w:val="center"/>
                </w:tcPr>
                <w:p w14:paraId="0467A32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陆地石油和天然气开采：全部；</w:t>
                  </w:r>
                </w:p>
                <w:p w14:paraId="35A084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地下水（含矿泉水）开采：全部；</w:t>
                  </w:r>
                </w:p>
                <w:p w14:paraId="7AAAD9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水利、水电、交通等：含穿越可溶岩地层隧道的项目</w:t>
                  </w:r>
                </w:p>
              </w:tc>
              <w:tc>
                <w:tcPr>
                  <w:tcW w:w="1401" w:type="pct"/>
                  <w:noWrap w:val="0"/>
                  <w:vAlign w:val="center"/>
                </w:tcPr>
                <w:p w14:paraId="1B66080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本项目不属于地下水专项评价涉及的项目类别</w:t>
                  </w:r>
                </w:p>
              </w:tc>
            </w:tr>
            <w:tr w14:paraId="45C3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7C4E86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生态</w:t>
                  </w:r>
                </w:p>
              </w:tc>
              <w:tc>
                <w:tcPr>
                  <w:tcW w:w="3076" w:type="pct"/>
                  <w:noWrap w:val="0"/>
                  <w:vAlign w:val="center"/>
                </w:tcPr>
                <w:p w14:paraId="3E53D0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涉及环境敏感区（不包括饮用水水源保护区，以居住、医疗卫生、文化教育、科研、行政办公为主要功能的区域，以及文物保护单位）的项目</w:t>
                  </w:r>
                </w:p>
              </w:tc>
              <w:tc>
                <w:tcPr>
                  <w:tcW w:w="1401" w:type="pct"/>
                  <w:noWrap w:val="0"/>
                  <w:vAlign w:val="center"/>
                </w:tcPr>
                <w:p w14:paraId="052588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项目不涉及</w:t>
                  </w:r>
                  <w:r>
                    <w:rPr>
                      <w:rFonts w:hint="eastAsia" w:cs="Times New Roman"/>
                      <w:color w:val="auto"/>
                      <w:sz w:val="21"/>
                      <w:szCs w:val="21"/>
                      <w:highlight w:val="none"/>
                      <w:u w:val="none" w:color="auto"/>
                      <w:vertAlign w:val="baseline"/>
                      <w:lang w:val="en-US" w:eastAsia="zh-CN"/>
                    </w:rPr>
                    <w:t>太阳能发电项目的环境敏感区</w:t>
                  </w:r>
                  <w:r>
                    <w:rPr>
                      <w:rFonts w:hint="default" w:ascii="Times New Roman" w:hAnsi="Times New Roman" w:eastAsia="仿宋" w:cs="Times New Roman"/>
                      <w:color w:val="auto"/>
                      <w:sz w:val="21"/>
                      <w:szCs w:val="21"/>
                      <w:highlight w:val="none"/>
                      <w:u w:val="none" w:color="auto"/>
                      <w:vertAlign w:val="baseline"/>
                      <w:lang w:val="en-US" w:eastAsia="zh-CN"/>
                    </w:rPr>
                    <w:t>，具体见注1、注2、注3。</w:t>
                  </w:r>
                </w:p>
              </w:tc>
            </w:tr>
            <w:tr w14:paraId="5D5B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4D7933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大气</w:t>
                  </w:r>
                </w:p>
              </w:tc>
              <w:tc>
                <w:tcPr>
                  <w:tcW w:w="3076" w:type="pct"/>
                  <w:noWrap w:val="0"/>
                  <w:vAlign w:val="center"/>
                </w:tcPr>
                <w:p w14:paraId="12DD7F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油气、液体化工码头：全部；</w:t>
                  </w:r>
                </w:p>
                <w:p w14:paraId="1C84A2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干散货（含煤炭、矿石）、件杂、多用途、通用码头：涉及粉尘、挥发性有机物排放的项目</w:t>
                  </w:r>
                </w:p>
              </w:tc>
              <w:tc>
                <w:tcPr>
                  <w:tcW w:w="1401" w:type="pct"/>
                  <w:noWrap w:val="0"/>
                  <w:vAlign w:val="center"/>
                </w:tcPr>
                <w:p w14:paraId="56F63F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本项目不属于大气专项评价涉及的项目类别</w:t>
                  </w:r>
                </w:p>
              </w:tc>
            </w:tr>
            <w:tr w14:paraId="1B5F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5329B0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噪声</w:t>
                  </w:r>
                </w:p>
              </w:tc>
              <w:tc>
                <w:tcPr>
                  <w:tcW w:w="3076" w:type="pct"/>
                  <w:noWrap w:val="0"/>
                  <w:vAlign w:val="center"/>
                </w:tcPr>
                <w:p w14:paraId="7880E3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公路、铁路、机场等交通运输业涉及环境敏感区（以居住、医疗卫生、文化教育、科研、行政办公为主要功能的区域）的项目；</w:t>
                  </w:r>
                </w:p>
                <w:p w14:paraId="053B49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城市道路（不含维护、不含支路、人行天桥、人行地道）：全部；</w:t>
                  </w:r>
                </w:p>
              </w:tc>
              <w:tc>
                <w:tcPr>
                  <w:tcW w:w="1401" w:type="pct"/>
                  <w:noWrap w:val="0"/>
                  <w:vAlign w:val="center"/>
                </w:tcPr>
                <w:p w14:paraId="3516B3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本项目不属于噪声专项评价涉及的项目类别</w:t>
                  </w:r>
                </w:p>
              </w:tc>
            </w:tr>
            <w:tr w14:paraId="1D72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256328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环境风险</w:t>
                  </w:r>
                </w:p>
              </w:tc>
              <w:tc>
                <w:tcPr>
                  <w:tcW w:w="3076" w:type="pct"/>
                  <w:noWrap w:val="0"/>
                  <w:vAlign w:val="center"/>
                </w:tcPr>
                <w:p w14:paraId="6AC55A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石油天然气开采：全部；</w:t>
                  </w:r>
                </w:p>
                <w:p w14:paraId="4D2DA1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油气、液体化工码头：全部；</w:t>
                  </w:r>
                </w:p>
                <w:p w14:paraId="3238D1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原油、成品油、天然气管线（不含城镇天然气管线、企业厂区内管线），危险化学品输送管线（不含企业厂区内管线）：全部</w:t>
                  </w:r>
                </w:p>
              </w:tc>
              <w:tc>
                <w:tcPr>
                  <w:tcW w:w="1401" w:type="pct"/>
                  <w:noWrap w:val="0"/>
                  <w:vAlign w:val="center"/>
                </w:tcPr>
                <w:p w14:paraId="63B0AE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本项目不属于环境风险专项评价涉及的项目类别</w:t>
                  </w:r>
                </w:p>
              </w:tc>
            </w:tr>
            <w:tr w14:paraId="4A87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pct"/>
                  <w:noWrap w:val="0"/>
                  <w:vAlign w:val="center"/>
                </w:tcPr>
                <w:p w14:paraId="7DBD54D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eastAsia"/>
                      <w:color w:val="auto"/>
                      <w:sz w:val="21"/>
                      <w:szCs w:val="21"/>
                      <w:highlight w:val="none"/>
                      <w:lang w:val="en-US" w:eastAsia="zh-CN"/>
                    </w:rPr>
                    <w:t>电磁环境</w:t>
                  </w:r>
                </w:p>
              </w:tc>
              <w:tc>
                <w:tcPr>
                  <w:tcW w:w="4478" w:type="pct"/>
                  <w:gridSpan w:val="2"/>
                  <w:noWrap w:val="0"/>
                  <w:vAlign w:val="center"/>
                </w:tcPr>
                <w:p w14:paraId="79C03C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本项目包括110kV升压站工程，110kV升压站属于输变电工程，根据《环境影响评价技术导则 输变电》（HJ24-2020）附录B要求，输变电报告表应设电磁环境影响专题评价。</w:t>
                  </w:r>
                </w:p>
              </w:tc>
            </w:tr>
            <w:tr w14:paraId="7E47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3"/>
                  <w:noWrap w:val="0"/>
                  <w:vAlign w:val="center"/>
                </w:tcPr>
                <w:p w14:paraId="4582C7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注1：根据《建设项目环境影响报告表编制技术指南（生态影响类）（试行）》</w:t>
                  </w:r>
                  <w:r>
                    <w:rPr>
                      <w:rFonts w:hint="eastAsia" w:cs="Times New Roman"/>
                      <w:color w:val="auto"/>
                      <w:sz w:val="21"/>
                      <w:szCs w:val="21"/>
                      <w:highlight w:val="none"/>
                      <w:u w:val="none" w:color="auto"/>
                      <w:vertAlign w:val="baseline"/>
                      <w:lang w:val="en-US" w:eastAsia="zh-CN"/>
                    </w:rPr>
                    <w:t>：</w:t>
                  </w:r>
                  <w:r>
                    <w:rPr>
                      <w:rFonts w:hint="default" w:ascii="Times New Roman" w:hAnsi="Times New Roman" w:eastAsia="仿宋" w:cs="Times New Roman"/>
                      <w:color w:val="auto"/>
                      <w:sz w:val="21"/>
                      <w:szCs w:val="21"/>
                      <w:highlight w:val="none"/>
                      <w:u w:val="none" w:color="auto"/>
                      <w:vertAlign w:val="baseline"/>
                      <w:lang w:val="en-US" w:eastAsia="zh-CN"/>
                    </w:rPr>
                    <w:t>“涉及环境敏感区”是指建设项目位于、穿（跨）越（无害化通过的除外）环境敏感区，或环境影响范围涵盖环境敏感区。环境敏感区是指《建设项目环境影响评价分类管理名录》中针对该类项目所列的敏感区。</w:t>
                  </w:r>
                </w:p>
                <w:p w14:paraId="02CAB9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注2：根据《建设项目环境影响评价分类管理名录》（2021版）本项目为4416太阳能发电项目，此类项目环境敏感区的含义为“国家公园、自然保护区、风景名胜区、世界文化和自然遗产地、海洋特别保护区、饮用水水源保护区”和“以居住、医疗卫生、文化教育、科研、行政办公为主要功能的区域，以及文物保护单位”。</w:t>
                  </w:r>
                </w:p>
                <w:p w14:paraId="3DE23D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r>
                    <w:rPr>
                      <w:rFonts w:hint="default" w:ascii="Times New Roman" w:hAnsi="Times New Roman" w:eastAsia="仿宋" w:cs="Times New Roman"/>
                      <w:color w:val="auto"/>
                      <w:sz w:val="21"/>
                      <w:szCs w:val="21"/>
                      <w:highlight w:val="none"/>
                      <w:u w:val="none" w:color="auto"/>
                      <w:vertAlign w:val="baseline"/>
                      <w:lang w:val="en-US" w:eastAsia="zh-CN"/>
                    </w:rPr>
                    <w:t>注3：本项目生态环境评价范围内涉及：会泽县生态保护红线一种环境敏感区。不属于太阳能发电项目的环境敏感区。因此，项目不设置生态环境专项评价。</w:t>
                  </w:r>
                </w:p>
                <w:p w14:paraId="61144C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u w:val="none" w:color="auto"/>
                      <w:vertAlign w:val="baseline"/>
                      <w:lang w:val="en-US" w:eastAsia="zh-CN"/>
                    </w:rPr>
                  </w:pPr>
                </w:p>
              </w:tc>
            </w:tr>
          </w:tbl>
          <w:p w14:paraId="019381CF">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b/>
                <w:bCs/>
                <w:color w:val="auto"/>
                <w:kern w:val="0"/>
                <w:sz w:val="24"/>
                <w:highlight w:val="none"/>
                <w:u w:val="none" w:color="auto"/>
                <w:lang w:val="en-US" w:eastAsia="zh-CN"/>
              </w:rPr>
              <w:t>综上，项目应设电磁环境影响专题评价</w:t>
            </w:r>
            <w:r>
              <w:rPr>
                <w:rFonts w:hint="default" w:ascii="Times New Roman" w:hAnsi="Times New Roman" w:eastAsia="仿宋" w:cs="Times New Roman"/>
                <w:b/>
                <w:bCs/>
                <w:color w:val="auto"/>
                <w:kern w:val="0"/>
                <w:highlight w:val="none"/>
              </w:rPr>
              <w:t>。</w:t>
            </w:r>
          </w:p>
        </w:tc>
      </w:tr>
      <w:tr w14:paraId="36A5A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05AAF43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sz w:val="24"/>
                <w:szCs w:val="24"/>
                <w:highlight w:val="none"/>
              </w:rPr>
              <w:t>规划情况</w:t>
            </w:r>
          </w:p>
        </w:tc>
        <w:tc>
          <w:tcPr>
            <w:tcW w:w="4381" w:type="pct"/>
            <w:gridSpan w:val="4"/>
            <w:noWrap w:val="0"/>
            <w:tcMar>
              <w:top w:w="16" w:type="dxa"/>
              <w:left w:w="16" w:type="dxa"/>
              <w:right w:w="16" w:type="dxa"/>
            </w:tcMar>
            <w:vAlign w:val="center"/>
          </w:tcPr>
          <w:p w14:paraId="5DC727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olor w:val="auto"/>
                <w:highlight w:val="none"/>
                <w:lang w:val="en-US" w:eastAsia="zh-CN"/>
              </w:rPr>
            </w:pPr>
            <w:r>
              <w:rPr>
                <w:rFonts w:hint="eastAsia"/>
                <w:color w:val="auto"/>
                <w:highlight w:val="none"/>
                <w:lang w:val="en-US" w:eastAsia="zh-CN"/>
              </w:rPr>
              <w:t>1、《云南省2024年第一批新能源项目开发建设方案》</w:t>
            </w:r>
          </w:p>
          <w:p w14:paraId="701F4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olor w:val="auto"/>
                <w:highlight w:val="none"/>
                <w:lang w:val="en-US" w:eastAsia="zh-CN"/>
              </w:rPr>
            </w:pPr>
            <w:r>
              <w:rPr>
                <w:rFonts w:hint="eastAsia"/>
                <w:color w:val="auto"/>
                <w:highlight w:val="none"/>
                <w:lang w:val="en-US" w:eastAsia="zh-CN"/>
              </w:rPr>
              <w:t>（1）审批机关：云南省发展和改革委员会、云南省能源局；</w:t>
            </w:r>
          </w:p>
          <w:p w14:paraId="67B07C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color w:val="auto"/>
                <w:highlight w:val="none"/>
                <w:lang w:val="en-US" w:eastAsia="zh-CN"/>
              </w:rPr>
            </w:pPr>
            <w:r>
              <w:rPr>
                <w:rFonts w:hint="eastAsia"/>
                <w:color w:val="auto"/>
                <w:highlight w:val="none"/>
                <w:lang w:val="en-US" w:eastAsia="zh-CN"/>
              </w:rPr>
              <w:t>（2）审批文件名：《云南省发展和改革委员会云南省能源局关于印发云南2024年第一批新能源项目开发建设方案的通知》；</w:t>
            </w:r>
          </w:p>
          <w:p w14:paraId="1FD6C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olor w:val="auto"/>
                <w:highlight w:val="none"/>
                <w:lang w:val="en-US" w:eastAsia="zh-CN"/>
              </w:rPr>
            </w:pPr>
            <w:r>
              <w:rPr>
                <w:rFonts w:hint="eastAsia"/>
                <w:color w:val="auto"/>
                <w:highlight w:val="none"/>
                <w:lang w:val="en-US" w:eastAsia="zh-CN"/>
              </w:rPr>
              <w:t>（3）审批文号：云能源水电〔2024〕74号。</w:t>
            </w:r>
          </w:p>
          <w:p w14:paraId="5CB1F9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olor w:val="auto"/>
                <w:highlight w:val="none"/>
                <w:lang w:val="en-US" w:eastAsia="zh-CN"/>
              </w:rPr>
            </w:pPr>
            <w:r>
              <w:rPr>
                <w:rFonts w:hint="eastAsia"/>
                <w:color w:val="auto"/>
                <w:highlight w:val="none"/>
                <w:lang w:val="en-US" w:eastAsia="zh-CN"/>
              </w:rPr>
              <w:t>2、云南省在适宜地区适度开发利用新能源规划</w:t>
            </w:r>
          </w:p>
          <w:p w14:paraId="5A4B1F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olor w:val="auto"/>
                <w:highlight w:val="none"/>
                <w:lang w:val="en-US" w:eastAsia="zh-CN"/>
              </w:rPr>
            </w:pPr>
            <w:r>
              <w:rPr>
                <w:rFonts w:hint="eastAsia"/>
                <w:color w:val="auto"/>
                <w:highlight w:val="none"/>
                <w:lang w:val="en-US" w:eastAsia="zh-CN"/>
              </w:rPr>
              <w:t>（1）审批机关：云南省发展和改革委员会、云南省能源局；</w:t>
            </w:r>
          </w:p>
          <w:p w14:paraId="1537BE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highlight w:val="none"/>
                <w:lang w:val="en-US" w:eastAsia="zh-CN"/>
              </w:rPr>
            </w:pPr>
            <w:r>
              <w:rPr>
                <w:rFonts w:hint="eastAsia"/>
                <w:color w:val="auto"/>
                <w:highlight w:val="none"/>
                <w:lang w:val="en-US" w:eastAsia="zh-CN"/>
              </w:rPr>
              <w:t>（2）审批文件名：《云南省发展和改革委员会云南省能源局关于印发云南省在适宜地区适度开发利用新能源规划及配套文件的通知》；</w:t>
            </w:r>
          </w:p>
          <w:p w14:paraId="2B401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lang w:val="en-US" w:eastAsia="zh-CN"/>
              </w:rPr>
            </w:pPr>
            <w:r>
              <w:rPr>
                <w:rFonts w:hint="eastAsia"/>
                <w:color w:val="auto"/>
                <w:highlight w:val="none"/>
                <w:lang w:val="en-US" w:eastAsia="zh-CN"/>
              </w:rPr>
              <w:t>（3）审批文号：云能源水电〔2020〕153号。</w:t>
            </w:r>
          </w:p>
        </w:tc>
      </w:tr>
      <w:tr w14:paraId="1194E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618" w:type="pct"/>
            <w:noWrap w:val="0"/>
            <w:tcMar>
              <w:top w:w="16" w:type="dxa"/>
              <w:left w:w="16" w:type="dxa"/>
              <w:right w:w="16" w:type="dxa"/>
            </w:tcMar>
            <w:vAlign w:val="center"/>
          </w:tcPr>
          <w:p w14:paraId="41A5F7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sz w:val="24"/>
                <w:szCs w:val="24"/>
                <w:highlight w:val="none"/>
              </w:rPr>
              <w:t>规划环境影响评价情况</w:t>
            </w:r>
          </w:p>
        </w:tc>
        <w:tc>
          <w:tcPr>
            <w:tcW w:w="4381" w:type="pct"/>
            <w:gridSpan w:val="4"/>
            <w:noWrap w:val="0"/>
            <w:tcMar>
              <w:top w:w="16" w:type="dxa"/>
              <w:left w:w="16" w:type="dxa"/>
              <w:right w:w="16" w:type="dxa"/>
            </w:tcMar>
            <w:vAlign w:val="center"/>
          </w:tcPr>
          <w:p w14:paraId="762A7A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无</w:t>
            </w:r>
          </w:p>
        </w:tc>
      </w:tr>
      <w:tr w14:paraId="1C4AB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618" w:type="pct"/>
            <w:noWrap w:val="0"/>
            <w:tcMar>
              <w:top w:w="16" w:type="dxa"/>
              <w:left w:w="16" w:type="dxa"/>
              <w:right w:w="16" w:type="dxa"/>
            </w:tcMar>
            <w:vAlign w:val="center"/>
          </w:tcPr>
          <w:p w14:paraId="3104D2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规划及</w:t>
            </w:r>
            <w:r>
              <w:rPr>
                <w:rFonts w:hint="default" w:ascii="Times New Roman" w:hAnsi="Times New Roman" w:eastAsia="仿宋" w:cs="Times New Roman"/>
                <w:color w:val="auto"/>
                <w:sz w:val="24"/>
                <w:szCs w:val="24"/>
                <w:highlight w:val="none"/>
              </w:rPr>
              <w:t>规划环境影响评价</w:t>
            </w:r>
            <w:r>
              <w:rPr>
                <w:rFonts w:hint="default" w:ascii="Times New Roman" w:hAnsi="Times New Roman" w:eastAsia="仿宋" w:cs="Times New Roman"/>
                <w:color w:val="auto"/>
                <w:kern w:val="0"/>
                <w:sz w:val="24"/>
                <w:szCs w:val="24"/>
                <w:highlight w:val="none"/>
              </w:rPr>
              <w:t>符合性分析</w:t>
            </w:r>
          </w:p>
        </w:tc>
        <w:tc>
          <w:tcPr>
            <w:tcW w:w="4381" w:type="pct"/>
            <w:gridSpan w:val="4"/>
            <w:noWrap w:val="0"/>
            <w:tcMar>
              <w:top w:w="16" w:type="dxa"/>
              <w:left w:w="16" w:type="dxa"/>
              <w:right w:w="16" w:type="dxa"/>
            </w:tcMar>
            <w:vAlign w:val="center"/>
          </w:tcPr>
          <w:p w14:paraId="78951DA7">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1、与《云南省2024年第一批新能源项目开发建设方案》</w:t>
            </w:r>
            <w:r>
              <w:rPr>
                <w:rFonts w:hint="eastAsia"/>
                <w:color w:val="auto"/>
                <w:highlight w:val="none"/>
                <w:lang w:eastAsia="zh-CN"/>
              </w:rPr>
              <w:t>（</w:t>
            </w:r>
            <w:r>
              <w:rPr>
                <w:rFonts w:hint="eastAsia"/>
                <w:color w:val="auto"/>
                <w:highlight w:val="none"/>
              </w:rPr>
              <w:t>云能源水电〔2024〕74号</w:t>
            </w:r>
            <w:r>
              <w:rPr>
                <w:rFonts w:hint="eastAsia"/>
                <w:color w:val="auto"/>
                <w:highlight w:val="none"/>
                <w:lang w:eastAsia="zh-CN"/>
              </w:rPr>
              <w:t>）</w:t>
            </w:r>
            <w:r>
              <w:rPr>
                <w:rFonts w:hint="eastAsia"/>
                <w:color w:val="auto"/>
                <w:highlight w:val="none"/>
              </w:rPr>
              <w:t>的相符性分析</w:t>
            </w:r>
          </w:p>
          <w:p w14:paraId="004B933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olor w:val="auto"/>
                <w:highlight w:val="none"/>
              </w:rPr>
            </w:pPr>
            <w:r>
              <w:rPr>
                <w:rFonts w:hint="default"/>
                <w:color w:val="auto"/>
                <w:highlight w:val="none"/>
              </w:rPr>
              <w:drawing>
                <wp:inline distT="0" distB="0" distL="114300" distR="114300">
                  <wp:extent cx="4605655" cy="2799715"/>
                  <wp:effectExtent l="0" t="0" r="4445" b="63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26"/>
                          <a:stretch>
                            <a:fillRect/>
                          </a:stretch>
                        </pic:blipFill>
                        <pic:spPr>
                          <a:xfrm>
                            <a:off x="0" y="0"/>
                            <a:ext cx="4605655" cy="2799715"/>
                          </a:xfrm>
                          <a:prstGeom prst="rect">
                            <a:avLst/>
                          </a:prstGeom>
                          <a:noFill/>
                          <a:ln>
                            <a:noFill/>
                          </a:ln>
                        </pic:spPr>
                      </pic:pic>
                    </a:graphicData>
                  </a:graphic>
                </wp:inline>
              </w:drawing>
            </w:r>
          </w:p>
          <w:p w14:paraId="6E5AA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rPr>
            </w:pPr>
            <w:r>
              <w:rPr>
                <w:rFonts w:hint="eastAsia"/>
                <w:color w:val="auto"/>
                <w:highlight w:val="none"/>
              </w:rPr>
              <w:t>图1-1 云南省2024年第一批新能源项目开发建设方案截图</w:t>
            </w:r>
          </w:p>
          <w:p w14:paraId="58B7059E">
            <w:pPr>
              <w:keepNext w:val="0"/>
              <w:keepLines w:val="0"/>
              <w:suppressLineNumbers w:val="0"/>
              <w:bidi w:val="0"/>
              <w:spacing w:before="0" w:beforeAutospacing="0" w:after="0" w:afterAutospacing="0"/>
              <w:ind w:left="0" w:right="0"/>
              <w:rPr>
                <w:rFonts w:hint="default" w:eastAsia="仿宋"/>
                <w:color w:val="auto"/>
                <w:highlight w:val="none"/>
                <w:lang w:val="en-US" w:eastAsia="zh-CN"/>
              </w:rPr>
            </w:pPr>
            <w:r>
              <w:rPr>
                <w:rFonts w:hint="eastAsia"/>
                <w:color w:val="auto"/>
                <w:highlight w:val="none"/>
              </w:rPr>
              <w:t>由图1-1可知，本项目</w:t>
            </w:r>
            <w:r>
              <w:rPr>
                <w:rFonts w:hint="eastAsia"/>
                <w:color w:val="auto"/>
                <w:highlight w:val="none"/>
                <w:lang w:val="en-US" w:eastAsia="zh-CN"/>
              </w:rPr>
              <w:t>竹子箐</w:t>
            </w:r>
            <w:r>
              <w:rPr>
                <w:rFonts w:hint="eastAsia"/>
                <w:color w:val="auto"/>
                <w:highlight w:val="none"/>
                <w:lang w:eastAsia="zh-CN"/>
              </w:rPr>
              <w:t>光伏</w:t>
            </w:r>
            <w:r>
              <w:rPr>
                <w:rFonts w:hint="eastAsia"/>
                <w:color w:val="auto"/>
                <w:highlight w:val="none"/>
                <w:lang w:val="en-US" w:eastAsia="zh-CN"/>
              </w:rPr>
              <w:t>发电</w:t>
            </w:r>
            <w:r>
              <w:rPr>
                <w:rFonts w:hint="eastAsia"/>
                <w:color w:val="auto"/>
                <w:highlight w:val="none"/>
                <w:lang w:eastAsia="zh-CN"/>
              </w:rPr>
              <w:t>项目</w:t>
            </w:r>
            <w:r>
              <w:rPr>
                <w:rFonts w:hint="eastAsia"/>
                <w:color w:val="auto"/>
                <w:highlight w:val="none"/>
              </w:rPr>
              <w:t>已纳入《云南省2024年第一批新能源项目开发建设方案》，</w:t>
            </w:r>
            <w:r>
              <w:rPr>
                <w:rFonts w:hint="eastAsia"/>
                <w:color w:val="auto"/>
                <w:highlight w:val="none"/>
                <w:lang w:val="en-US" w:eastAsia="zh-CN"/>
              </w:rPr>
              <w:t>规划</w:t>
            </w:r>
            <w:r>
              <w:rPr>
                <w:rFonts w:hint="eastAsia"/>
                <w:color w:val="auto"/>
                <w:highlight w:val="none"/>
              </w:rPr>
              <w:t>交流装机容量1</w:t>
            </w:r>
            <w:r>
              <w:rPr>
                <w:rFonts w:hint="eastAsia"/>
                <w:color w:val="auto"/>
                <w:highlight w:val="none"/>
                <w:lang w:val="en-US" w:eastAsia="zh-CN"/>
              </w:rPr>
              <w:t>48</w:t>
            </w:r>
            <w:r>
              <w:rPr>
                <w:rFonts w:hint="eastAsia"/>
                <w:color w:val="auto"/>
                <w:highlight w:val="none"/>
              </w:rPr>
              <w:t>MW</w:t>
            </w:r>
            <w:r>
              <w:rPr>
                <w:rFonts w:hint="eastAsia"/>
                <w:color w:val="auto"/>
                <w:highlight w:val="none"/>
                <w:lang w:val="en-US" w:eastAsia="zh-CN"/>
              </w:rPr>
              <w:t>ac</w:t>
            </w:r>
            <w:r>
              <w:rPr>
                <w:rFonts w:hint="eastAsia"/>
                <w:color w:val="auto"/>
                <w:highlight w:val="none"/>
                <w:lang w:eastAsia="zh-CN"/>
              </w:rPr>
              <w:t>，</w:t>
            </w:r>
            <w:r>
              <w:rPr>
                <w:rFonts w:hint="eastAsia"/>
                <w:color w:val="auto"/>
                <w:highlight w:val="none"/>
                <w:lang w:val="en-US" w:eastAsia="zh-CN"/>
              </w:rPr>
              <w:t>地址位于曲靖市会泽县，中心坐标E103.5721°，N26.8609°。</w:t>
            </w:r>
          </w:p>
          <w:p w14:paraId="379E0F24">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本项目实际建设</w:t>
            </w:r>
            <w:r>
              <w:rPr>
                <w:rFonts w:hint="eastAsia"/>
                <w:color w:val="auto"/>
                <w:highlight w:val="none"/>
              </w:rPr>
              <w:t>位于</w:t>
            </w:r>
            <w:r>
              <w:rPr>
                <w:rFonts w:hint="eastAsia"/>
                <w:color w:val="auto"/>
                <w:highlight w:val="none"/>
                <w:lang w:eastAsia="zh-CN"/>
              </w:rPr>
              <w:t>会泽县迤车镇、马路乡、纸厂乡</w:t>
            </w:r>
            <w:r>
              <w:rPr>
                <w:rFonts w:hint="eastAsia"/>
                <w:color w:val="auto"/>
                <w:highlight w:val="none"/>
              </w:rPr>
              <w:t>，设计交流装机容量</w:t>
            </w:r>
            <w:r>
              <w:rPr>
                <w:rFonts w:hint="eastAsia"/>
                <w:color w:val="auto"/>
                <w:highlight w:val="none"/>
                <w:lang w:val="en-US" w:eastAsia="zh-CN"/>
              </w:rPr>
              <w:t>148</w:t>
            </w:r>
            <w:r>
              <w:rPr>
                <w:rFonts w:hint="eastAsia"/>
                <w:color w:val="auto"/>
                <w:highlight w:val="none"/>
              </w:rPr>
              <w:t>MW</w:t>
            </w:r>
            <w:r>
              <w:rPr>
                <w:rFonts w:hint="eastAsia"/>
                <w:color w:val="auto"/>
                <w:highlight w:val="none"/>
                <w:lang w:val="en-US" w:eastAsia="zh-CN"/>
              </w:rPr>
              <w:t>ac</w:t>
            </w:r>
            <w:r>
              <w:rPr>
                <w:rFonts w:hint="eastAsia"/>
                <w:color w:val="auto"/>
                <w:highlight w:val="none"/>
              </w:rPr>
              <w:t>，</w:t>
            </w:r>
            <w:r>
              <w:rPr>
                <w:rFonts w:hint="eastAsia"/>
                <w:color w:val="auto"/>
                <w:highlight w:val="none"/>
                <w:lang w:val="en-US" w:eastAsia="zh-CN"/>
              </w:rPr>
              <w:t>中心坐标E103.5552°，N26.8853°。</w:t>
            </w:r>
          </w:p>
          <w:p w14:paraId="23832CB4">
            <w:pPr>
              <w:keepNext w:val="0"/>
              <w:keepLines w:val="0"/>
              <w:suppressLineNumbers w:val="0"/>
              <w:bidi w:val="0"/>
              <w:spacing w:before="0" w:beforeAutospacing="0" w:after="0" w:afterAutospacing="0"/>
              <w:ind w:left="0" w:right="0"/>
              <w:rPr>
                <w:rFonts w:hint="eastAsia"/>
                <w:color w:val="auto"/>
                <w:highlight w:val="none"/>
              </w:rPr>
            </w:pPr>
            <w:r>
              <w:rPr>
                <w:rFonts w:hint="eastAsia"/>
                <w:color w:val="auto"/>
                <w:highlight w:val="none"/>
                <w:lang w:val="en-US" w:eastAsia="zh-CN"/>
              </w:rPr>
              <w:t>项目仅13#方阵位于马路乡境内，36#和37#方阵位于纸厂乡境内，中心坐标偏移约3km，主体仍在迤车镇境内。</w:t>
            </w:r>
            <w:r>
              <w:rPr>
                <w:rFonts w:hint="eastAsia"/>
                <w:color w:val="auto"/>
                <w:highlight w:val="none"/>
              </w:rPr>
              <w:t>因此，本项目的建设与《云南省2024年第一批新能源项目开发建设方案》相符。</w:t>
            </w:r>
          </w:p>
          <w:p w14:paraId="1C5BC370">
            <w:pPr>
              <w:keepNext w:val="0"/>
              <w:keepLines w:val="0"/>
              <w:suppressLineNumbers w:val="0"/>
              <w:bidi w:val="0"/>
              <w:spacing w:before="0" w:beforeAutospacing="0" w:after="0" w:afterAutospacing="0"/>
              <w:ind w:left="0" w:right="0"/>
              <w:rPr>
                <w:rFonts w:hint="eastAsia"/>
                <w:color w:val="auto"/>
                <w:highlight w:val="none"/>
              </w:rPr>
            </w:pPr>
            <w:r>
              <w:rPr>
                <w:rFonts w:hint="eastAsia"/>
                <w:color w:val="auto"/>
                <w:highlight w:val="none"/>
                <w:lang w:val="en-US" w:eastAsia="zh-CN"/>
              </w:rPr>
              <w:t>2、</w:t>
            </w:r>
            <w:r>
              <w:rPr>
                <w:rFonts w:hint="eastAsia"/>
                <w:color w:val="auto"/>
                <w:highlight w:val="none"/>
              </w:rPr>
              <w:t>云南省在适宜地区适度开发利用新能源规划</w:t>
            </w:r>
          </w:p>
          <w:p w14:paraId="1026655F">
            <w:pPr>
              <w:keepNext w:val="0"/>
              <w:keepLines w:val="0"/>
              <w:suppressLineNumbers w:val="0"/>
              <w:bidi w:val="0"/>
              <w:spacing w:before="0" w:beforeAutospacing="0" w:after="0" w:afterAutospacing="0"/>
              <w:ind w:left="0" w:right="0"/>
              <w:rPr>
                <w:rFonts w:hint="eastAsia"/>
                <w:color w:val="auto"/>
                <w:highlight w:val="none"/>
              </w:rPr>
            </w:pPr>
            <w:r>
              <w:rPr>
                <w:rFonts w:hint="eastAsia"/>
                <w:color w:val="auto"/>
                <w:highlight w:val="none"/>
              </w:rPr>
              <w:t xml:space="preserve">云南省发展和改革委员会、云南省能源局于2020年9月30日下发了《关于印发云南省在适宜地区适度开发利用新能源规划及配套文件的通知》，项目与规划及其环保篇章的符合性分析见表 </w:t>
            </w:r>
            <w:r>
              <w:rPr>
                <w:rFonts w:hint="eastAsia"/>
                <w:color w:val="auto"/>
                <w:highlight w:val="none"/>
                <w:lang w:val="en-US" w:eastAsia="zh-CN"/>
              </w:rPr>
              <w:t>1-2</w:t>
            </w:r>
            <w:r>
              <w:rPr>
                <w:rFonts w:hint="eastAsia"/>
                <w:color w:val="auto"/>
                <w:highlight w:val="none"/>
              </w:rPr>
              <w:t>。</w:t>
            </w:r>
          </w:p>
          <w:p w14:paraId="11F9A8D5">
            <w:pPr>
              <w:keepNext w:val="0"/>
              <w:keepLines w:val="0"/>
              <w:suppressLineNumbers w:val="0"/>
              <w:bidi w:val="0"/>
              <w:spacing w:before="0" w:beforeAutospacing="0" w:after="0" w:afterAutospacing="0"/>
              <w:ind w:left="0" w:right="0"/>
              <w:rPr>
                <w:rFonts w:hint="default"/>
                <w:color w:val="auto"/>
                <w:sz w:val="21"/>
                <w:szCs w:val="21"/>
                <w:highlight w:val="none"/>
              </w:rPr>
            </w:pPr>
            <w:r>
              <w:rPr>
                <w:rFonts w:hint="default"/>
                <w:color w:val="auto"/>
                <w:sz w:val="21"/>
                <w:szCs w:val="21"/>
                <w:highlight w:val="none"/>
              </w:rPr>
              <w:t>表1-</w:t>
            </w:r>
            <w:r>
              <w:rPr>
                <w:rFonts w:hint="eastAsia"/>
                <w:color w:val="auto"/>
                <w:sz w:val="21"/>
                <w:szCs w:val="21"/>
                <w:highlight w:val="none"/>
                <w:lang w:val="en-US" w:eastAsia="zh-CN"/>
              </w:rPr>
              <w:t>2</w:t>
            </w:r>
            <w:r>
              <w:rPr>
                <w:rFonts w:hint="default"/>
                <w:color w:val="auto"/>
                <w:sz w:val="21"/>
                <w:szCs w:val="21"/>
                <w:highlight w:val="none"/>
                <w:lang w:val="en-US" w:eastAsia="zh-CN"/>
              </w:rPr>
              <w:t xml:space="preserve"> </w:t>
            </w:r>
            <w:r>
              <w:rPr>
                <w:rFonts w:hint="default"/>
                <w:color w:val="auto"/>
                <w:sz w:val="21"/>
                <w:szCs w:val="21"/>
                <w:highlight w:val="none"/>
              </w:rPr>
              <w:t>本工程与《云南省在适宜地区适度开发利用新能源规划》及其环境影响篇章的符合性分析</w:t>
            </w:r>
          </w:p>
          <w:tbl>
            <w:tblPr>
              <w:tblStyle w:val="10"/>
              <w:tblW w:w="484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18"/>
              <w:gridCol w:w="3346"/>
              <w:gridCol w:w="665"/>
            </w:tblGrid>
            <w:tr w14:paraId="36EF4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jc w:val="center"/>
              </w:trPr>
              <w:tc>
                <w:tcPr>
                  <w:tcW w:w="30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79CFE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规划要求</w:t>
                  </w:r>
                </w:p>
              </w:tc>
              <w:tc>
                <w:tcPr>
                  <w:tcW w:w="33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ACAF8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项目情况</w:t>
                  </w:r>
                </w:p>
              </w:tc>
              <w:tc>
                <w:tcPr>
                  <w:tcW w:w="6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7FE5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符合性</w:t>
                  </w:r>
                </w:p>
              </w:tc>
            </w:tr>
            <w:tr w14:paraId="275BD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jc w:val="center"/>
              </w:trPr>
              <w:tc>
                <w:tcPr>
                  <w:tcW w:w="30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B521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根据规划区资源分布、环境敏感因素及工程建设条件，本规划区规划建设新能源基地31个、总装机容量109万千瓦。</w:t>
                  </w:r>
                </w:p>
              </w:tc>
              <w:tc>
                <w:tcPr>
                  <w:tcW w:w="33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5934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本项目属于规划中明确的开发项目，项目避让了各敏感因素，符合规划总体要求。</w:t>
                  </w:r>
                </w:p>
              </w:tc>
              <w:tc>
                <w:tcPr>
                  <w:tcW w:w="6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BC6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p>
                <w:p w14:paraId="4FA56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符合</w:t>
                  </w:r>
                </w:p>
              </w:tc>
            </w:tr>
            <w:tr w14:paraId="69AD1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jc w:val="center"/>
              </w:trPr>
              <w:tc>
                <w:tcPr>
                  <w:tcW w:w="30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0A3E2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选址应符合生态环境保护政策。应避让自然保护区、国家公园、风景名胜区、文物古迹、湿地保护区、饮用水水源保护区、集中式饮用水水源地、生物多样性保护区域、特殊生态环境及特有物种保护区域、鸟类迁徙重要通道及其栖息地、民俗保护区等生态保护红线和生态敏感区域。</w:t>
                  </w:r>
                </w:p>
              </w:tc>
              <w:tc>
                <w:tcPr>
                  <w:tcW w:w="33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CA3F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仿宋"/>
                      <w:color w:val="auto"/>
                      <w:sz w:val="21"/>
                      <w:szCs w:val="21"/>
                      <w:highlight w:val="none"/>
                      <w:lang w:val="en-US" w:eastAsia="zh-CN"/>
                    </w:rPr>
                  </w:pPr>
                  <w:r>
                    <w:rPr>
                      <w:rFonts w:hint="eastAsia"/>
                      <w:color w:val="auto"/>
                      <w:sz w:val="21"/>
                      <w:szCs w:val="21"/>
                      <w:highlight w:val="none"/>
                    </w:rPr>
                    <w:t>项目选址不</w:t>
                  </w:r>
                  <w:r>
                    <w:rPr>
                      <w:rFonts w:hint="eastAsia"/>
                      <w:color w:val="auto"/>
                      <w:sz w:val="21"/>
                      <w:szCs w:val="21"/>
                      <w:highlight w:val="none"/>
                      <w:lang w:val="en-US" w:eastAsia="zh-CN"/>
                    </w:rPr>
                    <w:t>占用</w:t>
                  </w:r>
                  <w:r>
                    <w:rPr>
                      <w:rFonts w:hint="eastAsia"/>
                      <w:color w:val="auto"/>
                      <w:sz w:val="21"/>
                      <w:szCs w:val="21"/>
                      <w:highlight w:val="none"/>
                    </w:rPr>
                    <w:t>自然保护区、国家公园、风景名胜区、文物古迹、湿地保护区、饮用水水源保护区、集中式饮用水水源地、生物多样性保护区域、特殊生态环境及特有物种保护区域、鸟类迁徙重要通道及其栖息地、民俗保护区等生态保护红线和生态敏感区域。</w:t>
                  </w:r>
                  <w:r>
                    <w:rPr>
                      <w:rFonts w:hint="eastAsia"/>
                      <w:color w:val="auto"/>
                      <w:sz w:val="21"/>
                      <w:szCs w:val="21"/>
                      <w:highlight w:val="none"/>
                      <w:lang w:val="en-US" w:eastAsia="zh-CN"/>
                    </w:rPr>
                    <w:t>项目仅架空线路跨越生态保护红线，属于无害化通过，项目选址已取得会泽县各政府部门同意，相关用地手续已办理完成。</w:t>
                  </w:r>
                </w:p>
              </w:tc>
              <w:tc>
                <w:tcPr>
                  <w:tcW w:w="6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E29E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符合</w:t>
                  </w:r>
                </w:p>
              </w:tc>
            </w:tr>
            <w:tr w14:paraId="3B158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jc w:val="center"/>
              </w:trPr>
              <w:tc>
                <w:tcPr>
                  <w:tcW w:w="30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1F9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项目选址应符合国土用地政策。禁止占用基本农田，应避让坝区，应优先使用石漠化、荒漠化土地和未利用土地。占用一般耕地的农光互补光伏发电项目，应抬高光伏组件安装高度，不改变土地使用性质。</w:t>
                  </w:r>
                </w:p>
              </w:tc>
              <w:tc>
                <w:tcPr>
                  <w:tcW w:w="33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607E8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项目选址已经取得县自然资源局意见，同意选址。项目未占用基本农田和</w:t>
                  </w:r>
                  <w:r>
                    <w:rPr>
                      <w:rFonts w:hint="eastAsia"/>
                      <w:color w:val="auto"/>
                      <w:sz w:val="21"/>
                      <w:szCs w:val="21"/>
                      <w:highlight w:val="none"/>
                      <w:lang w:eastAsia="zh-CN"/>
                    </w:rPr>
                    <w:t>生态保护红线</w:t>
                  </w:r>
                  <w:r>
                    <w:rPr>
                      <w:rFonts w:hint="eastAsia"/>
                      <w:color w:val="auto"/>
                      <w:sz w:val="21"/>
                      <w:szCs w:val="21"/>
                      <w:highlight w:val="none"/>
                    </w:rPr>
                    <w:t>，避开了坝区。项目所在地为轻度石漠化地区，占地类型</w:t>
                  </w:r>
                  <w:r>
                    <w:rPr>
                      <w:rFonts w:hint="eastAsia"/>
                      <w:color w:val="auto"/>
                      <w:sz w:val="21"/>
                      <w:szCs w:val="21"/>
                      <w:highlight w:val="none"/>
                      <w:lang w:val="en-US" w:eastAsia="zh-CN"/>
                    </w:rPr>
                    <w:t>主要</w:t>
                  </w:r>
                  <w:r>
                    <w:rPr>
                      <w:rFonts w:hint="eastAsia"/>
                      <w:color w:val="auto"/>
                      <w:sz w:val="21"/>
                      <w:szCs w:val="21"/>
                      <w:highlight w:val="none"/>
                    </w:rPr>
                    <w:t>为草地、</w:t>
                  </w:r>
                  <w:r>
                    <w:rPr>
                      <w:rFonts w:hint="eastAsia"/>
                      <w:color w:val="auto"/>
                      <w:sz w:val="21"/>
                      <w:szCs w:val="21"/>
                      <w:highlight w:val="none"/>
                      <w:lang w:val="en-US" w:eastAsia="zh-CN"/>
                    </w:rPr>
                    <w:t>林地、未利用地</w:t>
                  </w:r>
                  <w:r>
                    <w:rPr>
                      <w:rFonts w:hint="eastAsia"/>
                      <w:color w:val="auto"/>
                      <w:sz w:val="21"/>
                      <w:szCs w:val="21"/>
                      <w:highlight w:val="none"/>
                    </w:rPr>
                    <w:t>。项目</w:t>
                  </w:r>
                  <w:r>
                    <w:rPr>
                      <w:rFonts w:hint="eastAsia"/>
                      <w:color w:val="auto"/>
                      <w:sz w:val="21"/>
                      <w:szCs w:val="21"/>
                      <w:highlight w:val="none"/>
                      <w:lang w:val="en-US" w:eastAsia="zh-CN"/>
                    </w:rPr>
                    <w:t>不</w:t>
                  </w:r>
                  <w:r>
                    <w:rPr>
                      <w:rFonts w:hint="eastAsia"/>
                      <w:color w:val="auto"/>
                      <w:sz w:val="21"/>
                      <w:szCs w:val="21"/>
                      <w:highlight w:val="none"/>
                    </w:rPr>
                    <w:t>占用</w:t>
                  </w:r>
                  <w:r>
                    <w:rPr>
                      <w:rFonts w:hint="eastAsia"/>
                      <w:color w:val="auto"/>
                      <w:sz w:val="21"/>
                      <w:szCs w:val="21"/>
                      <w:highlight w:val="none"/>
                      <w:lang w:val="en-US" w:eastAsia="zh-CN"/>
                    </w:rPr>
                    <w:t>一般</w:t>
                  </w:r>
                  <w:r>
                    <w:rPr>
                      <w:rFonts w:hint="eastAsia"/>
                      <w:color w:val="auto"/>
                      <w:sz w:val="21"/>
                      <w:szCs w:val="21"/>
                      <w:highlight w:val="none"/>
                    </w:rPr>
                    <w:t>耕地，已抬高光伏组件安装高度，</w:t>
                  </w:r>
                  <w:r>
                    <w:rPr>
                      <w:rFonts w:hint="eastAsia"/>
                      <w:color w:val="auto"/>
                      <w:sz w:val="21"/>
                      <w:szCs w:val="21"/>
                      <w:highlight w:val="none"/>
                      <w:lang w:val="en-US" w:eastAsia="zh-CN"/>
                    </w:rPr>
                    <w:t>不改变土地使用性质</w:t>
                  </w:r>
                  <w:r>
                    <w:rPr>
                      <w:rFonts w:hint="eastAsia"/>
                      <w:color w:val="auto"/>
                      <w:sz w:val="21"/>
                      <w:szCs w:val="21"/>
                      <w:highlight w:val="none"/>
                    </w:rPr>
                    <w:t>。</w:t>
                  </w:r>
                </w:p>
              </w:tc>
              <w:tc>
                <w:tcPr>
                  <w:tcW w:w="6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38E8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符合</w:t>
                  </w:r>
                </w:p>
              </w:tc>
            </w:tr>
            <w:tr w14:paraId="3C54C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0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0F7BF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选址应符合林业用地政策。光伏项目应避让天然林保护工程区和天然林地，光伏电池组件阵列应避让有林地、疏林地、未成林造林地、采伐迹地、火烧迹地，以及年降雨量400毫米以下区域覆盖度高于30%和年降雨量400毫米以上区域覆盖度高于50%的灌木林地。</w:t>
                  </w:r>
                </w:p>
              </w:tc>
              <w:tc>
                <w:tcPr>
                  <w:tcW w:w="33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9CD9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rPr>
                    <w:t>项目选址已经取得县林草局意见，同意选址。根据项目《使用林地可行性报告》（云南绘山绘水林业规划设计有限公司，云林许准（曲）</w:t>
                  </w:r>
                  <w:r>
                    <w:rPr>
                      <w:rFonts w:hint="eastAsia"/>
                      <w:color w:val="auto"/>
                      <w:sz w:val="21"/>
                      <w:szCs w:val="21"/>
                      <w:highlight w:val="none"/>
                      <w:lang w:eastAsia="zh-CN"/>
                    </w:rPr>
                    <w:t>〔2025〕210号</w:t>
                  </w:r>
                  <w:r>
                    <w:rPr>
                      <w:rFonts w:hint="eastAsia"/>
                      <w:color w:val="auto"/>
                      <w:sz w:val="21"/>
                      <w:szCs w:val="21"/>
                      <w:highlight w:val="none"/>
                    </w:rPr>
                    <w:t>）</w:t>
                  </w:r>
                  <w:r>
                    <w:rPr>
                      <w:rFonts w:hint="eastAsia"/>
                      <w:color w:val="auto"/>
                      <w:sz w:val="21"/>
                      <w:szCs w:val="21"/>
                      <w:highlight w:val="none"/>
                      <w:lang w:val="en-US" w:eastAsia="zh-CN"/>
                    </w:rPr>
                    <w:t>本项目光伏方阵不涉及林地</w:t>
                  </w:r>
                  <w:r>
                    <w:rPr>
                      <w:rFonts w:hint="eastAsia"/>
                      <w:color w:val="auto"/>
                      <w:sz w:val="21"/>
                      <w:szCs w:val="21"/>
                      <w:highlight w:val="none"/>
                    </w:rPr>
                    <w:t>。光伏组件建设已经全部避开乔木林地、国家公益林、天然林保护工程和天然林地（办理用地手续及实际建设中避开）、有林地、疏林地、未成林造林地、采伐迹地、火烧迹地。</w:t>
                  </w:r>
                  <w:r>
                    <w:rPr>
                      <w:rFonts w:hint="eastAsia"/>
                      <w:color w:val="auto"/>
                      <w:sz w:val="21"/>
                      <w:szCs w:val="21"/>
                      <w:highlight w:val="none"/>
                      <w:lang w:val="en-US" w:eastAsia="zh-CN"/>
                    </w:rPr>
                    <w:t>项目已取得云南省林业和草原局的《使用林地审核同意书》（云林许准（曲）〔2025〕210号）。</w:t>
                  </w:r>
                </w:p>
              </w:tc>
              <w:tc>
                <w:tcPr>
                  <w:tcW w:w="6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A037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符合</w:t>
                  </w:r>
                </w:p>
              </w:tc>
            </w:tr>
            <w:tr w14:paraId="602AB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jc w:val="center"/>
              </w:trPr>
              <w:tc>
                <w:tcPr>
                  <w:tcW w:w="30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2877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选址应符合国土空间规划、实现景观保护。应远离滇中城市群规划的主体城市、一般城市和新兴城镇，远离城市及城镇的面山区域。应远离金沙江及长江一级支流岸线保护范围。项目选址应优先布局在贫困县、贫困乡镇、贫困村所处的贫困山区。</w:t>
                  </w:r>
                </w:p>
              </w:tc>
              <w:tc>
                <w:tcPr>
                  <w:tcW w:w="33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9680E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项目选址符合国土空间规划，远离城镇区域。项目最近处距离金沙江一级支流牛栏江直线距离</w:t>
                  </w:r>
                  <w:r>
                    <w:rPr>
                      <w:rFonts w:hint="eastAsia"/>
                      <w:color w:val="auto"/>
                      <w:sz w:val="21"/>
                      <w:szCs w:val="21"/>
                      <w:highlight w:val="none"/>
                      <w:lang w:val="en-US" w:eastAsia="zh-CN"/>
                    </w:rPr>
                    <w:t>1</w:t>
                  </w:r>
                  <w:r>
                    <w:rPr>
                      <w:rFonts w:hint="eastAsia"/>
                      <w:color w:val="auto"/>
                      <w:sz w:val="21"/>
                      <w:szCs w:val="21"/>
                      <w:highlight w:val="none"/>
                    </w:rPr>
                    <w:t>km</w:t>
                  </w:r>
                  <w:r>
                    <w:rPr>
                      <w:rFonts w:hint="eastAsia"/>
                      <w:color w:val="auto"/>
                      <w:sz w:val="21"/>
                      <w:szCs w:val="21"/>
                      <w:highlight w:val="none"/>
                      <w:lang w:val="en-US" w:eastAsia="zh-CN"/>
                    </w:rPr>
                    <w:t>以上</w:t>
                  </w:r>
                  <w:r>
                    <w:rPr>
                      <w:rFonts w:hint="eastAsia"/>
                      <w:color w:val="auto"/>
                      <w:sz w:val="21"/>
                      <w:szCs w:val="21"/>
                      <w:highlight w:val="none"/>
                    </w:rPr>
                    <w:t>，远离金沙江及长江一级支流岸线保护范围。项目选址布置在曲靖市会泽县，属于</w:t>
                  </w:r>
                  <w:r>
                    <w:rPr>
                      <w:rFonts w:hint="eastAsia"/>
                      <w:color w:val="auto"/>
                      <w:sz w:val="21"/>
                      <w:szCs w:val="21"/>
                      <w:highlight w:val="none"/>
                      <w:lang w:val="en-US" w:eastAsia="zh-CN"/>
                    </w:rPr>
                    <w:t>云南省</w:t>
                  </w:r>
                  <w:r>
                    <w:rPr>
                      <w:rFonts w:hint="eastAsia"/>
                      <w:color w:val="auto"/>
                      <w:sz w:val="21"/>
                      <w:szCs w:val="21"/>
                      <w:highlight w:val="none"/>
                    </w:rPr>
                    <w:t>贫困</w:t>
                  </w:r>
                  <w:r>
                    <w:rPr>
                      <w:rFonts w:hint="eastAsia"/>
                      <w:color w:val="auto"/>
                      <w:sz w:val="21"/>
                      <w:szCs w:val="21"/>
                      <w:highlight w:val="none"/>
                      <w:lang w:val="en-US" w:eastAsia="zh-CN"/>
                    </w:rPr>
                    <w:t>县</w:t>
                  </w:r>
                  <w:r>
                    <w:rPr>
                      <w:rFonts w:hint="eastAsia"/>
                      <w:color w:val="auto"/>
                      <w:sz w:val="21"/>
                      <w:szCs w:val="21"/>
                      <w:highlight w:val="none"/>
                    </w:rPr>
                    <w:t>。</w:t>
                  </w:r>
                </w:p>
              </w:tc>
              <w:tc>
                <w:tcPr>
                  <w:tcW w:w="6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FAD58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符合</w:t>
                  </w:r>
                </w:p>
              </w:tc>
            </w:tr>
          </w:tbl>
          <w:p w14:paraId="56EBA984">
            <w:pPr>
              <w:keepNext w:val="0"/>
              <w:keepLines w:val="0"/>
              <w:suppressLineNumbers w:val="0"/>
              <w:bidi w:val="0"/>
              <w:spacing w:before="0" w:beforeAutospacing="0" w:after="0" w:afterAutospacing="0"/>
              <w:ind w:left="0" w:right="0"/>
              <w:rPr>
                <w:rFonts w:hint="eastAsia"/>
                <w:color w:val="auto"/>
                <w:highlight w:val="none"/>
              </w:rPr>
            </w:pPr>
            <w:r>
              <w:rPr>
                <w:rFonts w:hint="eastAsia"/>
                <w:color w:val="auto"/>
                <w:highlight w:val="none"/>
              </w:rPr>
              <w:t>根据上述分析，项目</w:t>
            </w:r>
            <w:r>
              <w:rPr>
                <w:rFonts w:hint="eastAsia"/>
                <w:color w:val="auto"/>
                <w:highlight w:val="none"/>
                <w:lang w:val="en-US" w:eastAsia="zh-CN"/>
              </w:rPr>
              <w:t>光伏方阵</w:t>
            </w:r>
            <w:r>
              <w:rPr>
                <w:rFonts w:hint="eastAsia"/>
                <w:color w:val="auto"/>
                <w:highlight w:val="none"/>
              </w:rPr>
              <w:t>布局避让了</w:t>
            </w:r>
            <w:r>
              <w:rPr>
                <w:rFonts w:hint="eastAsia"/>
                <w:color w:val="auto"/>
                <w:highlight w:val="none"/>
                <w:lang w:eastAsia="zh-CN"/>
              </w:rPr>
              <w:t>生态保护红线</w:t>
            </w:r>
            <w:r>
              <w:rPr>
                <w:rFonts w:hint="eastAsia"/>
                <w:color w:val="auto"/>
                <w:highlight w:val="none"/>
              </w:rPr>
              <w:t>、自然保护区、饮用水水源地等敏感区，避让了滇中城市群主城范围</w:t>
            </w:r>
            <w:r>
              <w:rPr>
                <w:rFonts w:hint="eastAsia"/>
                <w:color w:val="auto"/>
                <w:highlight w:val="none"/>
                <w:lang w:eastAsia="zh-CN"/>
              </w:rPr>
              <w:t>、</w:t>
            </w:r>
            <w:r>
              <w:rPr>
                <w:rFonts w:hint="eastAsia"/>
                <w:color w:val="auto"/>
                <w:highlight w:val="none"/>
              </w:rPr>
              <w:t>旅游地区，远离长江经济带规划发展区，没有布局在城市（城镇）面山区域，对滇中城市群及长江经济带未来发展无明显直接影响，项目建设符合《云南省在适宜地区适度开发利用新能源规划》及其环境影响篇章的相关要求。</w:t>
            </w:r>
          </w:p>
          <w:p w14:paraId="4D9EC821">
            <w:pPr>
              <w:keepNext w:val="0"/>
              <w:keepLines w:val="0"/>
              <w:suppressLineNumbers w:val="0"/>
              <w:bidi w:val="0"/>
              <w:spacing w:before="0" w:beforeAutospacing="0" w:after="0" w:afterAutospacing="0"/>
              <w:ind w:left="0" w:right="0"/>
              <w:rPr>
                <w:rFonts w:hint="eastAsia"/>
                <w:color w:val="auto"/>
                <w:highlight w:val="none"/>
              </w:rPr>
            </w:pPr>
            <w:r>
              <w:rPr>
                <w:rFonts w:hint="eastAsia"/>
                <w:color w:val="auto"/>
                <w:highlight w:val="none"/>
                <w:lang w:val="en-US" w:eastAsia="zh-CN"/>
              </w:rPr>
              <w:t>3、</w:t>
            </w:r>
            <w:r>
              <w:rPr>
                <w:rFonts w:hint="eastAsia"/>
                <w:color w:val="auto"/>
                <w:highlight w:val="none"/>
              </w:rPr>
              <w:t>会泽县绿色能源巩固脱贫攻坚助力乡村振兴建设规划方案</w:t>
            </w:r>
          </w:p>
          <w:p w14:paraId="741A2565">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rPr>
              <w:t>《会泽县绿色能源巩固脱贫攻坚助力乡村振兴建设规划方案》明确规划工作重点之一</w:t>
            </w:r>
            <w:r>
              <w:rPr>
                <w:rFonts w:hint="eastAsia"/>
                <w:color w:val="auto"/>
                <w:highlight w:val="none"/>
                <w:lang w:val="en-US" w:eastAsia="zh-CN"/>
              </w:rPr>
              <w:t>为</w:t>
            </w:r>
            <w:r>
              <w:rPr>
                <w:rFonts w:hint="eastAsia"/>
                <w:color w:val="auto"/>
                <w:highlight w:val="none"/>
              </w:rPr>
              <w:t>集中式光伏的建设装机总容量和总投资等，本项目为会泽县迤车镇集中式光伏所含项目之一，因此，本项目与《会泽县绿色能源巩固脱贫攻坚助力乡村振兴建设规划方案》相符合。</w:t>
            </w:r>
          </w:p>
        </w:tc>
      </w:tr>
    </w:tbl>
    <w:p w14:paraId="6DCDA926">
      <w:pPr>
        <w:rPr>
          <w:color w:val="auto"/>
          <w:highlight w:val="none"/>
        </w:rPr>
        <w:sectPr>
          <w:pgSz w:w="11906" w:h="16838"/>
          <w:pgMar w:top="1440" w:right="1797" w:bottom="1440" w:left="1797" w:header="851" w:footer="1077" w:gutter="0"/>
          <w:pgBorders>
            <w:top w:val="none" w:sz="0" w:space="0"/>
            <w:left w:val="none" w:sz="0" w:space="0"/>
            <w:bottom w:val="none" w:sz="0" w:space="0"/>
            <w:right w:val="none" w:sz="0" w:space="0"/>
          </w:pgBorders>
          <w:pgNumType w:fmt="decimal" w:start="1"/>
          <w:cols w:space="720" w:num="1"/>
          <w:docGrid w:linePitch="312" w:charSpace="0"/>
        </w:sectPr>
      </w:pPr>
      <w:bookmarkStart w:id="1" w:name="_Hlk56690880"/>
    </w:p>
    <w:tbl>
      <w:tblPr>
        <w:tblStyle w:val="10"/>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53"/>
        <w:gridCol w:w="12926"/>
      </w:tblGrid>
      <w:tr w14:paraId="285FB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50" w:hRule="atLeast"/>
          <w:jc w:val="center"/>
        </w:trPr>
        <w:tc>
          <w:tcPr>
            <w:tcW w:w="376" w:type="pct"/>
            <w:noWrap w:val="0"/>
            <w:tcMar>
              <w:top w:w="16" w:type="dxa"/>
              <w:left w:w="16" w:type="dxa"/>
              <w:right w:w="16" w:type="dxa"/>
            </w:tcMar>
            <w:vAlign w:val="center"/>
          </w:tcPr>
          <w:p w14:paraId="3EBB99F6">
            <w:pPr>
              <w:keepNext w:val="0"/>
              <w:keepLines w:val="0"/>
              <w:suppressLineNumbers w:val="0"/>
              <w:autoSpaceDE w:val="0"/>
              <w:autoSpaceDN w:val="0"/>
              <w:adjustRightInd w:val="0"/>
              <w:snapToGrid w:val="0"/>
              <w:spacing w:before="0" w:beforeAutospacing="0" w:after="0" w:afterAutospacing="0"/>
              <w:ind w:left="0" w:leftChars="0" w:right="0" w:firstLine="0" w:firstLineChars="0"/>
              <w:jc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其他符合性分析</w:t>
            </w:r>
            <w:bookmarkEnd w:id="1"/>
          </w:p>
        </w:tc>
        <w:tc>
          <w:tcPr>
            <w:tcW w:w="4623" w:type="pct"/>
            <w:tcBorders>
              <w:bottom w:val="single" w:color="auto" w:sz="4" w:space="0"/>
              <w:right w:val="single" w:color="auto" w:sz="4" w:space="0"/>
            </w:tcBorders>
            <w:noWrap w:val="0"/>
            <w:tcMar>
              <w:top w:w="16" w:type="dxa"/>
              <w:left w:w="16" w:type="dxa"/>
              <w:right w:w="16" w:type="dxa"/>
            </w:tcMar>
            <w:vAlign w:val="center"/>
          </w:tcPr>
          <w:p w14:paraId="659960E7">
            <w:pPr>
              <w:keepNext w:val="0"/>
              <w:keepLines w:val="0"/>
              <w:suppressLineNumbers w:val="0"/>
              <w:adjustRightInd w:val="0"/>
              <w:snapToGrid w:val="0"/>
              <w:spacing w:before="0" w:beforeAutospacing="0" w:after="0" w:afterAutospacing="0"/>
              <w:ind w:left="0" w:right="0" w:firstLine="0" w:firstLineChars="0"/>
              <w:rPr>
                <w:rFonts w:hint="default"/>
                <w:color w:val="auto"/>
                <w:kern w:val="0"/>
                <w:highlight w:val="none"/>
              </w:rPr>
            </w:pPr>
            <w:r>
              <w:rPr>
                <w:rFonts w:hint="default"/>
                <w:b/>
                <w:bCs/>
                <w:color w:val="auto"/>
                <w:kern w:val="0"/>
                <w:highlight w:val="none"/>
              </w:rPr>
              <w:t>1.1产业政策及城乡规划相符性分析</w:t>
            </w:r>
          </w:p>
          <w:p w14:paraId="482769D1">
            <w:pPr>
              <w:keepNext w:val="0"/>
              <w:keepLines w:val="0"/>
              <w:suppressLineNumbers w:val="0"/>
              <w:adjustRightInd w:val="0"/>
              <w:snapToGrid w:val="0"/>
              <w:spacing w:before="0" w:beforeAutospacing="0" w:after="0" w:afterAutospacing="0"/>
              <w:ind w:left="0" w:right="0" w:firstLine="0" w:firstLineChars="0"/>
              <w:rPr>
                <w:rFonts w:hint="default"/>
                <w:color w:val="auto"/>
                <w:kern w:val="0"/>
                <w:szCs w:val="21"/>
                <w:highlight w:val="none"/>
              </w:rPr>
            </w:pPr>
            <w:r>
              <w:rPr>
                <w:rFonts w:hint="default"/>
                <w:color w:val="auto"/>
                <w:kern w:val="0"/>
                <w:szCs w:val="21"/>
                <w:highlight w:val="none"/>
              </w:rPr>
              <w:t>1.1.1 产业政策相符性分析</w:t>
            </w:r>
          </w:p>
          <w:p w14:paraId="2B133FFC">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（1）《产业结构调整指导目录》符合性分析</w:t>
            </w:r>
          </w:p>
          <w:p w14:paraId="7C6C69A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snapToGrid w:val="0"/>
                <w:color w:val="auto"/>
                <w:kern w:val="0"/>
                <w:sz w:val="24"/>
                <w:szCs w:val="24"/>
                <w:highlight w:val="none"/>
                <w:lang w:eastAsia="zh-CN"/>
              </w:rPr>
            </w:pPr>
            <w:r>
              <w:rPr>
                <w:rFonts w:hint="default"/>
                <w:color w:val="auto"/>
                <w:highlight w:val="none"/>
              </w:rPr>
              <w:t>本项目属于《产业结构调整指导目录（2024年本）》（2024年2月1日起实施）中第一类鼓励类（</w:t>
            </w:r>
            <w:r>
              <w:rPr>
                <w:rFonts w:hint="eastAsia"/>
                <w:color w:val="auto"/>
                <w:highlight w:val="none"/>
              </w:rPr>
              <w:t>五</w:t>
            </w:r>
            <w:r>
              <w:rPr>
                <w:rFonts w:hint="default"/>
                <w:color w:val="auto"/>
                <w:highlight w:val="none"/>
              </w:rPr>
              <w:t>、</w:t>
            </w:r>
            <w:r>
              <w:rPr>
                <w:rFonts w:hint="eastAsia"/>
                <w:color w:val="auto"/>
                <w:highlight w:val="none"/>
              </w:rPr>
              <w:t>新能源</w:t>
            </w:r>
            <w:r>
              <w:rPr>
                <w:rFonts w:hint="default"/>
                <w:color w:val="auto"/>
                <w:highlight w:val="none"/>
              </w:rPr>
              <w:t>—2、太阳能热发电集热系统、高效率低成本太阳能光伏发电技术研发与产业化）项目。</w:t>
            </w:r>
            <w:r>
              <w:rPr>
                <w:rFonts w:hint="default" w:ascii="Times New Roman" w:hAnsi="Times New Roman" w:eastAsia="仿宋" w:cs="Times New Roman"/>
                <w:snapToGrid w:val="0"/>
                <w:color w:val="auto"/>
                <w:kern w:val="0"/>
                <w:sz w:val="24"/>
                <w:szCs w:val="24"/>
                <w:highlight w:val="none"/>
              </w:rPr>
              <w:t>对照</w:t>
            </w:r>
            <w:r>
              <w:rPr>
                <w:rFonts w:hint="eastAsia" w:cs="Times New Roman"/>
                <w:snapToGrid w:val="0"/>
                <w:color w:val="auto"/>
                <w:kern w:val="0"/>
                <w:sz w:val="24"/>
                <w:szCs w:val="24"/>
                <w:highlight w:val="none"/>
                <w:lang w:eastAsia="zh-CN"/>
              </w:rPr>
              <w:t>《西部地区鼓励类产业目录（2025年本）》</w:t>
            </w:r>
            <w:r>
              <w:rPr>
                <w:rFonts w:hint="default" w:ascii="Times New Roman" w:hAnsi="Times New Roman" w:eastAsia="仿宋" w:cs="Times New Roman"/>
                <w:snapToGrid w:val="0"/>
                <w:color w:val="auto"/>
                <w:kern w:val="0"/>
                <w:sz w:val="24"/>
                <w:szCs w:val="24"/>
                <w:highlight w:val="none"/>
              </w:rPr>
              <w:t>，</w:t>
            </w:r>
            <w:r>
              <w:rPr>
                <w:rFonts w:hint="default" w:ascii="Times New Roman" w:hAnsi="Times New Roman" w:eastAsia="仿宋" w:cs="Times New Roman"/>
                <w:snapToGrid w:val="0"/>
                <w:color w:val="auto"/>
                <w:kern w:val="0"/>
                <w:sz w:val="24"/>
                <w:szCs w:val="24"/>
                <w:highlight w:val="none"/>
                <w:lang w:val="en-US" w:eastAsia="zh-CN"/>
              </w:rPr>
              <w:t>项目属于“（四）云南省-38.风力、太阳能发电场建设及运营”</w:t>
            </w:r>
            <w:r>
              <w:rPr>
                <w:rFonts w:hint="default" w:ascii="Times New Roman" w:hAnsi="Times New Roman" w:eastAsia="仿宋" w:cs="Times New Roman"/>
                <w:snapToGrid w:val="0"/>
                <w:color w:val="auto"/>
                <w:kern w:val="0"/>
                <w:sz w:val="24"/>
                <w:szCs w:val="24"/>
                <w:highlight w:val="none"/>
                <w:lang w:eastAsia="zh-CN"/>
              </w:rPr>
              <w:t>。</w:t>
            </w:r>
          </w:p>
          <w:p w14:paraId="48AA966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snapToGrid w:val="0"/>
                <w:color w:val="auto"/>
                <w:kern w:val="0"/>
                <w:sz w:val="24"/>
                <w:szCs w:val="24"/>
                <w:highlight w:val="none"/>
                <w:lang w:val="en-US" w:eastAsia="zh-CN"/>
              </w:rPr>
            </w:pPr>
            <w:r>
              <w:rPr>
                <w:rFonts w:hint="default" w:ascii="Times New Roman" w:hAnsi="Times New Roman" w:eastAsia="仿宋" w:cs="Times New Roman"/>
                <w:snapToGrid w:val="0"/>
                <w:color w:val="auto"/>
                <w:kern w:val="0"/>
                <w:sz w:val="24"/>
                <w:szCs w:val="24"/>
                <w:highlight w:val="none"/>
                <w:lang w:val="en-US" w:eastAsia="zh-CN"/>
              </w:rPr>
              <w:t>项目已取得会泽县发展和改革局出具的投资项目备案证，项目代码：</w:t>
            </w:r>
            <w:r>
              <w:rPr>
                <w:rFonts w:hint="default" w:ascii="Times New Roman" w:hAnsi="Times New Roman" w:eastAsia="仿宋" w:cs="Times New Roman"/>
                <w:color w:val="auto"/>
                <w:sz w:val="24"/>
                <w:szCs w:val="24"/>
                <w:highlight w:val="none"/>
                <w:lang w:val="en-US" w:eastAsia="zh-CN"/>
              </w:rPr>
              <w:t>2202-530326-04-05-183949</w:t>
            </w:r>
            <w:r>
              <w:rPr>
                <w:rFonts w:hint="default" w:ascii="Times New Roman" w:hAnsi="Times New Roman" w:eastAsia="仿宋" w:cs="Times New Roman"/>
                <w:snapToGrid w:val="0"/>
                <w:color w:val="auto"/>
                <w:kern w:val="0"/>
                <w:sz w:val="24"/>
                <w:szCs w:val="24"/>
                <w:highlight w:val="none"/>
                <w:lang w:val="en-US" w:eastAsia="zh-CN"/>
              </w:rPr>
              <w:t>。</w:t>
            </w:r>
          </w:p>
          <w:p w14:paraId="45391883">
            <w:pPr>
              <w:keepNext w:val="0"/>
              <w:keepLines w:val="0"/>
              <w:suppressLineNumbers w:val="0"/>
              <w:spacing w:before="0" w:beforeAutospacing="0" w:after="0" w:afterAutospacing="0"/>
              <w:ind w:left="0" w:right="0" w:firstLine="480"/>
              <w:rPr>
                <w:rFonts w:hint="default"/>
                <w:color w:val="auto"/>
                <w:highlight w:val="none"/>
              </w:rPr>
            </w:pPr>
            <w:r>
              <w:rPr>
                <w:rFonts w:hint="default" w:ascii="Times New Roman" w:hAnsi="Times New Roman" w:eastAsia="仿宋" w:cs="Times New Roman"/>
                <w:snapToGrid w:val="0"/>
                <w:color w:val="auto"/>
                <w:kern w:val="0"/>
                <w:sz w:val="24"/>
                <w:szCs w:val="24"/>
                <w:highlight w:val="none"/>
                <w:lang w:val="en-US" w:eastAsia="zh-CN"/>
              </w:rPr>
              <w:t>综上，本项目</w:t>
            </w:r>
            <w:r>
              <w:rPr>
                <w:rFonts w:hint="default" w:ascii="Times New Roman" w:hAnsi="Times New Roman" w:eastAsia="仿宋" w:cs="Times New Roman"/>
                <w:snapToGrid w:val="0"/>
                <w:color w:val="auto"/>
                <w:kern w:val="0"/>
                <w:sz w:val="24"/>
                <w:szCs w:val="24"/>
                <w:highlight w:val="none"/>
              </w:rPr>
              <w:t>符合国家现行的产业政策</w:t>
            </w:r>
            <w:r>
              <w:rPr>
                <w:rFonts w:hint="default" w:ascii="Times New Roman" w:hAnsi="Times New Roman" w:eastAsia="仿宋" w:cs="Times New Roman"/>
                <w:color w:val="auto"/>
                <w:sz w:val="24"/>
                <w:szCs w:val="24"/>
                <w:highlight w:val="none"/>
              </w:rPr>
              <w:t>。</w:t>
            </w:r>
          </w:p>
          <w:p w14:paraId="033F0343">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（2）与</w:t>
            </w:r>
            <w:r>
              <w:rPr>
                <w:rFonts w:hint="eastAsia"/>
                <w:color w:val="auto"/>
                <w:highlight w:val="none"/>
                <w:lang w:eastAsia="zh-CN"/>
              </w:rPr>
              <w:t>“</w:t>
            </w:r>
            <w:r>
              <w:rPr>
                <w:rFonts w:hint="default"/>
                <w:color w:val="auto"/>
                <w:highlight w:val="none"/>
              </w:rPr>
              <w:t>长江经济带</w:t>
            </w:r>
            <w:r>
              <w:rPr>
                <w:rFonts w:hint="eastAsia"/>
                <w:color w:val="auto"/>
                <w:highlight w:val="none"/>
                <w:lang w:eastAsia="zh-CN"/>
              </w:rPr>
              <w:t>”</w:t>
            </w:r>
            <w:r>
              <w:rPr>
                <w:rFonts w:hint="eastAsia"/>
                <w:color w:val="auto"/>
                <w:highlight w:val="none"/>
                <w:lang w:val="en-US" w:eastAsia="zh-CN"/>
              </w:rPr>
              <w:t>相关</w:t>
            </w:r>
            <w:r>
              <w:rPr>
                <w:rFonts w:hint="default"/>
                <w:color w:val="auto"/>
                <w:highlight w:val="none"/>
              </w:rPr>
              <w:t>符合性分析</w:t>
            </w:r>
          </w:p>
          <w:p w14:paraId="408B3C30">
            <w:pPr>
              <w:keepNext w:val="0"/>
              <w:keepLines w:val="0"/>
              <w:suppressLineNumbers w:val="0"/>
              <w:spacing w:before="0" w:beforeAutospacing="0" w:after="0" w:afterAutospacing="0"/>
              <w:ind w:left="0" w:right="0" w:firstLine="480"/>
              <w:rPr>
                <w:rFonts w:hint="default" w:eastAsia="仿宋"/>
                <w:color w:val="auto"/>
                <w:highlight w:val="none"/>
                <w:lang w:val="en-US" w:eastAsia="zh-CN"/>
              </w:rPr>
            </w:pPr>
            <w:r>
              <w:rPr>
                <w:rFonts w:hint="eastAsia"/>
                <w:color w:val="auto"/>
                <w:highlight w:val="none"/>
                <w:lang w:val="en-US" w:eastAsia="zh-CN"/>
              </w:rPr>
              <w:t>本项目附近存在小河和硝厂河，均为牛栏江支流，属于金沙江流域。因此项目对</w:t>
            </w:r>
            <w:r>
              <w:rPr>
                <w:rFonts w:hint="default"/>
                <w:color w:val="auto"/>
                <w:highlight w:val="none"/>
              </w:rPr>
              <w:t>《长江经济带发展负面清单指南》（试行，2022年版）</w:t>
            </w:r>
            <w:r>
              <w:rPr>
                <w:rFonts w:hint="eastAsia"/>
                <w:color w:val="auto"/>
                <w:highlight w:val="none"/>
                <w:lang w:val="en-US" w:eastAsia="zh-CN"/>
              </w:rPr>
              <w:t>及《</w:t>
            </w:r>
            <w:r>
              <w:rPr>
                <w:rFonts w:hint="default"/>
                <w:color w:val="auto"/>
                <w:highlight w:val="none"/>
              </w:rPr>
              <w:t>云南省长江经济带发展负面清单指南实施细则</w:t>
            </w:r>
            <w:r>
              <w:rPr>
                <w:rFonts w:hint="eastAsia"/>
                <w:color w:val="auto"/>
                <w:highlight w:val="none"/>
                <w:lang w:eastAsia="zh-CN"/>
              </w:rPr>
              <w:t>》</w:t>
            </w:r>
            <w:r>
              <w:rPr>
                <w:rFonts w:hint="default"/>
                <w:color w:val="auto"/>
                <w:highlight w:val="none"/>
              </w:rPr>
              <w:t>（试行，2022年版）</w:t>
            </w:r>
            <w:r>
              <w:rPr>
                <w:rFonts w:hint="eastAsia"/>
                <w:color w:val="auto"/>
                <w:highlight w:val="none"/>
                <w:lang w:val="en-US" w:eastAsia="zh-CN"/>
              </w:rPr>
              <w:t>进行相符性分析。</w:t>
            </w:r>
          </w:p>
          <w:p w14:paraId="047519B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表1</w:t>
            </w:r>
            <w:r>
              <w:rPr>
                <w:rFonts w:hint="eastAsia" w:cs="Times New Roman"/>
                <w:b/>
                <w:bCs/>
                <w:color w:val="auto"/>
                <w:highlight w:val="none"/>
                <w:lang w:val="en-US" w:eastAsia="zh-CN"/>
              </w:rPr>
              <w:t>.1-1</w:t>
            </w:r>
            <w:r>
              <w:rPr>
                <w:rFonts w:hint="default" w:ascii="Times New Roman" w:hAnsi="Times New Roman" w:cs="Times New Roman"/>
                <w:b/>
                <w:bCs/>
                <w:color w:val="auto"/>
                <w:highlight w:val="none"/>
                <w:lang w:val="en-US" w:eastAsia="zh-CN"/>
              </w:rPr>
              <w:t xml:space="preserve"> 与长江经济带发展负面清单指南符合性分析一览表</w:t>
            </w:r>
          </w:p>
          <w:tbl>
            <w:tblPr>
              <w:tblStyle w:val="10"/>
              <w:tblW w:w="482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8347"/>
              <w:gridCol w:w="1782"/>
              <w:gridCol w:w="1641"/>
            </w:tblGrid>
            <w:tr w14:paraId="2268EB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 w:hRule="atLeast"/>
                <w:jc w:val="center"/>
              </w:trPr>
              <w:tc>
                <w:tcPr>
                  <w:tcW w:w="271" w:type="pct"/>
                  <w:tcBorders>
                    <w:tl2br w:val="nil"/>
                    <w:tr2bl w:val="nil"/>
                  </w:tcBorders>
                  <w:noWrap w:val="0"/>
                  <w:vAlign w:val="center"/>
                </w:tcPr>
                <w:p w14:paraId="2AA89A6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b/>
                      <w:bCs/>
                      <w:color w:val="auto"/>
                      <w:spacing w:val="0"/>
                      <w:sz w:val="21"/>
                      <w:szCs w:val="21"/>
                      <w:highlight w:val="none"/>
                    </w:rPr>
                    <w:t>序号</w:t>
                  </w:r>
                </w:p>
              </w:tc>
              <w:tc>
                <w:tcPr>
                  <w:tcW w:w="3353" w:type="pct"/>
                  <w:tcBorders>
                    <w:tl2br w:val="nil"/>
                    <w:tr2bl w:val="nil"/>
                  </w:tcBorders>
                  <w:noWrap w:val="0"/>
                  <w:vAlign w:val="center"/>
                </w:tcPr>
                <w:p w14:paraId="7B5C0C7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b/>
                      <w:bCs/>
                      <w:color w:val="auto"/>
                      <w:spacing w:val="0"/>
                      <w:sz w:val="21"/>
                      <w:szCs w:val="21"/>
                      <w:highlight w:val="none"/>
                    </w:rPr>
                    <w:t>要求（摘录）</w:t>
                  </w:r>
                </w:p>
              </w:tc>
              <w:tc>
                <w:tcPr>
                  <w:tcW w:w="716" w:type="pct"/>
                  <w:tcBorders>
                    <w:tl2br w:val="nil"/>
                    <w:tr2bl w:val="nil"/>
                  </w:tcBorders>
                  <w:noWrap w:val="0"/>
                  <w:vAlign w:val="center"/>
                </w:tcPr>
                <w:p w14:paraId="12EEDB7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b/>
                      <w:bCs/>
                      <w:color w:val="auto"/>
                      <w:spacing w:val="0"/>
                      <w:sz w:val="21"/>
                      <w:szCs w:val="21"/>
                      <w:highlight w:val="none"/>
                    </w:rPr>
                    <w:t>项目情况</w:t>
                  </w:r>
                </w:p>
              </w:tc>
              <w:tc>
                <w:tcPr>
                  <w:tcW w:w="659" w:type="pct"/>
                  <w:tcBorders>
                    <w:tl2br w:val="nil"/>
                    <w:tr2bl w:val="nil"/>
                  </w:tcBorders>
                  <w:noWrap w:val="0"/>
                  <w:vAlign w:val="center"/>
                </w:tcPr>
                <w:p w14:paraId="49BED68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b/>
                      <w:bCs/>
                      <w:color w:val="auto"/>
                      <w:spacing w:val="0"/>
                      <w:sz w:val="21"/>
                      <w:szCs w:val="21"/>
                      <w:highlight w:val="none"/>
                    </w:rPr>
                    <w:t>是否属于负面清单</w:t>
                  </w:r>
                </w:p>
              </w:tc>
            </w:tr>
            <w:tr w14:paraId="7D1229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271" w:type="pct"/>
                  <w:tcBorders>
                    <w:tl2br w:val="nil"/>
                    <w:tr2bl w:val="nil"/>
                  </w:tcBorders>
                  <w:noWrap w:val="0"/>
                  <w:vAlign w:val="center"/>
                </w:tcPr>
                <w:p w14:paraId="4A994B4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1</w:t>
                  </w:r>
                </w:p>
              </w:tc>
              <w:tc>
                <w:tcPr>
                  <w:tcW w:w="3353" w:type="pct"/>
                  <w:tcBorders>
                    <w:tl2br w:val="nil"/>
                    <w:tr2bl w:val="nil"/>
                  </w:tcBorders>
                  <w:noWrap w:val="0"/>
                  <w:vAlign w:val="center"/>
                </w:tcPr>
                <w:p w14:paraId="64A6575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禁止建设不符合全国和省级港口布局规划以及港口总体规划的码头项目，禁止建设不符合《长江干线过江通道布局规划》的过长江通道项目。</w:t>
                  </w:r>
                </w:p>
              </w:tc>
              <w:tc>
                <w:tcPr>
                  <w:tcW w:w="716" w:type="pct"/>
                  <w:tcBorders>
                    <w:tl2br w:val="nil"/>
                    <w:tr2bl w:val="nil"/>
                  </w:tcBorders>
                  <w:noWrap w:val="0"/>
                  <w:vAlign w:val="center"/>
                </w:tcPr>
                <w:p w14:paraId="1CDF30E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pacing w:val="0"/>
                      <w:sz w:val="21"/>
                      <w:szCs w:val="21"/>
                      <w:highlight w:val="none"/>
                      <w:lang w:eastAsia="zh-CN"/>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项目属于</w:t>
                  </w:r>
                  <w:r>
                    <w:rPr>
                      <w:rFonts w:hint="eastAsia" w:cs="Times New Roman"/>
                      <w:color w:val="auto"/>
                      <w:spacing w:val="0"/>
                      <w:sz w:val="21"/>
                      <w:szCs w:val="21"/>
                      <w:highlight w:val="none"/>
                      <w:lang w:eastAsia="zh-CN"/>
                    </w:rPr>
                    <w:t>太阳能发电项目</w:t>
                  </w:r>
                </w:p>
              </w:tc>
              <w:tc>
                <w:tcPr>
                  <w:tcW w:w="659" w:type="pct"/>
                  <w:tcBorders>
                    <w:tl2br w:val="nil"/>
                    <w:tr2bl w:val="nil"/>
                  </w:tcBorders>
                  <w:noWrap w:val="0"/>
                  <w:vAlign w:val="center"/>
                </w:tcPr>
                <w:p w14:paraId="0B0A2AA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77FBBA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71" w:type="pct"/>
                  <w:tcBorders>
                    <w:tl2br w:val="nil"/>
                    <w:tr2bl w:val="nil"/>
                  </w:tcBorders>
                  <w:noWrap w:val="0"/>
                  <w:vAlign w:val="center"/>
                </w:tcPr>
                <w:p w14:paraId="4E4907F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w:t>
                  </w:r>
                </w:p>
              </w:tc>
              <w:tc>
                <w:tcPr>
                  <w:tcW w:w="3353" w:type="pct"/>
                  <w:tcBorders>
                    <w:tl2br w:val="nil"/>
                    <w:tr2bl w:val="nil"/>
                  </w:tcBorders>
                  <w:noWrap w:val="0"/>
                  <w:vAlign w:val="center"/>
                </w:tcPr>
                <w:p w14:paraId="29F4D10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禁止在自然保护区核心区缓冲区的岸线和河段范围内投资建设旅游和生产经营项目。禁止在风景名胜区核心景区的岸线和河段范围内投资建设与风景名胜资源保护无关的项目。</w:t>
                  </w:r>
                </w:p>
              </w:tc>
              <w:tc>
                <w:tcPr>
                  <w:tcW w:w="716" w:type="pct"/>
                  <w:tcBorders>
                    <w:tl2br w:val="nil"/>
                    <w:tr2bl w:val="nil"/>
                  </w:tcBorders>
                  <w:noWrap w:val="0"/>
                  <w:vAlign w:val="center"/>
                </w:tcPr>
                <w:p w14:paraId="2A34008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w:t>
                  </w:r>
                  <w:r>
                    <w:rPr>
                      <w:rFonts w:hint="eastAsia" w:cs="Times New Roman"/>
                      <w:color w:val="auto"/>
                      <w:spacing w:val="0"/>
                      <w:sz w:val="21"/>
                      <w:szCs w:val="21"/>
                      <w:highlight w:val="none"/>
                      <w:lang w:val="en-US" w:eastAsia="zh-CN"/>
                    </w:rPr>
                    <w:t>选址范围</w:t>
                  </w:r>
                  <w:r>
                    <w:rPr>
                      <w:rFonts w:hint="default" w:ascii="Times New Roman" w:hAnsi="Times New Roman" w:eastAsia="仿宋" w:cs="Times New Roman"/>
                      <w:color w:val="auto"/>
                      <w:spacing w:val="0"/>
                      <w:sz w:val="21"/>
                      <w:szCs w:val="21"/>
                      <w:highlight w:val="none"/>
                    </w:rPr>
                    <w:t>不涉及自然保护区、风景名胜区</w:t>
                  </w:r>
                </w:p>
              </w:tc>
              <w:tc>
                <w:tcPr>
                  <w:tcW w:w="659" w:type="pct"/>
                  <w:tcBorders>
                    <w:tl2br w:val="nil"/>
                    <w:tr2bl w:val="nil"/>
                  </w:tcBorders>
                  <w:noWrap w:val="0"/>
                  <w:vAlign w:val="center"/>
                </w:tcPr>
                <w:p w14:paraId="5EB188B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60F7B7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271" w:type="pct"/>
                  <w:tcBorders>
                    <w:tl2br w:val="nil"/>
                    <w:tr2bl w:val="nil"/>
                  </w:tcBorders>
                  <w:noWrap w:val="0"/>
                  <w:vAlign w:val="center"/>
                </w:tcPr>
                <w:p w14:paraId="3195A88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3</w:t>
                  </w:r>
                </w:p>
              </w:tc>
              <w:tc>
                <w:tcPr>
                  <w:tcW w:w="3353" w:type="pct"/>
                  <w:tcBorders>
                    <w:tl2br w:val="nil"/>
                    <w:tr2bl w:val="nil"/>
                  </w:tcBorders>
                  <w:noWrap w:val="0"/>
                  <w:vAlign w:val="center"/>
                </w:tcPr>
                <w:p w14:paraId="4ADCC6B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lang w:eastAsia="zh-CN"/>
                    </w:rPr>
                  </w:pPr>
                  <w:r>
                    <w:rPr>
                      <w:rFonts w:hint="default" w:ascii="Times New Roman" w:hAnsi="Times New Roman" w:eastAsia="仿宋" w:cs="Times New Roman"/>
                      <w:color w:val="auto"/>
                      <w:spacing w:val="0"/>
                      <w:sz w:val="21"/>
                      <w:szCs w:val="21"/>
                      <w:highlight w:val="none"/>
                    </w:rPr>
                    <w:t>禁止在饮用水水源一级保护区的岸线和河段范围内新建、改建扩建与供水设施和保护水源无关的项目，以及网箱养殖、畜禽养殖、旅游等可能污染饮用水水体的投资建设项目。禁止在饮用水源二级保护区的岸线和河段范围内新建、改建、扩建排放污染物的投资建设项目</w:t>
                  </w:r>
                  <w:r>
                    <w:rPr>
                      <w:rFonts w:hint="default" w:ascii="Times New Roman" w:hAnsi="Times New Roman" w:eastAsia="仿宋" w:cs="Times New Roman"/>
                      <w:color w:val="auto"/>
                      <w:spacing w:val="0"/>
                      <w:sz w:val="21"/>
                      <w:szCs w:val="21"/>
                      <w:highlight w:val="none"/>
                      <w:lang w:eastAsia="zh-CN"/>
                    </w:rPr>
                    <w:t>。</w:t>
                  </w:r>
                </w:p>
              </w:tc>
              <w:tc>
                <w:tcPr>
                  <w:tcW w:w="716" w:type="pct"/>
                  <w:tcBorders>
                    <w:tl2br w:val="nil"/>
                    <w:tr2bl w:val="nil"/>
                  </w:tcBorders>
                  <w:noWrap w:val="0"/>
                  <w:vAlign w:val="center"/>
                </w:tcPr>
                <w:p w14:paraId="7B68D87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w:t>
                  </w:r>
                  <w:r>
                    <w:rPr>
                      <w:rFonts w:hint="eastAsia" w:cs="Times New Roman"/>
                      <w:color w:val="auto"/>
                      <w:spacing w:val="0"/>
                      <w:sz w:val="21"/>
                      <w:szCs w:val="21"/>
                      <w:highlight w:val="none"/>
                      <w:lang w:val="en-US" w:eastAsia="zh-CN"/>
                    </w:rPr>
                    <w:t>选址范围</w:t>
                  </w:r>
                  <w:r>
                    <w:rPr>
                      <w:rFonts w:hint="default" w:ascii="Times New Roman" w:hAnsi="Times New Roman" w:eastAsia="仿宋" w:cs="Times New Roman"/>
                      <w:color w:val="auto"/>
                      <w:spacing w:val="0"/>
                      <w:sz w:val="21"/>
                      <w:szCs w:val="21"/>
                      <w:highlight w:val="none"/>
                    </w:rPr>
                    <w:t>不涉及饮用水源保护区</w:t>
                  </w:r>
                </w:p>
              </w:tc>
              <w:tc>
                <w:tcPr>
                  <w:tcW w:w="659" w:type="pct"/>
                  <w:tcBorders>
                    <w:tl2br w:val="nil"/>
                    <w:tr2bl w:val="nil"/>
                  </w:tcBorders>
                  <w:noWrap w:val="0"/>
                  <w:vAlign w:val="center"/>
                </w:tcPr>
                <w:p w14:paraId="16ECB99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5250A9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97" w:hRule="atLeast"/>
                <w:jc w:val="center"/>
              </w:trPr>
              <w:tc>
                <w:tcPr>
                  <w:tcW w:w="271" w:type="pct"/>
                  <w:tcBorders>
                    <w:tl2br w:val="nil"/>
                    <w:tr2bl w:val="nil"/>
                  </w:tcBorders>
                  <w:noWrap w:val="0"/>
                  <w:vAlign w:val="center"/>
                </w:tcPr>
                <w:p w14:paraId="7EE7C5E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4</w:t>
                  </w:r>
                </w:p>
              </w:tc>
              <w:tc>
                <w:tcPr>
                  <w:tcW w:w="3353" w:type="pct"/>
                  <w:tcBorders>
                    <w:tl2br w:val="nil"/>
                    <w:tr2bl w:val="nil"/>
                  </w:tcBorders>
                  <w:noWrap w:val="0"/>
                  <w:vAlign w:val="center"/>
                </w:tcPr>
                <w:p w14:paraId="32FE1E1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禁止在水产种质资源保护区的岸线和河段范围内新建围湖造田、围海造地或填海等投资建设项目。禁止在国家湿地公园的岸线和河段范围内挖沙、采矿，以及任何不符合主体功能定位的投资建设项目。</w:t>
                  </w:r>
                </w:p>
              </w:tc>
              <w:tc>
                <w:tcPr>
                  <w:tcW w:w="716" w:type="pct"/>
                  <w:tcBorders>
                    <w:tl2br w:val="nil"/>
                    <w:tr2bl w:val="nil"/>
                  </w:tcBorders>
                  <w:noWrap w:val="0"/>
                  <w:vAlign w:val="center"/>
                </w:tcPr>
                <w:p w14:paraId="177AAFB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w:t>
                  </w:r>
                  <w:r>
                    <w:rPr>
                      <w:rFonts w:hint="eastAsia" w:cs="Times New Roman"/>
                      <w:color w:val="auto"/>
                      <w:spacing w:val="0"/>
                      <w:sz w:val="21"/>
                      <w:szCs w:val="21"/>
                      <w:highlight w:val="none"/>
                      <w:lang w:val="en-US" w:eastAsia="zh-CN"/>
                    </w:rPr>
                    <w:t>选址范围无</w:t>
                  </w:r>
                  <w:r>
                    <w:rPr>
                      <w:rFonts w:hint="default" w:ascii="Times New Roman" w:hAnsi="Times New Roman" w:eastAsia="仿宋" w:cs="Times New Roman"/>
                      <w:color w:val="auto"/>
                      <w:spacing w:val="0"/>
                      <w:sz w:val="21"/>
                      <w:szCs w:val="21"/>
                      <w:highlight w:val="none"/>
                    </w:rPr>
                    <w:t>水产种质资源保护区、国家湿地公园</w:t>
                  </w:r>
                </w:p>
              </w:tc>
              <w:tc>
                <w:tcPr>
                  <w:tcW w:w="659" w:type="pct"/>
                  <w:tcBorders>
                    <w:tl2br w:val="nil"/>
                    <w:tr2bl w:val="nil"/>
                  </w:tcBorders>
                  <w:noWrap w:val="0"/>
                  <w:vAlign w:val="center"/>
                </w:tcPr>
                <w:p w14:paraId="2A27C59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46814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71" w:type="pct"/>
                  <w:tcBorders>
                    <w:tl2br w:val="nil"/>
                    <w:tr2bl w:val="nil"/>
                  </w:tcBorders>
                  <w:noWrap w:val="0"/>
                  <w:vAlign w:val="center"/>
                </w:tcPr>
                <w:p w14:paraId="6010738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5</w:t>
                  </w:r>
                </w:p>
              </w:tc>
              <w:tc>
                <w:tcPr>
                  <w:tcW w:w="3353" w:type="pct"/>
                  <w:tcBorders>
                    <w:tl2br w:val="nil"/>
                    <w:tr2bl w:val="nil"/>
                  </w:tcBorders>
                  <w:noWrap w:val="0"/>
                  <w:vAlign w:val="center"/>
                </w:tcPr>
                <w:p w14:paraId="4FEA264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违法利用、占用长江流域河湖岸线。禁止在《长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项目。</w:t>
                  </w:r>
                </w:p>
              </w:tc>
              <w:tc>
                <w:tcPr>
                  <w:tcW w:w="716" w:type="pct"/>
                  <w:tcBorders>
                    <w:tl2br w:val="nil"/>
                    <w:tr2bl w:val="nil"/>
                  </w:tcBorders>
                  <w:noWrap w:val="0"/>
                  <w:vAlign w:val="center"/>
                </w:tcPr>
                <w:p w14:paraId="7653626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w:t>
                  </w:r>
                  <w:r>
                    <w:rPr>
                      <w:rFonts w:hint="eastAsia" w:cs="Times New Roman"/>
                      <w:color w:val="auto"/>
                      <w:spacing w:val="0"/>
                      <w:sz w:val="21"/>
                      <w:szCs w:val="21"/>
                      <w:highlight w:val="none"/>
                      <w:lang w:val="en-US" w:eastAsia="zh-CN"/>
                    </w:rPr>
                    <w:t>选址范围</w:t>
                  </w:r>
                  <w:r>
                    <w:rPr>
                      <w:rFonts w:hint="default" w:ascii="Times New Roman" w:hAnsi="Times New Roman" w:eastAsia="仿宋" w:cs="Times New Roman"/>
                      <w:color w:val="auto"/>
                      <w:spacing w:val="0"/>
                      <w:sz w:val="21"/>
                      <w:szCs w:val="21"/>
                      <w:highlight w:val="none"/>
                    </w:rPr>
                    <w:t>不涉及岸线保护区和保留区</w:t>
                  </w:r>
                </w:p>
              </w:tc>
              <w:tc>
                <w:tcPr>
                  <w:tcW w:w="659" w:type="pct"/>
                  <w:tcBorders>
                    <w:tl2br w:val="nil"/>
                    <w:tr2bl w:val="nil"/>
                  </w:tcBorders>
                  <w:noWrap w:val="0"/>
                  <w:vAlign w:val="center"/>
                </w:tcPr>
                <w:p w14:paraId="6C685AB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6D0EAE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271" w:type="pct"/>
                  <w:tcBorders>
                    <w:tl2br w:val="nil"/>
                    <w:tr2bl w:val="nil"/>
                  </w:tcBorders>
                  <w:noWrap w:val="0"/>
                  <w:vAlign w:val="center"/>
                </w:tcPr>
                <w:p w14:paraId="1DD2465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6</w:t>
                  </w:r>
                </w:p>
              </w:tc>
              <w:tc>
                <w:tcPr>
                  <w:tcW w:w="3353" w:type="pct"/>
                  <w:tcBorders>
                    <w:tl2br w:val="nil"/>
                    <w:tr2bl w:val="nil"/>
                  </w:tcBorders>
                  <w:noWrap w:val="0"/>
                  <w:vAlign w:val="center"/>
                </w:tcPr>
                <w:p w14:paraId="7FFE7B2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禁止未经许可在长江干支流及湖泊新设、改设或扩大排污口。</w:t>
                  </w:r>
                </w:p>
              </w:tc>
              <w:tc>
                <w:tcPr>
                  <w:tcW w:w="716" w:type="pct"/>
                  <w:tcBorders>
                    <w:tl2br w:val="nil"/>
                    <w:tr2bl w:val="nil"/>
                  </w:tcBorders>
                  <w:noWrap w:val="0"/>
                  <w:vAlign w:val="center"/>
                </w:tcPr>
                <w:p w14:paraId="20E32AB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项目不设置</w:t>
                  </w:r>
                  <w:r>
                    <w:rPr>
                      <w:rFonts w:hint="eastAsia" w:cs="Times New Roman"/>
                      <w:color w:val="auto"/>
                      <w:spacing w:val="0"/>
                      <w:sz w:val="21"/>
                      <w:szCs w:val="21"/>
                      <w:highlight w:val="none"/>
                      <w:lang w:val="en-US" w:eastAsia="zh-CN"/>
                    </w:rPr>
                    <w:t>废水</w:t>
                  </w:r>
                  <w:r>
                    <w:rPr>
                      <w:rFonts w:hint="default" w:ascii="Times New Roman" w:hAnsi="Times New Roman" w:eastAsia="仿宋" w:cs="Times New Roman"/>
                      <w:color w:val="auto"/>
                      <w:spacing w:val="0"/>
                      <w:sz w:val="21"/>
                      <w:szCs w:val="21"/>
                      <w:highlight w:val="none"/>
                    </w:rPr>
                    <w:t>排污</w:t>
                  </w:r>
                  <w:r>
                    <w:rPr>
                      <w:rFonts w:hint="eastAsia" w:cs="Times New Roman"/>
                      <w:color w:val="auto"/>
                      <w:spacing w:val="0"/>
                      <w:sz w:val="21"/>
                      <w:szCs w:val="21"/>
                      <w:highlight w:val="none"/>
                      <w:lang w:val="en-US" w:eastAsia="zh-CN"/>
                    </w:rPr>
                    <w:t>口</w:t>
                  </w:r>
                </w:p>
              </w:tc>
              <w:tc>
                <w:tcPr>
                  <w:tcW w:w="659" w:type="pct"/>
                  <w:tcBorders>
                    <w:tl2br w:val="nil"/>
                    <w:tr2bl w:val="nil"/>
                  </w:tcBorders>
                  <w:noWrap w:val="0"/>
                  <w:vAlign w:val="center"/>
                </w:tcPr>
                <w:p w14:paraId="4EDF954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201BD8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271" w:type="pct"/>
                  <w:tcBorders>
                    <w:tl2br w:val="nil"/>
                    <w:tr2bl w:val="nil"/>
                  </w:tcBorders>
                  <w:noWrap w:val="0"/>
                  <w:vAlign w:val="center"/>
                </w:tcPr>
                <w:p w14:paraId="68C2A1A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7</w:t>
                  </w:r>
                </w:p>
              </w:tc>
              <w:tc>
                <w:tcPr>
                  <w:tcW w:w="3353" w:type="pct"/>
                  <w:tcBorders>
                    <w:tl2br w:val="nil"/>
                    <w:tr2bl w:val="nil"/>
                  </w:tcBorders>
                  <w:noWrap w:val="0"/>
                  <w:vAlign w:val="center"/>
                </w:tcPr>
                <w:p w14:paraId="2586B99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禁止在</w:t>
                  </w:r>
                  <w:r>
                    <w:rPr>
                      <w:rFonts w:hint="default" w:ascii="Times New Roman" w:hAnsi="Times New Roman" w:eastAsia="仿宋" w:cs="Times New Roman"/>
                      <w:color w:val="auto"/>
                      <w:spacing w:val="0"/>
                      <w:sz w:val="21"/>
                      <w:szCs w:val="21"/>
                      <w:highlight w:val="none"/>
                      <w:lang w:eastAsia="zh-CN"/>
                    </w:rPr>
                    <w:t>“</w:t>
                  </w:r>
                  <w:r>
                    <w:rPr>
                      <w:rFonts w:hint="default" w:ascii="Times New Roman" w:hAnsi="Times New Roman" w:eastAsia="仿宋" w:cs="Times New Roman"/>
                      <w:color w:val="auto"/>
                      <w:spacing w:val="0"/>
                      <w:sz w:val="21"/>
                      <w:szCs w:val="21"/>
                      <w:highlight w:val="none"/>
                    </w:rPr>
                    <w:t>一江一口两湖七河</w:t>
                  </w:r>
                  <w:r>
                    <w:rPr>
                      <w:rFonts w:hint="default" w:ascii="Times New Roman" w:hAnsi="Times New Roman" w:eastAsia="仿宋" w:cs="Times New Roman"/>
                      <w:color w:val="auto"/>
                      <w:spacing w:val="0"/>
                      <w:sz w:val="21"/>
                      <w:szCs w:val="21"/>
                      <w:highlight w:val="none"/>
                      <w:lang w:eastAsia="zh-CN"/>
                    </w:rPr>
                    <w:t>”</w:t>
                  </w:r>
                  <w:r>
                    <w:rPr>
                      <w:rFonts w:hint="default" w:ascii="Times New Roman" w:hAnsi="Times New Roman" w:eastAsia="仿宋" w:cs="Times New Roman"/>
                      <w:color w:val="auto"/>
                      <w:spacing w:val="0"/>
                      <w:sz w:val="21"/>
                      <w:szCs w:val="21"/>
                      <w:highlight w:val="none"/>
                    </w:rPr>
                    <w:t>和332个水生生物保护区开展生产性捕捞。</w:t>
                  </w:r>
                </w:p>
              </w:tc>
              <w:tc>
                <w:tcPr>
                  <w:tcW w:w="716" w:type="pct"/>
                  <w:tcBorders>
                    <w:tl2br w:val="nil"/>
                    <w:tr2bl w:val="nil"/>
                  </w:tcBorders>
                  <w:noWrap w:val="0"/>
                  <w:vAlign w:val="center"/>
                </w:tcPr>
                <w:p w14:paraId="024D4D2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项目不涉及捕捞</w:t>
                  </w:r>
                </w:p>
              </w:tc>
              <w:tc>
                <w:tcPr>
                  <w:tcW w:w="659" w:type="pct"/>
                  <w:tcBorders>
                    <w:tl2br w:val="nil"/>
                    <w:tr2bl w:val="nil"/>
                  </w:tcBorders>
                  <w:noWrap w:val="0"/>
                  <w:vAlign w:val="center"/>
                </w:tcPr>
                <w:p w14:paraId="3A0E2D2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3DFF19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jc w:val="center"/>
              </w:trPr>
              <w:tc>
                <w:tcPr>
                  <w:tcW w:w="271" w:type="pct"/>
                  <w:tcBorders>
                    <w:tl2br w:val="nil"/>
                    <w:tr2bl w:val="nil"/>
                  </w:tcBorders>
                  <w:noWrap w:val="0"/>
                  <w:vAlign w:val="center"/>
                </w:tcPr>
                <w:p w14:paraId="61A60AA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8</w:t>
                  </w:r>
                </w:p>
              </w:tc>
              <w:tc>
                <w:tcPr>
                  <w:tcW w:w="3353" w:type="pct"/>
                  <w:tcBorders>
                    <w:tl2br w:val="nil"/>
                    <w:tr2bl w:val="nil"/>
                  </w:tcBorders>
                  <w:noWrap w:val="0"/>
                  <w:vAlign w:val="center"/>
                </w:tcPr>
                <w:p w14:paraId="02F4026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禁止在长江干支流、重要湖泊岸线一公里范围内新建、扩建</w:t>
                  </w:r>
                  <w:r>
                    <w:rPr>
                      <w:rFonts w:hint="eastAsia" w:cs="Times New Roman"/>
                      <w:color w:val="auto"/>
                      <w:spacing w:val="0"/>
                      <w:sz w:val="21"/>
                      <w:szCs w:val="21"/>
                      <w:highlight w:val="none"/>
                      <w:lang w:eastAsia="zh-CN"/>
                    </w:rPr>
                    <w:t>化工</w:t>
                  </w:r>
                  <w:r>
                    <w:rPr>
                      <w:rFonts w:hint="default" w:ascii="Times New Roman" w:hAnsi="Times New Roman" w:eastAsia="仿宋" w:cs="Times New Roman"/>
                      <w:color w:val="auto"/>
                      <w:spacing w:val="0"/>
                      <w:sz w:val="21"/>
                      <w:szCs w:val="21"/>
                      <w:highlight w:val="none"/>
                    </w:rPr>
                    <w:t>园区和化工项目。禁止在长江干流岸线三公里范围内和重要支流岸线一公里范围内新建、改建、扩建尾矿库、冶炼渣库和磷石膏库，以提升安全、生态环境保护水平为目的改建除外。</w:t>
                  </w:r>
                </w:p>
              </w:tc>
              <w:tc>
                <w:tcPr>
                  <w:tcW w:w="716" w:type="pct"/>
                  <w:vMerge w:val="restart"/>
                  <w:tcBorders>
                    <w:tl2br w:val="nil"/>
                    <w:tr2bl w:val="nil"/>
                  </w:tcBorders>
                  <w:noWrap w:val="0"/>
                  <w:vAlign w:val="center"/>
                </w:tcPr>
                <w:p w14:paraId="7B86B04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本</w:t>
                  </w:r>
                  <w:r>
                    <w:rPr>
                      <w:rFonts w:hint="default" w:ascii="Times New Roman" w:hAnsi="Times New Roman" w:eastAsia="仿宋" w:cs="Times New Roman"/>
                      <w:color w:val="auto"/>
                      <w:spacing w:val="0"/>
                      <w:sz w:val="21"/>
                      <w:szCs w:val="21"/>
                      <w:highlight w:val="none"/>
                    </w:rPr>
                    <w:t>项目属于</w:t>
                  </w:r>
                  <w:r>
                    <w:rPr>
                      <w:rFonts w:hint="eastAsia" w:cs="Times New Roman"/>
                      <w:color w:val="auto"/>
                      <w:spacing w:val="0"/>
                      <w:sz w:val="21"/>
                      <w:szCs w:val="21"/>
                      <w:highlight w:val="none"/>
                      <w:lang w:val="en-US" w:eastAsia="zh-CN"/>
                    </w:rPr>
                    <w:t>太阳能发电项目</w:t>
                  </w:r>
                </w:p>
              </w:tc>
              <w:tc>
                <w:tcPr>
                  <w:tcW w:w="659" w:type="pct"/>
                  <w:tcBorders>
                    <w:tl2br w:val="nil"/>
                    <w:tr2bl w:val="nil"/>
                  </w:tcBorders>
                  <w:noWrap w:val="0"/>
                  <w:vAlign w:val="center"/>
                </w:tcPr>
                <w:p w14:paraId="69F2FD7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5977E5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2" w:hRule="atLeast"/>
                <w:jc w:val="center"/>
              </w:trPr>
              <w:tc>
                <w:tcPr>
                  <w:tcW w:w="271" w:type="pct"/>
                  <w:tcBorders>
                    <w:tl2br w:val="nil"/>
                    <w:tr2bl w:val="nil"/>
                  </w:tcBorders>
                  <w:noWrap w:val="0"/>
                  <w:vAlign w:val="center"/>
                </w:tcPr>
                <w:p w14:paraId="1BE0F34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10</w:t>
                  </w:r>
                </w:p>
              </w:tc>
              <w:tc>
                <w:tcPr>
                  <w:tcW w:w="3353" w:type="pct"/>
                  <w:tcBorders>
                    <w:tl2br w:val="nil"/>
                    <w:tr2bl w:val="nil"/>
                  </w:tcBorders>
                  <w:noWrap w:val="0"/>
                  <w:vAlign w:val="center"/>
                </w:tcPr>
                <w:p w14:paraId="086DDDC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禁止在合规园区外新建、扩建钢铁、石化、化工、焦化、建材、有色、制浆造纸等高污染项目。</w:t>
                  </w:r>
                </w:p>
              </w:tc>
              <w:tc>
                <w:tcPr>
                  <w:tcW w:w="716" w:type="pct"/>
                  <w:vMerge w:val="continue"/>
                  <w:tcBorders>
                    <w:tl2br w:val="nil"/>
                    <w:tr2bl w:val="nil"/>
                  </w:tcBorders>
                  <w:noWrap w:val="0"/>
                  <w:vAlign w:val="center"/>
                </w:tcPr>
                <w:p w14:paraId="449B030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659" w:type="pct"/>
                  <w:tcBorders>
                    <w:tl2br w:val="nil"/>
                    <w:tr2bl w:val="nil"/>
                  </w:tcBorders>
                  <w:noWrap w:val="0"/>
                  <w:vAlign w:val="center"/>
                </w:tcPr>
                <w:p w14:paraId="7883E7B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65E81F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2" w:hRule="atLeast"/>
                <w:jc w:val="center"/>
              </w:trPr>
              <w:tc>
                <w:tcPr>
                  <w:tcW w:w="271" w:type="pct"/>
                  <w:tcBorders>
                    <w:tl2br w:val="nil"/>
                    <w:tr2bl w:val="nil"/>
                  </w:tcBorders>
                  <w:noWrap w:val="0"/>
                  <w:vAlign w:val="center"/>
                </w:tcPr>
                <w:p w14:paraId="57244A9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11</w:t>
                  </w:r>
                </w:p>
              </w:tc>
              <w:tc>
                <w:tcPr>
                  <w:tcW w:w="3353" w:type="pct"/>
                  <w:tcBorders>
                    <w:tl2br w:val="nil"/>
                    <w:tr2bl w:val="nil"/>
                  </w:tcBorders>
                  <w:noWrap w:val="0"/>
                  <w:vAlign w:val="center"/>
                </w:tcPr>
                <w:p w14:paraId="44A8EC1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禁止新建、扩建不符合国家石化、现代煤化工等产业布局规划的项目。</w:t>
                  </w:r>
                </w:p>
              </w:tc>
              <w:tc>
                <w:tcPr>
                  <w:tcW w:w="716" w:type="pct"/>
                  <w:vMerge w:val="continue"/>
                  <w:tcBorders>
                    <w:tl2br w:val="nil"/>
                    <w:tr2bl w:val="nil"/>
                  </w:tcBorders>
                  <w:noWrap w:val="0"/>
                  <w:vAlign w:val="center"/>
                </w:tcPr>
                <w:p w14:paraId="63754FB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659" w:type="pct"/>
                  <w:tcBorders>
                    <w:tl2br w:val="nil"/>
                    <w:tr2bl w:val="nil"/>
                  </w:tcBorders>
                  <w:noWrap w:val="0"/>
                  <w:vAlign w:val="center"/>
                </w:tcPr>
                <w:p w14:paraId="02FE424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r w14:paraId="4D19DC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2" w:hRule="atLeast"/>
                <w:jc w:val="center"/>
              </w:trPr>
              <w:tc>
                <w:tcPr>
                  <w:tcW w:w="271" w:type="pct"/>
                  <w:tcBorders>
                    <w:tl2br w:val="nil"/>
                    <w:tr2bl w:val="nil"/>
                  </w:tcBorders>
                  <w:noWrap w:val="0"/>
                  <w:vAlign w:val="center"/>
                </w:tcPr>
                <w:p w14:paraId="514E69D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12</w:t>
                  </w:r>
                </w:p>
              </w:tc>
              <w:tc>
                <w:tcPr>
                  <w:tcW w:w="3353" w:type="pct"/>
                  <w:tcBorders>
                    <w:tl2br w:val="nil"/>
                    <w:tr2bl w:val="nil"/>
                  </w:tcBorders>
                  <w:noWrap w:val="0"/>
                  <w:vAlign w:val="center"/>
                </w:tcPr>
                <w:p w14:paraId="05B6815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pacing w:val="0"/>
                      <w:sz w:val="21"/>
                      <w:szCs w:val="21"/>
                      <w:highlight w:val="none"/>
                      <w:lang w:eastAsia="zh-CN"/>
                    </w:rPr>
                  </w:pPr>
                  <w:r>
                    <w:rPr>
                      <w:rFonts w:hint="default" w:ascii="Times New Roman" w:hAnsi="Times New Roman" w:eastAsia="仿宋" w:cs="Times New Roman"/>
                      <w:color w:val="auto"/>
                      <w:spacing w:val="0"/>
                      <w:sz w:val="21"/>
                      <w:szCs w:val="21"/>
                      <w:highlight w:val="none"/>
                    </w:rPr>
                    <w:t>禁止新、扩建法律法规和相关政策明令禁止的落后产能项目。禁止新建、扩建</w:t>
                  </w:r>
                  <w:r>
                    <w:rPr>
                      <w:rFonts w:hint="eastAsia" w:cs="Times New Roman"/>
                      <w:color w:val="auto"/>
                      <w:spacing w:val="0"/>
                      <w:sz w:val="21"/>
                      <w:szCs w:val="21"/>
                      <w:highlight w:val="none"/>
                      <w:lang w:eastAsia="zh-CN"/>
                    </w:rPr>
                    <w:t>不符</w:t>
                  </w:r>
                  <w:r>
                    <w:rPr>
                      <w:rFonts w:hint="default" w:ascii="Times New Roman" w:hAnsi="Times New Roman" w:eastAsia="仿宋" w:cs="Times New Roman"/>
                      <w:color w:val="auto"/>
                      <w:spacing w:val="0"/>
                      <w:sz w:val="21"/>
                      <w:szCs w:val="21"/>
                      <w:highlight w:val="none"/>
                    </w:rPr>
                    <w:cr/>
                  </w:r>
                  <w:r>
                    <w:rPr>
                      <w:rFonts w:hint="default" w:ascii="Times New Roman" w:hAnsi="Times New Roman" w:eastAsia="仿宋" w:cs="Times New Roman"/>
                      <w:color w:val="auto"/>
                      <w:spacing w:val="0"/>
                      <w:sz w:val="21"/>
                      <w:szCs w:val="21"/>
                      <w:highlight w:val="none"/>
                    </w:rPr>
                    <w:t>合国家产能置换要求的严重过剩产能行业的项目。禁止建、扩建不符合要求的高耗能高排放项目</w:t>
                  </w:r>
                  <w:r>
                    <w:rPr>
                      <w:rFonts w:hint="default" w:ascii="Times New Roman" w:hAnsi="Times New Roman" w:eastAsia="仿宋" w:cs="Times New Roman"/>
                      <w:color w:val="auto"/>
                      <w:spacing w:val="0"/>
                      <w:sz w:val="21"/>
                      <w:szCs w:val="21"/>
                      <w:highlight w:val="none"/>
                      <w:lang w:eastAsia="zh-CN"/>
                    </w:rPr>
                    <w:t>。</w:t>
                  </w:r>
                </w:p>
              </w:tc>
              <w:tc>
                <w:tcPr>
                  <w:tcW w:w="716" w:type="pct"/>
                  <w:vMerge w:val="continue"/>
                  <w:tcBorders>
                    <w:tl2br w:val="nil"/>
                    <w:tr2bl w:val="nil"/>
                  </w:tcBorders>
                  <w:noWrap w:val="0"/>
                  <w:vAlign w:val="center"/>
                </w:tcPr>
                <w:p w14:paraId="1ABAE4E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659" w:type="pct"/>
                  <w:tcBorders>
                    <w:tl2br w:val="nil"/>
                    <w:tr2bl w:val="nil"/>
                  </w:tcBorders>
                  <w:noWrap w:val="0"/>
                  <w:vAlign w:val="center"/>
                </w:tcPr>
                <w:p w14:paraId="468DAD7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不属于</w:t>
                  </w:r>
                </w:p>
              </w:tc>
            </w:tr>
          </w:tbl>
          <w:p w14:paraId="706668F9">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rPr>
                <w:rFonts w:hint="default" w:ascii="Times New Roman" w:hAnsi="Times New Roman" w:cs="Times New Roman"/>
                <w:color w:val="auto"/>
                <w:kern w:val="0"/>
                <w:szCs w:val="21"/>
                <w:highlight w:val="none"/>
                <w:lang w:val="en-US" w:eastAsia="zh-CN"/>
              </w:rPr>
            </w:pPr>
          </w:p>
          <w:p w14:paraId="10698622">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rPr>
                <w:rFonts w:hint="default" w:ascii="Times New Roman" w:hAnsi="Times New Roman" w:cs="Times New Roman"/>
                <w:color w:val="auto"/>
                <w:kern w:val="0"/>
                <w:szCs w:val="21"/>
                <w:highlight w:val="none"/>
                <w:lang w:val="en-US" w:eastAsia="zh-CN"/>
              </w:rPr>
            </w:pPr>
          </w:p>
          <w:p w14:paraId="77E92F9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表1</w:t>
            </w:r>
            <w:r>
              <w:rPr>
                <w:rFonts w:hint="eastAsia" w:cs="Times New Roman"/>
                <w:b/>
                <w:bCs/>
                <w:color w:val="auto"/>
                <w:highlight w:val="none"/>
                <w:lang w:val="en-US" w:eastAsia="zh-CN"/>
              </w:rPr>
              <w:t>.1</w:t>
            </w:r>
            <w:r>
              <w:rPr>
                <w:rFonts w:hint="default" w:ascii="Times New Roman" w:hAnsi="Times New Roman" w:cs="Times New Roman"/>
                <w:b/>
                <w:bCs/>
                <w:color w:val="auto"/>
                <w:highlight w:val="none"/>
                <w:lang w:val="en-US" w:eastAsia="zh-CN"/>
              </w:rPr>
              <w:t>-2与《云南省长江经济带发展负面清单指南实施细则》相符性分析</w:t>
            </w:r>
          </w:p>
          <w:tbl>
            <w:tblPr>
              <w:tblStyle w:val="10"/>
              <w:tblW w:w="483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005"/>
              <w:gridCol w:w="2632"/>
              <w:gridCol w:w="837"/>
            </w:tblGrid>
            <w:tr w14:paraId="1E3747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jc w:val="center"/>
              </w:trPr>
              <w:tc>
                <w:tcPr>
                  <w:tcW w:w="3609" w:type="pct"/>
                  <w:tcBorders>
                    <w:tl2br w:val="nil"/>
                    <w:tr2bl w:val="nil"/>
                  </w:tcBorders>
                  <w:noWrap w:val="0"/>
                  <w:vAlign w:val="center"/>
                </w:tcPr>
                <w:p w14:paraId="3246677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相关内容</w:t>
                  </w:r>
                </w:p>
              </w:tc>
              <w:tc>
                <w:tcPr>
                  <w:tcW w:w="1055" w:type="pct"/>
                  <w:tcBorders>
                    <w:tl2br w:val="nil"/>
                    <w:tr2bl w:val="nil"/>
                  </w:tcBorders>
                  <w:noWrap w:val="0"/>
                  <w:vAlign w:val="center"/>
                </w:tcPr>
                <w:p w14:paraId="14C65D0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项目建设情况</w:t>
                  </w:r>
                </w:p>
              </w:tc>
              <w:tc>
                <w:tcPr>
                  <w:tcW w:w="335" w:type="pct"/>
                  <w:tcBorders>
                    <w:tl2br w:val="nil"/>
                    <w:tr2bl w:val="nil"/>
                  </w:tcBorders>
                  <w:noWrap w:val="0"/>
                  <w:vAlign w:val="center"/>
                </w:tcPr>
                <w:p w14:paraId="556565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是否</w:t>
                  </w:r>
                </w:p>
                <w:p w14:paraId="100E20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E1CC3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3609" w:type="pct"/>
                  <w:tcBorders>
                    <w:tl2br w:val="nil"/>
                    <w:tr2bl w:val="nil"/>
                  </w:tcBorders>
                  <w:noWrap w:val="0"/>
                  <w:vAlign w:val="center"/>
                </w:tcPr>
                <w:p w14:paraId="57DA09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第一条 禁止新建、改建和扩建不符合《全国内河航道与港口布局规划》等全国港口规划和《昭通市港口码头岸线规划</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金沙江段2019年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2035年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》、《景洪港总体规划</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 xml:space="preserve"> 2019</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2035年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》等州</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市</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级以上港口布局规划以及港口总体规划的码头项目</w:t>
                  </w:r>
                </w:p>
              </w:tc>
              <w:tc>
                <w:tcPr>
                  <w:tcW w:w="1055" w:type="pct"/>
                  <w:tcBorders>
                    <w:tl2br w:val="nil"/>
                    <w:tr2bl w:val="nil"/>
                  </w:tcBorders>
                  <w:noWrap w:val="0"/>
                  <w:vAlign w:val="center"/>
                </w:tcPr>
                <w:p w14:paraId="27571FB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本项目不属于港口建设</w:t>
                  </w:r>
                </w:p>
              </w:tc>
              <w:tc>
                <w:tcPr>
                  <w:tcW w:w="335" w:type="pct"/>
                  <w:tcBorders>
                    <w:tl2br w:val="nil"/>
                    <w:tr2bl w:val="nil"/>
                  </w:tcBorders>
                  <w:noWrap w:val="0"/>
                  <w:vAlign w:val="center"/>
                </w:tcPr>
                <w:p w14:paraId="0B09B0A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不涉及</w:t>
                  </w:r>
                </w:p>
              </w:tc>
            </w:tr>
            <w:tr w14:paraId="2A0284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74" w:hRule="atLeast"/>
                <w:jc w:val="center"/>
              </w:trPr>
              <w:tc>
                <w:tcPr>
                  <w:tcW w:w="3609" w:type="pct"/>
                  <w:tcBorders>
                    <w:tl2br w:val="nil"/>
                    <w:tr2bl w:val="nil"/>
                  </w:tcBorders>
                  <w:noWrap w:val="0"/>
                  <w:vAlign w:val="center"/>
                </w:tcPr>
                <w:p w14:paraId="2A35B86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第二条 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p>
              </w:tc>
              <w:tc>
                <w:tcPr>
                  <w:tcW w:w="1055" w:type="pct"/>
                  <w:tcBorders>
                    <w:tl2br w:val="nil"/>
                    <w:tr2bl w:val="nil"/>
                  </w:tcBorders>
                  <w:noWrap w:val="0"/>
                  <w:vAlign w:val="center"/>
                </w:tcPr>
                <w:p w14:paraId="2A0769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本项目选址不涉及自然保护区</w:t>
                  </w:r>
                </w:p>
              </w:tc>
              <w:tc>
                <w:tcPr>
                  <w:tcW w:w="335" w:type="pct"/>
                  <w:tcBorders>
                    <w:tl2br w:val="nil"/>
                    <w:tr2bl w:val="nil"/>
                  </w:tcBorders>
                  <w:noWrap w:val="0"/>
                  <w:vAlign w:val="center"/>
                </w:tcPr>
                <w:p w14:paraId="0246116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3F8955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87" w:hRule="atLeast"/>
                <w:jc w:val="center"/>
              </w:trPr>
              <w:tc>
                <w:tcPr>
                  <w:tcW w:w="3609" w:type="pct"/>
                  <w:tcBorders>
                    <w:tl2br w:val="nil"/>
                    <w:tr2bl w:val="nil"/>
                  </w:tcBorders>
                  <w:noWrap w:val="0"/>
                  <w:vAlign w:val="center"/>
                </w:tcPr>
                <w:p w14:paraId="066AB08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第三条 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禁止在风景名胜区内设立开发区和在核心景区内建设宾馆、会所、培训中心、疗养院以及与风景名胜资源保护无关的投资建设项目。</w:t>
                  </w:r>
                </w:p>
              </w:tc>
              <w:tc>
                <w:tcPr>
                  <w:tcW w:w="1055" w:type="pct"/>
                  <w:tcBorders>
                    <w:tl2br w:val="nil"/>
                    <w:tr2bl w:val="nil"/>
                  </w:tcBorders>
                  <w:noWrap w:val="0"/>
                  <w:vAlign w:val="center"/>
                </w:tcPr>
                <w:p w14:paraId="263784D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本项目选址不涉及风景名胜区</w:t>
                  </w:r>
                </w:p>
              </w:tc>
              <w:tc>
                <w:tcPr>
                  <w:tcW w:w="335" w:type="pct"/>
                  <w:tcBorders>
                    <w:tl2br w:val="nil"/>
                    <w:tr2bl w:val="nil"/>
                  </w:tcBorders>
                  <w:noWrap w:val="0"/>
                  <w:vAlign w:val="center"/>
                </w:tcPr>
                <w:p w14:paraId="698F39C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743941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61" w:hRule="atLeast"/>
                <w:jc w:val="center"/>
              </w:trPr>
              <w:tc>
                <w:tcPr>
                  <w:tcW w:w="3609" w:type="pct"/>
                  <w:tcBorders>
                    <w:tl2br w:val="nil"/>
                    <w:tr2bl w:val="nil"/>
                  </w:tcBorders>
                  <w:noWrap w:val="0"/>
                  <w:vAlign w:val="center"/>
                </w:tcPr>
                <w:p w14:paraId="6EB7FAF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第四条</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1055" w:type="pct"/>
                  <w:tcBorders>
                    <w:tl2br w:val="nil"/>
                    <w:tr2bl w:val="nil"/>
                  </w:tcBorders>
                  <w:noWrap w:val="0"/>
                  <w:vAlign w:val="center"/>
                </w:tcPr>
                <w:p w14:paraId="708C146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本项目选址不涉及饮用水水源保护区</w:t>
                  </w:r>
                </w:p>
              </w:tc>
              <w:tc>
                <w:tcPr>
                  <w:tcW w:w="335" w:type="pct"/>
                  <w:tcBorders>
                    <w:tl2br w:val="nil"/>
                    <w:tr2bl w:val="nil"/>
                  </w:tcBorders>
                  <w:noWrap w:val="0"/>
                  <w:vAlign w:val="center"/>
                </w:tcPr>
                <w:p w14:paraId="78C2EE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6A62C1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61" w:hRule="atLeast"/>
                <w:jc w:val="center"/>
              </w:trPr>
              <w:tc>
                <w:tcPr>
                  <w:tcW w:w="3609" w:type="pct"/>
                  <w:tcBorders>
                    <w:tl2br w:val="nil"/>
                    <w:tr2bl w:val="nil"/>
                  </w:tcBorders>
                  <w:noWrap w:val="0"/>
                  <w:vAlign w:val="center"/>
                </w:tcPr>
                <w:p w14:paraId="21FF5E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第五条</w:t>
                  </w:r>
                  <w:r>
                    <w:rPr>
                      <w:rFonts w:hint="eastAsia"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禁止在水产种质资源保护区的岸线和河段范围内新建围湖造田、围湖造地或围填海等投资建设项目。禁止擅自征收、占用国家湿地公园的土地</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禁止在国家湿地公园内挖沙、采矿，以及建设度假村、高尔夫球场等任何不符合主体功能定位的投资建设项目。</w:t>
                  </w:r>
                </w:p>
              </w:tc>
              <w:tc>
                <w:tcPr>
                  <w:tcW w:w="1055" w:type="pct"/>
                  <w:tcBorders>
                    <w:tl2br w:val="nil"/>
                    <w:tr2bl w:val="nil"/>
                  </w:tcBorders>
                  <w:noWrap w:val="0"/>
                  <w:vAlign w:val="center"/>
                </w:tcPr>
                <w:p w14:paraId="6D17434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本项目选址不涉及水产种质资源保护区</w:t>
                  </w:r>
                  <w:r>
                    <w:rPr>
                      <w:rFonts w:hint="eastAsia" w:cs="Times New Roman"/>
                      <w:color w:val="auto"/>
                      <w:sz w:val="21"/>
                      <w:szCs w:val="21"/>
                      <w:highlight w:val="none"/>
                      <w:lang w:val="en-US" w:eastAsia="zh-CN"/>
                    </w:rPr>
                    <w:t>，不涉及国家湿地公园</w:t>
                  </w:r>
                </w:p>
              </w:tc>
              <w:tc>
                <w:tcPr>
                  <w:tcW w:w="335" w:type="pct"/>
                  <w:tcBorders>
                    <w:tl2br w:val="nil"/>
                    <w:tr2bl w:val="nil"/>
                  </w:tcBorders>
                  <w:noWrap w:val="0"/>
                  <w:vAlign w:val="center"/>
                </w:tcPr>
                <w:p w14:paraId="140BB43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4D2EF7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75" w:hRule="atLeast"/>
                <w:jc w:val="center"/>
              </w:trPr>
              <w:tc>
                <w:tcPr>
                  <w:tcW w:w="3609" w:type="pct"/>
                  <w:tcBorders>
                    <w:tl2br w:val="nil"/>
                    <w:tr2bl w:val="nil"/>
                  </w:tcBorders>
                  <w:noWrap w:val="0"/>
                  <w:vAlign w:val="center"/>
                </w:tcPr>
                <w:p w14:paraId="4E103A0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第六条 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w:t>
                  </w:r>
                  <w:r>
                    <w:rPr>
                      <w:rFonts w:hint="eastAsia" w:cs="Times New Roman"/>
                      <w:color w:val="auto"/>
                      <w:sz w:val="21"/>
                      <w:szCs w:val="21"/>
                      <w:highlight w:val="none"/>
                      <w:lang w:val="en-US" w:eastAsia="zh-CN"/>
                    </w:rPr>
                    <w:t>的</w:t>
                  </w:r>
                  <w:r>
                    <w:rPr>
                      <w:rFonts w:hint="eastAsia" w:cs="Times New Roman"/>
                      <w:color w:val="auto"/>
                      <w:sz w:val="21"/>
                      <w:szCs w:val="21"/>
                      <w:highlight w:val="none"/>
                      <w:lang w:eastAsia="zh-CN"/>
                    </w:rPr>
                    <w:t>项目</w:t>
                  </w:r>
                </w:p>
              </w:tc>
              <w:tc>
                <w:tcPr>
                  <w:tcW w:w="1055" w:type="pct"/>
                  <w:tcBorders>
                    <w:tl2br w:val="nil"/>
                    <w:tr2bl w:val="nil"/>
                  </w:tcBorders>
                  <w:noWrap w:val="0"/>
                  <w:vAlign w:val="center"/>
                </w:tcPr>
                <w:p w14:paraId="7A03A0C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本项目选址不涉及长江流域河湖岸线</w:t>
                  </w:r>
                </w:p>
              </w:tc>
              <w:tc>
                <w:tcPr>
                  <w:tcW w:w="335" w:type="pct"/>
                  <w:tcBorders>
                    <w:tl2br w:val="nil"/>
                    <w:tr2bl w:val="nil"/>
                  </w:tcBorders>
                  <w:noWrap w:val="0"/>
                  <w:vAlign w:val="center"/>
                </w:tcPr>
                <w:p w14:paraId="7856C75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589A89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3" w:hRule="atLeast"/>
                <w:jc w:val="center"/>
              </w:trPr>
              <w:tc>
                <w:tcPr>
                  <w:tcW w:w="3609" w:type="pct"/>
                  <w:tcBorders>
                    <w:tl2br w:val="nil"/>
                    <w:tr2bl w:val="nil"/>
                  </w:tcBorders>
                  <w:noWrap w:val="0"/>
                  <w:vAlign w:val="center"/>
                </w:tcPr>
                <w:p w14:paraId="53694DF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第七条 禁止在金沙江干流、长江一级支流建设除</w:t>
                  </w:r>
                  <w:r>
                    <w:rPr>
                      <w:rFonts w:hint="eastAsia" w:cs="Times New Roman"/>
                      <w:color w:val="auto"/>
                      <w:sz w:val="21"/>
                      <w:szCs w:val="21"/>
                      <w:highlight w:val="none"/>
                      <w:lang w:eastAsia="zh-CN"/>
                    </w:rPr>
                    <w:t>党中央、国务院</w:t>
                  </w:r>
                  <w:r>
                    <w:rPr>
                      <w:rFonts w:hint="default" w:ascii="Times New Roman" w:hAnsi="Times New Roman" w:cs="Times New Roman"/>
                      <w:color w:val="auto"/>
                      <w:sz w:val="21"/>
                      <w:szCs w:val="21"/>
                      <w:highlight w:val="none"/>
                    </w:rPr>
                    <w:t>、国家投资主管部门、省级有关部门批复同意以外的过江基础设施项目</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禁止未经许可在金沙江干流、长江一级支流、九大高原湖泊流域新设、改设或扩大排污口</w:t>
                  </w:r>
                </w:p>
              </w:tc>
              <w:tc>
                <w:tcPr>
                  <w:tcW w:w="1055" w:type="pct"/>
                  <w:tcBorders>
                    <w:tl2br w:val="nil"/>
                    <w:tr2bl w:val="nil"/>
                  </w:tcBorders>
                  <w:noWrap w:val="0"/>
                  <w:vAlign w:val="center"/>
                </w:tcPr>
                <w:p w14:paraId="3F3D117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本项目选址</w:t>
                  </w:r>
                  <w:r>
                    <w:rPr>
                      <w:rFonts w:hint="eastAsia" w:cs="Times New Roman"/>
                      <w:color w:val="auto"/>
                      <w:sz w:val="21"/>
                      <w:szCs w:val="21"/>
                      <w:highlight w:val="none"/>
                      <w:lang w:val="en-US" w:eastAsia="zh-CN"/>
                    </w:rPr>
                    <w:t>范围</w:t>
                  </w:r>
                  <w:r>
                    <w:rPr>
                      <w:rFonts w:hint="default" w:ascii="Times New Roman" w:hAnsi="Times New Roman" w:cs="Times New Roman"/>
                      <w:color w:val="auto"/>
                      <w:sz w:val="21"/>
                      <w:szCs w:val="21"/>
                      <w:highlight w:val="none"/>
                      <w:lang w:val="en-US" w:eastAsia="zh-CN"/>
                    </w:rPr>
                    <w:t>不涉及金沙江干流</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长江一级支流</w:t>
                  </w:r>
                  <w:r>
                    <w:rPr>
                      <w:rFonts w:hint="eastAsia" w:cs="Times New Roman"/>
                      <w:color w:val="auto"/>
                      <w:sz w:val="21"/>
                      <w:szCs w:val="21"/>
                      <w:highlight w:val="none"/>
                      <w:lang w:val="en-US" w:eastAsia="zh-CN"/>
                    </w:rPr>
                    <w:t>和九大高原湖泊</w:t>
                  </w:r>
                </w:p>
              </w:tc>
              <w:tc>
                <w:tcPr>
                  <w:tcW w:w="335" w:type="pct"/>
                  <w:tcBorders>
                    <w:tl2br w:val="nil"/>
                    <w:tr2bl w:val="nil"/>
                  </w:tcBorders>
                  <w:noWrap w:val="0"/>
                  <w:vAlign w:val="center"/>
                </w:tcPr>
                <w:p w14:paraId="2B4774A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7A88E5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3609" w:type="pct"/>
                  <w:tcBorders>
                    <w:tl2br w:val="nil"/>
                    <w:tr2bl w:val="nil"/>
                  </w:tcBorders>
                  <w:noWrap w:val="0"/>
                  <w:vAlign w:val="center"/>
                </w:tcPr>
                <w:p w14:paraId="7B8400D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第八条 禁止在金沙江干流、长江一级支流、水生生物保护</w:t>
                  </w:r>
                </w:p>
                <w:p w14:paraId="44CD04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区和长江流域禁捕水域开展天然渔业资源生产性捕捞。</w:t>
                  </w:r>
                </w:p>
              </w:tc>
              <w:tc>
                <w:tcPr>
                  <w:tcW w:w="1055" w:type="pct"/>
                  <w:tcBorders>
                    <w:tl2br w:val="nil"/>
                    <w:tr2bl w:val="nil"/>
                  </w:tcBorders>
                  <w:noWrap w:val="0"/>
                  <w:vAlign w:val="center"/>
                </w:tcPr>
                <w:p w14:paraId="331DE0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本项目不涉及水产捕捞</w:t>
                  </w:r>
                </w:p>
              </w:tc>
              <w:tc>
                <w:tcPr>
                  <w:tcW w:w="335" w:type="pct"/>
                  <w:tcBorders>
                    <w:tl2br w:val="nil"/>
                    <w:tr2bl w:val="nil"/>
                  </w:tcBorders>
                  <w:noWrap w:val="0"/>
                  <w:vAlign w:val="center"/>
                </w:tcPr>
                <w:p w14:paraId="66B836A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72DA8A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74" w:hRule="atLeast"/>
                <w:jc w:val="center"/>
              </w:trPr>
              <w:tc>
                <w:tcPr>
                  <w:tcW w:w="3609" w:type="pct"/>
                  <w:tcBorders>
                    <w:tl2br w:val="nil"/>
                    <w:tr2bl w:val="nil"/>
                  </w:tcBorders>
                  <w:noWrap w:val="0"/>
                  <w:vAlign w:val="center"/>
                </w:tcPr>
                <w:p w14:paraId="3111E3E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第九条 禁止在金沙江干流 长江一级支流和九大高原湖泊</w:t>
                  </w:r>
                </w:p>
                <w:p w14:paraId="6258DE0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1055" w:type="pct"/>
                  <w:tcBorders>
                    <w:tl2br w:val="nil"/>
                    <w:tr2bl w:val="nil"/>
                  </w:tcBorders>
                  <w:noWrap w:val="0"/>
                  <w:vAlign w:val="center"/>
                </w:tcPr>
                <w:p w14:paraId="10C1AEE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本项目不属于化工项目</w:t>
                  </w:r>
                  <w:r>
                    <w:rPr>
                      <w:rFonts w:hint="eastAsia" w:cs="Times New Roman"/>
                      <w:color w:val="auto"/>
                      <w:sz w:val="21"/>
                      <w:szCs w:val="21"/>
                      <w:highlight w:val="none"/>
                      <w:lang w:val="en-US" w:eastAsia="zh-CN"/>
                    </w:rPr>
                    <w:t>，不属于尾矿库、冶炼渣库和磷石膏库</w:t>
                  </w:r>
                </w:p>
              </w:tc>
              <w:tc>
                <w:tcPr>
                  <w:tcW w:w="335" w:type="pct"/>
                  <w:tcBorders>
                    <w:tl2br w:val="nil"/>
                    <w:tr2bl w:val="nil"/>
                  </w:tcBorders>
                  <w:noWrap w:val="0"/>
                  <w:vAlign w:val="center"/>
                </w:tcPr>
                <w:p w14:paraId="17AA03F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486A89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3609" w:type="pct"/>
                  <w:tcBorders>
                    <w:tl2br w:val="nil"/>
                    <w:tr2bl w:val="nil"/>
                  </w:tcBorders>
                  <w:noWrap w:val="0"/>
                  <w:vAlign w:val="center"/>
                </w:tcPr>
                <w:p w14:paraId="6486D36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第十条 禁止在合规园区外新建、扩建钢铁、石化、化工焦化、建材、有色、制浆造纸行业中的高污染项目。</w:t>
                  </w:r>
                </w:p>
              </w:tc>
              <w:tc>
                <w:tcPr>
                  <w:tcW w:w="1055" w:type="pct"/>
                  <w:tcBorders>
                    <w:tl2br w:val="nil"/>
                    <w:tr2bl w:val="nil"/>
                  </w:tcBorders>
                  <w:noWrap w:val="0"/>
                  <w:vAlign w:val="center"/>
                </w:tcPr>
                <w:p w14:paraId="3F51026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本项目不属于高污染项目</w:t>
                  </w:r>
                </w:p>
              </w:tc>
              <w:tc>
                <w:tcPr>
                  <w:tcW w:w="335" w:type="pct"/>
                  <w:tcBorders>
                    <w:tl2br w:val="nil"/>
                    <w:tr2bl w:val="nil"/>
                  </w:tcBorders>
                  <w:noWrap w:val="0"/>
                  <w:vAlign w:val="center"/>
                </w:tcPr>
                <w:p w14:paraId="169ED37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不涉及</w:t>
                  </w:r>
                </w:p>
              </w:tc>
            </w:tr>
            <w:tr w14:paraId="36F65E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609" w:type="pct"/>
                  <w:tcBorders>
                    <w:tl2br w:val="nil"/>
                    <w:tr2bl w:val="nil"/>
                  </w:tcBorders>
                  <w:noWrap w:val="0"/>
                  <w:vAlign w:val="center"/>
                </w:tcPr>
                <w:p w14:paraId="37182E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第十一条 禁止新建、扩建不符合国家石化、现代煤化工等产业布局规划的项目。禁止列入《云南省城镇人口密集区危险化学品生产企业搬迁改造名单》的搬迁改造企业在原址新建、扩建危险化学品生产项目。</w:t>
                  </w:r>
                </w:p>
              </w:tc>
              <w:tc>
                <w:tcPr>
                  <w:tcW w:w="1055" w:type="pct"/>
                  <w:tcBorders>
                    <w:tl2br w:val="nil"/>
                    <w:tr2bl w:val="nil"/>
                  </w:tcBorders>
                  <w:noWrap w:val="0"/>
                  <w:vAlign w:val="center"/>
                </w:tcPr>
                <w:p w14:paraId="23FDF8C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项目不属于</w:t>
                  </w:r>
                  <w:r>
                    <w:rPr>
                      <w:rFonts w:hint="eastAsia" w:cs="Times New Roman"/>
                      <w:color w:val="auto"/>
                      <w:sz w:val="21"/>
                      <w:szCs w:val="21"/>
                      <w:highlight w:val="none"/>
                      <w:lang w:val="en-US" w:eastAsia="zh-CN"/>
                    </w:rPr>
                    <w:t>石化、现代煤化工项目，不属于</w:t>
                  </w:r>
                  <w:r>
                    <w:rPr>
                      <w:rFonts w:hint="default" w:ascii="Times New Roman" w:hAnsi="Times New Roman" w:cs="Times New Roman"/>
                      <w:color w:val="auto"/>
                      <w:sz w:val="21"/>
                      <w:szCs w:val="21"/>
                      <w:highlight w:val="none"/>
                    </w:rPr>
                    <w:t>《云南省城镇人口密集区危险化学品生产企业搬迁改造名单》的搬迁改造企业</w:t>
                  </w:r>
                </w:p>
              </w:tc>
              <w:tc>
                <w:tcPr>
                  <w:tcW w:w="335" w:type="pct"/>
                  <w:tcBorders>
                    <w:tl2br w:val="nil"/>
                    <w:tr2bl w:val="nil"/>
                  </w:tcBorders>
                  <w:noWrap w:val="0"/>
                  <w:vAlign w:val="center"/>
                </w:tcPr>
                <w:p w14:paraId="183B816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不涉及</w:t>
                  </w:r>
                </w:p>
              </w:tc>
            </w:tr>
            <w:tr w14:paraId="24044A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3609" w:type="pct"/>
                  <w:tcBorders>
                    <w:tl2br w:val="nil"/>
                    <w:tr2bl w:val="nil"/>
                  </w:tcBorders>
                  <w:noWrap w:val="0"/>
                  <w:vAlign w:val="center"/>
                </w:tcPr>
                <w:p w14:paraId="40F99DE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第十二条</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禁止新建、扩建法律法规和相关政策明</w:t>
                  </w:r>
                  <w:r>
                    <w:rPr>
                      <w:rFonts w:hint="eastAsia" w:cs="Times New Roman"/>
                      <w:color w:val="auto"/>
                      <w:sz w:val="21"/>
                      <w:szCs w:val="21"/>
                      <w:highlight w:val="none"/>
                      <w:lang w:eastAsia="zh-CN"/>
                    </w:rPr>
                    <w:t>确</w:t>
                  </w:r>
                  <w:r>
                    <w:rPr>
                      <w:rFonts w:hint="default" w:ascii="Times New Roman" w:hAnsi="Times New Roman" w:cs="Times New Roman"/>
                      <w:color w:val="auto"/>
                      <w:sz w:val="21"/>
                      <w:szCs w:val="21"/>
                      <w:highlight w:val="none"/>
                    </w:rPr>
                    <w:t>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w:t>
                  </w:r>
                  <w:r>
                    <w:rPr>
                      <w:rFonts w:hint="eastAsia" w:cs="Times New Roman"/>
                      <w:color w:val="auto"/>
                      <w:sz w:val="21"/>
                      <w:szCs w:val="21"/>
                      <w:highlight w:val="none"/>
                      <w:lang w:val="en-US" w:eastAsia="zh-CN"/>
                    </w:rPr>
                    <w:t>产</w:t>
                  </w:r>
                  <w:r>
                    <w:rPr>
                      <w:rFonts w:hint="default" w:ascii="Times New Roman" w:hAnsi="Times New Roman" w:cs="Times New Roman"/>
                      <w:color w:val="auto"/>
                      <w:sz w:val="21"/>
                      <w:szCs w:val="21"/>
                      <w:highlight w:val="none"/>
                    </w:rPr>
                    <w:t>能。禁止建设高毒高残留以及对环境影响大的农药原药生产装置，严控尿素</w:t>
                  </w:r>
                  <w:r>
                    <w:rPr>
                      <w:rFonts w:hint="eastAsia" w:cs="Times New Roman"/>
                      <w:color w:val="auto"/>
                      <w:sz w:val="21"/>
                      <w:szCs w:val="21"/>
                      <w:highlight w:val="none"/>
                      <w:lang w:eastAsia="zh-CN"/>
                    </w:rPr>
                    <w:t>磷酸</w:t>
                  </w:r>
                  <w:r>
                    <w:rPr>
                      <w:rFonts w:hint="default" w:ascii="Times New Roman" w:hAnsi="Times New Roman" w:cs="Times New Roman"/>
                      <w:color w:val="auto"/>
                      <w:sz w:val="21"/>
                      <w:szCs w:val="21"/>
                      <w:highlight w:val="none"/>
                    </w:rPr>
                    <w:t>、电石、焦炭、黄磷、烧碱、纯碱、聚氯乙烯等行业新增产能。</w:t>
                  </w:r>
                </w:p>
              </w:tc>
              <w:tc>
                <w:tcPr>
                  <w:tcW w:w="1055" w:type="pct"/>
                  <w:tcBorders>
                    <w:tl2br w:val="nil"/>
                    <w:tr2bl w:val="nil"/>
                  </w:tcBorders>
                  <w:noWrap w:val="0"/>
                  <w:vAlign w:val="center"/>
                </w:tcPr>
                <w:p w14:paraId="33BD904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本项目不属于产能过剩项目，不属于高耗能项目</w:t>
                  </w:r>
                </w:p>
              </w:tc>
              <w:tc>
                <w:tcPr>
                  <w:tcW w:w="335" w:type="pct"/>
                  <w:tcBorders>
                    <w:tl2br w:val="nil"/>
                    <w:tr2bl w:val="nil"/>
                  </w:tcBorders>
                  <w:noWrap w:val="0"/>
                  <w:vAlign w:val="center"/>
                </w:tcPr>
                <w:p w14:paraId="27699D0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不涉及</w:t>
                  </w:r>
                </w:p>
              </w:tc>
            </w:tr>
          </w:tbl>
          <w:p w14:paraId="3838E8B7">
            <w:pPr>
              <w:keepNext w:val="0"/>
              <w:keepLines w:val="0"/>
              <w:suppressLineNumbers w:val="0"/>
              <w:autoSpaceDE w:val="0"/>
              <w:autoSpaceDN w:val="0"/>
              <w:adjustRightInd w:val="0"/>
              <w:snapToGrid w:val="0"/>
              <w:spacing w:before="0" w:beforeAutospacing="0" w:after="0" w:afterAutospacing="0" w:line="360" w:lineRule="auto"/>
              <w:ind w:left="0" w:right="0"/>
              <w:rPr>
                <w:rFonts w:hint="default" w:ascii="Times New Roman" w:hAnsi="Times New Roman" w:eastAsia="仿宋" w:cs="Times New Roman"/>
                <w:b/>
                <w:color w:val="auto"/>
                <w:kern w:val="0"/>
                <w:sz w:val="24"/>
                <w:szCs w:val="24"/>
                <w:highlight w:val="none"/>
                <w:lang w:val="en-US" w:eastAsia="zh-CN"/>
              </w:rPr>
            </w:pPr>
          </w:p>
          <w:p w14:paraId="6F9CFD84">
            <w:pPr>
              <w:keepNext w:val="0"/>
              <w:keepLines w:val="0"/>
              <w:suppressLineNumbers w:val="0"/>
              <w:spacing w:before="0" w:beforeAutospacing="0" w:after="0" w:afterAutospacing="0"/>
              <w:ind w:left="0" w:right="0" w:firstLine="0" w:firstLineChars="0"/>
              <w:rPr>
                <w:rFonts w:hint="default"/>
                <w:color w:val="auto"/>
                <w:kern w:val="0"/>
                <w:szCs w:val="21"/>
                <w:highlight w:val="none"/>
              </w:rPr>
            </w:pPr>
            <w:r>
              <w:rPr>
                <w:rFonts w:hint="default"/>
                <w:b/>
                <w:bCs/>
                <w:color w:val="auto"/>
                <w:kern w:val="0"/>
                <w:highlight w:val="none"/>
              </w:rPr>
              <w:t>1.2 项目</w:t>
            </w:r>
            <w:r>
              <w:rPr>
                <w:rFonts w:hint="eastAsia"/>
                <w:b/>
                <w:bCs/>
                <w:color w:val="auto"/>
                <w:kern w:val="0"/>
                <w:highlight w:val="none"/>
              </w:rPr>
              <w:t>与“</w:t>
            </w:r>
            <w:r>
              <w:rPr>
                <w:rFonts w:hint="eastAsia"/>
                <w:b/>
                <w:bCs/>
                <w:color w:val="auto"/>
                <w:kern w:val="0"/>
                <w:highlight w:val="none"/>
                <w:lang w:eastAsia="zh-CN"/>
              </w:rPr>
              <w:t>生态环境分区管控单元</w:t>
            </w:r>
            <w:r>
              <w:rPr>
                <w:rFonts w:hint="eastAsia"/>
                <w:b/>
                <w:bCs/>
                <w:color w:val="auto"/>
                <w:kern w:val="0"/>
                <w:highlight w:val="none"/>
              </w:rPr>
              <w:t>”的</w:t>
            </w:r>
            <w:r>
              <w:rPr>
                <w:rFonts w:hint="default"/>
                <w:b/>
                <w:bCs/>
                <w:color w:val="auto"/>
                <w:kern w:val="0"/>
                <w:highlight w:val="none"/>
              </w:rPr>
              <w:t>相符性分析</w:t>
            </w:r>
          </w:p>
          <w:p w14:paraId="13DABB57">
            <w:pPr>
              <w:keepNext w:val="0"/>
              <w:keepLines w:val="0"/>
              <w:suppressLineNumbers w:val="0"/>
              <w:spacing w:before="0" w:beforeAutospacing="0" w:after="0" w:afterAutospacing="0"/>
              <w:ind w:left="0" w:right="0" w:firstLine="0" w:firstLineChars="0"/>
              <w:rPr>
                <w:rFonts w:hint="default"/>
                <w:color w:val="auto"/>
                <w:highlight w:val="none"/>
              </w:rPr>
            </w:pPr>
            <w:r>
              <w:rPr>
                <w:rFonts w:hint="default"/>
                <w:color w:val="auto"/>
                <w:highlight w:val="none"/>
              </w:rPr>
              <w:t>1.2.</w:t>
            </w:r>
            <w:r>
              <w:rPr>
                <w:rFonts w:hint="eastAsia"/>
                <w:color w:val="auto"/>
                <w:highlight w:val="none"/>
                <w:lang w:val="en-US" w:eastAsia="zh-CN"/>
              </w:rPr>
              <w:t>1</w:t>
            </w:r>
            <w:r>
              <w:rPr>
                <w:rFonts w:hint="default"/>
                <w:color w:val="auto"/>
                <w:highlight w:val="none"/>
              </w:rPr>
              <w:t xml:space="preserve"> 项目与</w:t>
            </w:r>
            <w:r>
              <w:rPr>
                <w:rFonts w:hint="eastAsia"/>
                <w:color w:val="auto"/>
                <w:highlight w:val="none"/>
                <w:lang w:eastAsia="zh-CN"/>
              </w:rPr>
              <w:t>曲靖市</w:t>
            </w:r>
            <w:r>
              <w:rPr>
                <w:rFonts w:hint="eastAsia"/>
                <w:color w:val="auto"/>
                <w:kern w:val="0"/>
                <w:highlight w:val="none"/>
              </w:rPr>
              <w:t>“</w:t>
            </w:r>
            <w:r>
              <w:rPr>
                <w:rFonts w:hint="eastAsia"/>
                <w:color w:val="auto"/>
                <w:kern w:val="0"/>
                <w:highlight w:val="none"/>
                <w:lang w:eastAsia="zh-CN"/>
              </w:rPr>
              <w:t>生态环境分区管控单元</w:t>
            </w:r>
            <w:r>
              <w:rPr>
                <w:rFonts w:hint="eastAsia"/>
                <w:color w:val="auto"/>
                <w:kern w:val="0"/>
                <w:highlight w:val="none"/>
              </w:rPr>
              <w:t>”</w:t>
            </w:r>
            <w:r>
              <w:rPr>
                <w:rFonts w:hint="default"/>
                <w:color w:val="auto"/>
                <w:highlight w:val="none"/>
              </w:rPr>
              <w:t>符合性分析</w:t>
            </w:r>
          </w:p>
          <w:p w14:paraId="4951B3F3">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2024年7月15日</w:t>
            </w:r>
            <w:r>
              <w:rPr>
                <w:rFonts w:hint="default"/>
                <w:color w:val="auto"/>
                <w:highlight w:val="none"/>
              </w:rPr>
              <w:t>，</w:t>
            </w:r>
            <w:r>
              <w:rPr>
                <w:rFonts w:hint="eastAsia"/>
                <w:color w:val="auto"/>
                <w:highlight w:val="none"/>
              </w:rPr>
              <w:t>曲靖市生态环境局关于印发《曲靖市生态环境分区管控动态更新方案（2023年）》的通知</w:t>
            </w:r>
            <w:r>
              <w:rPr>
                <w:rFonts w:hint="default"/>
                <w:color w:val="auto"/>
                <w:highlight w:val="none"/>
              </w:rPr>
              <w:t>。本次评价对照《</w:t>
            </w:r>
            <w:r>
              <w:rPr>
                <w:rFonts w:hint="eastAsia"/>
                <w:color w:val="auto"/>
                <w:highlight w:val="none"/>
              </w:rPr>
              <w:t>更新方案</w:t>
            </w:r>
            <w:r>
              <w:rPr>
                <w:rFonts w:hint="default"/>
                <w:color w:val="auto"/>
                <w:highlight w:val="none"/>
              </w:rPr>
              <w:t>》的相关要求分析项目相符性。</w:t>
            </w:r>
          </w:p>
          <w:p w14:paraId="5E7145B8">
            <w:pPr>
              <w:keepNext w:val="0"/>
              <w:keepLines w:val="0"/>
              <w:suppressLineNumbers w:val="0"/>
              <w:spacing w:before="0" w:beforeAutospacing="0" w:after="0" w:afterAutospacing="0"/>
              <w:ind w:left="0" w:right="0" w:firstLine="480"/>
              <w:rPr>
                <w:rFonts w:hint="eastAsia"/>
                <w:color w:val="auto"/>
                <w:highlight w:val="none"/>
              </w:rPr>
            </w:pPr>
            <w:r>
              <w:rPr>
                <w:rFonts w:hint="default"/>
                <w:color w:val="auto"/>
                <w:highlight w:val="none"/>
              </w:rPr>
              <w:t>根据</w:t>
            </w:r>
            <w:r>
              <w:rPr>
                <w:rFonts w:hint="eastAsia"/>
                <w:color w:val="auto"/>
                <w:highlight w:val="none"/>
              </w:rPr>
              <w:t>云南省生态环境工程评估中心</w:t>
            </w:r>
            <w:r>
              <w:rPr>
                <w:rFonts w:hint="default"/>
                <w:color w:val="auto"/>
                <w:highlight w:val="none"/>
              </w:rPr>
              <w:t>的</w:t>
            </w:r>
            <w:r>
              <w:rPr>
                <w:rFonts w:hint="eastAsia"/>
                <w:color w:val="auto"/>
                <w:highlight w:val="none"/>
              </w:rPr>
              <w:t>“</w:t>
            </w:r>
            <w:r>
              <w:rPr>
                <w:rFonts w:hint="eastAsia"/>
                <w:color w:val="auto"/>
                <w:kern w:val="0"/>
                <w:highlight w:val="none"/>
                <w:lang w:eastAsia="zh-CN"/>
              </w:rPr>
              <w:t>生态环境分区管控单元</w:t>
            </w:r>
            <w:r>
              <w:rPr>
                <w:rFonts w:hint="eastAsia"/>
                <w:color w:val="auto"/>
                <w:highlight w:val="none"/>
              </w:rPr>
              <w:t>查询结果”</w:t>
            </w:r>
            <w:r>
              <w:rPr>
                <w:rFonts w:hint="eastAsia"/>
                <w:color w:val="auto"/>
                <w:highlight w:val="none"/>
                <w:lang w:eastAsia="zh-CN"/>
              </w:rPr>
              <w:t>（</w:t>
            </w:r>
            <w:r>
              <w:rPr>
                <w:rFonts w:hint="eastAsia"/>
                <w:color w:val="auto"/>
                <w:highlight w:val="none"/>
                <w:lang w:val="en-US" w:eastAsia="zh-CN"/>
              </w:rPr>
              <w:t>见图1.2-1和图1.2-2</w:t>
            </w:r>
            <w:r>
              <w:rPr>
                <w:rFonts w:hint="eastAsia"/>
                <w:color w:val="auto"/>
                <w:highlight w:val="none"/>
                <w:lang w:eastAsia="zh-CN"/>
              </w:rPr>
              <w:t>）</w:t>
            </w:r>
            <w:r>
              <w:rPr>
                <w:rFonts w:hint="eastAsia"/>
                <w:color w:val="auto"/>
                <w:highlight w:val="none"/>
              </w:rPr>
              <w:t>：</w:t>
            </w:r>
          </w:p>
          <w:p w14:paraId="15569497">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本项目</w:t>
            </w:r>
            <w:r>
              <w:rPr>
                <w:rFonts w:hint="eastAsia"/>
                <w:color w:val="auto"/>
                <w:highlight w:val="none"/>
                <w:lang w:val="en-US" w:eastAsia="zh-CN"/>
              </w:rPr>
              <w:t>占地涉及</w:t>
            </w:r>
            <w:r>
              <w:rPr>
                <w:rFonts w:hint="eastAsia"/>
                <w:color w:val="auto"/>
                <w:highlight w:val="none"/>
              </w:rPr>
              <w:t>：</w:t>
            </w:r>
            <w:r>
              <w:rPr>
                <w:rFonts w:hint="eastAsia"/>
                <w:color w:val="auto"/>
                <w:highlight w:val="none"/>
                <w:lang w:eastAsia="zh-CN"/>
              </w:rPr>
              <w:t>会泽县</w:t>
            </w:r>
            <w:r>
              <w:rPr>
                <w:rFonts w:hint="eastAsia"/>
                <w:color w:val="auto"/>
                <w:highlight w:val="none"/>
              </w:rPr>
              <w:t>一般生态空间优先保护单元</w:t>
            </w:r>
            <w:r>
              <w:rPr>
                <w:rFonts w:hint="eastAsia"/>
                <w:color w:val="auto"/>
                <w:highlight w:val="none"/>
                <w:lang w:val="en-US" w:eastAsia="zh-CN"/>
              </w:rPr>
              <w:t>和</w:t>
            </w:r>
            <w:r>
              <w:rPr>
                <w:rFonts w:hint="eastAsia"/>
                <w:color w:val="auto"/>
                <w:highlight w:val="none"/>
                <w:lang w:eastAsia="zh-CN"/>
              </w:rPr>
              <w:t>会泽县</w:t>
            </w:r>
            <w:r>
              <w:rPr>
                <w:rFonts w:hint="eastAsia"/>
                <w:color w:val="auto"/>
                <w:highlight w:val="none"/>
              </w:rPr>
              <w:t>一般管控单元</w:t>
            </w:r>
            <w:r>
              <w:rPr>
                <w:rFonts w:hint="eastAsia"/>
                <w:color w:val="auto"/>
                <w:highlight w:val="none"/>
                <w:lang w:eastAsia="zh-CN"/>
              </w:rPr>
              <w:t>，</w:t>
            </w:r>
            <w:r>
              <w:rPr>
                <w:rFonts w:hint="eastAsia"/>
                <w:color w:val="auto"/>
                <w:highlight w:val="none"/>
                <w:lang w:val="en-US" w:eastAsia="zh-CN"/>
              </w:rPr>
              <w:t>其中：2#道路、12#道路、34-1#方阵，以及少量架空线路塔基占用</w:t>
            </w:r>
            <w:r>
              <w:rPr>
                <w:rFonts w:hint="eastAsia"/>
                <w:color w:val="auto"/>
                <w:highlight w:val="none"/>
              </w:rPr>
              <w:t>一般生态空间优先保护单元</w:t>
            </w:r>
            <w:r>
              <w:rPr>
                <w:rFonts w:hint="eastAsia"/>
                <w:color w:val="auto"/>
                <w:highlight w:val="none"/>
                <w:lang w:eastAsia="zh-CN"/>
              </w:rPr>
              <w:t>，</w:t>
            </w:r>
            <w:r>
              <w:rPr>
                <w:rFonts w:hint="eastAsia"/>
                <w:color w:val="auto"/>
                <w:highlight w:val="none"/>
                <w:lang w:val="en-US" w:eastAsia="zh-CN"/>
              </w:rPr>
              <w:t>其他工程占地均为</w:t>
            </w:r>
            <w:r>
              <w:rPr>
                <w:rFonts w:hint="eastAsia"/>
                <w:color w:val="auto"/>
                <w:highlight w:val="none"/>
              </w:rPr>
              <w:t>一般管控单元</w:t>
            </w:r>
            <w:r>
              <w:rPr>
                <w:rFonts w:hint="eastAsia"/>
                <w:color w:val="auto"/>
                <w:highlight w:val="none"/>
                <w:lang w:eastAsia="zh-CN"/>
              </w:rPr>
              <w:t>；</w:t>
            </w:r>
            <w:r>
              <w:rPr>
                <w:rFonts w:hint="eastAsia"/>
                <w:color w:val="auto"/>
                <w:highlight w:val="none"/>
                <w:lang w:val="en-US" w:eastAsia="zh-CN"/>
              </w:rPr>
              <w:t>架空线路跨越</w:t>
            </w:r>
            <w:r>
              <w:rPr>
                <w:rFonts w:hint="default" w:ascii="Times New Roman" w:hAnsi="Times New Roman" w:eastAsia="仿宋" w:cs="Times New Roman"/>
                <w:color w:val="auto"/>
                <w:highlight w:val="none"/>
              </w:rPr>
              <w:t>生态保护红线优先保护单元</w:t>
            </w:r>
            <w:r>
              <w:rPr>
                <w:rFonts w:hint="eastAsia" w:cs="Times New Roman"/>
                <w:color w:val="auto"/>
                <w:highlight w:val="none"/>
                <w:lang w:eastAsia="zh-CN"/>
              </w:rPr>
              <w:t>，36#-37#方阵</w:t>
            </w:r>
            <w:r>
              <w:rPr>
                <w:rFonts w:hint="eastAsia" w:cs="Times New Roman"/>
                <w:color w:val="auto"/>
                <w:highlight w:val="none"/>
                <w:lang w:val="en-US" w:eastAsia="zh-CN"/>
              </w:rPr>
              <w:t>集电线路</w:t>
            </w:r>
            <w:r>
              <w:rPr>
                <w:rFonts w:hint="eastAsia" w:cs="Times New Roman"/>
                <w:color w:val="auto"/>
                <w:highlight w:val="none"/>
                <w:lang w:eastAsia="zh-CN"/>
              </w:rPr>
              <w:t>共7段跨越生态保护红线，累计跨越长度1746.19m。</w:t>
            </w:r>
            <w:r>
              <w:rPr>
                <w:rFonts w:hint="eastAsia" w:cs="Times New Roman"/>
                <w:color w:val="auto"/>
                <w:highlight w:val="none"/>
                <w:lang w:val="en-US" w:eastAsia="zh-CN"/>
              </w:rPr>
              <w:t>该</w:t>
            </w:r>
            <w:r>
              <w:rPr>
                <w:rFonts w:hint="default" w:ascii="Times New Roman" w:hAnsi="Times New Roman" w:eastAsia="仿宋" w:cs="Times New Roman"/>
                <w:color w:val="auto"/>
                <w:highlight w:val="none"/>
              </w:rPr>
              <w:t>生态保护红线</w:t>
            </w:r>
            <w:r>
              <w:rPr>
                <w:rFonts w:hint="default" w:ascii="Times New Roman" w:hAnsi="Times New Roman" w:eastAsia="仿宋" w:cs="Times New Roman"/>
                <w:snapToGrid w:val="0"/>
                <w:color w:val="auto"/>
                <w:kern w:val="0"/>
                <w:sz w:val="24"/>
                <w:szCs w:val="24"/>
                <w:highlight w:val="none"/>
                <w:lang w:val="en-US" w:eastAsia="zh-CN"/>
              </w:rPr>
              <w:t>为“金沙江下游—小江流域水土流失控制生态保护红线”</w:t>
            </w:r>
            <w:r>
              <w:rPr>
                <w:rFonts w:hint="eastAsia"/>
                <w:color w:val="auto"/>
                <w:highlight w:val="none"/>
                <w:lang w:eastAsia="zh-CN"/>
              </w:rPr>
              <w:t>；</w:t>
            </w:r>
            <w:r>
              <w:rPr>
                <w:rFonts w:hint="default" w:ascii="Times New Roman" w:hAnsi="Times New Roman" w:eastAsia="仿宋" w:cs="Times New Roman"/>
                <w:b w:val="0"/>
                <w:bCs w:val="0"/>
                <w:snapToGrid w:val="0"/>
                <w:color w:val="auto"/>
                <w:kern w:val="0"/>
                <w:sz w:val="24"/>
                <w:szCs w:val="24"/>
                <w:highlight w:val="none"/>
                <w:lang w:val="en-US" w:eastAsia="zh-CN"/>
              </w:rPr>
              <w:t>项目</w:t>
            </w:r>
            <w:r>
              <w:rPr>
                <w:rFonts w:hint="default" w:ascii="Times New Roman" w:hAnsi="Times New Roman" w:eastAsia="仿宋" w:cs="Times New Roman"/>
                <w:b w:val="0"/>
                <w:bCs w:val="0"/>
                <w:color w:val="auto"/>
                <w:highlight w:val="none"/>
                <w:lang w:val="en-US" w:eastAsia="zh-CN"/>
              </w:rPr>
              <w:t>周边300m</w:t>
            </w:r>
            <w:r>
              <w:rPr>
                <w:rFonts w:hint="eastAsia" w:cs="Times New Roman"/>
                <w:b w:val="0"/>
                <w:bCs w:val="0"/>
                <w:color w:val="auto"/>
                <w:highlight w:val="none"/>
                <w:lang w:val="en-US" w:eastAsia="zh-CN"/>
              </w:rPr>
              <w:t>范围</w:t>
            </w:r>
            <w:r>
              <w:rPr>
                <w:rFonts w:hint="default" w:ascii="Times New Roman" w:hAnsi="Times New Roman" w:eastAsia="仿宋" w:cs="Times New Roman"/>
                <w:b w:val="0"/>
                <w:bCs/>
                <w:color w:val="auto"/>
                <w:highlight w:val="none"/>
              </w:rPr>
              <w:t>涉及管控单元</w:t>
            </w:r>
            <w:r>
              <w:rPr>
                <w:rFonts w:hint="default" w:ascii="Times New Roman" w:hAnsi="Times New Roman" w:eastAsia="仿宋" w:cs="Times New Roman"/>
                <w:snapToGrid w:val="0"/>
                <w:color w:val="auto"/>
                <w:kern w:val="0"/>
                <w:sz w:val="24"/>
                <w:szCs w:val="24"/>
                <w:highlight w:val="none"/>
                <w:lang w:val="en-US" w:eastAsia="zh-CN"/>
              </w:rPr>
              <w:t>包括</w:t>
            </w:r>
            <w:r>
              <w:rPr>
                <w:rFonts w:hint="default" w:ascii="Times New Roman" w:hAnsi="Times New Roman" w:eastAsia="仿宋" w:cs="Times New Roman"/>
                <w:color w:val="auto"/>
                <w:highlight w:val="none"/>
              </w:rPr>
              <w:t>会泽县生态保护红线优先保护单元</w:t>
            </w:r>
            <w:r>
              <w:rPr>
                <w:rFonts w:hint="default" w:ascii="Times New Roman" w:hAnsi="Times New Roman" w:eastAsia="仿宋" w:cs="Times New Roman"/>
                <w:color w:val="auto"/>
                <w:highlight w:val="none"/>
                <w:lang w:eastAsia="zh-CN"/>
              </w:rPr>
              <w:t>、</w:t>
            </w:r>
            <w:r>
              <w:rPr>
                <w:rFonts w:hint="default" w:ascii="Times New Roman" w:hAnsi="Times New Roman" w:eastAsia="仿宋" w:cs="Times New Roman"/>
                <w:snapToGrid w:val="0"/>
                <w:color w:val="auto"/>
                <w:kern w:val="0"/>
                <w:sz w:val="24"/>
                <w:szCs w:val="24"/>
                <w:highlight w:val="none"/>
                <w:lang w:val="en-US" w:eastAsia="zh-CN"/>
              </w:rPr>
              <w:t>会泽县一般生态空间优先保护单元、会泽县一般管控单元。</w:t>
            </w:r>
            <w:r>
              <w:rPr>
                <w:rFonts w:hint="default"/>
                <w:color w:val="auto"/>
                <w:highlight w:val="none"/>
              </w:rPr>
              <w:t>本项目与《</w:t>
            </w:r>
            <w:r>
              <w:rPr>
                <w:rFonts w:hint="eastAsia"/>
                <w:color w:val="auto"/>
                <w:highlight w:val="none"/>
              </w:rPr>
              <w:t>曲靖市生态环境分区管控动态更新方案（2023年）</w:t>
            </w:r>
            <w:r>
              <w:rPr>
                <w:rFonts w:hint="default"/>
                <w:color w:val="auto"/>
                <w:highlight w:val="none"/>
              </w:rPr>
              <w:t>》符合性对照表详见表</w:t>
            </w:r>
            <w:r>
              <w:rPr>
                <w:rFonts w:hint="eastAsia"/>
                <w:color w:val="auto"/>
                <w:highlight w:val="none"/>
                <w:lang w:val="en-US" w:eastAsia="zh-CN"/>
              </w:rPr>
              <w:t>1.2-1</w:t>
            </w:r>
            <w:r>
              <w:rPr>
                <w:rFonts w:hint="default"/>
                <w:color w:val="auto"/>
                <w:highlight w:val="none"/>
              </w:rPr>
              <w:t>。</w:t>
            </w:r>
          </w:p>
          <w:p w14:paraId="5DEEF13A">
            <w:pPr>
              <w:keepNext w:val="0"/>
              <w:keepLines w:val="0"/>
              <w:suppressLineNumbers w:val="0"/>
              <w:spacing w:before="0" w:beforeAutospacing="0" w:after="0" w:afterAutospacing="0"/>
              <w:ind w:left="0" w:right="0"/>
              <w:rPr>
                <w:rFonts w:hint="default" w:ascii="Times New Roman" w:hAnsi="Times New Roman" w:eastAsia="仿宋" w:cs="Times New Roman"/>
                <w:b/>
                <w:bCs/>
                <w:color w:val="auto"/>
                <w:sz w:val="21"/>
                <w:szCs w:val="21"/>
                <w:highlight w:val="none"/>
                <w:lang w:val="en-US" w:eastAsia="zh-CN"/>
              </w:rPr>
            </w:pPr>
          </w:p>
          <w:p w14:paraId="3CFCFDF2">
            <w:pPr>
              <w:keepNext w:val="0"/>
              <w:keepLines w:val="0"/>
              <w:suppressLineNumbers w:val="0"/>
              <w:spacing w:before="0" w:beforeAutospacing="0" w:after="0" w:afterAutospacing="0"/>
              <w:ind w:left="0" w:right="0"/>
              <w:rPr>
                <w:rFonts w:hint="default" w:ascii="Times New Roman" w:hAnsi="Times New Roman" w:eastAsia="仿宋" w:cs="Times New Roman"/>
                <w:color w:val="auto"/>
                <w:highlight w:val="none"/>
                <w:lang w:val="en-US" w:eastAsia="zh-CN"/>
              </w:rPr>
            </w:pPr>
          </w:p>
        </w:tc>
      </w:tr>
    </w:tbl>
    <w:p w14:paraId="23C274E9">
      <w:pPr>
        <w:rPr>
          <w:color w:val="auto"/>
          <w:highlight w:val="none"/>
        </w:rPr>
        <w:sectPr>
          <w:pgSz w:w="16838" w:h="11906" w:orient="landscape"/>
          <w:pgMar w:top="1797" w:right="1440" w:bottom="1797" w:left="1440"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7ED3951">
      <w:pPr>
        <w:ind w:left="0" w:leftChars="0" w:firstLine="0" w:firstLineChars="0"/>
        <w:jc w:val="center"/>
        <w:rPr>
          <w:rFonts w:hint="eastAsia" w:eastAsia="仿宋"/>
          <w:color w:val="auto"/>
          <w:highlight w:val="none"/>
          <w:lang w:eastAsia="zh-CN"/>
        </w:rPr>
      </w:pPr>
      <w:r>
        <w:rPr>
          <w:rFonts w:hint="eastAsia" w:eastAsia="仿宋"/>
          <w:color w:val="auto"/>
          <w:highlight w:val="none"/>
          <w:lang w:eastAsia="zh-CN"/>
        </w:rPr>
        <w:drawing>
          <wp:inline distT="0" distB="0" distL="114300" distR="114300">
            <wp:extent cx="5277485" cy="6038215"/>
            <wp:effectExtent l="0" t="0" r="18415" b="635"/>
            <wp:docPr id="80" name="图片 80" descr="管控单元截图2026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管控单元截图20260721"/>
                    <pic:cNvPicPr>
                      <a:picLocks noChangeAspect="1"/>
                    </pic:cNvPicPr>
                  </pic:nvPicPr>
                  <pic:blipFill>
                    <a:blip r:embed="rId27"/>
                    <a:stretch>
                      <a:fillRect/>
                    </a:stretch>
                  </pic:blipFill>
                  <pic:spPr>
                    <a:xfrm>
                      <a:off x="0" y="0"/>
                      <a:ext cx="5277485" cy="6038215"/>
                    </a:xfrm>
                    <a:prstGeom prst="rect">
                      <a:avLst/>
                    </a:prstGeom>
                  </pic:spPr>
                </pic:pic>
              </a:graphicData>
            </a:graphic>
          </wp:inline>
        </w:drawing>
      </w:r>
      <w:r>
        <w:rPr>
          <w:rFonts w:hint="eastAsia"/>
          <w:color w:val="auto"/>
          <w:highlight w:val="none"/>
          <w:lang w:val="en-US" w:eastAsia="zh-CN"/>
        </w:rPr>
        <w:t>图1.2-1 项目用地范围分区管控单元查询情况</w:t>
      </w:r>
    </w:p>
    <w:p w14:paraId="7975EA31">
      <w:pPr>
        <w:ind w:left="0" w:leftChars="0" w:firstLine="0" w:firstLineChars="0"/>
        <w:rPr>
          <w:rFonts w:hint="eastAsia" w:eastAsia="仿宋"/>
          <w:color w:val="auto"/>
          <w:highlight w:val="none"/>
          <w:lang w:eastAsia="zh-CN"/>
        </w:rPr>
      </w:pPr>
      <w:r>
        <w:rPr>
          <w:rFonts w:hint="eastAsia" w:eastAsia="仿宋"/>
          <w:color w:val="auto"/>
          <w:highlight w:val="none"/>
          <w:lang w:eastAsia="zh-CN"/>
        </w:rPr>
        <w:drawing>
          <wp:inline distT="0" distB="0" distL="114300" distR="114300">
            <wp:extent cx="5273675" cy="6005195"/>
            <wp:effectExtent l="0" t="0" r="3175" b="14605"/>
            <wp:docPr id="77" name="图片 77" descr="附图20 分区管控单元查询结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附图20 分区管控单元查询结果"/>
                    <pic:cNvPicPr>
                      <a:picLocks noChangeAspect="1"/>
                    </pic:cNvPicPr>
                  </pic:nvPicPr>
                  <pic:blipFill>
                    <a:blip r:embed="rId28"/>
                    <a:stretch>
                      <a:fillRect/>
                    </a:stretch>
                  </pic:blipFill>
                  <pic:spPr>
                    <a:xfrm>
                      <a:off x="0" y="0"/>
                      <a:ext cx="5273675" cy="6005195"/>
                    </a:xfrm>
                    <a:prstGeom prst="rect">
                      <a:avLst/>
                    </a:prstGeom>
                  </pic:spPr>
                </pic:pic>
              </a:graphicData>
            </a:graphic>
          </wp:inline>
        </w:drawing>
      </w:r>
    </w:p>
    <w:p w14:paraId="576E82F0">
      <w:pPr>
        <w:ind w:left="0" w:leftChars="0" w:firstLine="0" w:firstLineChars="0"/>
        <w:jc w:val="center"/>
        <w:rPr>
          <w:rFonts w:hint="default" w:eastAsia="仿宋"/>
          <w:color w:val="auto"/>
          <w:highlight w:val="none"/>
          <w:lang w:val="en-US" w:eastAsia="zh-CN"/>
        </w:rPr>
        <w:sectPr>
          <w:pgSz w:w="11906" w:h="16838"/>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eastAsia"/>
          <w:color w:val="auto"/>
          <w:highlight w:val="none"/>
          <w:lang w:val="en-US" w:eastAsia="zh-CN"/>
        </w:rPr>
        <w:t>图1.2-2 项目300m缓冲范围分区管控单元查询情况</w:t>
      </w:r>
    </w:p>
    <w:p w14:paraId="28D7B198">
      <w:pPr>
        <w:rPr>
          <w:color w:val="auto"/>
          <w:highlight w:val="none"/>
        </w:rPr>
      </w:pPr>
    </w:p>
    <w:tbl>
      <w:tblPr>
        <w:tblStyle w:val="10"/>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53"/>
        <w:gridCol w:w="12926"/>
      </w:tblGrid>
      <w:tr w14:paraId="44B6D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50" w:hRule="atLeast"/>
          <w:jc w:val="center"/>
        </w:trPr>
        <w:tc>
          <w:tcPr>
            <w:tcW w:w="376" w:type="pct"/>
            <w:noWrap w:val="0"/>
            <w:tcMar>
              <w:top w:w="16" w:type="dxa"/>
              <w:left w:w="16" w:type="dxa"/>
              <w:right w:w="16" w:type="dxa"/>
            </w:tcMar>
            <w:vAlign w:val="center"/>
          </w:tcPr>
          <w:p w14:paraId="044CD704">
            <w:pPr>
              <w:keepNext w:val="0"/>
              <w:keepLines w:val="0"/>
              <w:suppressLineNumbers w:val="0"/>
              <w:spacing w:before="0" w:beforeAutospacing="0" w:after="0" w:afterAutospacing="0"/>
              <w:ind w:left="0" w:right="0"/>
              <w:rPr>
                <w:rFonts w:hint="default"/>
                <w:color w:val="auto"/>
                <w:highlight w:val="none"/>
              </w:rPr>
            </w:pPr>
          </w:p>
        </w:tc>
        <w:tc>
          <w:tcPr>
            <w:tcW w:w="4623" w:type="pct"/>
            <w:tcBorders>
              <w:bottom w:val="single" w:color="auto" w:sz="4" w:space="0"/>
              <w:right w:val="single" w:color="auto" w:sz="4" w:space="0"/>
            </w:tcBorders>
            <w:noWrap w:val="0"/>
            <w:tcMar>
              <w:top w:w="16" w:type="dxa"/>
              <w:left w:w="16" w:type="dxa"/>
              <w:right w:w="16" w:type="dxa"/>
            </w:tcMar>
            <w:vAlign w:val="center"/>
          </w:tcPr>
          <w:p w14:paraId="6F194948">
            <w:pPr>
              <w:keepNext w:val="0"/>
              <w:keepLines w:val="0"/>
              <w:suppressLineNumbers w:val="0"/>
              <w:spacing w:before="0" w:beforeAutospacing="0" w:after="0" w:afterAutospacing="0"/>
              <w:ind w:left="0" w:right="0" w:firstLine="482"/>
              <w:jc w:val="center"/>
              <w:rPr>
                <w:rFonts w:hint="default"/>
                <w:b/>
                <w:bCs/>
                <w:color w:val="auto"/>
                <w:highlight w:val="none"/>
              </w:rPr>
            </w:pPr>
            <w:r>
              <w:rPr>
                <w:rFonts w:hint="default"/>
                <w:b/>
                <w:bCs/>
                <w:color w:val="auto"/>
                <w:highlight w:val="none"/>
              </w:rPr>
              <w:t>表</w:t>
            </w:r>
            <w:r>
              <w:rPr>
                <w:rFonts w:hint="eastAsia"/>
                <w:b/>
                <w:bCs/>
                <w:color w:val="auto"/>
                <w:highlight w:val="none"/>
                <w:lang w:val="en-US" w:eastAsia="zh-CN"/>
              </w:rPr>
              <w:t xml:space="preserve">1.2-1 </w:t>
            </w:r>
            <w:r>
              <w:rPr>
                <w:rFonts w:hint="default"/>
                <w:b/>
                <w:bCs/>
                <w:color w:val="auto"/>
                <w:highlight w:val="none"/>
              </w:rPr>
              <w:t>本项目与《</w:t>
            </w:r>
            <w:r>
              <w:rPr>
                <w:rFonts w:hint="eastAsia"/>
                <w:b/>
                <w:bCs/>
                <w:color w:val="auto"/>
                <w:highlight w:val="none"/>
                <w:lang w:eastAsia="zh-CN"/>
              </w:rPr>
              <w:t>曲靖市</w:t>
            </w:r>
            <w:r>
              <w:rPr>
                <w:rFonts w:hint="default"/>
                <w:b/>
                <w:bCs/>
                <w:color w:val="auto"/>
                <w:highlight w:val="none"/>
              </w:rPr>
              <w:t>生态环境分区管控动态更新方案（2023年）》符合性分析</w:t>
            </w:r>
          </w:p>
          <w:tbl>
            <w:tblPr>
              <w:tblStyle w:val="10"/>
              <w:tblW w:w="468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152"/>
              <w:gridCol w:w="1141"/>
              <w:gridCol w:w="6536"/>
              <w:gridCol w:w="3248"/>
            </w:tblGrid>
            <w:tr w14:paraId="054B18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pct"/>
                  <w:tcBorders>
                    <w:tl2br w:val="nil"/>
                    <w:tr2bl w:val="nil"/>
                  </w:tcBorders>
                  <w:vAlign w:val="center"/>
                </w:tcPr>
                <w:p w14:paraId="5C9B71AD">
                  <w:pPr>
                    <w:keepNext w:val="0"/>
                    <w:keepLines w:val="0"/>
                    <w:suppressLineNumbers w:val="0"/>
                    <w:spacing w:before="0" w:beforeAutospacing="0" w:after="0" w:afterAutospacing="0" w:line="240" w:lineRule="auto"/>
                    <w:ind w:left="0" w:right="0" w:firstLine="0" w:firstLineChars="0"/>
                    <w:jc w:val="center"/>
                    <w:rPr>
                      <w:rFonts w:hint="eastAsia" w:eastAsia="仿宋"/>
                      <w:color w:val="auto"/>
                      <w:sz w:val="21"/>
                      <w:szCs w:val="21"/>
                      <w:highlight w:val="none"/>
                      <w:lang w:eastAsia="zh-CN"/>
                    </w:rPr>
                  </w:pPr>
                  <w:r>
                    <w:rPr>
                      <w:rFonts w:hint="eastAsia"/>
                      <w:color w:val="auto"/>
                      <w:sz w:val="21"/>
                      <w:szCs w:val="21"/>
                      <w:highlight w:val="none"/>
                      <w:lang w:val="en-US" w:eastAsia="zh-CN"/>
                    </w:rPr>
                    <w:t>管控领域</w:t>
                  </w:r>
                </w:p>
              </w:tc>
              <w:tc>
                <w:tcPr>
                  <w:tcW w:w="3178" w:type="pct"/>
                  <w:gridSpan w:val="2"/>
                  <w:tcBorders>
                    <w:tl2br w:val="nil"/>
                    <w:tr2bl w:val="nil"/>
                  </w:tcBorders>
                  <w:vAlign w:val="center"/>
                </w:tcPr>
                <w:p w14:paraId="05DC7FF0">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管控要求</w:t>
                  </w:r>
                </w:p>
              </w:tc>
              <w:tc>
                <w:tcPr>
                  <w:tcW w:w="1344" w:type="pct"/>
                  <w:tcBorders>
                    <w:tl2br w:val="nil"/>
                    <w:tr2bl w:val="nil"/>
                  </w:tcBorders>
                  <w:vAlign w:val="center"/>
                </w:tcPr>
                <w:p w14:paraId="06460EF4">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符合性分析</w:t>
                  </w:r>
                </w:p>
              </w:tc>
            </w:tr>
            <w:tr w14:paraId="53367F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0" w:type="pct"/>
                  <w:gridSpan w:val="4"/>
                  <w:tcBorders>
                    <w:tl2br w:val="nil"/>
                    <w:tr2bl w:val="nil"/>
                  </w:tcBorders>
                  <w:vAlign w:val="center"/>
                </w:tcPr>
                <w:p w14:paraId="57A51547">
                  <w:pPr>
                    <w:keepNext w:val="0"/>
                    <w:keepLines w:val="0"/>
                    <w:suppressLineNumbers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曲靖市总体要求</w:t>
                  </w:r>
                </w:p>
              </w:tc>
            </w:tr>
            <w:tr w14:paraId="47ABF3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pct"/>
                  <w:tcBorders>
                    <w:tl2br w:val="nil"/>
                    <w:tr2bl w:val="nil"/>
                  </w:tcBorders>
                  <w:vAlign w:val="center"/>
                </w:tcPr>
                <w:p w14:paraId="389F7E36">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空间布局约束</w:t>
                  </w:r>
                </w:p>
              </w:tc>
              <w:tc>
                <w:tcPr>
                  <w:tcW w:w="3178" w:type="pct"/>
                  <w:gridSpan w:val="2"/>
                  <w:tcBorders>
                    <w:tl2br w:val="nil"/>
                    <w:tr2bl w:val="nil"/>
                  </w:tcBorders>
                  <w:vAlign w:val="center"/>
                </w:tcPr>
                <w:p w14:paraId="57AC9CF4">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1.严格执行《长江经济带发展负面清单指南（试行，2022年版）》《云南省长江经济带发展负面清单指南实施细则（试行）》等产业准入有关要求。</w:t>
                  </w:r>
                </w:p>
                <w:p w14:paraId="3ABA896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2.严格实施化解过剩产能和淘汰落后产能，制定产能过剩行业淘汰计划，确保国家、省下达的淘汰落后产能目标任务全面完成。</w:t>
                  </w:r>
                </w:p>
                <w:p w14:paraId="70A91846">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3.将资源承载能力、生态环境容量作为承接产业转移的基础和前提，合理确定承接产业转移重点，禁止引进环境污染大、资源消耗高、技术落后的生产能力。</w:t>
                  </w:r>
                </w:p>
                <w:p w14:paraId="4E43EA1E">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4.支持现有各类产业园区有供热需求的实施热电联产或者集中供热改造，具备条件的工业园区实现集中供热。</w:t>
                  </w:r>
                </w:p>
                <w:p w14:paraId="36121231">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5.严格控制在生态脆弱或环境敏感地区建设《环境保护综合名录》中“高污染、高环境风险”行业项目。</w:t>
                  </w:r>
                </w:p>
                <w:p w14:paraId="5996850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6.禁止在合规园区外新建、扩建钢铁、石化、化工、焦化、建材、有色行业中的高污染项目。</w:t>
                  </w:r>
                </w:p>
                <w:p w14:paraId="0FDE3551">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7.集中式饮用水水源地严格执行《中华人民共和国水污染防治法》《地下水管理条例》《饮用水水源保护区污染防治管理规定》《曲靖市集中式饮用水水源地保护条例》《云南省曲靖独木水库保护条例》，水源地内城镇开发边界范围已开发区域强化环境基础设施建设与运行维护。</w:t>
                  </w:r>
                </w:p>
                <w:p w14:paraId="2CDC53CF">
                  <w:pPr>
                    <w:keepNext w:val="0"/>
                    <w:keepLines w:val="0"/>
                    <w:suppressLineNumbers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ascii="Times New Roman" w:hAnsi="Times New Roman" w:cs="Times New Roman"/>
                      <w:color w:val="auto"/>
                      <w:sz w:val="21"/>
                      <w:szCs w:val="21"/>
                      <w:highlight w:val="none"/>
                    </w:rPr>
                    <w:t>8.各县（市、区）产业园区重点管控单元、曲靖经济开发区重点管控单元、曲靖高新技术产业开发区重点管控单元、宣威市经济技术开发区重点管控单元空间布局约束、污染物排放管控、环境风险防控、资源利用效率四个维度严格执行现行有效的园区规划、规划环评及其审查意见。</w:t>
                  </w:r>
                </w:p>
              </w:tc>
              <w:tc>
                <w:tcPr>
                  <w:tcW w:w="1344" w:type="pct"/>
                  <w:tcBorders>
                    <w:tl2br w:val="nil"/>
                    <w:tr2bl w:val="nil"/>
                  </w:tcBorders>
                  <w:vAlign w:val="center"/>
                </w:tcPr>
                <w:p w14:paraId="4CE50E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default"/>
                      <w:color w:val="auto"/>
                      <w:sz w:val="21"/>
                      <w:szCs w:val="21"/>
                      <w:highlight w:val="none"/>
                      <w:lang w:val="en-US" w:eastAsia="zh-CN"/>
                    </w:rPr>
                  </w:pPr>
                  <w:r>
                    <w:rPr>
                      <w:rFonts w:hint="eastAsia"/>
                      <w:color w:val="auto"/>
                      <w:sz w:val="21"/>
                      <w:szCs w:val="21"/>
                      <w:highlight w:val="none"/>
                      <w:lang w:val="en-US" w:eastAsia="zh-CN"/>
                    </w:rPr>
                    <w:t>相符</w:t>
                  </w:r>
                </w:p>
                <w:p w14:paraId="3C98B0D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cs="Times New Roman"/>
                      <w:color w:val="auto"/>
                      <w:sz w:val="21"/>
                      <w:szCs w:val="21"/>
                      <w:highlight w:val="none"/>
                      <w:lang w:val="en-US" w:eastAsia="zh-CN"/>
                    </w:rPr>
                  </w:pPr>
                  <w:r>
                    <w:rPr>
                      <w:rFonts w:hint="eastAsia"/>
                      <w:color w:val="auto"/>
                      <w:sz w:val="21"/>
                      <w:szCs w:val="21"/>
                      <w:highlight w:val="none"/>
                      <w:lang w:val="en-US" w:eastAsia="zh-CN"/>
                    </w:rPr>
                    <w:t>1.本项目符合</w:t>
                  </w:r>
                  <w:r>
                    <w:rPr>
                      <w:rFonts w:hint="eastAsia" w:ascii="Times New Roman" w:hAnsi="Times New Roman" w:cs="Times New Roman"/>
                      <w:color w:val="auto"/>
                      <w:sz w:val="21"/>
                      <w:szCs w:val="21"/>
                      <w:highlight w:val="none"/>
                    </w:rPr>
                    <w:t>《长江经济带发展负面清单指南（试行，2022年版）》《云南省长江经济带发展负面清单指南实施细则（试行）》</w:t>
                  </w:r>
                  <w:r>
                    <w:rPr>
                      <w:rFonts w:hint="eastAsia" w:ascii="Times New Roman" w:hAnsi="Times New Roman" w:cs="Times New Roman"/>
                      <w:color w:val="auto"/>
                      <w:sz w:val="21"/>
                      <w:szCs w:val="21"/>
                      <w:highlight w:val="none"/>
                      <w:lang w:val="en-US" w:eastAsia="zh-CN"/>
                    </w:rPr>
                    <w:t>产业准入要求。</w:t>
                  </w:r>
                </w:p>
                <w:p w14:paraId="525329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2.本项目符合产业政策，不属于淘汰落后产能。</w:t>
                  </w:r>
                </w:p>
                <w:p w14:paraId="75E9174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3.本项目为光伏发电项目，不属于</w:t>
                  </w:r>
                  <w:r>
                    <w:rPr>
                      <w:rFonts w:hint="eastAsia" w:ascii="Times New Roman" w:hAnsi="Times New Roman" w:cs="Times New Roman"/>
                      <w:color w:val="auto"/>
                      <w:sz w:val="21"/>
                      <w:szCs w:val="21"/>
                      <w:highlight w:val="none"/>
                    </w:rPr>
                    <w:t>环境污染大、资源消耗高、技术落后的生产能力</w:t>
                  </w:r>
                  <w:r>
                    <w:rPr>
                      <w:rFonts w:hint="eastAsia" w:ascii="Times New Roman" w:hAnsi="Times New Roman" w:cs="Times New Roman"/>
                      <w:color w:val="auto"/>
                      <w:sz w:val="21"/>
                      <w:szCs w:val="21"/>
                      <w:highlight w:val="none"/>
                      <w:lang w:eastAsia="zh-CN"/>
                    </w:rPr>
                    <w:t>。</w:t>
                  </w:r>
                </w:p>
                <w:p w14:paraId="6E27F77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4.本项目不涉及工业园区和热电联产。</w:t>
                  </w:r>
                </w:p>
                <w:p w14:paraId="721B63A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5.本项目不属于</w:t>
                  </w:r>
                  <w:r>
                    <w:rPr>
                      <w:rFonts w:hint="eastAsia" w:ascii="Times New Roman" w:hAnsi="Times New Roman" w:cs="Times New Roman"/>
                      <w:color w:val="auto"/>
                      <w:sz w:val="21"/>
                      <w:szCs w:val="21"/>
                      <w:highlight w:val="none"/>
                    </w:rPr>
                    <w:t>“高污染、高环境风险”行业</w:t>
                  </w:r>
                  <w:r>
                    <w:rPr>
                      <w:rFonts w:hint="eastAsia" w:ascii="Times New Roman" w:hAnsi="Times New Roman" w:cs="Times New Roman"/>
                      <w:color w:val="auto"/>
                      <w:sz w:val="21"/>
                      <w:szCs w:val="21"/>
                      <w:highlight w:val="none"/>
                      <w:lang w:eastAsia="zh-CN"/>
                    </w:rPr>
                    <w:t>。</w:t>
                  </w:r>
                </w:p>
                <w:p w14:paraId="1A7063C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6.本项目不属于</w:t>
                  </w:r>
                  <w:r>
                    <w:rPr>
                      <w:rFonts w:hint="eastAsia" w:ascii="Times New Roman" w:hAnsi="Times New Roman" w:cs="Times New Roman"/>
                      <w:color w:val="auto"/>
                      <w:sz w:val="21"/>
                      <w:szCs w:val="21"/>
                      <w:highlight w:val="none"/>
                    </w:rPr>
                    <w:t>钢铁、石化、化工、焦化、建材、有色行业中的高污染项目</w:t>
                  </w:r>
                  <w:r>
                    <w:rPr>
                      <w:rFonts w:hint="eastAsia" w:ascii="Times New Roman" w:hAnsi="Times New Roman" w:cs="Times New Roman"/>
                      <w:color w:val="auto"/>
                      <w:sz w:val="21"/>
                      <w:szCs w:val="21"/>
                      <w:highlight w:val="none"/>
                      <w:lang w:eastAsia="zh-CN"/>
                    </w:rPr>
                    <w:t>。</w:t>
                  </w:r>
                </w:p>
                <w:p w14:paraId="5577E68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eastAsia" w:cs="Times New Roman"/>
                      <w:color w:val="auto"/>
                      <w:sz w:val="21"/>
                      <w:szCs w:val="21"/>
                      <w:highlight w:val="none"/>
                      <w:lang w:eastAsia="zh-CN"/>
                    </w:rPr>
                  </w:pPr>
                  <w:r>
                    <w:rPr>
                      <w:rFonts w:hint="eastAsia" w:cs="Times New Roman"/>
                      <w:color w:val="auto"/>
                      <w:sz w:val="21"/>
                      <w:szCs w:val="21"/>
                      <w:highlight w:val="none"/>
                      <w:lang w:val="en-US" w:eastAsia="zh-CN"/>
                    </w:rPr>
                    <w:t>7.本项目选址范围内无</w:t>
                  </w:r>
                  <w:r>
                    <w:rPr>
                      <w:rFonts w:hint="eastAsia" w:ascii="Times New Roman" w:hAnsi="Times New Roman" w:cs="Times New Roman"/>
                      <w:color w:val="auto"/>
                      <w:sz w:val="21"/>
                      <w:szCs w:val="21"/>
                      <w:highlight w:val="none"/>
                    </w:rPr>
                    <w:t>集中式饮用水水源地</w:t>
                  </w:r>
                  <w:r>
                    <w:rPr>
                      <w:rFonts w:hint="eastAsia" w:cs="Times New Roman"/>
                      <w:color w:val="auto"/>
                      <w:sz w:val="21"/>
                      <w:szCs w:val="21"/>
                      <w:highlight w:val="none"/>
                      <w:lang w:eastAsia="zh-CN"/>
                    </w:rPr>
                    <w:t>。</w:t>
                  </w:r>
                </w:p>
                <w:p w14:paraId="58C47CF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8.本项目选址范围内无产业园区。</w:t>
                  </w:r>
                </w:p>
              </w:tc>
            </w:tr>
            <w:tr w14:paraId="4D33B8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pct"/>
                  <w:tcBorders>
                    <w:tl2br w:val="nil"/>
                    <w:tr2bl w:val="nil"/>
                  </w:tcBorders>
                  <w:vAlign w:val="center"/>
                </w:tcPr>
                <w:p w14:paraId="5A189CBA">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污染物排放管控</w:t>
                  </w:r>
                </w:p>
              </w:tc>
              <w:tc>
                <w:tcPr>
                  <w:tcW w:w="3178" w:type="pct"/>
                  <w:gridSpan w:val="2"/>
                  <w:tcBorders>
                    <w:tl2br w:val="nil"/>
                    <w:tr2bl w:val="nil"/>
                  </w:tcBorders>
                  <w:vAlign w:val="center"/>
                </w:tcPr>
                <w:p w14:paraId="52A4447F">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1.推进以能源、化工、冶金、建材、造纸、农副食品加工、工业涂装和包装印刷等行业为重点的清洁生产审核工作，具体行业包括但不限于煤矿、火力发电，甲醇、焦化、氮肥、磷肥、氯碱、电石、制药、农药、黄磷、铬盐生产，钢铁、铁合金铅锌铝冶炼及再生，水泥、石灰、建筑陶瓷、平板玻璃、沥青防水材料，纸浆造纸，酿造、味精、柠檬酸、酶制剂、酵母，新能源电池</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rPr>
                    <w:t>正负极材料），多晶硅、单晶硅、有机硅，工业涂装和包装印刷等行业。</w:t>
                  </w:r>
                </w:p>
                <w:p w14:paraId="4FBFE29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2.落实云南省碳达峰碳中和相关要求，处理好发展和减排、整体和局部、长远目标和短期目标、政府和市场的关系，加快推动减污降碳协同创新试点，坚定不移走生态优先、绿色低碳的高质量发展道路。</w:t>
                  </w:r>
                </w:p>
                <w:p w14:paraId="14E06409">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3.加大重点流域水污染防治，确保水质如期达标。南盘江龚家坝、北盘江旧营桥等断面汇水区，新建、改建、扩建重点行业建设项目实行主要污染物排放减量置换。到2025年，牛栏江、南盘江、北盘江流域内所有城镇区域内实现生活污水处理设施全覆盖、生活污水全处理。</w:t>
                  </w:r>
                </w:p>
                <w:p w14:paraId="26C4FBBE">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4.牛栏江等流域内，严格按照《云南省牛栏江保护条例》《牛栏江流域（云南部分）水环境保护规划报告》及其中期评估报告有关要求，禁止在牛栏江水源保护区核心区新建、改建、扩建排污口。牛栏江流域上游保护区内已设置排污口的生产企业，排放水污染物应当符合国家或者地方规定的水污染物排放标准和重点水污染物排放总量控制指标。</w:t>
                  </w:r>
                </w:p>
                <w:p w14:paraId="5CD7EEB9">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5.严格保护集中式饮用水水源地，整治饮用水源保护区内的污染源，确保饮水安全。</w:t>
                  </w:r>
                </w:p>
                <w:p w14:paraId="4D7D137E">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6.全面开展城市（县城）排水管网排查整治，消除城市建成区管网空白区、污水直排口，解决雨污混流、管网破损漏损、错接混接等问题。加大城市生活污水提标改造及扩容工作力度，麒麟区、沾益区、曲靖经开区新、改、扩建城市生活污水集中处理设施及工业园区污水集中处理设施污染物排放标准严格执行《地表水环境质量标准》</w:t>
                  </w:r>
                  <w:r>
                    <w:rPr>
                      <w:rFonts w:hint="eastAsia" w:cs="Times New Roman"/>
                      <w:color w:val="auto"/>
                      <w:sz w:val="21"/>
                      <w:szCs w:val="21"/>
                      <w:highlight w:val="none"/>
                      <w:lang w:eastAsia="zh-CN"/>
                    </w:rPr>
                    <w:t>Ⅳ类</w:t>
                  </w:r>
                  <w:r>
                    <w:rPr>
                      <w:rFonts w:hint="eastAsia" w:ascii="Times New Roman" w:hAnsi="Times New Roman" w:cs="Times New Roman"/>
                      <w:color w:val="auto"/>
                      <w:sz w:val="21"/>
                      <w:szCs w:val="21"/>
                      <w:highlight w:val="none"/>
                    </w:rPr>
                    <w:t>标准 （其中总氮&lt;10mg/L，</w:t>
                  </w:r>
                  <w:r>
                    <w:rPr>
                      <w:rFonts w:hint="eastAsia" w:cs="Times New Roman"/>
                      <w:color w:val="auto"/>
                      <w:sz w:val="21"/>
                      <w:szCs w:val="21"/>
                      <w:highlight w:val="none"/>
                      <w:lang w:eastAsia="zh-CN"/>
                    </w:rPr>
                    <w:t>粪大肠菌群</w:t>
                  </w:r>
                  <w:r>
                    <w:rPr>
                      <w:rFonts w:hint="eastAsia" w:ascii="Times New Roman" w:hAnsi="Times New Roman" w:cs="Times New Roman"/>
                      <w:color w:val="auto"/>
                      <w:sz w:val="21"/>
                      <w:szCs w:val="21"/>
                      <w:highlight w:val="none"/>
                    </w:rPr>
                    <w:t>&lt;1000 个/L）。陆良县、宣威市根据水生态环境质量变化趋势适时推进执行《地表水环境质量标准》</w:t>
                  </w:r>
                  <w:r>
                    <w:rPr>
                      <w:rFonts w:hint="eastAsia" w:cs="Times New Roman"/>
                      <w:color w:val="auto"/>
                      <w:sz w:val="21"/>
                      <w:szCs w:val="21"/>
                      <w:highlight w:val="none"/>
                      <w:lang w:eastAsia="zh-CN"/>
                    </w:rPr>
                    <w:t>Ⅳ类</w:t>
                  </w:r>
                  <w:r>
                    <w:rPr>
                      <w:rFonts w:hint="eastAsia" w:ascii="Times New Roman" w:hAnsi="Times New Roman" w:cs="Times New Roman"/>
                      <w:color w:val="auto"/>
                      <w:sz w:val="21"/>
                      <w:szCs w:val="21"/>
                      <w:highlight w:val="none"/>
                    </w:rPr>
                    <w:t>标准</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rPr>
                    <w:t>（其中总氮&lt;10mg/L，</w:t>
                  </w:r>
                  <w:r>
                    <w:rPr>
                      <w:rFonts w:hint="eastAsia" w:cs="Times New Roman"/>
                      <w:color w:val="auto"/>
                      <w:sz w:val="21"/>
                      <w:szCs w:val="21"/>
                      <w:highlight w:val="none"/>
                      <w:lang w:eastAsia="zh-CN"/>
                    </w:rPr>
                    <w:t>粪大肠菌群</w:t>
                  </w:r>
                  <w:r>
                    <w:rPr>
                      <w:rFonts w:hint="eastAsia" w:ascii="Times New Roman" w:hAnsi="Times New Roman" w:cs="Times New Roman"/>
                      <w:color w:val="auto"/>
                      <w:sz w:val="21"/>
                      <w:szCs w:val="21"/>
                      <w:highlight w:val="none"/>
                    </w:rPr>
                    <w:t>&lt;1000个/L</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rPr>
                    <w:t>）。其他县（市、区）执行《城镇污水处理厂污染物排放标准》一级标准 A 标准。</w:t>
                  </w:r>
                </w:p>
                <w:p w14:paraId="0D503F37">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7.加快推进污泥无害化处理处置工程建设，鼓励采用资源化利用方式处理处置污泥，经处理后的污泥达到《农用污泥污染物控制标准》（GB4282—2018）要求的用于还田利用。</w:t>
                  </w:r>
                </w:p>
                <w:p w14:paraId="224B6859">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8.加快生活垃圾处理设施建设，推进实施生活垃圾焚烧发电，全面提升城镇生活垃圾分类收转运能力和厨余垃圾处理能力。</w:t>
                  </w:r>
                </w:p>
                <w:p w14:paraId="56880DBB">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9.到2025年，中心城区、县城中心城市建成区基本实现污水全收集、全处理，建制镇污水收集处理能力明显提升，中心城市、县城平均污泥无害化处理率达到90%以上，力争实现全市生活垃圾焚烧处理实现全覆盖，餐厨垃圾实现零填埋无害化处理。</w:t>
                  </w:r>
                </w:p>
                <w:p w14:paraId="3E925486">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10.到2025年，全市农村生活污水治理率达到40%以上，城乡生活垃圾焚烧处理比重达90%以上，全市农村卫生户厕覆盖率达到70%以上，农膜回收率达到90%以上，秸秆综合利用率稳定在90%以上，畜禽粪污综合利用率达到95%以上</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基本实现化肥农药施用量减少3%以上。</w:t>
                  </w:r>
                </w:p>
                <w:p w14:paraId="628F38ED">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11.严把新建、改扩建涉重金属重点行业建设项目审批关，切实降低区域重金属排放总量。会泽县新、改、扩建涉重金属重点行业建设项目重点重金属污染物排放遵循</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减量替代</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原则，替代比例不低于1.2:1</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其他县</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rPr>
                    <w:t>市、区</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rPr>
                    <w:t>遵循</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等量替代</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原则。</w:t>
                  </w:r>
                </w:p>
                <w:p w14:paraId="2380EE87">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12.到2025年，曲靖市重点行业重点重金属污染物排放量比2020年下降6%。</w:t>
                  </w:r>
                </w:p>
                <w:p w14:paraId="31940404">
                  <w:pPr>
                    <w:keepNext w:val="0"/>
                    <w:keepLines w:val="0"/>
                    <w:suppressLineNumbers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ascii="Times New Roman" w:hAnsi="Times New Roman" w:cs="Times New Roman"/>
                      <w:color w:val="auto"/>
                      <w:sz w:val="21"/>
                      <w:szCs w:val="21"/>
                      <w:highlight w:val="none"/>
                    </w:rPr>
                    <w:t>13.到2025年，全市化学需氧量、氨氮、氮氧化物、挥发性有机物排放总量等重点工程减排量分别达到7984吨、496吨、3611吨、1181吨。</w:t>
                  </w:r>
                </w:p>
              </w:tc>
              <w:tc>
                <w:tcPr>
                  <w:tcW w:w="1344" w:type="pct"/>
                  <w:tcBorders>
                    <w:tl2br w:val="nil"/>
                    <w:tr2bl w:val="nil"/>
                  </w:tcBorders>
                  <w:vAlign w:val="center"/>
                </w:tcPr>
                <w:p w14:paraId="13037E3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default"/>
                      <w:color w:val="auto"/>
                      <w:sz w:val="21"/>
                      <w:szCs w:val="21"/>
                      <w:highlight w:val="none"/>
                      <w:lang w:val="en-US" w:eastAsia="zh-CN"/>
                    </w:rPr>
                  </w:pPr>
                  <w:r>
                    <w:rPr>
                      <w:rFonts w:hint="eastAsia"/>
                      <w:color w:val="auto"/>
                      <w:sz w:val="21"/>
                      <w:szCs w:val="21"/>
                      <w:highlight w:val="none"/>
                      <w:lang w:val="en-US" w:eastAsia="zh-CN"/>
                    </w:rPr>
                    <w:t>相符</w:t>
                  </w:r>
                </w:p>
                <w:p w14:paraId="2D48B2EC">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1.本项目为光伏发电项目，生产过程中不消耗油气资源和矿产资源，不产生工业废水和工业废气，不涉及清洁生产审核工作。</w:t>
                  </w:r>
                </w:p>
                <w:p w14:paraId="350A0A59">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2.本项目为光伏发电项目</w:t>
                  </w:r>
                </w:p>
                <w:p w14:paraId="3D5C4CF9">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3.本项目产生的废水不外排，不会影响牛栏江水质。</w:t>
                  </w:r>
                </w:p>
                <w:p w14:paraId="6E54A9ED">
                  <w:pPr>
                    <w:keepNext w:val="0"/>
                    <w:keepLines w:val="0"/>
                    <w:suppressLineNumbers w:val="0"/>
                    <w:spacing w:before="0" w:beforeAutospacing="0" w:after="0" w:afterAutospacing="0" w:line="240" w:lineRule="auto"/>
                    <w:ind w:left="0" w:right="0" w:firstLine="0" w:firstLineChars="0"/>
                    <w:jc w:val="both"/>
                    <w:rPr>
                      <w:rFonts w:hint="default" w:eastAsia="仿宋"/>
                      <w:color w:val="auto"/>
                      <w:sz w:val="21"/>
                      <w:szCs w:val="21"/>
                      <w:highlight w:val="none"/>
                      <w:lang w:val="en-US" w:eastAsia="zh-CN"/>
                    </w:rPr>
                  </w:pPr>
                  <w:r>
                    <w:rPr>
                      <w:rFonts w:hint="eastAsia"/>
                      <w:color w:val="auto"/>
                      <w:sz w:val="21"/>
                      <w:szCs w:val="21"/>
                      <w:highlight w:val="none"/>
                      <w:lang w:val="en-US" w:eastAsia="zh-CN"/>
                    </w:rPr>
                    <w:t>4.本项目符合</w:t>
                  </w:r>
                  <w:r>
                    <w:rPr>
                      <w:rFonts w:hint="eastAsia" w:ascii="Times New Roman" w:hAnsi="Times New Roman" w:cs="Times New Roman"/>
                      <w:color w:val="auto"/>
                      <w:sz w:val="21"/>
                      <w:szCs w:val="21"/>
                      <w:highlight w:val="none"/>
                    </w:rPr>
                    <w:t>《云南省牛栏江保护条例》</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未建设排污口。</w:t>
                  </w:r>
                </w:p>
                <w:p w14:paraId="4B33C122">
                  <w:pPr>
                    <w:keepNext w:val="0"/>
                    <w:keepLines w:val="0"/>
                    <w:suppressLineNumbers w:val="0"/>
                    <w:spacing w:before="0" w:beforeAutospacing="0" w:after="0" w:afterAutospacing="0" w:line="240" w:lineRule="auto"/>
                    <w:ind w:left="0" w:right="0" w:firstLine="0" w:firstLineChars="0"/>
                    <w:jc w:val="both"/>
                    <w:rPr>
                      <w:rFonts w:hint="eastAsia" w:eastAsia="仿宋"/>
                      <w:color w:val="auto"/>
                      <w:sz w:val="21"/>
                      <w:szCs w:val="21"/>
                      <w:highlight w:val="none"/>
                      <w:lang w:val="en-US" w:eastAsia="zh-CN"/>
                    </w:rPr>
                  </w:pPr>
                  <w:r>
                    <w:rPr>
                      <w:rFonts w:hint="eastAsia"/>
                      <w:color w:val="auto"/>
                      <w:sz w:val="21"/>
                      <w:szCs w:val="21"/>
                      <w:highlight w:val="none"/>
                      <w:lang w:val="en-US" w:eastAsia="zh-CN"/>
                    </w:rPr>
                    <w:t>5.本项目选址范围内不涉及</w:t>
                  </w:r>
                  <w:r>
                    <w:rPr>
                      <w:rFonts w:hint="eastAsia" w:ascii="Times New Roman" w:hAnsi="Times New Roman" w:cs="Times New Roman"/>
                      <w:color w:val="auto"/>
                      <w:sz w:val="21"/>
                      <w:szCs w:val="21"/>
                      <w:highlight w:val="none"/>
                    </w:rPr>
                    <w:t>集中式饮用水水源地</w:t>
                  </w:r>
                  <w:r>
                    <w:rPr>
                      <w:rFonts w:hint="eastAsia" w:cs="Times New Roman"/>
                      <w:color w:val="auto"/>
                      <w:sz w:val="21"/>
                      <w:szCs w:val="21"/>
                      <w:highlight w:val="none"/>
                      <w:lang w:eastAsia="zh-CN"/>
                    </w:rPr>
                    <w:t>。</w:t>
                  </w:r>
                </w:p>
                <w:p w14:paraId="55D76EB5">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6.本项目不在城市建成区范围内，无污水管网。</w:t>
                  </w:r>
                </w:p>
                <w:p w14:paraId="6AC59CCD">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7.本项目污水处理站污泥主要是粪污，委托附近农户清掏用作农肥。符合还田要求。</w:t>
                  </w:r>
                </w:p>
                <w:p w14:paraId="51330495">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8.本项目升压站生活垃圾委托环卫部门处置。</w:t>
                  </w:r>
                </w:p>
                <w:p w14:paraId="6C1C6C07">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9.本项目选址不在城市建成区范围内，无污水管网</w:t>
                  </w:r>
                </w:p>
                <w:p w14:paraId="035B5967">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10.本项目不涉及农村生活污水治理，不涉及农村垃圾回收及处置。</w:t>
                  </w:r>
                </w:p>
                <w:p w14:paraId="2FD02172">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11.本项目不属于涉重金属行业。</w:t>
                  </w:r>
                </w:p>
                <w:p w14:paraId="56A11194">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12.本项目不涉及重金属污染物排放。</w:t>
                  </w:r>
                </w:p>
                <w:p w14:paraId="028DACDE">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13.本项目不设置污染物排放总量。</w:t>
                  </w:r>
                </w:p>
              </w:tc>
            </w:tr>
            <w:tr w14:paraId="33B032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pct"/>
                  <w:tcBorders>
                    <w:tl2br w:val="nil"/>
                    <w:tr2bl w:val="nil"/>
                  </w:tcBorders>
                  <w:vAlign w:val="center"/>
                </w:tcPr>
                <w:p w14:paraId="7413643B">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ascii="Times New Roman" w:hAnsi="Times New Roman" w:cs="Times New Roman"/>
                      <w:color w:val="auto"/>
                      <w:sz w:val="21"/>
                      <w:szCs w:val="21"/>
                      <w:highlight w:val="none"/>
                    </w:rPr>
                    <w:t>环境风险防控</w:t>
                  </w:r>
                </w:p>
              </w:tc>
              <w:tc>
                <w:tcPr>
                  <w:tcW w:w="3178" w:type="pct"/>
                  <w:gridSpan w:val="2"/>
                  <w:tcBorders>
                    <w:tl2br w:val="nil"/>
                    <w:tr2bl w:val="nil"/>
                  </w:tcBorders>
                  <w:vAlign w:val="center"/>
                </w:tcPr>
                <w:p w14:paraId="1B750331">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1.以南盘江、北盘江、牛栏江流域为重点，按规范开展流域工业企业、工业集聚区环境风险评估，落实防控措施。</w:t>
                  </w:r>
                </w:p>
                <w:p w14:paraId="5E45620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2.开展麒沾马区域大气污染联防联控，逐步推行区域统一规划，统一监测，实行协同的环境准入、落后产能淘汰、机动车环境管理政策和考核评估制度。</w:t>
                  </w:r>
                </w:p>
                <w:p w14:paraId="2545EB0F">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3.建立和完善与临界州（市）跨流域上下游突发水污染事件联防联控机制，提升应急联防联控水平。</w:t>
                  </w:r>
                </w:p>
                <w:p w14:paraId="117EE265">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4.强化大气污染分区分时分类差异化精细化协同管控，加强监测预警应急能力建设，及时采取差异化管控措施。</w:t>
                  </w:r>
                </w:p>
                <w:p w14:paraId="7A13F0E7">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5.逐步建成全市土壤环境质量监测网络，推进各县（市、区）土壤环境质量监测点位全覆盖；有色金属矿采选、有色金属冶炼、石油加工、化工、农药、焦化、电镀、制革、印染、危险废物处置等行业企业拆除生产设施设备、构筑物和污染治理设施，要事先制定残留污染物清理和安全处置方案。</w:t>
                  </w:r>
                </w:p>
                <w:p w14:paraId="761A1AA5">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6.加强环境风险防控和应急管理，制定和完善突发环境事件和集中式饮用水水源地突发环境事件应急预案，加强风险防控和突发环境事件应急处理处置能力。</w:t>
                  </w:r>
                </w:p>
                <w:p w14:paraId="4D743DEA">
                  <w:pPr>
                    <w:keepNext w:val="0"/>
                    <w:keepLines w:val="0"/>
                    <w:suppressLineNumbers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ascii="Times New Roman" w:hAnsi="Times New Roman" w:cs="Times New Roman"/>
                      <w:color w:val="auto"/>
                      <w:sz w:val="21"/>
                      <w:szCs w:val="21"/>
                      <w:highlight w:val="none"/>
                    </w:rPr>
                    <w:t>7.严格管控类农用地，重金属超标区域严禁种植食用农产品；涉重金属、持久性有机物等有毒有害污染物工业企业退出用地，须经评估符合建设用地、农用地土壤环境质量相关要求后，方可用于居住或农业用地。</w:t>
                  </w:r>
                </w:p>
              </w:tc>
              <w:tc>
                <w:tcPr>
                  <w:tcW w:w="1344" w:type="pct"/>
                  <w:tcBorders>
                    <w:tl2br w:val="nil"/>
                    <w:tr2bl w:val="nil"/>
                  </w:tcBorders>
                  <w:vAlign w:val="center"/>
                </w:tcPr>
                <w:p w14:paraId="3F954E9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left"/>
                    <w:textAlignment w:val="auto"/>
                    <w:rPr>
                      <w:rFonts w:hint="default"/>
                      <w:color w:val="auto"/>
                      <w:sz w:val="21"/>
                      <w:szCs w:val="21"/>
                      <w:highlight w:val="none"/>
                      <w:lang w:val="en-US" w:eastAsia="zh-CN"/>
                    </w:rPr>
                  </w:pPr>
                  <w:r>
                    <w:rPr>
                      <w:rFonts w:hint="eastAsia"/>
                      <w:color w:val="auto"/>
                      <w:sz w:val="21"/>
                      <w:szCs w:val="21"/>
                      <w:highlight w:val="none"/>
                      <w:lang w:val="en-US" w:eastAsia="zh-CN"/>
                    </w:rPr>
                    <w:t>相符</w:t>
                  </w:r>
                </w:p>
                <w:p w14:paraId="6FEBB251">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1.本项目涉及牛栏江流域，项目主要环境风险为升压站主变及光伏阵区箱变发生漏油事故。项目已设计了相应的事故池，可妥善收集项目产生的废油，环境风险可控。</w:t>
                  </w:r>
                </w:p>
                <w:p w14:paraId="707EA338">
                  <w:pPr>
                    <w:keepNext w:val="0"/>
                    <w:keepLines w:val="0"/>
                    <w:suppressLineNumbers w:val="0"/>
                    <w:spacing w:before="0" w:beforeAutospacing="0" w:after="0" w:afterAutospacing="0" w:line="240" w:lineRule="auto"/>
                    <w:ind w:left="0" w:right="0" w:firstLine="0" w:firstLineChars="0"/>
                    <w:jc w:val="both"/>
                    <w:rPr>
                      <w:rFonts w:hint="eastAsia" w:eastAsia="仿宋"/>
                      <w:color w:val="auto"/>
                      <w:sz w:val="21"/>
                      <w:szCs w:val="21"/>
                      <w:highlight w:val="none"/>
                      <w:lang w:val="en-US" w:eastAsia="zh-CN"/>
                    </w:rPr>
                  </w:pPr>
                  <w:r>
                    <w:rPr>
                      <w:rFonts w:hint="eastAsia"/>
                      <w:color w:val="auto"/>
                      <w:sz w:val="21"/>
                      <w:szCs w:val="21"/>
                      <w:highlight w:val="none"/>
                      <w:lang w:val="en-US" w:eastAsia="zh-CN"/>
                    </w:rPr>
                    <w:t>2.本项目不涉及</w:t>
                  </w:r>
                  <w:r>
                    <w:rPr>
                      <w:rFonts w:hint="eastAsia" w:ascii="Times New Roman" w:hAnsi="Times New Roman" w:cs="Times New Roman"/>
                      <w:color w:val="auto"/>
                      <w:sz w:val="21"/>
                      <w:szCs w:val="21"/>
                      <w:highlight w:val="none"/>
                    </w:rPr>
                    <w:t>麒沾马区</w:t>
                  </w:r>
                  <w:r>
                    <w:rPr>
                      <w:rFonts w:hint="eastAsia" w:cs="Times New Roman"/>
                      <w:color w:val="auto"/>
                      <w:sz w:val="21"/>
                      <w:szCs w:val="21"/>
                      <w:highlight w:val="none"/>
                      <w:lang w:eastAsia="zh-CN"/>
                    </w:rPr>
                    <w:t>。</w:t>
                  </w:r>
                </w:p>
                <w:p w14:paraId="681876AE">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3.本项目选址范围不涉及州市边界，项目不设置废水排放口。</w:t>
                  </w:r>
                </w:p>
                <w:p w14:paraId="7B940C16">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4.本项目建成后不涉及大气污染。</w:t>
                  </w:r>
                </w:p>
                <w:p w14:paraId="5F79A427">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5.本项目为新建项目，选址区域无原有建筑，不涉及拆除生产设施设备和建筑物。</w:t>
                  </w:r>
                </w:p>
                <w:p w14:paraId="372C4C14">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6.本项目已提出突发环境事件应急预案要求。项目选址范围内无饮用水水源保护区。</w:t>
                  </w:r>
                </w:p>
                <w:p w14:paraId="3DCCB78C">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7.本项目不涉及种植食用农产品，选址范围内无历史工业用地，不涉及重金属和持久性有机污染物。</w:t>
                  </w:r>
                </w:p>
              </w:tc>
            </w:tr>
            <w:tr w14:paraId="18E562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pct"/>
                  <w:tcBorders>
                    <w:tl2br w:val="nil"/>
                    <w:tr2bl w:val="nil"/>
                  </w:tcBorders>
                  <w:vAlign w:val="center"/>
                </w:tcPr>
                <w:p w14:paraId="48416465">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资源利用效率</w:t>
                  </w:r>
                </w:p>
              </w:tc>
              <w:tc>
                <w:tcPr>
                  <w:tcW w:w="3178" w:type="pct"/>
                  <w:gridSpan w:val="2"/>
                  <w:tcBorders>
                    <w:tl2br w:val="nil"/>
                    <w:tr2bl w:val="nil"/>
                  </w:tcBorders>
                  <w:vAlign w:val="center"/>
                </w:tcPr>
                <w:p w14:paraId="4D347E81">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坚持以水而定、量水而行，统筹生活、生产和生态用水，科学合理配置水资源，保障河湖基本生态用水。确定河流生态需水量，确保河流生态系统功能。通过电站引水闸的调节，使最低下泄流量不小于河道所需的最小生态径流，以维持下游生物的最小生态需水，以维持坝下游最小生态需水。</w:t>
                  </w:r>
                </w:p>
                <w:p w14:paraId="52BD3203">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2.加强南盘江、北盘江、牛栏江等生态流量保障工程建设，合理安排闸坝下泄水量和泄洪时段，维护河湖基本生态用水需求，重点保障、生态敏感区生态流量。</w:t>
                  </w:r>
                </w:p>
                <w:p w14:paraId="25ACB72D">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3.加快建设麒麟区、沾益区、马龙区水系连通工程，形成独木水库—水城水库—潇湘水库—潇湘江等6条生态流量通道，生态流量月保障程度达到90%以上，加强牛栏江流域水资源配置和调度管理，保障公锁、土格樟、黄梨树、黑山河流控制断面和苏斗河水库、金乐水库、长海子水库3个水库控制断面生态基流，确保生态流量泄放，确保德泽水库下泄流量在丰水期和枯水期分别达到16立方米/秒和5.4立方米/秒。</w:t>
                  </w:r>
                </w:p>
                <w:p w14:paraId="0957761E">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4.建立水资源刚性约束制度，实行水资源消耗总量和强度双控，严格实施取水许可和水资源有偿使用制度，强化用水全过程管理，深入抓好工业、城镇、农业等方面用水量控制，严格规范取水许可审批管理。</w:t>
                  </w:r>
                </w:p>
                <w:p w14:paraId="5D281270">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5.大力推进各县（市、区）农业、工业、城镇节水，扩大曲靖市县域节水型社会比例。强化农业节水，优化农业种植结构，加大农业节水力度，加快实施规模化高效节水灌溉行动。推广和普及田间节水技术，开辟抗旱水源，科学调度抗旱用水。</w:t>
                  </w:r>
                </w:p>
                <w:p w14:paraId="6A21BD91">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6.到2025年，曲靖市用水总量控制在18.68亿立方米以内，万元GDP用水量、万元工业增加值用水量比2020年分别不低于20%和16%，</w:t>
                  </w:r>
                  <w:r>
                    <w:rPr>
                      <w:rFonts w:hint="eastAsia"/>
                      <w:color w:val="auto"/>
                      <w:sz w:val="21"/>
                      <w:szCs w:val="21"/>
                      <w:highlight w:val="none"/>
                      <w:lang w:eastAsia="zh-CN"/>
                    </w:rPr>
                    <w:t>农田灌溉水有效利用系数</w:t>
                  </w:r>
                  <w:r>
                    <w:rPr>
                      <w:rFonts w:hint="eastAsia"/>
                      <w:color w:val="auto"/>
                      <w:sz w:val="21"/>
                      <w:szCs w:val="21"/>
                      <w:highlight w:val="none"/>
                    </w:rPr>
                    <w:t>不低于0.545。</w:t>
                  </w:r>
                </w:p>
                <w:p w14:paraId="7FE50BF9">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7.坚持最严格的耕地保护制度，坚决制止耕地“非农化”防止耕地“非粮化”。坚持节约用地，严格执行耕地占补平衡等制度，提高土地投资强度和单位面积产出水平。</w:t>
                  </w:r>
                </w:p>
                <w:p w14:paraId="483D5E9D">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8.矿产能源发展区应在符合国家产业政策的前提下，依法依规办理用地手续，在符合矿产资源总体规划的前提下合理开采，促进土地集约节约利用，保护区域生态环境，避免造成地质灾害。</w:t>
                  </w:r>
                </w:p>
                <w:p w14:paraId="58818B6C">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9.到2025年，全市规模化以上工业单位增加值能耗下降16%，万元工业增加值用水量下降16%，重点耗能行业能效达到标杆水平的比例超过30%。</w:t>
                  </w:r>
                </w:p>
                <w:p w14:paraId="5B9FA01A">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10.加强南盘江、牛栏江等岸线保护，强化九龙河（麒麟段、罗平段、陆良段、富源段）、牛栏江（会泽段、沾益段、宣威段）、清水江（罗平段、师宗段），宣威市窑上海子、北盘江、可渡河、拖长江、西泽河、以那河，马龙区马龙河，师宗县甸溪河、篆长河，富源县、小黄泥河，会泽县以礼河、硝厂河、小江等河湖岸线保护与管控。</w:t>
                  </w:r>
                </w:p>
                <w:p w14:paraId="0C379DD5">
                  <w:pPr>
                    <w:keepNext w:val="0"/>
                    <w:keepLines w:val="0"/>
                    <w:suppressLineNumbers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 xml:space="preserve">11.在禁燃区内，禁止销售、燃用高污染燃料；禁止新建、扩建燃用高污染燃料的设施，已建成的，应当在规定的期限内改用天然气、液化石油气、电或者其他清洁能源。 </w:t>
                  </w:r>
                </w:p>
              </w:tc>
              <w:tc>
                <w:tcPr>
                  <w:tcW w:w="1344" w:type="pct"/>
                  <w:tcBorders>
                    <w:tl2br w:val="nil"/>
                    <w:tr2bl w:val="nil"/>
                  </w:tcBorders>
                  <w:vAlign w:val="center"/>
                </w:tcPr>
                <w:p w14:paraId="57AF605D">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1.本项目建成后，不在自然河道内取水，不影响区域内河道生态径流。</w:t>
                  </w:r>
                </w:p>
                <w:p w14:paraId="6EABEB07">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2.本项目不涉及牛栏江生态流量保障工程。项目建设不影响牛栏江生态流量。</w:t>
                  </w:r>
                </w:p>
                <w:p w14:paraId="7D9A25C4">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3.本项目选址不涉及麒麟区、沾益区、马龙区。项目不从自然河道内取水。</w:t>
                  </w:r>
                </w:p>
                <w:p w14:paraId="42A83B66">
                  <w:pPr>
                    <w:keepNext w:val="0"/>
                    <w:keepLines w:val="0"/>
                    <w:suppressLineNumbers w:val="0"/>
                    <w:spacing w:before="0" w:beforeAutospacing="0" w:after="0" w:afterAutospacing="0" w:line="240" w:lineRule="auto"/>
                    <w:ind w:left="0" w:right="0" w:firstLine="0" w:firstLineChars="0"/>
                    <w:jc w:val="both"/>
                    <w:rPr>
                      <w:rFonts w:hint="eastAsia"/>
                      <w:color w:val="auto"/>
                      <w:sz w:val="21"/>
                      <w:szCs w:val="21"/>
                      <w:highlight w:val="none"/>
                      <w:lang w:val="en-US" w:eastAsia="zh-CN"/>
                    </w:rPr>
                  </w:pPr>
                  <w:r>
                    <w:rPr>
                      <w:rFonts w:hint="eastAsia"/>
                      <w:color w:val="auto"/>
                      <w:sz w:val="21"/>
                      <w:szCs w:val="21"/>
                      <w:highlight w:val="none"/>
                      <w:lang w:val="en-US" w:eastAsia="zh-CN"/>
                    </w:rPr>
                    <w:t>4.本项目不从自然河道取水，不涉及取水审批。</w:t>
                  </w:r>
                </w:p>
                <w:p w14:paraId="03127A89">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5.本项目不从事农业生产，光伏阵区内种植的绿化植被仅种植初期进行浇水养护。不在光伏阵区内开辟水源。</w:t>
                  </w:r>
                </w:p>
                <w:p w14:paraId="2E7C3997">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6.本项目不涉及工业生产用水。</w:t>
                  </w:r>
                </w:p>
                <w:p w14:paraId="1B3345AD">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7.本项目选址不占用耕地。</w:t>
                  </w:r>
                </w:p>
                <w:p w14:paraId="0FE0A1F0">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8.本项目不属于矿产资源开发项目。</w:t>
                  </w:r>
                </w:p>
                <w:p w14:paraId="6701013F">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9.本项目属于光伏发电项目，不属于规模化工业。</w:t>
                  </w:r>
                </w:p>
                <w:p w14:paraId="586D4379">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10.本项目不涉及牛栏江岸线区域，不涉及硝厂河岸线区域。</w:t>
                  </w:r>
                </w:p>
                <w:p w14:paraId="6478321B">
                  <w:pPr>
                    <w:keepNext w:val="0"/>
                    <w:keepLines w:val="0"/>
                    <w:suppressLineNumbers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11.本项目升压站不燃用高污染燃料，不建设燃用</w:t>
                  </w:r>
                  <w:bookmarkStart w:id="67" w:name="_GoBack"/>
                  <w:bookmarkEnd w:id="67"/>
                  <w:r>
                    <w:rPr>
                      <w:rFonts w:hint="eastAsia"/>
                      <w:color w:val="auto"/>
                      <w:sz w:val="21"/>
                      <w:szCs w:val="21"/>
                      <w:highlight w:val="none"/>
                      <w:lang w:val="en-US" w:eastAsia="zh-CN"/>
                    </w:rPr>
                    <w:t>高污染燃料设施。</w:t>
                  </w:r>
                </w:p>
              </w:tc>
            </w:tr>
            <w:tr w14:paraId="5D8CC0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pct"/>
                  <w:tcBorders>
                    <w:tl2br w:val="nil"/>
                    <w:tr2bl w:val="nil"/>
                  </w:tcBorders>
                  <w:vAlign w:val="center"/>
                </w:tcPr>
                <w:p w14:paraId="757C12F0">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管控单元名称</w:t>
                  </w:r>
                </w:p>
              </w:tc>
              <w:tc>
                <w:tcPr>
                  <w:tcW w:w="472" w:type="pct"/>
                  <w:tcBorders>
                    <w:tl2br w:val="nil"/>
                    <w:tr2bl w:val="nil"/>
                  </w:tcBorders>
                  <w:vAlign w:val="center"/>
                </w:tcPr>
                <w:p w14:paraId="3112DF0E">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lang w:val="en-US" w:eastAsia="zh-CN"/>
                    </w:rPr>
                    <w:t>管控领域</w:t>
                  </w:r>
                </w:p>
              </w:tc>
              <w:tc>
                <w:tcPr>
                  <w:tcW w:w="2705" w:type="pct"/>
                  <w:tcBorders>
                    <w:tl2br w:val="nil"/>
                    <w:tr2bl w:val="nil"/>
                  </w:tcBorders>
                  <w:vAlign w:val="center"/>
                </w:tcPr>
                <w:p w14:paraId="052F9850">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管控要求</w:t>
                  </w:r>
                </w:p>
              </w:tc>
              <w:tc>
                <w:tcPr>
                  <w:tcW w:w="1344" w:type="pct"/>
                  <w:tcBorders>
                    <w:tl2br w:val="nil"/>
                    <w:tr2bl w:val="nil"/>
                  </w:tcBorders>
                  <w:vAlign w:val="center"/>
                </w:tcPr>
                <w:p w14:paraId="50F8C50A">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符合性分析</w:t>
                  </w:r>
                </w:p>
              </w:tc>
            </w:tr>
            <w:tr w14:paraId="2FC199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0" w:type="pct"/>
                  <w:gridSpan w:val="4"/>
                  <w:tcBorders>
                    <w:tl2br w:val="nil"/>
                    <w:tr2bl w:val="nil"/>
                  </w:tcBorders>
                  <w:vAlign w:val="center"/>
                </w:tcPr>
                <w:p w14:paraId="6397555A">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lang w:eastAsia="zh-CN"/>
                    </w:rPr>
                    <w:t>会泽县</w:t>
                  </w:r>
                  <w:r>
                    <w:rPr>
                      <w:rFonts w:hint="eastAsia"/>
                      <w:color w:val="auto"/>
                      <w:sz w:val="21"/>
                      <w:szCs w:val="21"/>
                      <w:highlight w:val="none"/>
                    </w:rPr>
                    <w:t>要求</w:t>
                  </w:r>
                </w:p>
              </w:tc>
            </w:tr>
            <w:tr w14:paraId="4CB1A0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7" w:hRule="atLeast"/>
                <w:jc w:val="center"/>
              </w:trPr>
              <w:tc>
                <w:tcPr>
                  <w:tcW w:w="476" w:type="pct"/>
                  <w:tcBorders>
                    <w:tl2br w:val="nil"/>
                    <w:tr2bl w:val="nil"/>
                  </w:tcBorders>
                  <w:vAlign w:val="center"/>
                </w:tcPr>
                <w:p w14:paraId="6A3D0ADA">
                  <w:pPr>
                    <w:keepNext w:val="0"/>
                    <w:keepLines w:val="0"/>
                    <w:suppressLineNumbers w:val="0"/>
                    <w:spacing w:before="0" w:beforeAutospacing="0" w:after="0" w:afterAutospacing="0" w:line="240" w:lineRule="auto"/>
                    <w:ind w:left="0" w:right="0" w:firstLine="0" w:firstLineChars="0"/>
                    <w:jc w:val="center"/>
                    <w:rPr>
                      <w:rFonts w:hint="eastAsia"/>
                      <w:color w:val="auto"/>
                      <w:sz w:val="21"/>
                      <w:szCs w:val="21"/>
                      <w:highlight w:val="none"/>
                      <w:lang w:eastAsia="zh-CN"/>
                    </w:rPr>
                  </w:pPr>
                  <w:r>
                    <w:rPr>
                      <w:rFonts w:hint="eastAsia"/>
                      <w:color w:val="auto"/>
                      <w:sz w:val="21"/>
                      <w:szCs w:val="21"/>
                      <w:highlight w:val="none"/>
                      <w:lang w:eastAsia="zh-CN"/>
                    </w:rPr>
                    <w:t>会泽县生态保护红线优先保护单元</w:t>
                  </w:r>
                </w:p>
              </w:tc>
              <w:tc>
                <w:tcPr>
                  <w:tcW w:w="472" w:type="pct"/>
                  <w:tcBorders>
                    <w:tl2br w:val="nil"/>
                    <w:tr2bl w:val="nil"/>
                  </w:tcBorders>
                  <w:vAlign w:val="center"/>
                </w:tcPr>
                <w:p w14:paraId="12374791">
                  <w:pPr>
                    <w:keepNext w:val="0"/>
                    <w:keepLines w:val="0"/>
                    <w:suppressLineNumbers w:val="0"/>
                    <w:spacing w:before="0" w:beforeAutospacing="0" w:after="0" w:afterAutospacing="0" w:line="240" w:lineRule="auto"/>
                    <w:ind w:left="0" w:right="0"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（一）空间布局约束</w:t>
                  </w:r>
                </w:p>
              </w:tc>
              <w:tc>
                <w:tcPr>
                  <w:tcW w:w="2705" w:type="pct"/>
                  <w:tcBorders>
                    <w:tl2br w:val="nil"/>
                    <w:tr2bl w:val="nil"/>
                  </w:tcBorders>
                  <w:vAlign w:val="center"/>
                </w:tcPr>
                <w:p w14:paraId="06E6EC42">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（一）空间布局约束</w:t>
                  </w:r>
                </w:p>
                <w:p w14:paraId="1CF76673">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按《自然资源部生态环境部国家林业和草原局关于加强生态保护红线管理的通知（试行）》（自然资发〔2022〕142 号）和《云南省自然资源厅云南省生态环境厅云南省林业和草原局关于加强生态保护红线管理工作的通知》（云自然资﹝2023﹞98号）执行。后续若国家和省生态保护红线相关管控政策发生调整，按调整后的管控办法执行。自然保护地优化整合成果获批前，按现行有效法律法规管理。</w:t>
                  </w:r>
                </w:p>
              </w:tc>
              <w:tc>
                <w:tcPr>
                  <w:tcW w:w="1344" w:type="pct"/>
                  <w:tcBorders>
                    <w:tl2br w:val="nil"/>
                    <w:tr2bl w:val="nil"/>
                  </w:tcBorders>
                  <w:vAlign w:val="center"/>
                </w:tcPr>
                <w:p w14:paraId="717354DF">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相符</w:t>
                  </w:r>
                </w:p>
                <w:p w14:paraId="65552655">
                  <w:pPr>
                    <w:keepNext w:val="0"/>
                    <w:keepLines w:val="0"/>
                    <w:suppressLineNumbers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经分析，本项目符合</w:t>
                  </w:r>
                  <w:r>
                    <w:rPr>
                      <w:rFonts w:hint="eastAsia"/>
                      <w:color w:val="auto"/>
                      <w:sz w:val="21"/>
                      <w:szCs w:val="21"/>
                      <w:highlight w:val="none"/>
                    </w:rPr>
                    <w:t>自然资发〔2022〕142 号</w:t>
                  </w:r>
                  <w:r>
                    <w:rPr>
                      <w:rFonts w:hint="eastAsia"/>
                      <w:color w:val="auto"/>
                      <w:sz w:val="21"/>
                      <w:szCs w:val="21"/>
                      <w:highlight w:val="none"/>
                      <w:lang w:eastAsia="zh-CN"/>
                    </w:rPr>
                    <w:t>、</w:t>
                  </w:r>
                  <w:r>
                    <w:rPr>
                      <w:rFonts w:hint="eastAsia"/>
                      <w:color w:val="auto"/>
                      <w:sz w:val="21"/>
                      <w:szCs w:val="21"/>
                      <w:highlight w:val="none"/>
                    </w:rPr>
                    <w:t>云自然资﹝2023﹞98号</w:t>
                  </w:r>
                  <w:r>
                    <w:rPr>
                      <w:rFonts w:hint="eastAsia"/>
                      <w:color w:val="auto"/>
                      <w:sz w:val="21"/>
                      <w:szCs w:val="21"/>
                      <w:highlight w:val="none"/>
                      <w:lang w:val="en-US" w:eastAsia="zh-CN"/>
                    </w:rPr>
                    <w:t>等生态保护红线相关政策要求</w:t>
                  </w:r>
                </w:p>
              </w:tc>
            </w:tr>
            <w:tr w14:paraId="243579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7" w:hRule="atLeast"/>
                <w:jc w:val="center"/>
              </w:trPr>
              <w:tc>
                <w:tcPr>
                  <w:tcW w:w="476" w:type="pct"/>
                  <w:tcBorders>
                    <w:tl2br w:val="nil"/>
                    <w:tr2bl w:val="nil"/>
                  </w:tcBorders>
                  <w:vAlign w:val="center"/>
                </w:tcPr>
                <w:p w14:paraId="21A014B5">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lang w:eastAsia="zh-CN"/>
                    </w:rPr>
                    <w:t>会泽县</w:t>
                  </w:r>
                  <w:r>
                    <w:rPr>
                      <w:rFonts w:hint="default"/>
                      <w:color w:val="auto"/>
                      <w:sz w:val="21"/>
                      <w:szCs w:val="21"/>
                      <w:highlight w:val="none"/>
                    </w:rPr>
                    <w:t>一般生态空间优先保护单元</w:t>
                  </w:r>
                </w:p>
              </w:tc>
              <w:tc>
                <w:tcPr>
                  <w:tcW w:w="472" w:type="pct"/>
                  <w:tcBorders>
                    <w:tl2br w:val="nil"/>
                    <w:tr2bl w:val="nil"/>
                  </w:tcBorders>
                  <w:vAlign w:val="center"/>
                </w:tcPr>
                <w:p w14:paraId="75646EEA">
                  <w:pPr>
                    <w:keepNext w:val="0"/>
                    <w:keepLines w:val="0"/>
                    <w:suppressLineNumbers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空间布局约束</w:t>
                  </w:r>
                </w:p>
              </w:tc>
              <w:tc>
                <w:tcPr>
                  <w:tcW w:w="2705" w:type="pct"/>
                  <w:tcBorders>
                    <w:tl2br w:val="nil"/>
                    <w:tr2bl w:val="nil"/>
                  </w:tcBorders>
                  <w:vAlign w:val="center"/>
                </w:tcPr>
                <w:p w14:paraId="71C09092">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（一）空间布局约束</w:t>
                  </w:r>
                </w:p>
                <w:p w14:paraId="0940885F">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一般生态空间优先保护单元以保护和修复生态环境、提供生态产品为首要任务，参照主体功能区中重点生态功能区的开发和管制原则进行管控，加强资源环境承载力控制，防止过度垦殖、放牧、采伐、取水、渔猎、旅游等对生态功能造成损害，确保自然生态系统稳定。涉及占用一般生态空间的开发活动应符合相关法律法规规定，没有明确规定的</w:t>
                  </w:r>
                  <w:r>
                    <w:rPr>
                      <w:rFonts w:hint="eastAsia"/>
                      <w:color w:val="auto"/>
                      <w:sz w:val="21"/>
                      <w:szCs w:val="21"/>
                      <w:highlight w:val="none"/>
                      <w:lang w:eastAsia="zh-CN"/>
                    </w:rPr>
                    <w:t>，要</w:t>
                  </w:r>
                  <w:r>
                    <w:rPr>
                      <w:rFonts w:hint="eastAsia"/>
                      <w:color w:val="auto"/>
                      <w:sz w:val="21"/>
                      <w:szCs w:val="21"/>
                      <w:highlight w:val="none"/>
                    </w:rPr>
                    <w:t>加强论证和管理。</w:t>
                  </w:r>
                </w:p>
                <w:p w14:paraId="66BC8D50">
                  <w:pPr>
                    <w:keepNext w:val="0"/>
                    <w:keepLines w:val="0"/>
                    <w:suppressLineNumbers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2.暂未纳入生态保护红线的自然保护地按照相关保护地法律法规进行管理；自然保护地优化整合成果获批前，按现行有效法律法规管理。重要湿地依据《湿地保护管理规定》《云南省湿地保护条例》《云南省人民政府关于加强湿地保护工作的意见》等进行管理；生态公益林依据《国家级公益林管理办法》《云南省地方公益林管理办法》进行管理；天然林依据《</w:t>
                  </w:r>
                  <w:r>
                    <w:rPr>
                      <w:rFonts w:hint="eastAsia"/>
                      <w:color w:val="auto"/>
                      <w:sz w:val="21"/>
                      <w:szCs w:val="21"/>
                      <w:highlight w:val="none"/>
                      <w:lang w:eastAsia="zh-CN"/>
                    </w:rPr>
                    <w:t>国家林业和草原局</w:t>
                  </w:r>
                  <w:r>
                    <w:rPr>
                      <w:rFonts w:hint="eastAsia"/>
                      <w:color w:val="auto"/>
                      <w:sz w:val="21"/>
                      <w:szCs w:val="21"/>
                      <w:highlight w:val="none"/>
                    </w:rPr>
                    <w:t>关于严格保护天然林的通知》（林资发〔2015〕181号）、《中共中央办公厅 国务院办公厅关于印发〈天然林保护修复制度方案〉的通知》（厅字〔2019〕39号）等进行管理。</w:t>
                  </w:r>
                </w:p>
              </w:tc>
              <w:tc>
                <w:tcPr>
                  <w:tcW w:w="1344" w:type="pct"/>
                  <w:tcBorders>
                    <w:tl2br w:val="nil"/>
                    <w:tr2bl w:val="nil"/>
                  </w:tcBorders>
                  <w:vAlign w:val="center"/>
                </w:tcPr>
                <w:p w14:paraId="1E7550C6">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相符</w:t>
                  </w:r>
                </w:p>
                <w:p w14:paraId="7353D485">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1.本项目主体生态功能区为Ⅲ4-3 以礼河、硝厂河高山深谷水土保持生态功能区。保护措施为：调整产业结构，严格退耕还林，注意矿产资源开发后的生态保护，对生态环境严重恶化地区实施生态移民。</w:t>
                  </w:r>
                </w:p>
                <w:p w14:paraId="5C70275D">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本项目为光伏发电项目，项目已根据会泽县林草局要求编制了植被恢复方案，不会对区域生态功能区造成明显影响。</w:t>
                  </w:r>
                </w:p>
                <w:p w14:paraId="40EAB614">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本项目</w:t>
                  </w:r>
                  <w:r>
                    <w:rPr>
                      <w:rFonts w:hint="eastAsia"/>
                      <w:color w:val="auto"/>
                      <w:sz w:val="21"/>
                      <w:szCs w:val="21"/>
                      <w:highlight w:val="none"/>
                      <w:lang w:val="en-US" w:eastAsia="zh-CN"/>
                    </w:rPr>
                    <w:t>不</w:t>
                  </w:r>
                  <w:r>
                    <w:rPr>
                      <w:rFonts w:hint="eastAsia"/>
                      <w:color w:val="auto"/>
                      <w:sz w:val="21"/>
                      <w:szCs w:val="21"/>
                      <w:highlight w:val="none"/>
                    </w:rPr>
                    <w:t>属于</w:t>
                  </w:r>
                  <w:r>
                    <w:rPr>
                      <w:rFonts w:hint="default"/>
                      <w:color w:val="auto"/>
                      <w:sz w:val="21"/>
                      <w:szCs w:val="21"/>
                      <w:highlight w:val="none"/>
                    </w:rPr>
                    <w:t>垦殖、放牧、采伐、取水、渔猎、旅游</w:t>
                  </w:r>
                  <w:r>
                    <w:rPr>
                      <w:rFonts w:hint="eastAsia"/>
                      <w:color w:val="auto"/>
                      <w:sz w:val="21"/>
                      <w:szCs w:val="21"/>
                      <w:highlight w:val="none"/>
                    </w:rPr>
                    <w:t>工程。</w:t>
                  </w:r>
                </w:p>
                <w:p w14:paraId="2D7D77B7">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项目区域人为活动频繁，自然生态系统以人工植被生态系统为主，项目建设不影响其稳定性。</w:t>
                  </w:r>
                </w:p>
                <w:p w14:paraId="0693964F">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eastAsia="zh-CN"/>
                    </w:rPr>
                  </w:pPr>
                  <w:r>
                    <w:rPr>
                      <w:rFonts w:hint="eastAsia"/>
                      <w:color w:val="auto"/>
                      <w:sz w:val="21"/>
                      <w:szCs w:val="21"/>
                      <w:highlight w:val="none"/>
                      <w:lang w:val="en-US" w:eastAsia="zh-CN"/>
                    </w:rPr>
                    <w:t>4.根据云南省生态环境工程评估中心查询结果，本项目不占用生态保护红线</w:t>
                  </w:r>
                  <w:r>
                    <w:rPr>
                      <w:rFonts w:hint="eastAsia"/>
                      <w:color w:val="auto"/>
                      <w:sz w:val="21"/>
                      <w:szCs w:val="21"/>
                      <w:highlight w:val="none"/>
                      <w:lang w:eastAsia="zh-CN"/>
                    </w:rPr>
                    <w:t>。</w:t>
                  </w:r>
                </w:p>
                <w:p w14:paraId="5AAE5F33">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5.根据使用林地审核同意书，本项目不占用天然林地和公益林。</w:t>
                  </w:r>
                </w:p>
                <w:p w14:paraId="6D5EFFFC">
                  <w:pPr>
                    <w:keepNext w:val="0"/>
                    <w:keepLines w:val="0"/>
                    <w:suppressLineNumbers w:val="0"/>
                    <w:spacing w:before="0" w:beforeAutospacing="0" w:after="0" w:afterAutospacing="0" w:line="240" w:lineRule="auto"/>
                    <w:ind w:left="0" w:right="0" w:firstLine="0" w:firstLineChars="0"/>
                    <w:rPr>
                      <w:rFonts w:hint="default" w:eastAsia="仿宋"/>
                      <w:color w:val="auto"/>
                      <w:highlight w:val="none"/>
                      <w:lang w:val="en-US" w:eastAsia="zh-CN"/>
                    </w:rPr>
                  </w:pPr>
                  <w:r>
                    <w:rPr>
                      <w:rFonts w:hint="eastAsia"/>
                      <w:color w:val="auto"/>
                      <w:sz w:val="21"/>
                      <w:szCs w:val="21"/>
                      <w:highlight w:val="none"/>
                      <w:lang w:val="en-US" w:eastAsia="zh-CN"/>
                    </w:rPr>
                    <w:t>本项目林地审批手续已完成。</w:t>
                  </w:r>
                </w:p>
              </w:tc>
            </w:tr>
            <w:tr w14:paraId="57E682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91" w:hRule="atLeast"/>
                <w:jc w:val="center"/>
              </w:trPr>
              <w:tc>
                <w:tcPr>
                  <w:tcW w:w="476" w:type="pct"/>
                  <w:vMerge w:val="restart"/>
                  <w:tcBorders>
                    <w:tl2br w:val="nil"/>
                    <w:tr2bl w:val="nil"/>
                  </w:tcBorders>
                  <w:vAlign w:val="center"/>
                </w:tcPr>
                <w:p w14:paraId="11BD973D">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lang w:eastAsia="zh-CN"/>
                    </w:rPr>
                    <w:t>会泽县</w:t>
                  </w:r>
                  <w:r>
                    <w:rPr>
                      <w:rFonts w:hint="eastAsia"/>
                      <w:color w:val="auto"/>
                      <w:sz w:val="21"/>
                      <w:szCs w:val="21"/>
                      <w:highlight w:val="none"/>
                    </w:rPr>
                    <w:t>一般管控单元</w:t>
                  </w:r>
                </w:p>
              </w:tc>
              <w:tc>
                <w:tcPr>
                  <w:tcW w:w="472" w:type="pct"/>
                  <w:tcBorders>
                    <w:tl2br w:val="nil"/>
                    <w:tr2bl w:val="nil"/>
                  </w:tcBorders>
                  <w:vAlign w:val="center"/>
                </w:tcPr>
                <w:p w14:paraId="660A95D4">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空间布局约束</w:t>
                  </w:r>
                </w:p>
              </w:tc>
              <w:tc>
                <w:tcPr>
                  <w:tcW w:w="2705" w:type="pct"/>
                  <w:tcBorders>
                    <w:tl2br w:val="nil"/>
                    <w:tr2bl w:val="nil"/>
                  </w:tcBorders>
                  <w:vAlign w:val="center"/>
                </w:tcPr>
                <w:p w14:paraId="5892F17A">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（一）空间布局约束</w:t>
                  </w:r>
                </w:p>
                <w:p w14:paraId="17509605">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1.加强耕地和永久基本农田保护，坚决制止耕地“非农化”、防止耕地“非粮化”。</w:t>
                  </w:r>
                </w:p>
                <w:p w14:paraId="5D280CB5">
                  <w:pPr>
                    <w:keepNext w:val="0"/>
                    <w:keepLines w:val="0"/>
                    <w:suppressLineNumbers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2.禁止新建、改扩建中小水电项目，现有中小水电站应按照环评批复（环评批复未明确生态流量的根据来水量科学确定生态流量），确保连续稳定下泄生态流量。</w:t>
                  </w:r>
                </w:p>
              </w:tc>
              <w:tc>
                <w:tcPr>
                  <w:tcW w:w="1344" w:type="pct"/>
                  <w:tcBorders>
                    <w:tl2br w:val="nil"/>
                    <w:tr2bl w:val="nil"/>
                  </w:tcBorders>
                  <w:vAlign w:val="center"/>
                </w:tcPr>
                <w:p w14:paraId="343F3405">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相符</w:t>
                  </w:r>
                </w:p>
                <w:p w14:paraId="61E04432">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w:t>
                  </w:r>
                  <w:r>
                    <w:rPr>
                      <w:rFonts w:hint="eastAsia"/>
                      <w:color w:val="auto"/>
                      <w:sz w:val="21"/>
                      <w:szCs w:val="21"/>
                      <w:highlight w:val="none"/>
                    </w:rPr>
                    <w:t>本项目</w:t>
                  </w:r>
                  <w:r>
                    <w:rPr>
                      <w:rFonts w:hint="eastAsia"/>
                      <w:color w:val="auto"/>
                      <w:sz w:val="21"/>
                      <w:szCs w:val="21"/>
                      <w:highlight w:val="none"/>
                      <w:lang w:val="en-US" w:eastAsia="zh-CN"/>
                    </w:rPr>
                    <w:t>不占用耕地和永久基本农田。</w:t>
                  </w:r>
                </w:p>
                <w:p w14:paraId="00BD2F6F">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lang w:val="en-US" w:eastAsia="zh-CN"/>
                    </w:rPr>
                    <w:t>2.项目不属于水电项目，不涉及农田灌溉。</w:t>
                  </w:r>
                </w:p>
              </w:tc>
            </w:tr>
            <w:tr w14:paraId="458352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476" w:type="pct"/>
                  <w:vMerge w:val="continue"/>
                  <w:tcBorders>
                    <w:tl2br w:val="nil"/>
                    <w:tr2bl w:val="nil"/>
                  </w:tcBorders>
                  <w:vAlign w:val="center"/>
                </w:tcPr>
                <w:p w14:paraId="4D2D6F17">
                  <w:pPr>
                    <w:keepNext w:val="0"/>
                    <w:keepLines w:val="0"/>
                    <w:suppressLineNumbers w:val="0"/>
                    <w:spacing w:before="0" w:beforeAutospacing="0" w:after="0" w:afterAutospacing="0" w:line="240" w:lineRule="auto"/>
                    <w:ind w:left="0" w:right="0" w:firstLine="0" w:firstLineChars="0"/>
                    <w:rPr>
                      <w:rFonts w:hint="default"/>
                      <w:color w:val="auto"/>
                      <w:highlight w:val="none"/>
                    </w:rPr>
                  </w:pPr>
                </w:p>
              </w:tc>
              <w:tc>
                <w:tcPr>
                  <w:tcW w:w="472" w:type="pct"/>
                  <w:tcBorders>
                    <w:tl2br w:val="nil"/>
                    <w:tr2bl w:val="nil"/>
                  </w:tcBorders>
                  <w:vAlign w:val="center"/>
                </w:tcPr>
                <w:p w14:paraId="47D76F0F">
                  <w:pPr>
                    <w:keepNext w:val="0"/>
                    <w:keepLines w:val="0"/>
                    <w:suppressLineNumbers w:val="0"/>
                    <w:spacing w:before="0" w:beforeAutospacing="0" w:after="0" w:afterAutospacing="0" w:line="240" w:lineRule="auto"/>
                    <w:ind w:left="0" w:right="0" w:firstLine="0" w:firstLineChars="0"/>
                    <w:rPr>
                      <w:rFonts w:hint="default"/>
                      <w:color w:val="auto"/>
                      <w:highlight w:val="none"/>
                    </w:rPr>
                  </w:pPr>
                  <w:r>
                    <w:rPr>
                      <w:rFonts w:hint="eastAsia"/>
                      <w:color w:val="auto"/>
                      <w:sz w:val="21"/>
                      <w:szCs w:val="21"/>
                      <w:highlight w:val="none"/>
                    </w:rPr>
                    <w:t>污染物排放管控</w:t>
                  </w:r>
                </w:p>
              </w:tc>
              <w:tc>
                <w:tcPr>
                  <w:tcW w:w="2705" w:type="pct"/>
                  <w:tcBorders>
                    <w:tl2br w:val="nil"/>
                    <w:tr2bl w:val="nil"/>
                  </w:tcBorders>
                  <w:vAlign w:val="center"/>
                </w:tcPr>
                <w:p w14:paraId="6A683084">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（二）污染物排放管控</w:t>
                  </w:r>
                </w:p>
                <w:p w14:paraId="357974EC">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1.严禁污水灌溉，灌溉用水应满足《农田灌溉水质标准》。</w:t>
                  </w:r>
                </w:p>
                <w:p w14:paraId="51A333EC">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2.现有工业企业应达标排放，逐步提升清洁生产水平，减少污染物排放量。</w:t>
                  </w:r>
                </w:p>
                <w:p w14:paraId="5C1F0559">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3.加强农业面源污染治理，严格控制化肥农药施用量，合理布局水产养殖，控制水产养殖污染，逐步削减农业面源污染物排放量。</w:t>
                  </w:r>
                </w:p>
              </w:tc>
              <w:tc>
                <w:tcPr>
                  <w:tcW w:w="1344" w:type="pct"/>
                  <w:tcBorders>
                    <w:tl2br w:val="nil"/>
                    <w:tr2bl w:val="nil"/>
                  </w:tcBorders>
                  <w:vAlign w:val="center"/>
                </w:tcPr>
                <w:p w14:paraId="144A68CF">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不涉及</w:t>
                  </w:r>
                </w:p>
                <w:p w14:paraId="0045D928">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1.本项目不涉及农田灌溉。</w:t>
                  </w:r>
                </w:p>
                <w:p w14:paraId="6C691857">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2.不属于现有工业企业</w:t>
                  </w:r>
                </w:p>
                <w:p w14:paraId="27C492A3">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3.不涉及农业面源污染和水产养殖</w:t>
                  </w:r>
                </w:p>
              </w:tc>
            </w:tr>
            <w:tr w14:paraId="0FE96F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91" w:hRule="atLeast"/>
                <w:jc w:val="center"/>
              </w:trPr>
              <w:tc>
                <w:tcPr>
                  <w:tcW w:w="476" w:type="pct"/>
                  <w:vMerge w:val="continue"/>
                  <w:tcBorders>
                    <w:tl2br w:val="nil"/>
                    <w:tr2bl w:val="nil"/>
                  </w:tcBorders>
                  <w:vAlign w:val="center"/>
                </w:tcPr>
                <w:p w14:paraId="459260BF">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rPr>
                  </w:pPr>
                </w:p>
              </w:tc>
              <w:tc>
                <w:tcPr>
                  <w:tcW w:w="472" w:type="pct"/>
                  <w:tcBorders>
                    <w:tl2br w:val="nil"/>
                    <w:tr2bl w:val="nil"/>
                  </w:tcBorders>
                  <w:vAlign w:val="center"/>
                </w:tcPr>
                <w:p w14:paraId="73ED7292">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rPr>
                  </w:pPr>
                  <w:r>
                    <w:rPr>
                      <w:rFonts w:hint="eastAsia"/>
                      <w:color w:val="auto"/>
                      <w:sz w:val="21"/>
                      <w:szCs w:val="21"/>
                      <w:highlight w:val="none"/>
                    </w:rPr>
                    <w:t>环境风险防控</w:t>
                  </w:r>
                </w:p>
              </w:tc>
              <w:tc>
                <w:tcPr>
                  <w:tcW w:w="2705" w:type="pct"/>
                  <w:tcBorders>
                    <w:tl2br w:val="nil"/>
                    <w:tr2bl w:val="nil"/>
                  </w:tcBorders>
                  <w:vAlign w:val="center"/>
                </w:tcPr>
                <w:p w14:paraId="57A667BA">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（三）环境风险防控</w:t>
                  </w:r>
                </w:p>
                <w:p w14:paraId="5495503C">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1.禁止使用国家规定的禁限用农药名录中的农药。</w:t>
                  </w:r>
                </w:p>
                <w:p w14:paraId="1D255730">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2.加强</w:t>
                  </w:r>
                  <w:r>
                    <w:rPr>
                      <w:rFonts w:hint="eastAsia"/>
                      <w:color w:val="auto"/>
                      <w:sz w:val="21"/>
                      <w:szCs w:val="21"/>
                      <w:highlight w:val="none"/>
                      <w:lang w:eastAsia="zh-CN"/>
                    </w:rPr>
                    <w:t>环境风险防控</w:t>
                  </w:r>
                  <w:r>
                    <w:rPr>
                      <w:rFonts w:hint="eastAsia"/>
                      <w:color w:val="auto"/>
                      <w:sz w:val="21"/>
                      <w:szCs w:val="21"/>
                      <w:highlight w:val="none"/>
                    </w:rPr>
                    <w:t>应急体系建设，加强环境应急预案管理，定期开展应急演练，持续开展环境安全隐患排查整治，提升应急监测能力，加强应急物资管理。</w:t>
                  </w:r>
                </w:p>
              </w:tc>
              <w:tc>
                <w:tcPr>
                  <w:tcW w:w="1344" w:type="pct"/>
                  <w:tcBorders>
                    <w:tl2br w:val="nil"/>
                    <w:tr2bl w:val="nil"/>
                  </w:tcBorders>
                  <w:vAlign w:val="center"/>
                </w:tcPr>
                <w:p w14:paraId="37A173DC">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相符</w:t>
                  </w:r>
                </w:p>
                <w:p w14:paraId="0616C742">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1.本项目绿化恢复不使用农药</w:t>
                  </w:r>
                </w:p>
                <w:p w14:paraId="77B361AE">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2.环评已提出相应的环境应急措施，并提出编制突发环境事件应急预案的要求。</w:t>
                  </w:r>
                </w:p>
              </w:tc>
            </w:tr>
            <w:tr w14:paraId="5A8FD9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3" w:hRule="atLeast"/>
                <w:jc w:val="center"/>
              </w:trPr>
              <w:tc>
                <w:tcPr>
                  <w:tcW w:w="476" w:type="pct"/>
                  <w:vMerge w:val="continue"/>
                  <w:tcBorders>
                    <w:tl2br w:val="nil"/>
                    <w:tr2bl w:val="nil"/>
                  </w:tcBorders>
                  <w:vAlign w:val="center"/>
                </w:tcPr>
                <w:p w14:paraId="4D2A224B">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rPr>
                  </w:pPr>
                </w:p>
              </w:tc>
              <w:tc>
                <w:tcPr>
                  <w:tcW w:w="472" w:type="pct"/>
                  <w:tcBorders>
                    <w:tl2br w:val="nil"/>
                    <w:tr2bl w:val="nil"/>
                  </w:tcBorders>
                  <w:vAlign w:val="center"/>
                </w:tcPr>
                <w:p w14:paraId="45A1C1C8">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rPr>
                  </w:pPr>
                  <w:r>
                    <w:rPr>
                      <w:rFonts w:hint="eastAsia"/>
                      <w:color w:val="auto"/>
                      <w:sz w:val="21"/>
                      <w:szCs w:val="21"/>
                      <w:highlight w:val="none"/>
                    </w:rPr>
                    <w:t>资源开发效率要求</w:t>
                  </w:r>
                </w:p>
              </w:tc>
              <w:tc>
                <w:tcPr>
                  <w:tcW w:w="2705" w:type="pct"/>
                  <w:tcBorders>
                    <w:tl2br w:val="nil"/>
                    <w:tr2bl w:val="nil"/>
                  </w:tcBorders>
                  <w:vAlign w:val="center"/>
                </w:tcPr>
                <w:p w14:paraId="5A6DB35D">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（四）资源开发效率要求</w:t>
                  </w:r>
                </w:p>
                <w:p w14:paraId="3CB5BDA6">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1.优化能源结构，加强能源清洁利用。</w:t>
                  </w:r>
                </w:p>
                <w:p w14:paraId="5E608220">
                  <w:pPr>
                    <w:keepNext w:val="0"/>
                    <w:keepLines w:val="0"/>
                    <w:suppressLineNumbers w:val="0"/>
                    <w:spacing w:before="0" w:beforeAutospacing="0" w:after="0" w:afterAutospacing="0" w:line="240" w:lineRule="auto"/>
                    <w:ind w:left="0" w:right="0" w:firstLine="0" w:firstLineChars="0"/>
                    <w:jc w:val="left"/>
                    <w:rPr>
                      <w:rFonts w:hint="eastAsia"/>
                      <w:color w:val="auto"/>
                      <w:sz w:val="21"/>
                      <w:szCs w:val="21"/>
                      <w:highlight w:val="none"/>
                    </w:rPr>
                  </w:pPr>
                  <w:r>
                    <w:rPr>
                      <w:rFonts w:hint="eastAsia"/>
                      <w:color w:val="auto"/>
                      <w:sz w:val="21"/>
                      <w:szCs w:val="21"/>
                      <w:highlight w:val="none"/>
                    </w:rPr>
                    <w:t>2.提高土地利用效率，节约集约利用土地资源。</w:t>
                  </w:r>
                </w:p>
              </w:tc>
              <w:tc>
                <w:tcPr>
                  <w:tcW w:w="1344" w:type="pct"/>
                  <w:tcBorders>
                    <w:tl2br w:val="nil"/>
                    <w:tr2bl w:val="nil"/>
                  </w:tcBorders>
                  <w:vAlign w:val="center"/>
                </w:tcPr>
                <w:p w14:paraId="4BCDC8D5">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相符</w:t>
                  </w:r>
                </w:p>
                <w:p w14:paraId="760A341F">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1.本项目为光伏项目，属于清洁能源利用项目。</w:t>
                  </w:r>
                </w:p>
                <w:p w14:paraId="20A9FBCA">
                  <w:pPr>
                    <w:keepNext w:val="0"/>
                    <w:keepLines w:val="0"/>
                    <w:suppressLineNumbers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2.项目占地129.27公顷，其中永久用地7.3901公顷，土地利用效率较高。</w:t>
                  </w:r>
                </w:p>
              </w:tc>
            </w:tr>
            <w:tr w14:paraId="788FEC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3" w:hRule="atLeast"/>
                <w:jc w:val="center"/>
              </w:trPr>
              <w:tc>
                <w:tcPr>
                  <w:tcW w:w="5000" w:type="pct"/>
                  <w:gridSpan w:val="4"/>
                  <w:tcBorders>
                    <w:tl2br w:val="nil"/>
                    <w:tr2bl w:val="nil"/>
                  </w:tcBorders>
                  <w:vAlign w:val="center"/>
                </w:tcPr>
                <w:p w14:paraId="1E408ED2">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注：</w:t>
                  </w:r>
                </w:p>
                <w:p w14:paraId="1A6E3781">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2024年11月8日，会泽县自然资源局出具的《项目初步选址意见》（附件3）中确认项目占地2326367.23平方米；</w:t>
                  </w:r>
                </w:p>
                <w:p w14:paraId="79CEFFA6">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2024年12月18日，会泽县林业和草原局出具的《项目初步选址意见》（附件3）中确认项目占地213.2503公顷；</w:t>
                  </w:r>
                </w:p>
                <w:p w14:paraId="0CC1B98E">
                  <w:pPr>
                    <w:keepNext w:val="0"/>
                    <w:keepLines w:val="0"/>
                    <w:suppressLineNumbers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2026年5月20日，会泽县自然资源局出具的《项目是否涉及占用生态保护红线情况说明》（附件11）中确认项目占地2031401.78平方米。</w:t>
                  </w:r>
                </w:p>
                <w:p w14:paraId="25CF4CB6">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出现上述面积变化的原因为：项目初期选址面积较大，经会泽县自然资源局、会泽县林业和草原局逐步剔除国家公益林、基本农田、耕地、不可占用林地、生态保护红线等敏感区域后，项目最终方案占地面积逐渐变小。现有方案各地块均包含在上述选址意见查询期间的图斑数据，未进行额外选址。</w:t>
                  </w:r>
                </w:p>
              </w:tc>
            </w:tr>
          </w:tbl>
          <w:p w14:paraId="31BE9145">
            <w:pPr>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1.2.2项目与生态保护红线相关政策符合性分析</w:t>
            </w:r>
          </w:p>
          <w:p w14:paraId="24FE0C62">
            <w:pPr>
              <w:keepNext w:val="0"/>
              <w:keepLines w:val="0"/>
              <w:suppressLineNumbers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云南省人民政府关于发布云南省生态保护红线的通知》（云政发〔2018〕32号）、《自然资源部办公厅关于北京等省（区、市）启用“三区三线”划定成果作为报批建设项目用地用海依据的函》（自然资办函〔2022〕2207号）以及与会泽县自然资源局查询核实，</w:t>
            </w:r>
            <w:r>
              <w:rPr>
                <w:rFonts w:hint="eastAsia" w:ascii="Times New Roman" w:hAnsi="Times New Roman" w:cs="Times New Roman"/>
                <w:color w:val="auto"/>
                <w:highlight w:val="none"/>
                <w:lang w:val="en-US" w:eastAsia="zh-CN"/>
              </w:rPr>
              <w:t>本项目涉及生态保护</w:t>
            </w:r>
            <w:r>
              <w:rPr>
                <w:rFonts w:hint="default"/>
                <w:color w:val="auto"/>
                <w:highlight w:val="none"/>
              </w:rPr>
              <w:t>红线名称为金沙江下游</w:t>
            </w:r>
            <w:r>
              <w:rPr>
                <w:rFonts w:hint="eastAsia"/>
                <w:color w:val="auto"/>
                <w:highlight w:val="none"/>
                <w:lang w:eastAsia="zh-CN"/>
              </w:rPr>
              <w:t>－</w:t>
            </w:r>
            <w:r>
              <w:rPr>
                <w:rFonts w:hint="default"/>
                <w:color w:val="auto"/>
                <w:highlight w:val="none"/>
              </w:rPr>
              <w:t>小江流域水土流失控制生态保护红线</w:t>
            </w:r>
            <w:r>
              <w:rPr>
                <w:rFonts w:hint="eastAsia"/>
                <w:color w:val="auto"/>
                <w:highlight w:val="none"/>
                <w:lang w:eastAsia="zh-CN"/>
              </w:rPr>
              <w:t>，</w:t>
            </w:r>
            <w:r>
              <w:rPr>
                <w:rFonts w:hint="eastAsia"/>
                <w:color w:val="auto"/>
                <w:highlight w:val="none"/>
                <w:lang w:val="en-US" w:eastAsia="zh-CN"/>
              </w:rPr>
              <w:t>生态保护红线内无土地占用，架空集电线路有7处跨越生态保护红线，共跨越1746.19m</w:t>
            </w:r>
            <w:r>
              <w:rPr>
                <w:rFonts w:hint="eastAsia" w:cs="Times New Roman"/>
                <w:color w:val="auto"/>
                <w:kern w:val="0"/>
                <w:szCs w:val="24"/>
                <w:highlight w:val="none"/>
                <w:vertAlign w:val="baseline"/>
                <w:lang w:val="en-US" w:eastAsia="zh-CN"/>
              </w:rPr>
              <w:t>。</w:t>
            </w:r>
            <w:r>
              <w:rPr>
                <w:rFonts w:hint="eastAsia"/>
                <w:color w:val="auto"/>
                <w:highlight w:val="none"/>
                <w:lang w:val="en-US" w:eastAsia="zh-CN"/>
              </w:rPr>
              <w:t>部分方阵临近生态保护红线，其中：</w:t>
            </w:r>
            <w:r>
              <w:rPr>
                <w:rFonts w:hint="eastAsia" w:cs="Times New Roman"/>
                <w:color w:val="auto"/>
                <w:kern w:val="0"/>
                <w:szCs w:val="24"/>
                <w:highlight w:val="none"/>
                <w:vertAlign w:val="baseline"/>
                <w:lang w:val="en-US" w:eastAsia="zh-CN"/>
              </w:rPr>
              <w:t>37#方阵与生态保护红线的距离分别为：北侧11.39m、东侧36.99m、西侧10.32m；38#方阵与生态保护红线的距离分别为：西侧4.94m，东侧68.7m；13#方阵与生态保护红线的距离为南侧218.14m；8#方阵与生态保护红线的距离分别为：南侧12.93m，东南侧5.57m。</w:t>
            </w:r>
          </w:p>
          <w:p w14:paraId="7C43F275">
            <w:pPr>
              <w:keepNext w:val="0"/>
              <w:keepLines w:val="0"/>
              <w:suppressLineNumbers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关于以改善环境质量为核心加强环境影响评价管理的通知》（环评〔2016〕150号）、《关于生态环境领域进一步深化“放管服”改革，推动经济高质量发展的指导意见》（环规财〔2018〕86号）、《关于在国土空间规划中统筹划定落实三条控制线的指导意见》（</w:t>
            </w:r>
            <w:r>
              <w:rPr>
                <w:rFonts w:hint="eastAsia" w:ascii="Times New Roman" w:hAnsi="Times New Roman" w:cs="Times New Roman"/>
                <w:color w:val="auto"/>
                <w:highlight w:val="none"/>
                <w:lang w:val="en-US" w:eastAsia="zh-CN"/>
              </w:rPr>
              <w:t>国务院公报</w:t>
            </w:r>
            <w:r>
              <w:rPr>
                <w:rFonts w:hint="eastAsia" w:cs="Times New Roman"/>
                <w:color w:val="auto"/>
                <w:highlight w:val="none"/>
                <w:lang w:val="en-US" w:eastAsia="zh-CN"/>
              </w:rPr>
              <w:t>〔2019〕32号</w:t>
            </w:r>
            <w:r>
              <w:rPr>
                <w:rFonts w:hint="default" w:ascii="Times New Roman" w:hAnsi="Times New Roman" w:cs="Times New Roman"/>
                <w:color w:val="auto"/>
                <w:highlight w:val="none"/>
                <w:lang w:val="en-US" w:eastAsia="zh-CN"/>
              </w:rPr>
              <w:t>）、《关于加强生态保护红线管理的通知（试行）》（自然资发〔2022〕142号）</w:t>
            </w:r>
            <w:r>
              <w:rPr>
                <w:rFonts w:hint="eastAsia" w:cs="Times New Roman"/>
                <w:color w:val="auto"/>
                <w:highlight w:val="none"/>
                <w:lang w:val="en-US" w:eastAsia="zh-CN"/>
              </w:rPr>
              <w:t>和</w:t>
            </w:r>
            <w:r>
              <w:rPr>
                <w:rFonts w:hint="default" w:ascii="Times New Roman" w:hAnsi="Times New Roman" w:cs="Times New Roman"/>
                <w:color w:val="auto"/>
                <w:highlight w:val="none"/>
                <w:lang w:val="en-US" w:eastAsia="zh-CN"/>
              </w:rPr>
              <w:t>《云南省自然资源厅云南省生态环境厅云南省林业和草原局关于加强生态保护红线管理工作的通知》（云自然资﹝2023﹞98号）</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本项目与生态保护红线相关政策符合性分析见表1.2-2。</w:t>
            </w:r>
          </w:p>
          <w:p w14:paraId="60AE1FF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表1.2-2</w:t>
            </w:r>
            <w:r>
              <w:rPr>
                <w:rFonts w:hint="eastAsia" w:cs="Times New Roman"/>
                <w:b/>
                <w:bCs/>
                <w:color w:val="auto"/>
                <w:highlight w:val="none"/>
                <w:lang w:val="en-US" w:eastAsia="zh-CN"/>
              </w:rPr>
              <w:t xml:space="preserve"> </w:t>
            </w:r>
            <w:r>
              <w:rPr>
                <w:rFonts w:hint="default" w:ascii="Times New Roman" w:hAnsi="Times New Roman" w:cs="Times New Roman"/>
                <w:b/>
                <w:bCs/>
                <w:color w:val="auto"/>
                <w:highlight w:val="none"/>
                <w:lang w:val="en-US" w:eastAsia="zh-CN"/>
              </w:rPr>
              <w:t>本项目与生态保护红线相关政策符合性分析一览表</w:t>
            </w:r>
          </w:p>
          <w:tbl>
            <w:tblPr>
              <w:tblStyle w:val="11"/>
              <w:tblW w:w="488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56"/>
              <w:gridCol w:w="7268"/>
              <w:gridCol w:w="3066"/>
            </w:tblGrid>
            <w:tr w14:paraId="1DDAE8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96" w:type="pct"/>
                  <w:tcBorders>
                    <w:tl2br w:val="nil"/>
                    <w:tr2bl w:val="nil"/>
                  </w:tcBorders>
                  <w:noWrap w:val="0"/>
                  <w:vAlign w:val="center"/>
                </w:tcPr>
                <w:p w14:paraId="37ED06D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名称</w:t>
                  </w:r>
                </w:p>
              </w:tc>
              <w:tc>
                <w:tcPr>
                  <w:tcW w:w="2885" w:type="pct"/>
                  <w:tcBorders>
                    <w:tl2br w:val="nil"/>
                    <w:tr2bl w:val="nil"/>
                  </w:tcBorders>
                  <w:noWrap w:val="0"/>
                  <w:vAlign w:val="center"/>
                </w:tcPr>
                <w:p w14:paraId="3DC678E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法规</w:t>
                  </w:r>
                </w:p>
              </w:tc>
              <w:tc>
                <w:tcPr>
                  <w:tcW w:w="1217" w:type="pct"/>
                  <w:tcBorders>
                    <w:tl2br w:val="nil"/>
                    <w:tr2bl w:val="nil"/>
                  </w:tcBorders>
                  <w:noWrap w:val="0"/>
                  <w:vAlign w:val="center"/>
                </w:tcPr>
                <w:p w14:paraId="05C4B49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符合性分析</w:t>
                  </w:r>
                </w:p>
              </w:tc>
            </w:tr>
            <w:tr w14:paraId="2BBB3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896" w:type="pct"/>
                  <w:tcBorders>
                    <w:tl2br w:val="nil"/>
                    <w:tr2bl w:val="nil"/>
                  </w:tcBorders>
                  <w:noWrap w:val="0"/>
                  <w:vAlign w:val="center"/>
                </w:tcPr>
                <w:p w14:paraId="2CC41CA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《关于以改善环境质量为核心加强环境影响评价管理的通知》（环评〔2016〕150</w:t>
                  </w:r>
                </w:p>
                <w:p w14:paraId="098A28B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号）</w:t>
                  </w:r>
                </w:p>
              </w:tc>
              <w:tc>
                <w:tcPr>
                  <w:tcW w:w="2885" w:type="pct"/>
                  <w:tcBorders>
                    <w:tl2br w:val="nil"/>
                    <w:tr2bl w:val="nil"/>
                  </w:tcBorders>
                  <w:noWrap w:val="0"/>
                  <w:vAlign w:val="center"/>
                </w:tcPr>
                <w:p w14:paraId="3A9646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“一、强化</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三线一单</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约束作用——（一）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217" w:type="pct"/>
                  <w:tcBorders>
                    <w:tl2br w:val="nil"/>
                    <w:tr2bl w:val="nil"/>
                  </w:tcBorders>
                  <w:noWrap w:val="0"/>
                  <w:vAlign w:val="center"/>
                </w:tcPr>
                <w:p w14:paraId="1F950D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相符</w:t>
                  </w:r>
                </w:p>
                <w:p w14:paraId="42F56D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w:t>
                  </w:r>
                  <w:r>
                    <w:rPr>
                      <w:rFonts w:hint="eastAsia" w:ascii="Times New Roman" w:hAnsi="Times New Roman" w:cs="Times New Roman"/>
                      <w:color w:val="auto"/>
                      <w:sz w:val="21"/>
                      <w:szCs w:val="21"/>
                      <w:highlight w:val="none"/>
                      <w:lang w:val="en-US" w:eastAsia="zh-CN"/>
                    </w:rPr>
                    <w:t>光伏发电项目，光伏阵列、施工营地等临时占地，以及箱变、线路塔基等永久占地均不占用生态保护红线。项目架空集电线路共</w:t>
                  </w:r>
                  <w:r>
                    <w:rPr>
                      <w:rFonts w:hint="eastAsia" w:cs="Times New Roman"/>
                      <w:color w:val="auto"/>
                      <w:sz w:val="21"/>
                      <w:szCs w:val="21"/>
                      <w:highlight w:val="none"/>
                      <w:lang w:val="en-US" w:eastAsia="zh-CN"/>
                    </w:rPr>
                    <w:t>7</w:t>
                  </w:r>
                  <w:r>
                    <w:rPr>
                      <w:rFonts w:hint="eastAsia" w:ascii="Times New Roman" w:hAnsi="Times New Roman" w:cs="Times New Roman"/>
                      <w:color w:val="auto"/>
                      <w:sz w:val="21"/>
                      <w:szCs w:val="21"/>
                      <w:highlight w:val="none"/>
                      <w:lang w:val="en-US" w:eastAsia="zh-CN"/>
                    </w:rPr>
                    <w:t>处跨越生态保护红线。项目用地预审</w:t>
                  </w:r>
                  <w:r>
                    <w:rPr>
                      <w:rFonts w:hint="eastAsia" w:cs="Times New Roman"/>
                      <w:color w:val="auto"/>
                      <w:sz w:val="21"/>
                      <w:szCs w:val="21"/>
                      <w:highlight w:val="none"/>
                      <w:lang w:val="en-US" w:eastAsia="zh-CN"/>
                    </w:rPr>
                    <w:t>（附件4）、</w:t>
                  </w:r>
                  <w:r>
                    <w:rPr>
                      <w:rFonts w:hint="eastAsia" w:ascii="Times New Roman" w:hAnsi="Times New Roman" w:cs="Times New Roman"/>
                      <w:color w:val="auto"/>
                      <w:sz w:val="21"/>
                      <w:szCs w:val="21"/>
                      <w:highlight w:val="none"/>
                      <w:lang w:val="en-US" w:eastAsia="zh-CN"/>
                    </w:rPr>
                    <w:t>林地</w:t>
                  </w:r>
                  <w:r>
                    <w:rPr>
                      <w:rFonts w:hint="eastAsia" w:cs="Times New Roman"/>
                      <w:color w:val="auto"/>
                      <w:sz w:val="21"/>
                      <w:szCs w:val="21"/>
                      <w:highlight w:val="none"/>
                      <w:lang w:val="en-US" w:eastAsia="zh-CN"/>
                    </w:rPr>
                    <w:t>（附件8）</w:t>
                  </w:r>
                  <w:r>
                    <w:rPr>
                      <w:rFonts w:hint="eastAsia" w:ascii="Times New Roman" w:hAnsi="Times New Roman" w:cs="Times New Roman"/>
                      <w:color w:val="auto"/>
                      <w:sz w:val="21"/>
                      <w:szCs w:val="21"/>
                      <w:highlight w:val="none"/>
                      <w:lang w:val="en-US" w:eastAsia="zh-CN"/>
                    </w:rPr>
                    <w:t>、草地</w:t>
                  </w:r>
                  <w:r>
                    <w:rPr>
                      <w:rFonts w:hint="eastAsia" w:cs="Times New Roman"/>
                      <w:color w:val="auto"/>
                      <w:sz w:val="21"/>
                      <w:szCs w:val="21"/>
                      <w:highlight w:val="none"/>
                      <w:lang w:val="en-US" w:eastAsia="zh-CN"/>
                    </w:rPr>
                    <w:t>（附件9）</w:t>
                  </w:r>
                  <w:r>
                    <w:rPr>
                      <w:rFonts w:hint="eastAsia" w:ascii="Times New Roman" w:hAnsi="Times New Roman" w:cs="Times New Roman"/>
                      <w:color w:val="auto"/>
                      <w:sz w:val="21"/>
                      <w:szCs w:val="21"/>
                      <w:highlight w:val="none"/>
                      <w:lang w:val="en-US" w:eastAsia="zh-CN"/>
                    </w:rPr>
                    <w:t>审批手续已完成。</w:t>
                  </w:r>
                </w:p>
              </w:tc>
            </w:tr>
            <w:tr w14:paraId="21E328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96" w:type="pct"/>
                  <w:tcBorders>
                    <w:tl2br w:val="nil"/>
                    <w:tr2bl w:val="nil"/>
                  </w:tcBorders>
                  <w:noWrap w:val="0"/>
                  <w:vAlign w:val="center"/>
                </w:tcPr>
                <w:p w14:paraId="543ADC7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《关于生态环境领域进一步深化“放管服”改革，推动经济高质量发展的指导意见》（环规财〔2018〕86号）</w:t>
                  </w:r>
                </w:p>
              </w:tc>
              <w:tc>
                <w:tcPr>
                  <w:tcW w:w="2885" w:type="pct"/>
                  <w:tcBorders>
                    <w:tl2br w:val="nil"/>
                    <w:tr2bl w:val="nil"/>
                  </w:tcBorders>
                  <w:noWrap w:val="0"/>
                  <w:vAlign w:val="center"/>
                </w:tcPr>
                <w:p w14:paraId="094CB7B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加快审批制度改革，激发发展活力与动力——（五）进一步提高环评审批效率，服务实体经济。各级生态环境部门要主动服务，提前指导，开展重大项目审批调度，拉条挂账形成清单，会同行业主管部门督促建设单位尽早开展环评，合理安排报批时间。优化审批管理，为重大基础设施、民生工程和重大产业布局项目开辟绿色通道，实行即到即受理、即受理即评估、评估与审查同步，审批时限原则上压缩至法定的一</w:t>
                  </w:r>
                </w:p>
                <w:p w14:paraId="17D119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半。实施分类处理，对符合生态环境保护要求的项目一律加快环评审批；对审批中发现涉及生态保护红线和相关法定保护区的输气管线、铁路等线性项目，指导督促项目优化调整选线、主动避让；确实无法避让的，要求建设单位采取无害化穿（跨）越方式，或依法依规向有关行政主管部门履行穿（跨）越法定保护区的行政许可手续、强化减缓和补偿措施。”</w:t>
                  </w:r>
                </w:p>
              </w:tc>
              <w:tc>
                <w:tcPr>
                  <w:tcW w:w="1217" w:type="pct"/>
                  <w:tcBorders>
                    <w:tl2br w:val="nil"/>
                    <w:tr2bl w:val="nil"/>
                  </w:tcBorders>
                  <w:noWrap w:val="0"/>
                  <w:vAlign w:val="center"/>
                </w:tcPr>
                <w:p w14:paraId="6AE9C4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相符</w:t>
                  </w:r>
                </w:p>
                <w:p w14:paraId="73DB8EA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w:t>
                  </w:r>
                  <w:r>
                    <w:rPr>
                      <w:rFonts w:hint="eastAsia" w:ascii="Times New Roman" w:hAnsi="Times New Roman" w:cs="Times New Roman"/>
                      <w:color w:val="auto"/>
                      <w:sz w:val="21"/>
                      <w:szCs w:val="21"/>
                      <w:highlight w:val="none"/>
                      <w:lang w:val="en-US" w:eastAsia="zh-CN"/>
                    </w:rPr>
                    <w:t>光伏发电项目</w:t>
                  </w: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项目不占用生态保护红线。</w:t>
                  </w:r>
                  <w:r>
                    <w:rPr>
                      <w:rFonts w:hint="default" w:ascii="Times New Roman" w:hAnsi="Times New Roman" w:cs="Times New Roman"/>
                      <w:color w:val="auto"/>
                      <w:sz w:val="21"/>
                      <w:szCs w:val="21"/>
                      <w:highlight w:val="none"/>
                      <w:lang w:val="en-US" w:eastAsia="zh-CN"/>
                    </w:rPr>
                    <w:t>无法避让生态保护红线。项目已采取高空架线等无害化跨越方式，减少对生态保护红线区域的影响。</w:t>
                  </w:r>
                </w:p>
              </w:tc>
            </w:tr>
            <w:tr w14:paraId="0D5055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4" w:hRule="atLeast"/>
                <w:jc w:val="center"/>
              </w:trPr>
              <w:tc>
                <w:tcPr>
                  <w:tcW w:w="896" w:type="pct"/>
                  <w:tcBorders>
                    <w:tl2br w:val="nil"/>
                    <w:tr2bl w:val="nil"/>
                  </w:tcBorders>
                  <w:noWrap w:val="0"/>
                  <w:vAlign w:val="center"/>
                </w:tcPr>
                <w:p w14:paraId="008F73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《关于在国土空间规划中统筹划定落实三条控制线的指导意见》</w:t>
                  </w:r>
                </w:p>
              </w:tc>
              <w:tc>
                <w:tcPr>
                  <w:tcW w:w="2885" w:type="pct"/>
                  <w:tcBorders>
                    <w:tl2br w:val="nil"/>
                    <w:tr2bl w:val="nil"/>
                  </w:tcBorders>
                  <w:noWrap w:val="0"/>
                  <w:vAlign w:val="center"/>
                </w:tcPr>
                <w:p w14:paraId="5C636C6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科学有序划定——（四）按照生态功能划定生态保护红线。生态保护红线内，自然保护地核心保护区原则上禁止人为活动，其他区域严格禁止开发性、生产性建设活动，在符合现行法律法规前提下，除国家重大战略项目外，仅允许对生态功能不造成破坏的有限人为活动，主要包括：零星的原住民在不扩大现有建设用地和耕地规模前提下，修缮生产生活设施，保留生活必需的少量种植、放牧、捕捞、养殖；因国家重大能源资源安全需要开展的战略性能源资源勘查，公益性自然资源调查和地质勘查；自然资源、生态环境监测和执法包括水文水资源监测及涉水违法事件的查处等，灾害防治和应急抢险活动；经依法批准进行的非破坏性科学研究观测、标本采集；经依法批准的考古调查发掘和文物保护活动；不破坏生态功能的适度参观旅游和相关的必要公共设施建设；必须且无法避让、符合县级以上国土空间规划的线性基础设施建设、防洪和供水设施建设与运行维护；重要生态修复工程”。</w:t>
                  </w:r>
                </w:p>
              </w:tc>
              <w:tc>
                <w:tcPr>
                  <w:tcW w:w="1217" w:type="pct"/>
                  <w:tcBorders>
                    <w:tl2br w:val="nil"/>
                    <w:tr2bl w:val="nil"/>
                  </w:tcBorders>
                  <w:noWrap w:val="0"/>
                  <w:vAlign w:val="center"/>
                </w:tcPr>
                <w:p w14:paraId="43FCAEB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相符</w:t>
                  </w:r>
                </w:p>
                <w:p w14:paraId="7E91C12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w:t>
                  </w:r>
                  <w:r>
                    <w:rPr>
                      <w:rFonts w:hint="eastAsia" w:ascii="Times New Roman" w:hAnsi="Times New Roman" w:cs="Times New Roman"/>
                      <w:color w:val="auto"/>
                      <w:sz w:val="21"/>
                      <w:szCs w:val="21"/>
                      <w:highlight w:val="none"/>
                      <w:lang w:val="en-US" w:eastAsia="zh-CN"/>
                    </w:rPr>
                    <w:t>为光伏发电项目，</w:t>
                  </w:r>
                  <w:r>
                    <w:rPr>
                      <w:rFonts w:hint="eastAsia" w:cs="Times New Roman"/>
                      <w:color w:val="auto"/>
                      <w:sz w:val="21"/>
                      <w:szCs w:val="21"/>
                      <w:highlight w:val="none"/>
                      <w:lang w:val="en-US" w:eastAsia="zh-CN"/>
                    </w:rPr>
                    <w:t>已</w:t>
                  </w:r>
                  <w:r>
                    <w:rPr>
                      <w:rFonts w:hint="eastAsia" w:ascii="Times New Roman" w:hAnsi="Times New Roman" w:cs="Times New Roman"/>
                      <w:color w:val="auto"/>
                      <w:sz w:val="21"/>
                      <w:szCs w:val="21"/>
                      <w:highlight w:val="none"/>
                      <w:lang w:val="en-US" w:eastAsia="zh-CN"/>
                    </w:rPr>
                    <w:t>纳入会泽县国土空间规划，</w:t>
                  </w:r>
                  <w:r>
                    <w:rPr>
                      <w:rFonts w:hint="eastAsia" w:cs="Times New Roman"/>
                      <w:color w:val="auto"/>
                      <w:sz w:val="21"/>
                      <w:szCs w:val="21"/>
                      <w:highlight w:val="none"/>
                      <w:lang w:val="en-US" w:eastAsia="zh-CN"/>
                    </w:rPr>
                    <w:t>相关用地预审已办理。</w:t>
                  </w:r>
                  <w:r>
                    <w:rPr>
                      <w:rFonts w:hint="eastAsia" w:ascii="Times New Roman" w:hAnsi="Times New Roman" w:cs="Times New Roman"/>
                      <w:color w:val="auto"/>
                      <w:sz w:val="21"/>
                      <w:szCs w:val="21"/>
                      <w:highlight w:val="none"/>
                      <w:lang w:val="en-US" w:eastAsia="zh-CN"/>
                    </w:rPr>
                    <w:t>项目集电线路属于“符合县级以上国土空间规划的线性基础设施建设”属于允许</w:t>
                  </w:r>
                  <w:r>
                    <w:rPr>
                      <w:rFonts w:hint="eastAsia" w:cs="Times New Roman"/>
                      <w:color w:val="auto"/>
                      <w:sz w:val="21"/>
                      <w:szCs w:val="21"/>
                      <w:highlight w:val="none"/>
                      <w:lang w:val="en-US" w:eastAsia="zh-CN"/>
                    </w:rPr>
                    <w:t>人为</w:t>
                  </w:r>
                  <w:r>
                    <w:rPr>
                      <w:rFonts w:hint="eastAsia" w:ascii="Times New Roman" w:hAnsi="Times New Roman" w:cs="Times New Roman"/>
                      <w:color w:val="auto"/>
                      <w:sz w:val="21"/>
                      <w:szCs w:val="21"/>
                      <w:highlight w:val="none"/>
                      <w:lang w:val="en-US" w:eastAsia="zh-CN"/>
                    </w:rPr>
                    <w:t>活动。本项目不占用生态保护红线仅跨越，属于无害化穿越（跨）方式。</w:t>
                  </w:r>
                </w:p>
                <w:p w14:paraId="78758C1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p>
              </w:tc>
            </w:tr>
            <w:tr w14:paraId="2C704C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5" w:hRule="atLeast"/>
                <w:jc w:val="center"/>
              </w:trPr>
              <w:tc>
                <w:tcPr>
                  <w:tcW w:w="896" w:type="pct"/>
                  <w:tcBorders>
                    <w:tl2br w:val="nil"/>
                    <w:tr2bl w:val="nil"/>
                  </w:tcBorders>
                  <w:noWrap w:val="0"/>
                  <w:vAlign w:val="center"/>
                </w:tcPr>
                <w:p w14:paraId="2435BF0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《关于加强生态保护红线管理的通知（试行）》（自然资发〔2022〕142号）符合性分析</w:t>
                  </w:r>
                </w:p>
              </w:tc>
              <w:tc>
                <w:tcPr>
                  <w:tcW w:w="2885" w:type="pct"/>
                  <w:tcBorders>
                    <w:tl2br w:val="nil"/>
                    <w:tr2bl w:val="nil"/>
                  </w:tcBorders>
                  <w:noWrap w:val="0"/>
                  <w:vAlign w:val="center"/>
                </w:tcPr>
                <w:p w14:paraId="3BF058A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一、加强人为活动管控</w:t>
                  </w:r>
                </w:p>
                <w:p w14:paraId="2D1DE78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规范管控对生态功能不造成破坏的有限人为活动。生态保护红线是国土空间规划中的重要管控边界，生态保护红线内自然保护地核心保护区外，禁止开发性、生产性建设活动，在符合法律法规的前提下，仅允许以下对生态功能不造成破坏的有限人为活动。生态保护红线内自然保护区、风景名胜区、饮用水水源保护区等区域，依照法律法规执行。</w:t>
                  </w:r>
                </w:p>
                <w:p w14:paraId="1E1497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必须且无法避让、符合县级以上国土空间规划的线性基础设施、通讯和防洪、供水设施建设和船舶航行、航道疏浚清淤等活动；已有的合法水利、交通运输等设施运行维护改造。</w:t>
                  </w:r>
                </w:p>
                <w:p w14:paraId="52E8EDB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加强有限人为活动管理。上述生态保护红线管控范围内有限人为活动，涉及新增建设用地、用海用岛审批的，在报批农用地转用、土地征收、海域使用权、无居民海岛开发利用时，附省级人民政府出具符合生态保护红线内允许有限人为活动的认定意见；不涉及新增建设用地、用海用岛审批的，按有关规定进行管理，无明确规定的由省级人民政府制定具体监管办法。上述活动涉及自然保护地的，应征求林业和草原主管部门或自然保护地管理机构意见。</w:t>
                  </w:r>
                </w:p>
                <w:p w14:paraId="1AC00ED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规范占用生态保护红线用地用海用岛审批生态保护红线内允许的有限人为活动和国家重大项目占用生态保护红线涉及临时用地的，按照自然资源部关于规范临时用地管理的有关要求，参照临时占用永久基本农田规定办理（临时用地一般不得占用永久基本农田，建设项目施工和地质勘查需要临时用地、选址确实难以避让永久基本农田的，在不修建永久性建（构）筑物、经复垦能恢复原种植条件的前提下，土地使用者按法定程序申请临时用地并编制土地复垦方案，经县级自然资源主管部门批准可临时占用，并在市级自然资源主管部门备案），严格落实恢复责任。</w:t>
                  </w:r>
                </w:p>
              </w:tc>
              <w:tc>
                <w:tcPr>
                  <w:tcW w:w="1217" w:type="pct"/>
                  <w:tcBorders>
                    <w:tl2br w:val="nil"/>
                    <w:tr2bl w:val="nil"/>
                  </w:tcBorders>
                  <w:noWrap w:val="0"/>
                  <w:vAlign w:val="center"/>
                </w:tcPr>
                <w:p w14:paraId="69A599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相符</w:t>
                  </w:r>
                </w:p>
                <w:p w14:paraId="6EE1D7A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1.本项目不占用生态保护红线，影响范围内无</w:t>
                  </w:r>
                  <w:r>
                    <w:rPr>
                      <w:rFonts w:hint="default" w:ascii="Times New Roman" w:hAnsi="Times New Roman" w:cs="Times New Roman"/>
                      <w:color w:val="auto"/>
                      <w:sz w:val="21"/>
                      <w:szCs w:val="21"/>
                      <w:highlight w:val="none"/>
                      <w:lang w:val="en-US" w:eastAsia="zh-CN"/>
                    </w:rPr>
                    <w:t>自然保护区、风景名胜区、饮用水水源保护区等</w:t>
                  </w:r>
                  <w:r>
                    <w:rPr>
                      <w:rFonts w:hint="eastAsia" w:cs="Times New Roman"/>
                      <w:color w:val="auto"/>
                      <w:sz w:val="21"/>
                      <w:szCs w:val="21"/>
                      <w:highlight w:val="none"/>
                      <w:lang w:val="en-US" w:eastAsia="zh-CN"/>
                    </w:rPr>
                    <w:t>区域</w:t>
                  </w:r>
                  <w:r>
                    <w:rPr>
                      <w:rFonts w:hint="eastAsia" w:ascii="Times New Roman" w:hAnsi="Times New Roman" w:cs="Times New Roman"/>
                      <w:color w:val="auto"/>
                      <w:sz w:val="21"/>
                      <w:szCs w:val="21"/>
                      <w:highlight w:val="none"/>
                      <w:lang w:val="en-US" w:eastAsia="zh-CN"/>
                    </w:rPr>
                    <w:t>。</w:t>
                  </w:r>
                </w:p>
                <w:p w14:paraId="69C7E96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项目建设符合会泽县国土空间规划，跨越</w:t>
                  </w:r>
                  <w:r>
                    <w:rPr>
                      <w:rFonts w:hint="eastAsia" w:cs="Times New Roman"/>
                      <w:color w:val="auto"/>
                      <w:sz w:val="21"/>
                      <w:szCs w:val="21"/>
                      <w:highlight w:val="none"/>
                      <w:lang w:val="en-US" w:eastAsia="zh-CN"/>
                    </w:rPr>
                    <w:t>生态保护红线</w:t>
                  </w:r>
                  <w:r>
                    <w:rPr>
                      <w:rFonts w:hint="eastAsia" w:ascii="Times New Roman" w:hAnsi="Times New Roman" w:cs="Times New Roman"/>
                      <w:color w:val="auto"/>
                      <w:sz w:val="21"/>
                      <w:szCs w:val="21"/>
                      <w:highlight w:val="none"/>
                      <w:lang w:val="en-US" w:eastAsia="zh-CN"/>
                    </w:rPr>
                    <w:t>部分为集电线路属于线性基础设施。</w:t>
                  </w:r>
                </w:p>
                <w:p w14:paraId="48AA5D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2.本项目仅跨越生态保护红线，不新增生态保护红线内用地。</w:t>
                  </w:r>
                </w:p>
                <w:p w14:paraId="076578C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本项目</w:t>
                  </w:r>
                  <w:r>
                    <w:rPr>
                      <w:rFonts w:hint="eastAsia" w:ascii="Times New Roman" w:hAnsi="Times New Roman" w:cs="Times New Roman"/>
                      <w:color w:val="auto"/>
                      <w:sz w:val="21"/>
                      <w:szCs w:val="21"/>
                      <w:highlight w:val="none"/>
                      <w:lang w:val="en-US" w:eastAsia="zh-CN"/>
                    </w:rPr>
                    <w:t>不新增生态保护红线内用地。项目塔基已避</w:t>
                  </w:r>
                  <w:r>
                    <w:rPr>
                      <w:rFonts w:hint="eastAsia" w:cs="Times New Roman"/>
                      <w:color w:val="auto"/>
                      <w:sz w:val="21"/>
                      <w:szCs w:val="21"/>
                      <w:highlight w:val="none"/>
                      <w:lang w:val="en-US" w:eastAsia="zh-CN"/>
                    </w:rPr>
                    <w:t>让永久基本农田。</w:t>
                  </w:r>
                </w:p>
              </w:tc>
            </w:tr>
            <w:tr w14:paraId="74A80B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5" w:hRule="atLeast"/>
                <w:jc w:val="center"/>
              </w:trPr>
              <w:tc>
                <w:tcPr>
                  <w:tcW w:w="896" w:type="pct"/>
                  <w:tcBorders>
                    <w:tl2br w:val="nil"/>
                    <w:tr2bl w:val="nil"/>
                  </w:tcBorders>
                  <w:noWrap w:val="0"/>
                  <w:vAlign w:val="center"/>
                </w:tcPr>
                <w:p w14:paraId="45698DA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《云南省自然资源厅云南省生态环境厅云南省林业和草原局关于加强生态保护红线管理工作的通知》（云自然资﹝2023﹞98号），</w:t>
                  </w:r>
                </w:p>
              </w:tc>
              <w:tc>
                <w:tcPr>
                  <w:tcW w:w="2885" w:type="pct"/>
                  <w:tcBorders>
                    <w:tl2br w:val="nil"/>
                    <w:tr2bl w:val="nil"/>
                  </w:tcBorders>
                  <w:noWrap w:val="0"/>
                  <w:vAlign w:val="center"/>
                </w:tcPr>
                <w:p w14:paraId="06007FA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（一）实行有限人为活动准入管控</w:t>
                  </w:r>
                </w:p>
                <w:p w14:paraId="583C5A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态保护红线内，自然保护地核心保护区原则上禁止人为活动；自然保护地核心保护区外禁止开发性、生产性建设活动，在符合法律法规前提下，仅允许对生态功能不造成破坏的有限人为活动。有限人为活动范围按照《有限人为活动准入目录》（以下简称《准入目录》，详见附件）进行管控。有限人为活动应尽量避让自然保护区、风景名胜区等自然保护地、饮用水水源保护区、世界自然遗产地、重要湿地、九大高原湖泊生态黄线内等特殊区域，确实无法避让的应符合法律法规规定。</w:t>
                  </w:r>
                </w:p>
                <w:p w14:paraId="7946701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（三）加强不涉及新增建设用地的有限人为活动监管</w:t>
                  </w:r>
                </w:p>
                <w:p w14:paraId="26B273D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应严格控制有限人为活动强度和规模，尽量避免对生态功能造成破坏。由县（市、区）人民政府按照《准入目录》认定，并出具属于生态保护红线内允许有限人为活动认定意见，相关行业主管部门结合职能职责按现行法律法规规定及要求办理有关手续，县（市、区）人民政府和有关部门负责做好后期生态保护监管。</w:t>
                  </w:r>
                </w:p>
              </w:tc>
              <w:tc>
                <w:tcPr>
                  <w:tcW w:w="1217" w:type="pct"/>
                  <w:tcBorders>
                    <w:tl2br w:val="nil"/>
                    <w:tr2bl w:val="nil"/>
                  </w:tcBorders>
                  <w:noWrap w:val="0"/>
                  <w:vAlign w:val="center"/>
                </w:tcPr>
                <w:p w14:paraId="129D334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相符</w:t>
                  </w:r>
                </w:p>
                <w:p w14:paraId="5CCECB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本项目不涉及生态保护红线内的自然保护地核心保护区；</w:t>
                  </w:r>
                </w:p>
                <w:p w14:paraId="4BA97F9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项目仅部分架空线路涉及跨越生态保护红线，在生态保护红线区域内无永久和临时占地行为。</w:t>
                  </w:r>
                </w:p>
                <w:p w14:paraId="21C7A2A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项目跨越生态保护红线不涉及</w:t>
                  </w:r>
                  <w:r>
                    <w:rPr>
                      <w:rFonts w:hint="default" w:ascii="Times New Roman" w:hAnsi="Times New Roman" w:cs="Times New Roman"/>
                      <w:color w:val="auto"/>
                      <w:sz w:val="21"/>
                      <w:szCs w:val="21"/>
                      <w:highlight w:val="none"/>
                      <w:lang w:val="en-US" w:eastAsia="zh-CN"/>
                    </w:rPr>
                    <w:t>自然保护地、饮用水水源保护区、世界自然遗产地、重要湿地、九大高原湖泊生态黄线内等特殊区域</w:t>
                  </w:r>
                  <w:r>
                    <w:rPr>
                      <w:rFonts w:hint="eastAsia" w:cs="Times New Roman"/>
                      <w:color w:val="auto"/>
                      <w:sz w:val="21"/>
                      <w:szCs w:val="21"/>
                      <w:highlight w:val="none"/>
                      <w:lang w:val="en-US" w:eastAsia="zh-CN"/>
                    </w:rPr>
                    <w:t>。</w:t>
                  </w:r>
                </w:p>
                <w:p w14:paraId="5FFF8A9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本项目已取得会泽县自然资源局用地预审审批手续。</w:t>
                  </w:r>
                </w:p>
              </w:tc>
            </w:tr>
          </w:tbl>
          <w:p w14:paraId="275BFFB1">
            <w:pPr>
              <w:keepNext w:val="0"/>
              <w:keepLines w:val="0"/>
              <w:suppressLineNumbers w:val="0"/>
              <w:spacing w:before="0" w:beforeAutospacing="0" w:after="0" w:afterAutospacing="0"/>
              <w:ind w:left="0" w:right="0" w:firstLine="0" w:firstLineChars="0"/>
              <w:rPr>
                <w:rFonts w:hint="default"/>
                <w:color w:val="auto"/>
                <w:highlight w:val="none"/>
              </w:rPr>
            </w:pPr>
            <w:r>
              <w:rPr>
                <w:rFonts w:hint="default"/>
                <w:b/>
                <w:bCs/>
                <w:color w:val="auto"/>
                <w:szCs w:val="32"/>
                <w:highlight w:val="none"/>
              </w:rPr>
              <w:t>1.</w:t>
            </w:r>
            <w:r>
              <w:rPr>
                <w:rFonts w:hint="eastAsia"/>
                <w:b/>
                <w:bCs/>
                <w:color w:val="auto"/>
                <w:szCs w:val="32"/>
                <w:highlight w:val="none"/>
              </w:rPr>
              <w:t>3</w:t>
            </w:r>
            <w:r>
              <w:rPr>
                <w:rFonts w:hint="default"/>
                <w:b/>
                <w:bCs/>
                <w:color w:val="auto"/>
                <w:szCs w:val="32"/>
                <w:highlight w:val="none"/>
              </w:rPr>
              <w:t xml:space="preserve"> 相关环境保护规划符合性分析</w:t>
            </w:r>
          </w:p>
          <w:p w14:paraId="7F0ABA36">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与</w:t>
            </w:r>
            <w:r>
              <w:rPr>
                <w:rFonts w:hint="default" w:ascii="Times New Roman" w:hAnsi="Times New Roman" w:cs="Times New Roman"/>
                <w:color w:val="auto"/>
                <w:highlight w:val="none"/>
                <w:lang w:val="en-US" w:eastAsia="zh-CN"/>
              </w:rPr>
              <w:t>本项目相关的环境保护规划包括：</w:t>
            </w:r>
            <w:r>
              <w:rPr>
                <w:rFonts w:hint="default" w:ascii="Times New Roman" w:hAnsi="Times New Roman" w:cs="Times New Roman"/>
                <w:color w:val="auto"/>
                <w:highlight w:val="none"/>
              </w:rPr>
              <w:t>《</w:t>
            </w:r>
            <w:r>
              <w:rPr>
                <w:rFonts w:hint="eastAsia" w:cs="Times New Roman"/>
                <w:color w:val="auto"/>
                <w:highlight w:val="none"/>
                <w:lang w:eastAsia="zh-CN"/>
              </w:rPr>
              <w:t>云南省主体功能区规划</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《云南省生态功能区划》、《曲靖市生态环境保护“十四五”规划》（曲政办发</w:t>
            </w:r>
            <w:r>
              <w:rPr>
                <w:rFonts w:hint="eastAsia" w:ascii="Times New Roman" w:hAnsi="Times New Roman" w:cs="Times New Roman"/>
                <w:color w:val="auto"/>
                <w:highlight w:val="none"/>
                <w:lang w:val="en-US" w:eastAsia="zh-CN"/>
              </w:rPr>
              <w:t>〔2022〕24号</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、《牛栏江流域（云南部分）水环境保护规划（2009—2030年）》、《云南省生物多样性保护战略与行动计划（2024—2030年）》、《会泽县国土空间总体规划2021年—2035年》（会政发〔2025〕9号）</w:t>
            </w:r>
            <w:r>
              <w:rPr>
                <w:rFonts w:hint="default"/>
                <w:color w:val="auto"/>
                <w:highlight w:val="none"/>
              </w:rPr>
              <w:t>。</w:t>
            </w:r>
          </w:p>
          <w:p w14:paraId="07987AB4">
            <w:pPr>
              <w:keepNext w:val="0"/>
              <w:keepLines w:val="0"/>
              <w:suppressLineNumbers w:val="0"/>
              <w:spacing w:before="0" w:beforeAutospacing="0" w:after="0" w:afterAutospacing="0"/>
              <w:ind w:left="0" w:right="0" w:firstLine="0" w:firstLineChars="0"/>
              <w:rPr>
                <w:rFonts w:hint="default"/>
                <w:color w:val="auto"/>
                <w:highlight w:val="none"/>
              </w:rPr>
            </w:pPr>
            <w:r>
              <w:rPr>
                <w:rFonts w:hint="default"/>
                <w:color w:val="auto"/>
                <w:highlight w:val="none"/>
              </w:rPr>
              <w:t>1.</w:t>
            </w:r>
            <w:r>
              <w:rPr>
                <w:rFonts w:hint="eastAsia"/>
                <w:color w:val="auto"/>
                <w:highlight w:val="none"/>
              </w:rPr>
              <w:t>3</w:t>
            </w:r>
            <w:r>
              <w:rPr>
                <w:rFonts w:hint="default"/>
                <w:color w:val="auto"/>
                <w:highlight w:val="none"/>
              </w:rPr>
              <w:t>.1 项目与云南省主体功能区规划的符合性分析</w:t>
            </w:r>
          </w:p>
          <w:p w14:paraId="7F0FCE4D">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项目位于</w:t>
            </w:r>
            <w:r>
              <w:rPr>
                <w:rFonts w:hint="eastAsia"/>
                <w:color w:val="auto"/>
                <w:highlight w:val="none"/>
                <w:lang w:eastAsia="zh-CN"/>
              </w:rPr>
              <w:t>曲靖市会泽县</w:t>
            </w:r>
            <w:r>
              <w:rPr>
                <w:rFonts w:hint="default"/>
                <w:color w:val="auto"/>
                <w:highlight w:val="none"/>
              </w:rPr>
              <w:t>，根据《</w:t>
            </w:r>
            <w:r>
              <w:rPr>
                <w:rFonts w:hint="eastAsia"/>
                <w:color w:val="auto"/>
                <w:highlight w:val="none"/>
                <w:lang w:eastAsia="zh-CN"/>
              </w:rPr>
              <w:t>云南省主体功能区规划</w:t>
            </w:r>
            <w:r>
              <w:rPr>
                <w:rFonts w:hint="default"/>
                <w:color w:val="auto"/>
                <w:highlight w:val="none"/>
              </w:rPr>
              <w:t>》，本项目属于国家农产品主产区，属于限制开发区域。开发和管制要求如下：</w:t>
            </w:r>
          </w:p>
          <w:p w14:paraId="23F8B083">
            <w:pPr>
              <w:keepNext w:val="0"/>
              <w:keepLines w:val="0"/>
              <w:suppressLineNumbers w:val="0"/>
              <w:spacing w:before="0" w:beforeAutospacing="0" w:after="0" w:afterAutospacing="0"/>
              <w:ind w:left="0" w:right="0" w:firstLine="480"/>
              <w:rPr>
                <w:rFonts w:hint="default"/>
                <w:color w:val="auto"/>
                <w:highlight w:val="none"/>
              </w:rPr>
            </w:pPr>
          </w:p>
          <w:p w14:paraId="2FBFE3D0">
            <w:pPr>
              <w:keepNext w:val="0"/>
              <w:keepLines w:val="0"/>
              <w:suppressLineNumbers w:val="0"/>
              <w:spacing w:before="0" w:beforeAutospacing="0" w:after="0" w:afterAutospacing="0"/>
              <w:ind w:left="0" w:right="0" w:firstLine="482"/>
              <w:jc w:val="center"/>
              <w:rPr>
                <w:rFonts w:hint="default"/>
                <w:color w:val="auto"/>
                <w:highlight w:val="none"/>
              </w:rPr>
            </w:pPr>
            <w:r>
              <w:rPr>
                <w:rFonts w:hint="default"/>
                <w:b/>
                <w:bCs/>
                <w:color w:val="auto"/>
                <w:highlight w:val="none"/>
              </w:rPr>
              <w:t>表</w:t>
            </w:r>
            <w:r>
              <w:rPr>
                <w:rFonts w:hint="eastAsia"/>
                <w:b/>
                <w:bCs/>
                <w:color w:val="auto"/>
                <w:highlight w:val="none"/>
                <w:lang w:val="en-US" w:eastAsia="zh-CN"/>
              </w:rPr>
              <w:t xml:space="preserve">1.3-1 </w:t>
            </w:r>
            <w:r>
              <w:rPr>
                <w:rFonts w:hint="default"/>
                <w:b/>
                <w:bCs/>
                <w:color w:val="auto"/>
                <w:highlight w:val="none"/>
              </w:rPr>
              <w:t>本项目与《</w:t>
            </w:r>
            <w:r>
              <w:rPr>
                <w:rFonts w:hint="eastAsia"/>
                <w:b/>
                <w:bCs/>
                <w:color w:val="auto"/>
                <w:highlight w:val="none"/>
                <w:lang w:eastAsia="zh-CN"/>
              </w:rPr>
              <w:t>云南省主体功能区规划</w:t>
            </w:r>
            <w:r>
              <w:rPr>
                <w:rFonts w:hint="default"/>
                <w:b/>
                <w:bCs/>
                <w:color w:val="auto"/>
                <w:highlight w:val="none"/>
              </w:rPr>
              <w:t>》符合性分析</w:t>
            </w:r>
          </w:p>
          <w:tbl>
            <w:tblPr>
              <w:tblStyle w:val="11"/>
              <w:tblW w:w="4724" w:type="pct"/>
              <w:tblInd w:w="329"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6848"/>
              <w:gridCol w:w="3189"/>
              <w:gridCol w:w="898"/>
            </w:tblGrid>
            <w:tr w14:paraId="5529DA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12" w:type="pct"/>
                  <w:tcBorders>
                    <w:tl2br w:val="nil"/>
                    <w:tr2bl w:val="nil"/>
                  </w:tcBorders>
                  <w:vAlign w:val="center"/>
                </w:tcPr>
                <w:p w14:paraId="3F9F25E6">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类别</w:t>
                  </w:r>
                </w:p>
              </w:tc>
              <w:tc>
                <w:tcPr>
                  <w:tcW w:w="2810" w:type="pct"/>
                  <w:tcBorders>
                    <w:tl2br w:val="nil"/>
                    <w:tr2bl w:val="nil"/>
                  </w:tcBorders>
                  <w:vAlign w:val="center"/>
                </w:tcPr>
                <w:p w14:paraId="34E854B0">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文件要求</w:t>
                  </w:r>
                </w:p>
              </w:tc>
              <w:tc>
                <w:tcPr>
                  <w:tcW w:w="1309" w:type="pct"/>
                  <w:tcBorders>
                    <w:tl2br w:val="nil"/>
                    <w:tr2bl w:val="nil"/>
                  </w:tcBorders>
                  <w:vAlign w:val="center"/>
                </w:tcPr>
                <w:p w14:paraId="2339443C">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本项目情况</w:t>
                  </w:r>
                </w:p>
              </w:tc>
              <w:tc>
                <w:tcPr>
                  <w:tcW w:w="368" w:type="pct"/>
                  <w:tcBorders>
                    <w:tl2br w:val="nil"/>
                    <w:tr2bl w:val="nil"/>
                  </w:tcBorders>
                  <w:vAlign w:val="center"/>
                </w:tcPr>
                <w:p w14:paraId="22C7AD04">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相符性</w:t>
                  </w:r>
                </w:p>
              </w:tc>
            </w:tr>
            <w:tr w14:paraId="53F58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2" w:type="pct"/>
                  <w:tcBorders>
                    <w:tl2br w:val="nil"/>
                    <w:tr2bl w:val="nil"/>
                  </w:tcBorders>
                  <w:vAlign w:val="center"/>
                </w:tcPr>
                <w:p w14:paraId="33D5DC50">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1功能定位</w:t>
                  </w:r>
                </w:p>
              </w:tc>
              <w:tc>
                <w:tcPr>
                  <w:tcW w:w="2810" w:type="pct"/>
                  <w:tcBorders>
                    <w:tl2br w:val="nil"/>
                    <w:tr2bl w:val="nil"/>
                  </w:tcBorders>
                  <w:vAlign w:val="center"/>
                </w:tcPr>
                <w:p w14:paraId="6F7E8A72">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农产品主产区要以大力发展高原特色农业为重点，切实保护耕地，稳定粮食生产，发展现代农业，增强农业综合生产能力，增加农民收入，加快建设社会主义新农村，有效增强农产品供给保障能力，确保国家粮食安全和食品安全。农产品主产区要以大力发展高原特色农业为重点，切实保护耕地，稳定粮食生产，发展现代农业，增强农业综合生产能力，增加农民收入，加快建设社会主义新农村，有效增强农产品供给保障能力，确保国家粮食安全和食品安全。</w:t>
                  </w:r>
                </w:p>
              </w:tc>
              <w:tc>
                <w:tcPr>
                  <w:tcW w:w="1309" w:type="pct"/>
                  <w:tcBorders>
                    <w:tl2br w:val="nil"/>
                    <w:tr2bl w:val="nil"/>
                  </w:tcBorders>
                  <w:vAlign w:val="center"/>
                </w:tcPr>
                <w:p w14:paraId="1C4BBA2C">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本项目不涉及占用基本农田和耕地，不会对区域农产品生产和耕地保护造成影响；</w:t>
                  </w:r>
                </w:p>
                <w:p w14:paraId="3B8C09BC">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项目</w:t>
                  </w:r>
                  <w:r>
                    <w:rPr>
                      <w:rFonts w:hint="default"/>
                      <w:color w:val="auto"/>
                      <w:sz w:val="21"/>
                      <w:szCs w:val="21"/>
                      <w:highlight w:val="none"/>
                    </w:rPr>
                    <w:t>不占用城镇开发边界，可增加当地农民收入，对建设社会主义新农村有积极影响。</w:t>
                  </w:r>
                </w:p>
              </w:tc>
              <w:tc>
                <w:tcPr>
                  <w:tcW w:w="368" w:type="pct"/>
                  <w:tcBorders>
                    <w:tl2br w:val="nil"/>
                    <w:tr2bl w:val="nil"/>
                  </w:tcBorders>
                  <w:vAlign w:val="center"/>
                </w:tcPr>
                <w:p w14:paraId="14F941CB">
                  <w:pPr>
                    <w:keepNext w:val="0"/>
                    <w:keepLines w:val="0"/>
                    <w:suppressLineNumbers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相符</w:t>
                  </w:r>
                </w:p>
              </w:tc>
            </w:tr>
          </w:tbl>
          <w:p w14:paraId="24F76879">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default"/>
                <w:color w:val="auto"/>
                <w:highlight w:val="none"/>
              </w:rPr>
              <mc:AlternateContent>
                <mc:Choice Requires="wps">
                  <w:drawing>
                    <wp:anchor distT="0" distB="0" distL="114300" distR="114300" simplePos="0" relativeHeight="251718656" behindDoc="0" locked="0" layoutInCell="1" allowOverlap="1">
                      <wp:simplePos x="0" y="0"/>
                      <wp:positionH relativeFrom="column">
                        <wp:posOffset>5581650</wp:posOffset>
                      </wp:positionH>
                      <wp:positionV relativeFrom="paragraph">
                        <wp:posOffset>1311910</wp:posOffset>
                      </wp:positionV>
                      <wp:extent cx="923290" cy="441960"/>
                      <wp:effectExtent l="869950" t="12700" r="16510" b="21590"/>
                      <wp:wrapNone/>
                      <wp:docPr id="59" name="矩形标注 59"/>
                      <wp:cNvGraphicFramePr/>
                      <a:graphic xmlns:a="http://schemas.openxmlformats.org/drawingml/2006/main">
                        <a:graphicData uri="http://schemas.microsoft.com/office/word/2010/wordprocessingShape">
                          <wps:wsp>
                            <wps:cNvSpPr/>
                            <wps:spPr>
                              <a:xfrm>
                                <a:off x="2540000" y="4725035"/>
                                <a:ext cx="923290" cy="441960"/>
                              </a:xfrm>
                              <a:prstGeom prst="wedgeRectCallout">
                                <a:avLst>
                                  <a:gd name="adj1" fmla="val -142847"/>
                                  <a:gd name="adj2" fmla="val 17816"/>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8CA0D87">
                                  <w:pPr>
                                    <w:ind w:firstLine="0" w:firstLineChars="0"/>
                                  </w:pPr>
                                  <w:r>
                                    <w:rPr>
                                      <w:rFonts w:hint="eastAsia"/>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39.5pt;margin-top:103.3pt;height:34.8pt;width:72.7pt;z-index:251718656;v-text-anchor:middle;mso-width-relative:page;mso-height-relative:page;" fillcolor="#4F81BD [3204]" filled="t" stroked="t" coordsize="21600,21600" o:gfxdata="UEsDBAoAAAAAAIdO4kAAAAAAAAAAAAAAAAAEAAAAZHJzL1BLAwQUAAAACACHTuJAHnvIJtgAAAAM&#10;AQAADwAAAGRycy9kb3ducmV2LnhtbE2PwU7DMBBE70j8g7VI3Kgdt0rbEKcHJI4IEeC+jd0kEK+N&#10;7bSFr8c9wXF2RrNv6t3ZTuxoQhwdKSgWApihzumRegVvr493G2AxIWmcHBkF3ybCrrm+qrHS7kQv&#10;5timnuUSihUqGFLyFeexG4zFuHDeUPYOLlhMWYae64CnXG4nLoUoucWR8ocBvXkYTPfZzlbB+zLg&#10;V+GfZHj+0NsfT3N7WM5K3d4U4h5YMuf0F4YLfkaHJjPt3Uw6sknBZr3NW5ICKcoS2CUh5GoFbJ9P&#10;61ICb2r+f0TzC1BLAwQUAAAACACHTuJAYZIa9MECAAB8BQAADgAAAGRycy9lMm9Eb2MueG1srVTN&#10;bhMxEL4j8Q6W7+1mt5tfdVOFREFIhUYUxNnxerOL/IftZFNegMcAcYIzZx6H8hqMvW6bFg49kIMz&#10;s/P5m5lvbJ+e7QVHO2Zso2SB0+MeRkxSVTZyU+C3b5ZHI4ysI7IkXElW4Ctm8dn06ZPTVk9YpmrF&#10;S2YQkEg7aXWBa+f0JEksrZkg9lhpJiFYKSOIA9dsktKQFtgFT7Jeb5C0ypTaKMqsha+LLogjo3kM&#10;oaqqhrKFolvBpOtYDePEQUu2brTF01BtVTHqLqrKMod4gaFTF1ZIAvbar8n0lEw2hui6obEE8pgS&#10;HvQkSCMh6S3VgjiCtqb5i0o01CirKndMlUi6RoIi0EXae6DNZU00C72A1Fbfim7/Hy19tVsZ1JQF&#10;7o8xkkTAxH9//v7r59frL5+uf3xD8Bk0arWdAPRSr0z0LJi+4X1lhP+HVtC+wFk/78EPo6sC58Os&#10;3zvpdxqzvUMUAOPsJBtDnHpAno4HYQbJHZE21j1nSiBvFLhl5Ya9hjnOCedq64LKZHduXZC7jDWT&#10;8n2KUSU4TG9HODpK82yUD+N8D1DZISodjtKBx0D+yAnWTQU+gVW8KZcN58Exm/WcGwQJoPjlKH22&#10;iJvvwbhEbVQC+iRwRyo4m2AKDTpbucGI8A1cPupMaOfebnuY5GQ46I2zAOJb8VKVXe5h32vc1R3x&#10;oYd7RL6NBbF1tyWE4hYuAe1H2g3RW26/3sfJrlV5BWfCqO6yWE2XDVCdE+tWxIC+MD14P9wFLBVX&#10;0KqKFka1Mh//9d3j4dBCFKMWbhvI8GFLDMOIv5BwnMdpngOtC07eH2bgmMPI+jAit2KuYAQwcagu&#10;mB7v+I1ZGSXewTMz81khRCSF3J3g0Zm77hWAh4qy2SzA4Epq4s7lpaae3I9cqtnWqapxXmwvVKdO&#10;dOBSBt3jA+Jv/aEfUHeP5vQ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HnvIJtgAAAAMAQAADwAA&#10;AAAAAAABACAAAAAiAAAAZHJzL2Rvd25yZXYueG1sUEsBAhQAFAAAAAgAh07iQGGSGvTBAgAAfAUA&#10;AA4AAAAAAAAAAQAgAAAAJwEAAGRycy9lMm9Eb2MueG1sUEsFBgAAAAAGAAYAWQEAAFoGAAAAAA==&#10;" adj="-20055,14648">
                      <v:fill on="t" focussize="0,0"/>
                      <v:stroke weight="2pt" color="#376092 [2404]" joinstyle="round"/>
                      <v:imagedata o:title=""/>
                      <o:lock v:ext="edit" aspectratio="f"/>
                      <v:textbox>
                        <w:txbxContent>
                          <w:p w14:paraId="18CA0D87">
                            <w:pPr>
                              <w:ind w:firstLine="0" w:firstLineChars="0"/>
                            </w:pPr>
                            <w:r>
                              <w:rPr>
                                <w:rFonts w:hint="eastAsia"/>
                              </w:rPr>
                              <w:t>项目位置</w:t>
                            </w:r>
                          </w:p>
                        </w:txbxContent>
                      </v:textbox>
                    </v:shape>
                  </w:pict>
                </mc:Fallback>
              </mc:AlternateContent>
            </w:r>
            <w:r>
              <w:rPr>
                <w:rFonts w:hint="default"/>
                <w:color w:val="auto"/>
                <w:highlight w:val="none"/>
              </w:rPr>
              <mc:AlternateContent>
                <mc:Choice Requires="wps">
                  <w:drawing>
                    <wp:anchor distT="0" distB="0" distL="114300" distR="114300" simplePos="0" relativeHeight="251717632" behindDoc="0" locked="0" layoutInCell="1" allowOverlap="1">
                      <wp:simplePos x="0" y="0"/>
                      <wp:positionH relativeFrom="column">
                        <wp:posOffset>4682490</wp:posOffset>
                      </wp:positionH>
                      <wp:positionV relativeFrom="paragraph">
                        <wp:posOffset>1562735</wp:posOffset>
                      </wp:positionV>
                      <wp:extent cx="78105" cy="78740"/>
                      <wp:effectExtent l="12700" t="12700" r="23495" b="22860"/>
                      <wp:wrapNone/>
                      <wp:docPr id="64" name="流程图: 摘录 64"/>
                      <wp:cNvGraphicFramePr/>
                      <a:graphic xmlns:a="http://schemas.openxmlformats.org/drawingml/2006/main">
                        <a:graphicData uri="http://schemas.microsoft.com/office/word/2010/wordprocessingShape">
                          <wps:wsp>
                            <wps:cNvSpPr/>
                            <wps:spPr>
                              <a:xfrm>
                                <a:off x="4415790" y="4420870"/>
                                <a:ext cx="78105" cy="78740"/>
                              </a:xfrm>
                              <a:prstGeom prst="flowChartExtract">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368.7pt;margin-top:123.05pt;height:6.2pt;width:6.15pt;z-index:251717632;v-text-anchor:middle;mso-width-relative:page;mso-height-relative:page;" fillcolor="#FF0000" filled="t" stroked="t" coordsize="21600,21600" o:gfxdata="UEsDBAoAAAAAAIdO4kAAAAAAAAAAAAAAAAAEAAAAZHJzL1BLAwQUAAAACACHTuJAM/OJhNoAAAAL&#10;AQAADwAAAGRycy9kb3ducmV2LnhtbE2PwU7DMAyG70i8Q2Qkbizt6NqtazqJCQ5o2mEF7lnjtRWN&#10;U5psHW+POcHR9qff319srrYXFxx950hBPItAINXOdNQoeH97eViC8EGT0b0jVPCNHjbl7U2hc+Mm&#10;OuClCo3gEPK5VtCGMORS+rpFq/3MDUh8O7nR6sDj2Egz6onDbS/nUZRKqzviD60ecNti/VmdrYLh&#10;dffc7Z5WlfnCj3Q61MFtw16p+7s4WoMIeA1/MPzqszqU7HR0ZzJe9AqyxyxhVME8SWMQTGTJKgNx&#10;5M1iuQBZFvJ/h/IHUEsDBBQAAAAIAIdO4kCu9tznhgIAAP8EAAAOAAAAZHJzL2Uyb0RvYy54bWyt&#10;VM1uEzEQviPxDpbvdDfRpkmjbqooIQipgkoFcXa8dnYl/zF2sik3zpw4ICHxArwAR3ibltdg7N3+&#10;wqEHcnBmdsbfzHwz4+OTvVZkJ8A31pR0cJBTIgy3VWM2JX37ZvVsQokPzFRMWSNKeiE8PZk9fXLc&#10;uqkY2tqqSgBBEOOnrStpHYKbZpnntdDMH1gnDBqlBc0CqrDJKmAtomuVDfP8MGstVA4sF97j12Vn&#10;pD0iPAbQStlwsbR8q4UJHSoIxQKW5OvGeTpL2UopeHgtpReBqJJipSGdGATldTyz2TGbboC5uuF9&#10;CuwxKTyoSbPGYNAbqCULjGyh+QtKNxystzIccKuzrpDECFYxyB9wc14zJ1ItSLV3N6T7/wfLX+3O&#10;gDRVSQ8LSgzT2PGrHx9/f/90+e3XlFx9/nr58wtBGxLVOj9F/3N3Br3mUYxV7yXo+I/1kH1Ji2Iw&#10;Gh8hxRdRHuaTcU+02AfC0WE8GeQjSjjax5NxkazZLYwDH14Iq0kUSiqVbRc1g/B8H4DxkIhmu1Mf&#10;MA28du0eM/BWNdWqUSopsFkvFJAdw+6vVjn+Yh145Z6bMqQt6XBUoJlwhjMtcZZQ1A558WZDCVMb&#10;XBYeIMW+d9s/LkhMcsl83SWTEPpclMGUIrcdm1Fa2+oC2wK2m1fv+KrB+6fMhzMGOKCYKK5weI1H&#10;ZKektpcoqS18+Nf36I9zg1ZKWhx4rOz9loGgRL00OFFHgwIbQUJSitF4iArctazvWsxWLyyyOsDH&#10;wvEkRv+grkUJVr/DTZ/HqGhihmPsjsNeWYRuEfGt4GI+T264FY6FU3PueASPXTR2vg1WNqnbt+z0&#10;pOFepI72OxwX766evG7frd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M/OJhNoAAAALAQAADwAA&#10;AAAAAAABACAAAAAiAAAAZHJzL2Rvd25yZXYueG1sUEsBAhQAFAAAAAgAh07iQK723OeGAgAA/wQA&#10;AA4AAAAAAAAAAQAgAAAAKQEAAGRycy9lMm9Eb2MueG1sUEsFBgAAAAAGAAYAWQEAACEGAAAAAA==&#10;">
                      <v:fill on="t" focussize="0,0"/>
                      <v:stroke weight="2pt" color="#FF0000 [2404]" joinstyle="round"/>
                      <v:imagedata o:title=""/>
                      <o:lock v:ext="edit" aspectratio="f"/>
                    </v:shape>
                  </w:pict>
                </mc:Fallback>
              </mc:AlternateContent>
            </w:r>
            <w:r>
              <w:rPr>
                <w:rFonts w:hint="default"/>
                <w:color w:val="auto"/>
                <w:highlight w:val="none"/>
              </w:rPr>
              <w:drawing>
                <wp:inline distT="0" distB="0" distL="114300" distR="114300">
                  <wp:extent cx="7013575" cy="4944110"/>
                  <wp:effectExtent l="0" t="0" r="15875" b="8890"/>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29"/>
                          <a:stretch>
                            <a:fillRect/>
                          </a:stretch>
                        </pic:blipFill>
                        <pic:spPr>
                          <a:xfrm>
                            <a:off x="0" y="0"/>
                            <a:ext cx="7013575" cy="4944110"/>
                          </a:xfrm>
                          <a:prstGeom prst="rect">
                            <a:avLst/>
                          </a:prstGeom>
                          <a:noFill/>
                          <a:ln>
                            <a:noFill/>
                          </a:ln>
                        </pic:spPr>
                      </pic:pic>
                    </a:graphicData>
                  </a:graphic>
                </wp:inline>
              </w:drawing>
            </w:r>
          </w:p>
          <w:p w14:paraId="3ED36571">
            <w:pPr>
              <w:keepNext w:val="0"/>
              <w:keepLines w:val="0"/>
              <w:suppressLineNumbers w:val="0"/>
              <w:spacing w:before="0" w:beforeAutospacing="0" w:after="0" w:afterAutospacing="0"/>
              <w:ind w:left="0" w:right="0" w:firstLine="0" w:firstLineChars="0"/>
              <w:jc w:val="center"/>
              <w:rPr>
                <w:rFonts w:hint="eastAsia" w:eastAsia="仿宋"/>
                <w:color w:val="auto"/>
                <w:highlight w:val="none"/>
                <w:lang w:eastAsia="zh-CN"/>
              </w:rPr>
            </w:pPr>
            <w:r>
              <w:rPr>
                <w:rFonts w:hint="eastAsia"/>
                <w:color w:val="auto"/>
                <w:highlight w:val="none"/>
              </w:rPr>
              <w:t>图</w:t>
            </w:r>
            <w:r>
              <w:rPr>
                <w:rFonts w:hint="eastAsia"/>
                <w:color w:val="auto"/>
                <w:highlight w:val="none"/>
                <w:lang w:val="en-US" w:eastAsia="zh-CN"/>
              </w:rPr>
              <w:t>1.3-1</w:t>
            </w:r>
            <w:r>
              <w:rPr>
                <w:rFonts w:hint="eastAsia"/>
                <w:color w:val="auto"/>
                <w:highlight w:val="none"/>
              </w:rPr>
              <w:t xml:space="preserve"> </w:t>
            </w:r>
            <w:r>
              <w:rPr>
                <w:rFonts w:hint="eastAsia"/>
                <w:color w:val="auto"/>
                <w:highlight w:val="none"/>
                <w:lang w:eastAsia="zh-CN"/>
              </w:rPr>
              <w:t>云南省主体功能区规划</w:t>
            </w:r>
          </w:p>
          <w:p w14:paraId="140583B4">
            <w:pPr>
              <w:keepNext w:val="0"/>
              <w:keepLines w:val="0"/>
              <w:suppressLineNumbers w:val="0"/>
              <w:spacing w:before="0" w:beforeAutospacing="0" w:after="0" w:afterAutospacing="0"/>
              <w:ind w:left="0" w:right="0" w:firstLine="0" w:firstLineChars="0"/>
              <w:rPr>
                <w:rFonts w:hint="default" w:eastAsia="方正仿宋_GB2312"/>
                <w:color w:val="auto"/>
                <w:highlight w:val="none"/>
              </w:rPr>
            </w:pPr>
            <w:r>
              <w:rPr>
                <w:rFonts w:hint="default" w:eastAsia="方正仿宋_GB2312"/>
                <w:color w:val="auto"/>
                <w:highlight w:val="none"/>
              </w:rPr>
              <w:t>1.</w:t>
            </w:r>
            <w:r>
              <w:rPr>
                <w:rFonts w:hint="eastAsia" w:eastAsia="方正仿宋_GB2312"/>
                <w:color w:val="auto"/>
                <w:highlight w:val="none"/>
              </w:rPr>
              <w:t>3</w:t>
            </w:r>
            <w:r>
              <w:rPr>
                <w:rFonts w:hint="default" w:eastAsia="方正仿宋_GB2312"/>
                <w:color w:val="auto"/>
                <w:highlight w:val="none"/>
              </w:rPr>
              <w:t>.2</w:t>
            </w:r>
            <w:r>
              <w:rPr>
                <w:rFonts w:hint="eastAsia" w:eastAsia="方正仿宋_GB2312"/>
                <w:color w:val="auto"/>
                <w:highlight w:val="none"/>
              </w:rPr>
              <w:t xml:space="preserve"> </w:t>
            </w:r>
            <w:r>
              <w:rPr>
                <w:rFonts w:hint="default" w:eastAsia="方正仿宋_GB2312"/>
                <w:color w:val="auto"/>
                <w:highlight w:val="none"/>
              </w:rPr>
              <w:t>与云南省生态功能区划的符合性分析</w:t>
            </w:r>
          </w:p>
          <w:p w14:paraId="502CA1D2">
            <w:pPr>
              <w:keepNext w:val="0"/>
              <w:keepLines w:val="0"/>
              <w:suppressLineNumbers w:val="0"/>
              <w:bidi w:val="0"/>
              <w:spacing w:before="0" w:beforeAutospacing="0" w:after="0" w:afterAutospacing="0"/>
              <w:ind w:left="0" w:right="0"/>
              <w:rPr>
                <w:rFonts w:hint="default" w:ascii="Times New Roman" w:hAnsi="Times New Roman" w:eastAsia="方正仿宋_GB2312" w:cs="Times New Roman"/>
                <w:color w:val="auto"/>
                <w:highlight w:val="none"/>
                <w:lang w:val="en-US" w:eastAsia="zh-CN"/>
              </w:rPr>
            </w:pPr>
            <w:r>
              <w:rPr>
                <w:rFonts w:hint="default" w:ascii="Times New Roman" w:hAnsi="Times New Roman" w:eastAsia="方正仿宋_GB2312" w:cs="Times New Roman"/>
                <w:color w:val="auto"/>
                <w:highlight w:val="none"/>
                <w:lang w:val="en-US" w:eastAsia="zh-CN"/>
              </w:rPr>
              <w:t>项目位于曲靖市会泽县，根据《云南省生态功能区划》，本项目属于“Ⅲ 高原亚热带北部常绿阔叶林生态区</w:t>
            </w:r>
            <w:r>
              <w:rPr>
                <w:rFonts w:hint="eastAsia" w:eastAsia="方正仿宋_GB2312" w:cs="Times New Roman"/>
                <w:color w:val="auto"/>
                <w:highlight w:val="none"/>
                <w:lang w:val="en-US" w:eastAsia="zh-CN"/>
              </w:rPr>
              <w:t>－</w:t>
            </w:r>
            <w:r>
              <w:rPr>
                <w:rFonts w:hint="default" w:ascii="Times New Roman" w:hAnsi="Times New Roman" w:eastAsia="方正仿宋_GB2312" w:cs="Times New Roman"/>
                <w:color w:val="auto"/>
                <w:highlight w:val="none"/>
                <w:lang w:val="en-US" w:eastAsia="zh-CN"/>
              </w:rPr>
              <w:t>Ⅲ4滇东北高中山暖性针叶林、亚高山草甸生态亚区</w:t>
            </w:r>
            <w:r>
              <w:rPr>
                <w:rFonts w:hint="eastAsia" w:eastAsia="方正仿宋_GB2312" w:cs="Times New Roman"/>
                <w:color w:val="auto"/>
                <w:highlight w:val="none"/>
                <w:lang w:val="en-US" w:eastAsia="zh-CN"/>
              </w:rPr>
              <w:t>－</w:t>
            </w:r>
            <w:r>
              <w:rPr>
                <w:rFonts w:hint="default" w:ascii="Times New Roman" w:hAnsi="Times New Roman" w:eastAsia="方正仿宋_GB2312" w:cs="Times New Roman"/>
                <w:color w:val="auto"/>
                <w:highlight w:val="none"/>
                <w:lang w:val="en-US" w:eastAsia="zh-CN"/>
              </w:rPr>
              <w:t>Ⅲ4-3 以礼河、硝厂河高山深谷水土保持生态功能区”。项目在云南省生态功能区划情况见表1.</w:t>
            </w:r>
            <w:r>
              <w:rPr>
                <w:rFonts w:hint="eastAsia" w:eastAsia="方正仿宋_GB2312" w:cs="Times New Roman"/>
                <w:color w:val="auto"/>
                <w:highlight w:val="none"/>
                <w:lang w:val="en-US" w:eastAsia="zh-CN"/>
              </w:rPr>
              <w:t>3</w:t>
            </w:r>
            <w:r>
              <w:rPr>
                <w:rFonts w:hint="default" w:ascii="Times New Roman" w:hAnsi="Times New Roman" w:eastAsia="方正仿宋_GB2312" w:cs="Times New Roman"/>
                <w:color w:val="auto"/>
                <w:highlight w:val="none"/>
                <w:lang w:val="en-US" w:eastAsia="zh-CN"/>
              </w:rPr>
              <w:t>-2。</w:t>
            </w:r>
          </w:p>
          <w:p w14:paraId="676B4336">
            <w:pPr>
              <w:keepNext w:val="0"/>
              <w:keepLines w:val="0"/>
              <w:suppressLineNumbers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本项目用地范围内不涉及自然保护</w:t>
            </w:r>
            <w:r>
              <w:rPr>
                <w:rFonts w:hint="eastAsia" w:cs="Times New Roman"/>
                <w:color w:val="auto"/>
                <w:highlight w:val="none"/>
                <w:lang w:val="en-US" w:eastAsia="zh-CN"/>
              </w:rPr>
              <w:t>区</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国家公园、重要湿地</w:t>
            </w:r>
            <w:r>
              <w:rPr>
                <w:rFonts w:hint="default" w:ascii="Times New Roman" w:hAnsi="Times New Roman" w:cs="Times New Roman"/>
                <w:color w:val="auto"/>
                <w:highlight w:val="none"/>
                <w:lang w:val="en-US" w:eastAsia="zh-CN"/>
              </w:rPr>
              <w:t>等</w:t>
            </w:r>
            <w:r>
              <w:rPr>
                <w:rFonts w:hint="eastAsia" w:ascii="Times New Roman" w:hAnsi="Times New Roman" w:cs="Times New Roman"/>
                <w:color w:val="auto"/>
                <w:highlight w:val="none"/>
                <w:lang w:val="en-US" w:eastAsia="zh-CN"/>
              </w:rPr>
              <w:t>生态功能敏感区域。</w:t>
            </w:r>
            <w:r>
              <w:rPr>
                <w:rFonts w:hint="default" w:ascii="Times New Roman" w:hAnsi="Times New Roman" w:cs="Times New Roman"/>
                <w:color w:val="auto"/>
                <w:highlight w:val="none"/>
                <w:lang w:val="en-US" w:eastAsia="zh-CN"/>
              </w:rPr>
              <w:t>项目主要影响是水土流失和植被占用损失</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在实施</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水土保持</w:t>
            </w:r>
            <w:r>
              <w:rPr>
                <w:rFonts w:hint="eastAsia" w:ascii="Times New Roman" w:hAnsi="Times New Roman" w:cs="Times New Roman"/>
                <w:color w:val="auto"/>
                <w:highlight w:val="none"/>
                <w:lang w:val="en-US" w:eastAsia="zh-CN"/>
              </w:rPr>
              <w:t>方案》中提出的</w:t>
            </w:r>
            <w:r>
              <w:rPr>
                <w:rFonts w:hint="default" w:ascii="Times New Roman" w:hAnsi="Times New Roman" w:cs="Times New Roman"/>
                <w:color w:val="auto"/>
                <w:highlight w:val="none"/>
                <w:lang w:val="en-US" w:eastAsia="zh-CN"/>
              </w:rPr>
              <w:t>工程措施、恢复植被，可有效避免或减轻对生态环境的不利影响。因此，本项目的建设符合《云南省生态功能区划》要求。</w:t>
            </w:r>
          </w:p>
          <w:p w14:paraId="24D36601">
            <w:pPr>
              <w:keepNext w:val="0"/>
              <w:keepLines w:val="0"/>
              <w:suppressLineNumbers w:val="0"/>
              <w:bidi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1.3-2</w:t>
            </w:r>
            <w:r>
              <w:rPr>
                <w:rFonts w:hint="default" w:ascii="Times New Roman" w:hAnsi="Times New Roman" w:cs="Times New Roman"/>
                <w:b/>
                <w:bCs/>
                <w:color w:val="auto"/>
                <w:highlight w:val="none"/>
                <w:lang w:val="en-US" w:eastAsia="zh-CN"/>
              </w:rPr>
              <w:t xml:space="preserve"> </w:t>
            </w:r>
            <w:r>
              <w:rPr>
                <w:rFonts w:hint="default" w:ascii="Times New Roman" w:hAnsi="Times New Roman" w:cs="Times New Roman"/>
                <w:b/>
                <w:bCs/>
                <w:color w:val="auto"/>
                <w:highlight w:val="none"/>
              </w:rPr>
              <w:t>本项目所在地的生态功能区划</w:t>
            </w:r>
          </w:p>
          <w:tbl>
            <w:tblPr>
              <w:tblStyle w:val="17"/>
              <w:tblW w:w="476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806"/>
              <w:gridCol w:w="1033"/>
              <w:gridCol w:w="1091"/>
              <w:gridCol w:w="1303"/>
              <w:gridCol w:w="2067"/>
              <w:gridCol w:w="1271"/>
              <w:gridCol w:w="1303"/>
              <w:gridCol w:w="1627"/>
              <w:gridCol w:w="1779"/>
            </w:tblGrid>
            <w:tr w14:paraId="6AAD0C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1" w:hRule="atLeast"/>
                <w:jc w:val="center"/>
              </w:trPr>
              <w:tc>
                <w:tcPr>
                  <w:tcW w:w="1192" w:type="pct"/>
                  <w:gridSpan w:val="3"/>
                  <w:tcBorders>
                    <w:tl2br w:val="nil"/>
                    <w:tr2bl w:val="nil"/>
                  </w:tcBorders>
                  <w:noWrap w:val="0"/>
                  <w:vAlign w:val="center"/>
                </w:tcPr>
                <w:p w14:paraId="11C6A50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生态功能分区单元</w:t>
                  </w:r>
                </w:p>
              </w:tc>
              <w:tc>
                <w:tcPr>
                  <w:tcW w:w="530" w:type="pct"/>
                  <w:vMerge w:val="restart"/>
                  <w:tcBorders>
                    <w:tl2br w:val="nil"/>
                    <w:tr2bl w:val="nil"/>
                  </w:tcBorders>
                  <w:noWrap w:val="0"/>
                  <w:vAlign w:val="center"/>
                </w:tcPr>
                <w:p w14:paraId="509A503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所在区域与面积</w:t>
                  </w:r>
                </w:p>
              </w:tc>
              <w:tc>
                <w:tcPr>
                  <w:tcW w:w="841" w:type="pct"/>
                  <w:vMerge w:val="restart"/>
                  <w:tcBorders>
                    <w:tl2br w:val="nil"/>
                    <w:tr2bl w:val="nil"/>
                  </w:tcBorders>
                  <w:noWrap w:val="0"/>
                  <w:vAlign w:val="center"/>
                </w:tcPr>
                <w:p w14:paraId="7C6E845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主要生态</w:t>
                  </w:r>
                </w:p>
                <w:p w14:paraId="34B601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特征</w:t>
                  </w:r>
                </w:p>
              </w:tc>
              <w:tc>
                <w:tcPr>
                  <w:tcW w:w="517" w:type="pct"/>
                  <w:vMerge w:val="restart"/>
                  <w:tcBorders>
                    <w:tl2br w:val="nil"/>
                    <w:tr2bl w:val="nil"/>
                  </w:tcBorders>
                  <w:noWrap w:val="0"/>
                  <w:vAlign w:val="center"/>
                </w:tcPr>
                <w:p w14:paraId="3F853D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主要生态环境问题</w:t>
                  </w:r>
                </w:p>
              </w:tc>
              <w:tc>
                <w:tcPr>
                  <w:tcW w:w="530" w:type="pct"/>
                  <w:vMerge w:val="restart"/>
                  <w:tcBorders>
                    <w:tl2br w:val="nil"/>
                    <w:tr2bl w:val="nil"/>
                  </w:tcBorders>
                  <w:noWrap w:val="0"/>
                  <w:vAlign w:val="center"/>
                </w:tcPr>
                <w:p w14:paraId="40E5092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生态环境敏感性</w:t>
                  </w:r>
                </w:p>
              </w:tc>
              <w:tc>
                <w:tcPr>
                  <w:tcW w:w="662" w:type="pct"/>
                  <w:vMerge w:val="restart"/>
                  <w:tcBorders>
                    <w:tl2br w:val="nil"/>
                    <w:tr2bl w:val="nil"/>
                  </w:tcBorders>
                  <w:noWrap w:val="0"/>
                  <w:vAlign w:val="center"/>
                </w:tcPr>
                <w:p w14:paraId="6DC29BB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主要生态系统服务功能</w:t>
                  </w:r>
                </w:p>
              </w:tc>
              <w:tc>
                <w:tcPr>
                  <w:tcW w:w="724" w:type="pct"/>
                  <w:vMerge w:val="restart"/>
                  <w:tcBorders>
                    <w:tl2br w:val="nil"/>
                    <w:tr2bl w:val="nil"/>
                  </w:tcBorders>
                  <w:noWrap w:val="0"/>
                  <w:vAlign w:val="center"/>
                </w:tcPr>
                <w:p w14:paraId="711C02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保护措施与发展方向</w:t>
                  </w:r>
                </w:p>
              </w:tc>
            </w:tr>
            <w:tr w14:paraId="70693C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328" w:type="pct"/>
                  <w:tcBorders>
                    <w:tl2br w:val="nil"/>
                    <w:tr2bl w:val="nil"/>
                  </w:tcBorders>
                  <w:noWrap w:val="0"/>
                  <w:vAlign w:val="center"/>
                </w:tcPr>
                <w:p w14:paraId="78A1250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生态区</w:t>
                  </w:r>
                </w:p>
              </w:tc>
              <w:tc>
                <w:tcPr>
                  <w:tcW w:w="420" w:type="pct"/>
                  <w:tcBorders>
                    <w:tl2br w:val="nil"/>
                    <w:tr2bl w:val="nil"/>
                  </w:tcBorders>
                  <w:noWrap w:val="0"/>
                  <w:vAlign w:val="center"/>
                </w:tcPr>
                <w:p w14:paraId="2BB97DB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生态亚区</w:t>
                  </w:r>
                </w:p>
              </w:tc>
              <w:tc>
                <w:tcPr>
                  <w:tcW w:w="443" w:type="pct"/>
                  <w:tcBorders>
                    <w:tl2br w:val="nil"/>
                    <w:tr2bl w:val="nil"/>
                  </w:tcBorders>
                  <w:noWrap w:val="0"/>
                  <w:vAlign w:val="center"/>
                </w:tcPr>
                <w:p w14:paraId="4FD493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生态功能区</w:t>
                  </w:r>
                </w:p>
              </w:tc>
              <w:tc>
                <w:tcPr>
                  <w:tcW w:w="530" w:type="pct"/>
                  <w:vMerge w:val="continue"/>
                  <w:tcBorders>
                    <w:tl2br w:val="nil"/>
                    <w:tr2bl w:val="nil"/>
                  </w:tcBorders>
                  <w:noWrap w:val="0"/>
                  <w:vAlign w:val="center"/>
                </w:tcPr>
                <w:p w14:paraId="48D0644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仿宋" w:cs="Times New Roman"/>
                      <w:color w:val="auto"/>
                      <w:sz w:val="21"/>
                      <w:szCs w:val="21"/>
                      <w:highlight w:val="none"/>
                    </w:rPr>
                  </w:pPr>
                </w:p>
              </w:tc>
              <w:tc>
                <w:tcPr>
                  <w:tcW w:w="841" w:type="pct"/>
                  <w:vMerge w:val="continue"/>
                  <w:tcBorders>
                    <w:tl2br w:val="nil"/>
                    <w:tr2bl w:val="nil"/>
                  </w:tcBorders>
                  <w:noWrap w:val="0"/>
                  <w:vAlign w:val="center"/>
                </w:tcPr>
                <w:p w14:paraId="7920643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仿宋" w:cs="Times New Roman"/>
                      <w:color w:val="auto"/>
                      <w:sz w:val="21"/>
                      <w:szCs w:val="21"/>
                      <w:highlight w:val="none"/>
                    </w:rPr>
                  </w:pPr>
                </w:p>
              </w:tc>
              <w:tc>
                <w:tcPr>
                  <w:tcW w:w="517" w:type="pct"/>
                  <w:vMerge w:val="continue"/>
                  <w:tcBorders>
                    <w:tl2br w:val="nil"/>
                    <w:tr2bl w:val="nil"/>
                  </w:tcBorders>
                  <w:noWrap w:val="0"/>
                  <w:vAlign w:val="center"/>
                </w:tcPr>
                <w:p w14:paraId="3CDF34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仿宋" w:cs="Times New Roman"/>
                      <w:color w:val="auto"/>
                      <w:sz w:val="21"/>
                      <w:szCs w:val="21"/>
                      <w:highlight w:val="none"/>
                    </w:rPr>
                  </w:pPr>
                </w:p>
              </w:tc>
              <w:tc>
                <w:tcPr>
                  <w:tcW w:w="530" w:type="pct"/>
                  <w:vMerge w:val="continue"/>
                  <w:tcBorders>
                    <w:tl2br w:val="nil"/>
                    <w:tr2bl w:val="nil"/>
                  </w:tcBorders>
                  <w:noWrap w:val="0"/>
                  <w:vAlign w:val="center"/>
                </w:tcPr>
                <w:p w14:paraId="54CB59D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仿宋" w:cs="Times New Roman"/>
                      <w:color w:val="auto"/>
                      <w:sz w:val="21"/>
                      <w:szCs w:val="21"/>
                      <w:highlight w:val="none"/>
                    </w:rPr>
                  </w:pPr>
                </w:p>
              </w:tc>
              <w:tc>
                <w:tcPr>
                  <w:tcW w:w="662" w:type="pct"/>
                  <w:vMerge w:val="continue"/>
                  <w:tcBorders>
                    <w:tl2br w:val="nil"/>
                    <w:tr2bl w:val="nil"/>
                  </w:tcBorders>
                  <w:noWrap w:val="0"/>
                  <w:vAlign w:val="center"/>
                </w:tcPr>
                <w:p w14:paraId="232EDB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仿宋" w:cs="Times New Roman"/>
                      <w:color w:val="auto"/>
                      <w:sz w:val="21"/>
                      <w:szCs w:val="21"/>
                      <w:highlight w:val="none"/>
                    </w:rPr>
                  </w:pPr>
                </w:p>
              </w:tc>
              <w:tc>
                <w:tcPr>
                  <w:tcW w:w="724" w:type="pct"/>
                  <w:vMerge w:val="continue"/>
                  <w:tcBorders>
                    <w:tl2br w:val="nil"/>
                    <w:tr2bl w:val="nil"/>
                  </w:tcBorders>
                  <w:noWrap w:val="0"/>
                  <w:vAlign w:val="center"/>
                </w:tcPr>
                <w:p w14:paraId="2ABAE3A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仿宋" w:cs="Times New Roman"/>
                      <w:color w:val="auto"/>
                      <w:sz w:val="21"/>
                      <w:szCs w:val="21"/>
                      <w:highlight w:val="none"/>
                    </w:rPr>
                  </w:pPr>
                </w:p>
              </w:tc>
            </w:tr>
            <w:tr w14:paraId="09951A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21" w:hRule="atLeast"/>
                <w:jc w:val="center"/>
              </w:trPr>
              <w:tc>
                <w:tcPr>
                  <w:tcW w:w="328" w:type="pct"/>
                  <w:tcBorders>
                    <w:tl2br w:val="nil"/>
                    <w:tr2bl w:val="nil"/>
                  </w:tcBorders>
                  <w:noWrap w:val="0"/>
                  <w:vAlign w:val="center"/>
                </w:tcPr>
                <w:p w14:paraId="519C0D3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Ⅲ 高原亚热带北部常绿阔叶林生态区</w:t>
                  </w:r>
                </w:p>
              </w:tc>
              <w:tc>
                <w:tcPr>
                  <w:tcW w:w="420" w:type="pct"/>
                  <w:tcBorders>
                    <w:tl2br w:val="nil"/>
                    <w:tr2bl w:val="nil"/>
                  </w:tcBorders>
                  <w:noWrap w:val="0"/>
                  <w:vAlign w:val="center"/>
                </w:tcPr>
                <w:p w14:paraId="216D662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Ⅲ4滇东北高中山暖性针叶林、亚高山草甸生态亚区</w:t>
                  </w:r>
                </w:p>
              </w:tc>
              <w:tc>
                <w:tcPr>
                  <w:tcW w:w="443" w:type="pct"/>
                  <w:tcBorders>
                    <w:tl2br w:val="nil"/>
                    <w:tr2bl w:val="nil"/>
                  </w:tcBorders>
                  <w:noWrap w:val="0"/>
                  <w:vAlign w:val="center"/>
                </w:tcPr>
                <w:p w14:paraId="24E30C72">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snapToGrid w:val="0"/>
                      <w:color w:val="auto"/>
                      <w:kern w:val="2"/>
                      <w:sz w:val="21"/>
                      <w:szCs w:val="21"/>
                      <w:highlight w:val="none"/>
                    </w:rPr>
                    <w:t>Ⅲ4-3 以礼河、硝厂河高山深谷水土保持生态功能区</w:t>
                  </w:r>
                </w:p>
              </w:tc>
              <w:tc>
                <w:tcPr>
                  <w:tcW w:w="1243" w:type="dxa"/>
                  <w:tcBorders>
                    <w:tl2br w:val="nil"/>
                    <w:tr2bl w:val="nil"/>
                  </w:tcBorders>
                  <w:noWrap w:val="0"/>
                  <w:vAlign w:val="center"/>
                </w:tcPr>
                <w:p w14:paraId="0814B528">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snapToGrid w:val="0"/>
                      <w:color w:val="auto"/>
                      <w:kern w:val="2"/>
                      <w:sz w:val="21"/>
                      <w:szCs w:val="21"/>
                      <w:highlight w:val="none"/>
                    </w:rPr>
                  </w:pPr>
                  <w:r>
                    <w:rPr>
                      <w:rFonts w:hint="eastAsia" w:ascii="Times New Roman" w:hAnsi="Times New Roman" w:eastAsia="仿宋" w:cs="Times New Roman"/>
                      <w:snapToGrid w:val="0"/>
                      <w:color w:val="auto"/>
                      <w:kern w:val="2"/>
                      <w:sz w:val="21"/>
                      <w:szCs w:val="21"/>
                      <w:highlight w:val="none"/>
                    </w:rPr>
                    <w:t>会泽县大部，巧家县局部</w:t>
                  </w:r>
                  <w:r>
                    <w:rPr>
                      <w:rFonts w:hint="eastAsia" w:ascii="Times New Roman" w:hAnsi="Times New Roman" w:cs="Times New Roman"/>
                      <w:snapToGrid w:val="0"/>
                      <w:color w:val="auto"/>
                      <w:kern w:val="2"/>
                      <w:sz w:val="21"/>
                      <w:szCs w:val="21"/>
                      <w:highlight w:val="none"/>
                      <w:lang w:val="en-US" w:eastAsia="zh-CN"/>
                    </w:rPr>
                    <w:t>地</w:t>
                  </w:r>
                  <w:r>
                    <w:rPr>
                      <w:rFonts w:hint="eastAsia" w:ascii="Times New Roman" w:hAnsi="Times New Roman" w:eastAsia="仿宋" w:cs="Times New Roman"/>
                      <w:snapToGrid w:val="0"/>
                      <w:color w:val="auto"/>
                      <w:kern w:val="2"/>
                      <w:sz w:val="21"/>
                      <w:szCs w:val="21"/>
                      <w:highlight w:val="none"/>
                    </w:rPr>
                    <w:t>区，面积3745.58 平方公里</w:t>
                  </w:r>
                </w:p>
              </w:tc>
              <w:tc>
                <w:tcPr>
                  <w:tcW w:w="1973" w:type="dxa"/>
                  <w:tcBorders>
                    <w:tl2br w:val="nil"/>
                    <w:tr2bl w:val="nil"/>
                  </w:tcBorders>
                  <w:noWrap w:val="0"/>
                  <w:vAlign w:val="center"/>
                </w:tcPr>
                <w:p w14:paraId="16E7D7D5">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snapToGrid w:val="0"/>
                      <w:color w:val="auto"/>
                      <w:kern w:val="2"/>
                      <w:sz w:val="21"/>
                      <w:szCs w:val="21"/>
                      <w:highlight w:val="none"/>
                    </w:rPr>
                  </w:pPr>
                  <w:r>
                    <w:rPr>
                      <w:rFonts w:hint="eastAsia" w:ascii="Times New Roman" w:hAnsi="Times New Roman" w:eastAsia="仿宋" w:cs="Times New Roman"/>
                      <w:snapToGrid w:val="0"/>
                      <w:color w:val="auto"/>
                      <w:kern w:val="2"/>
                      <w:sz w:val="21"/>
                      <w:szCs w:val="21"/>
                      <w:highlight w:val="none"/>
                    </w:rPr>
                    <w:t>以石灰岩高山深谷地貌为主，年降雨量北部800</w:t>
                  </w:r>
                  <w:r>
                    <w:rPr>
                      <w:rFonts w:hint="eastAsia" w:cs="Times New Roman"/>
                      <w:snapToGrid w:val="0"/>
                      <w:color w:val="auto"/>
                      <w:kern w:val="2"/>
                      <w:sz w:val="21"/>
                      <w:szCs w:val="21"/>
                      <w:highlight w:val="none"/>
                      <w:lang w:eastAsia="zh-CN"/>
                    </w:rPr>
                    <w:t>—</w:t>
                  </w:r>
                  <w:r>
                    <w:rPr>
                      <w:rFonts w:hint="eastAsia" w:ascii="Times New Roman" w:hAnsi="Times New Roman" w:eastAsia="仿宋" w:cs="Times New Roman"/>
                      <w:snapToGrid w:val="0"/>
                      <w:color w:val="auto"/>
                      <w:kern w:val="2"/>
                      <w:sz w:val="21"/>
                      <w:szCs w:val="21"/>
                      <w:highlight w:val="none"/>
                    </w:rPr>
                    <w:t>900毫米</w:t>
                  </w:r>
                  <w:r>
                    <w:rPr>
                      <w:rFonts w:hint="eastAsia" w:ascii="Times New Roman" w:hAnsi="Times New Roman" w:cs="Times New Roman"/>
                      <w:snapToGrid w:val="0"/>
                      <w:color w:val="auto"/>
                      <w:kern w:val="2"/>
                      <w:sz w:val="21"/>
                      <w:szCs w:val="21"/>
                      <w:highlight w:val="none"/>
                      <w:lang w:eastAsia="zh-CN"/>
                    </w:rPr>
                    <w:t>，</w:t>
                  </w:r>
                  <w:r>
                    <w:rPr>
                      <w:rFonts w:hint="eastAsia" w:ascii="Times New Roman" w:hAnsi="Times New Roman" w:eastAsia="仿宋" w:cs="Times New Roman"/>
                      <w:snapToGrid w:val="0"/>
                      <w:color w:val="auto"/>
                      <w:kern w:val="2"/>
                      <w:sz w:val="21"/>
                      <w:szCs w:val="21"/>
                      <w:highlight w:val="none"/>
                    </w:rPr>
                    <w:t>南部地区1000-1200 毫米，植被主要为云南松林，土壤类型主要是红壤和棕壤</w:t>
                  </w:r>
                </w:p>
              </w:tc>
              <w:tc>
                <w:tcPr>
                  <w:tcW w:w="1213" w:type="dxa"/>
                  <w:tcBorders>
                    <w:tl2br w:val="nil"/>
                    <w:tr2bl w:val="nil"/>
                  </w:tcBorders>
                  <w:noWrap w:val="0"/>
                  <w:vAlign w:val="center"/>
                </w:tcPr>
                <w:p w14:paraId="5BA9C92E">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snapToGrid w:val="0"/>
                      <w:color w:val="auto"/>
                      <w:kern w:val="2"/>
                      <w:sz w:val="21"/>
                      <w:szCs w:val="21"/>
                      <w:highlight w:val="none"/>
                    </w:rPr>
                  </w:pPr>
                  <w:r>
                    <w:rPr>
                      <w:rFonts w:hint="eastAsia" w:ascii="Times New Roman" w:hAnsi="Times New Roman" w:eastAsia="仿宋" w:cs="Times New Roman"/>
                      <w:snapToGrid w:val="0"/>
                      <w:color w:val="auto"/>
                      <w:kern w:val="2"/>
                      <w:sz w:val="21"/>
                      <w:szCs w:val="21"/>
                      <w:highlight w:val="none"/>
                    </w:rPr>
                    <w:t>森林覆盖率低、质量差，土地退化和水土流失严重</w:t>
                  </w:r>
                </w:p>
              </w:tc>
              <w:tc>
                <w:tcPr>
                  <w:tcW w:w="1243" w:type="dxa"/>
                  <w:tcBorders>
                    <w:tl2br w:val="nil"/>
                    <w:tr2bl w:val="nil"/>
                  </w:tcBorders>
                  <w:noWrap w:val="0"/>
                  <w:vAlign w:val="center"/>
                </w:tcPr>
                <w:p w14:paraId="74C1D63E">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snapToGrid w:val="0"/>
                      <w:color w:val="auto"/>
                      <w:kern w:val="2"/>
                      <w:sz w:val="21"/>
                      <w:szCs w:val="21"/>
                      <w:highlight w:val="none"/>
                    </w:rPr>
                  </w:pPr>
                  <w:r>
                    <w:rPr>
                      <w:rFonts w:hint="eastAsia" w:ascii="Times New Roman" w:hAnsi="Times New Roman" w:eastAsia="仿宋" w:cs="Times New Roman"/>
                      <w:snapToGrid w:val="0"/>
                      <w:color w:val="auto"/>
                      <w:kern w:val="2"/>
                      <w:sz w:val="21"/>
                      <w:szCs w:val="21"/>
                      <w:highlight w:val="none"/>
                    </w:rPr>
                    <w:t>土壤侵蚀中高度敏感</w:t>
                  </w:r>
                </w:p>
              </w:tc>
              <w:tc>
                <w:tcPr>
                  <w:tcW w:w="1553" w:type="dxa"/>
                  <w:tcBorders>
                    <w:tl2br w:val="nil"/>
                    <w:tr2bl w:val="nil"/>
                  </w:tcBorders>
                  <w:noWrap w:val="0"/>
                  <w:vAlign w:val="center"/>
                </w:tcPr>
                <w:p w14:paraId="45F132A3">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snapToGrid w:val="0"/>
                      <w:color w:val="auto"/>
                      <w:kern w:val="2"/>
                      <w:sz w:val="21"/>
                      <w:szCs w:val="21"/>
                      <w:highlight w:val="none"/>
                    </w:rPr>
                  </w:pPr>
                  <w:r>
                    <w:rPr>
                      <w:rFonts w:hint="eastAsia" w:ascii="Times New Roman" w:hAnsi="Times New Roman" w:eastAsia="仿宋" w:cs="Times New Roman"/>
                      <w:snapToGrid w:val="0"/>
                      <w:color w:val="auto"/>
                      <w:kern w:val="2"/>
                      <w:sz w:val="21"/>
                      <w:szCs w:val="21"/>
                      <w:highlight w:val="none"/>
                    </w:rPr>
                    <w:t>金沙江下游地带的水土保持</w:t>
                  </w:r>
                </w:p>
              </w:tc>
              <w:tc>
                <w:tcPr>
                  <w:tcW w:w="1700" w:type="dxa"/>
                  <w:tcBorders>
                    <w:tl2br w:val="nil"/>
                    <w:tr2bl w:val="nil"/>
                  </w:tcBorders>
                  <w:noWrap w:val="0"/>
                  <w:vAlign w:val="center"/>
                </w:tcPr>
                <w:p w14:paraId="0D3E1A90">
                  <w:pPr>
                    <w:keepNext w:val="0"/>
                    <w:keepLines w:val="0"/>
                    <w:pageBreakBefore w:val="0"/>
                    <w:widowControl w:val="0"/>
                    <w:kinsoku/>
                    <w:wordWrap/>
                    <w:overflowPunct/>
                    <w:topLinePunct/>
                    <w:autoSpaceDE w:val="0"/>
                    <w:autoSpaceDN w:val="0"/>
                    <w:bidi w:val="0"/>
                    <w:adjustRightInd/>
                    <w:snapToGrid/>
                    <w:spacing w:afterAutospacing="0"/>
                    <w:ind w:firstLine="0" w:firstLineChars="0"/>
                    <w:jc w:val="center"/>
                    <w:textAlignment w:val="auto"/>
                    <w:rPr>
                      <w:rFonts w:hint="default" w:ascii="Times New Roman" w:hAnsi="Times New Roman" w:eastAsia="仿宋" w:cs="Times New Roman"/>
                      <w:snapToGrid w:val="0"/>
                      <w:color w:val="auto"/>
                      <w:kern w:val="2"/>
                      <w:sz w:val="21"/>
                      <w:szCs w:val="21"/>
                      <w:highlight w:val="none"/>
                    </w:rPr>
                  </w:pPr>
                  <w:r>
                    <w:rPr>
                      <w:rFonts w:hint="eastAsia" w:ascii="Times New Roman" w:hAnsi="Times New Roman" w:eastAsia="仿宋" w:cs="Times New Roman"/>
                      <w:snapToGrid w:val="0"/>
                      <w:color w:val="auto"/>
                      <w:kern w:val="2"/>
                      <w:sz w:val="21"/>
                      <w:szCs w:val="21"/>
                      <w:highlight w:val="none"/>
                    </w:rPr>
                    <w:t>调整产业结构，严格退耕还林，注意矿产资源开发后的生态保护</w:t>
                  </w:r>
                  <w:r>
                    <w:rPr>
                      <w:rFonts w:hint="eastAsia" w:ascii="Times New Roman" w:hAnsi="Times New Roman" w:cs="Times New Roman"/>
                      <w:snapToGrid w:val="0"/>
                      <w:color w:val="auto"/>
                      <w:kern w:val="2"/>
                      <w:sz w:val="21"/>
                      <w:szCs w:val="21"/>
                      <w:highlight w:val="none"/>
                      <w:lang w:eastAsia="zh-CN"/>
                    </w:rPr>
                    <w:t>，对</w:t>
                  </w:r>
                  <w:r>
                    <w:rPr>
                      <w:rFonts w:hint="eastAsia" w:ascii="Times New Roman" w:hAnsi="Times New Roman" w:eastAsia="仿宋" w:cs="Times New Roman"/>
                      <w:snapToGrid w:val="0"/>
                      <w:color w:val="auto"/>
                      <w:kern w:val="2"/>
                      <w:sz w:val="21"/>
                      <w:szCs w:val="21"/>
                      <w:highlight w:val="none"/>
                    </w:rPr>
                    <w:t>生态环境严重恶化地区实施生态移民</w:t>
                  </w:r>
                </w:p>
              </w:tc>
            </w:tr>
          </w:tbl>
          <w:p w14:paraId="6FCA13CC">
            <w:pPr>
              <w:keepNext w:val="0"/>
              <w:keepLines w:val="0"/>
              <w:suppressLineNumbers w:val="0"/>
              <w:spacing w:before="0" w:beforeAutospacing="0" w:after="0" w:afterAutospacing="0"/>
              <w:ind w:left="0" w:right="0" w:firstLine="480"/>
              <w:jc w:val="center"/>
              <w:rPr>
                <w:rFonts w:hint="eastAsia" w:eastAsia="仿宋"/>
                <w:color w:val="auto"/>
                <w:highlight w:val="none"/>
                <w:lang w:eastAsia="zh-CN"/>
              </w:rPr>
            </w:pPr>
            <w:r>
              <w:rPr>
                <w:rFonts w:hint="default"/>
                <w:color w:val="auto"/>
                <w:sz w:val="24"/>
                <w:highlight w:val="none"/>
              </w:rPr>
              <mc:AlternateContent>
                <mc:Choice Requires="wps">
                  <w:drawing>
                    <wp:anchor distT="0" distB="0" distL="114300" distR="114300" simplePos="0" relativeHeight="251719680" behindDoc="0" locked="0" layoutInCell="1" allowOverlap="1">
                      <wp:simplePos x="0" y="0"/>
                      <wp:positionH relativeFrom="column">
                        <wp:posOffset>5073015</wp:posOffset>
                      </wp:positionH>
                      <wp:positionV relativeFrom="paragraph">
                        <wp:posOffset>1416685</wp:posOffset>
                      </wp:positionV>
                      <wp:extent cx="982345" cy="375285"/>
                      <wp:effectExtent l="792480" t="12700" r="15875" b="31115"/>
                      <wp:wrapNone/>
                      <wp:docPr id="68" name="矩形标注 68"/>
                      <wp:cNvGraphicFramePr/>
                      <a:graphic xmlns:a="http://schemas.openxmlformats.org/drawingml/2006/main">
                        <a:graphicData uri="http://schemas.microsoft.com/office/word/2010/wordprocessingShape">
                          <wps:wsp>
                            <wps:cNvSpPr/>
                            <wps:spPr>
                              <a:xfrm>
                                <a:off x="4519295" y="1694815"/>
                                <a:ext cx="982345" cy="375285"/>
                              </a:xfrm>
                              <a:prstGeom prst="wedgeRectCallout">
                                <a:avLst>
                                  <a:gd name="adj1" fmla="val -129379"/>
                                  <a:gd name="adj2" fmla="val 23096"/>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79C05E4">
                                  <w:pPr>
                                    <w:ind w:left="0" w:leftChars="0" w:firstLine="0" w:firstLineChars="0"/>
                                    <w:jc w:val="both"/>
                                    <w:rPr>
                                      <w:rFonts w:hint="default" w:eastAsia="仿宋"/>
                                      <w:lang w:val="en-US" w:eastAsia="zh-CN"/>
                                    </w:rPr>
                                  </w:pPr>
                                  <w:r>
                                    <w:rPr>
                                      <w:rFonts w:hint="eastAsia"/>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99.45pt;margin-top:111.55pt;height:29.55pt;width:77.35pt;z-index:251719680;v-text-anchor:middle;mso-width-relative:page;mso-height-relative:page;" fillcolor="#4F81BD [3204]" filled="t" stroked="t" coordsize="21600,21600" o:gfxdata="UEsDBAoAAAAAAIdO4kAAAAAAAAAAAAAAAAAEAAAAZHJzL1BLAwQUAAAACACHTuJAXa/40toAAAAL&#10;AQAADwAAAGRycy9kb3ducmV2LnhtbE2Py07DMBBF90j8gzVI7Kgdt7RJiNNFJSTYIFEQUndTe0gC&#10;sR3Z7uvvMStYzszRnXOb9dmO7EghDt4pKGYCGDntzeA6Be9vj3clsJjQGRy9IwUXirBur68arI0/&#10;uVc6blPHcoiLNSroU5pqzqPuyWKc+Ylcvn36YDHlMXTcBDzlcDtyKcSSWxxc/tDjRJue9Pf2YBVE&#10;1NPH5us5ltPLk7zosNgthFfq9qYQD8ASndMfDL/6WR3a7LT3B2ciGxWsqrLKqAIp5wWwTFT38yWw&#10;fd6UUgJvG/6/Q/sDUEsDBBQAAAAIAIdO4kBgH10txQIAAHwFAAAOAAAAZHJzL2Uyb0RvYy54bWyt&#10;VEtuFDEQ3SNxB8v7pD/z7VF6omFGg5ACiQiItcft/iD/sD3TEy7AMUCsYM2a4xCuQdndSSaBRRZs&#10;uqtcz69cr1w+Od0LjnbM2EbJHCfHMUZMUlU0ssrx2zfroylG1hFZEK4ky/EVs/h0/vTJSatnLFW1&#10;4gUzCEiknbU6x7VzehZFltZMEHusNJMQLJURxIFrqqgwpAV2waM0jsdRq0yhjaLMWlhddUHcM5rH&#10;EKqybChbKboVTLqO1TBOHJRk60ZbPA+nLUtG3XlZWuYQzzFU6sIXkoC98d9ofkJmlSG6bmh/BPKY&#10;IzyoSZBGQtJbqhVxBG1N8xeVaKhRVpXumCoRdYUERaCKJH6gzWVNNAu1gNRW34pu/x8tfbW7MKgp&#10;cjyGvksioOO/P3//9fPr9ZdP1z++IVgGjVptZwC91Bem9yyYvuB9aYT/Qylon+PhKMnSbITRFdyt&#10;cTacJqNOY7Z3iAIgm6aDIcQpAAaTUToN8eiOSBvrnjMlkDdy3LKiYq+hj0vCudq6oDLZnVkX5C76&#10;M5PifYJRKTh0b0c4OkrSbDDJ+v4eoNJDVDqIs7HHQP6eE6ybE/gEVvGmWDecB8dUmyU3CBJApetp&#10;8mzVb74H4xK1OU5HwxhuGSUwIyXcTTCFBp2trDAivILho86Ecu7ttodJBpNxnKUBxLfipSq63JNR&#10;DNzduXt8qOEekS9jRWzdbQmhfguXgPYt7ZroLbff7PvOblRxBXfCqG5YrKbrBqjOiHUXxIC+UBW8&#10;H+4cPiVXUKrqLYxqZT7+a93j4dJCFKMWpg1k+LAlhmHEX0i4zlkyHPrxDM5wNEnBMYeRzWFEbsVS&#10;QQug43C6YHq84zdmaZR4B8/MwmeFEJEUcneC987Sda8APFSULRYBBiOpiTuTl5p6ct9yqRZbp8rG&#10;ebG9UJ06vQNDGXTvHxA/9Yd+QN09mv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Xa/40toAAAAL&#10;AQAADwAAAAAAAAABACAAAAAiAAAAZHJzL2Rvd25yZXYueG1sUEsBAhQAFAAAAAgAh07iQGAfXS3F&#10;AgAAfAUAAA4AAAAAAAAAAQAgAAAAKQEAAGRycy9lMm9Eb2MueG1sUEsFBgAAAAAGAAYAWQEAAGAG&#10;AAAAAA==&#10;" adj="-17146,15789">
                      <v:fill on="t" focussize="0,0"/>
                      <v:stroke weight="2pt" color="#376092 [2404]" joinstyle="round"/>
                      <v:imagedata o:title=""/>
                      <o:lock v:ext="edit" aspectratio="f"/>
                      <v:textbox>
                        <w:txbxContent>
                          <w:p w14:paraId="679C05E4">
                            <w:pPr>
                              <w:ind w:left="0" w:leftChars="0" w:firstLine="0" w:firstLineChars="0"/>
                              <w:jc w:val="both"/>
                              <w:rPr>
                                <w:rFonts w:hint="default" w:eastAsia="仿宋"/>
                                <w:lang w:val="en-US" w:eastAsia="zh-CN"/>
                              </w:rPr>
                            </w:pPr>
                            <w:r>
                              <w:rPr>
                                <w:rFonts w:hint="eastAsia"/>
                                <w:lang w:val="en-US" w:eastAsia="zh-CN"/>
                              </w:rPr>
                              <w:t>项目所在地</w:t>
                            </w:r>
                          </w:p>
                        </w:txbxContent>
                      </v:textbox>
                    </v:shape>
                  </w:pict>
                </mc:Fallback>
              </mc:AlternateContent>
            </w:r>
            <w:r>
              <w:rPr>
                <w:rFonts w:hint="eastAsia" w:eastAsia="仿宋"/>
                <w:color w:val="auto"/>
                <w:highlight w:val="none"/>
                <w:lang w:eastAsia="zh-CN"/>
              </w:rPr>
              <w:drawing>
                <wp:inline distT="0" distB="0" distL="114300" distR="114300">
                  <wp:extent cx="7080250" cy="5053965"/>
                  <wp:effectExtent l="0" t="0" r="6350" b="13335"/>
                  <wp:docPr id="69" name="图片 69" descr="第79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第79页-1"/>
                          <pic:cNvPicPr>
                            <a:picLocks noChangeAspect="1"/>
                          </pic:cNvPicPr>
                        </pic:nvPicPr>
                        <pic:blipFill>
                          <a:blip r:embed="rId30"/>
                          <a:stretch>
                            <a:fillRect/>
                          </a:stretch>
                        </pic:blipFill>
                        <pic:spPr>
                          <a:xfrm>
                            <a:off x="0" y="0"/>
                            <a:ext cx="7080250" cy="5053965"/>
                          </a:xfrm>
                          <a:prstGeom prst="rect">
                            <a:avLst/>
                          </a:prstGeom>
                        </pic:spPr>
                      </pic:pic>
                    </a:graphicData>
                  </a:graphic>
                </wp:inline>
              </w:drawing>
            </w:r>
          </w:p>
          <w:p w14:paraId="1DE165DD">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sz w:val="21"/>
                <w:szCs w:val="21"/>
                <w:highlight w:val="none"/>
              </w:rPr>
              <w:t>图1</w:t>
            </w:r>
            <w:r>
              <w:rPr>
                <w:rFonts w:hint="eastAsia"/>
                <w:color w:val="auto"/>
                <w:sz w:val="21"/>
                <w:szCs w:val="21"/>
                <w:highlight w:val="none"/>
                <w:lang w:val="en-US" w:eastAsia="zh-CN"/>
              </w:rPr>
              <w:t>.3-2</w:t>
            </w:r>
            <w:r>
              <w:rPr>
                <w:rFonts w:hint="eastAsia"/>
                <w:color w:val="auto"/>
                <w:sz w:val="21"/>
                <w:szCs w:val="21"/>
                <w:highlight w:val="none"/>
              </w:rPr>
              <w:t xml:space="preserve"> 云南省生态功能区划</w:t>
            </w:r>
          </w:p>
          <w:p w14:paraId="688DF401">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1.3.3与</w:t>
            </w:r>
            <w:r>
              <w:rPr>
                <w:rFonts w:hint="default"/>
                <w:color w:val="auto"/>
                <w:highlight w:val="none"/>
              </w:rPr>
              <w:t>《</w:t>
            </w:r>
            <w:r>
              <w:rPr>
                <w:rFonts w:hint="eastAsia"/>
                <w:color w:val="auto"/>
                <w:highlight w:val="none"/>
                <w:lang w:eastAsia="zh-CN"/>
              </w:rPr>
              <w:t>曲靖市</w:t>
            </w:r>
            <w:r>
              <w:rPr>
                <w:rFonts w:hint="eastAsia"/>
                <w:color w:val="auto"/>
                <w:highlight w:val="none"/>
              </w:rPr>
              <w:t>“十四五”生态环境保护规划</w:t>
            </w:r>
            <w:r>
              <w:rPr>
                <w:rFonts w:hint="default"/>
                <w:color w:val="auto"/>
                <w:highlight w:val="none"/>
              </w:rPr>
              <w:t>》</w:t>
            </w:r>
            <w:r>
              <w:rPr>
                <w:rFonts w:hint="eastAsia"/>
                <w:color w:val="auto"/>
                <w:highlight w:val="none"/>
              </w:rPr>
              <w:t>相符性分析</w:t>
            </w:r>
          </w:p>
          <w:p w14:paraId="652FDF16">
            <w:pPr>
              <w:keepNext w:val="0"/>
              <w:keepLines w:val="0"/>
              <w:suppressLineNumbers w:val="0"/>
              <w:spacing w:before="0" w:beforeAutospacing="0" w:after="0" w:afterAutospacing="0"/>
              <w:ind w:left="0" w:right="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本项目为</w:t>
            </w:r>
            <w:r>
              <w:rPr>
                <w:rFonts w:hint="eastAsia" w:cs="Times New Roman"/>
                <w:color w:val="auto"/>
                <w:highlight w:val="none"/>
                <w:lang w:val="en-US" w:eastAsia="zh-CN"/>
              </w:rPr>
              <w:t>光伏发电项目</w:t>
            </w:r>
            <w:r>
              <w:rPr>
                <w:rFonts w:hint="eastAsia" w:ascii="Times New Roman" w:hAnsi="Times New Roman" w:cs="Times New Roman"/>
                <w:color w:val="auto"/>
                <w:highlight w:val="none"/>
                <w:lang w:val="en-US" w:eastAsia="zh-CN"/>
              </w:rPr>
              <w:t>，施工及营运不涉及明显的土壤</w:t>
            </w:r>
            <w:r>
              <w:rPr>
                <w:rFonts w:hint="eastAsia" w:cs="Times New Roman"/>
                <w:color w:val="auto"/>
                <w:highlight w:val="none"/>
                <w:lang w:val="en-US" w:eastAsia="zh-CN"/>
              </w:rPr>
              <w:t>和地下水</w:t>
            </w:r>
            <w:r>
              <w:rPr>
                <w:rFonts w:hint="eastAsia" w:ascii="Times New Roman" w:hAnsi="Times New Roman" w:cs="Times New Roman"/>
                <w:color w:val="auto"/>
                <w:highlight w:val="none"/>
                <w:lang w:val="en-US" w:eastAsia="zh-CN"/>
              </w:rPr>
              <w:t>污染，主要环境影响为生态环境影响</w:t>
            </w:r>
            <w:r>
              <w:rPr>
                <w:rFonts w:hint="eastAsia" w:cs="Times New Roman"/>
                <w:color w:val="auto"/>
                <w:highlight w:val="none"/>
                <w:lang w:val="en-US" w:eastAsia="zh-CN"/>
              </w:rPr>
              <w:t>和电磁辐射影响</w:t>
            </w:r>
            <w:r>
              <w:rPr>
                <w:rFonts w:hint="eastAsia" w:ascii="Times New Roman" w:hAnsi="Times New Roman" w:cs="Times New Roman"/>
                <w:color w:val="auto"/>
                <w:highlight w:val="none"/>
                <w:lang w:val="en-US" w:eastAsia="zh-CN"/>
              </w:rPr>
              <w:t>。对比《曲靖市生态环境保护“十四五”规划》中生态保护相关规定，项目相符性分析见表</w:t>
            </w:r>
            <w:r>
              <w:rPr>
                <w:rFonts w:hint="eastAsia"/>
                <w:color w:val="auto"/>
                <w:highlight w:val="none"/>
                <w:lang w:val="en-US" w:eastAsia="zh-CN"/>
              </w:rPr>
              <w:t>1.3-3</w:t>
            </w:r>
            <w:r>
              <w:rPr>
                <w:rFonts w:hint="eastAsia" w:ascii="Times New Roman" w:hAnsi="Times New Roman" w:cs="Times New Roman"/>
                <w:color w:val="auto"/>
                <w:highlight w:val="none"/>
                <w:lang w:val="en-US" w:eastAsia="zh-CN"/>
              </w:rPr>
              <w:t>。</w:t>
            </w:r>
          </w:p>
          <w:p w14:paraId="1C06CA37">
            <w:pPr>
              <w:keepNext w:val="0"/>
              <w:keepLines w:val="0"/>
              <w:suppressLineNumbers w:val="0"/>
              <w:bidi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sz w:val="21"/>
                <w:szCs w:val="21"/>
                <w:highlight w:val="none"/>
                <w:lang w:eastAsia="zh-CN"/>
              </w:rPr>
              <w:t>表</w:t>
            </w:r>
            <w:r>
              <w:rPr>
                <w:rFonts w:hint="eastAsia" w:cs="Times New Roman"/>
                <w:b/>
                <w:bCs/>
                <w:color w:val="auto"/>
                <w:sz w:val="21"/>
                <w:szCs w:val="21"/>
                <w:highlight w:val="none"/>
                <w:lang w:val="en-US" w:eastAsia="zh-CN"/>
              </w:rPr>
              <w:t xml:space="preserve">1.3-3 </w:t>
            </w:r>
            <w:r>
              <w:rPr>
                <w:rFonts w:hint="default" w:ascii="Times New Roman" w:hAnsi="Times New Roman" w:cs="Times New Roman"/>
                <w:b/>
                <w:bCs/>
                <w:color w:val="auto"/>
                <w:sz w:val="21"/>
                <w:szCs w:val="21"/>
                <w:highlight w:val="none"/>
                <w:lang w:val="en-US" w:eastAsia="zh-CN"/>
              </w:rPr>
              <w:t>本项目与</w:t>
            </w:r>
            <w:r>
              <w:rPr>
                <w:rFonts w:hint="default" w:ascii="Times New Roman" w:hAnsi="Times New Roman" w:cs="Times New Roman"/>
                <w:b/>
                <w:bCs/>
                <w:color w:val="auto"/>
                <w:sz w:val="21"/>
                <w:szCs w:val="21"/>
                <w:highlight w:val="none"/>
              </w:rPr>
              <w:t>《曲靖市生态环境保护“十四五”规划》符合性</w:t>
            </w:r>
            <w:r>
              <w:rPr>
                <w:rFonts w:hint="default" w:ascii="Times New Roman" w:hAnsi="Times New Roman" w:cs="Times New Roman"/>
                <w:b/>
                <w:bCs/>
                <w:color w:val="auto"/>
                <w:sz w:val="21"/>
                <w:szCs w:val="21"/>
                <w:highlight w:val="none"/>
                <w:lang w:eastAsia="zh-CN"/>
              </w:rPr>
              <w:t>分析</w:t>
            </w:r>
          </w:p>
          <w:tbl>
            <w:tblPr>
              <w:tblStyle w:val="11"/>
              <w:tblW w:w="4724" w:type="pct"/>
              <w:tblInd w:w="329"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6848"/>
              <w:gridCol w:w="3189"/>
              <w:gridCol w:w="898"/>
            </w:tblGrid>
            <w:tr w14:paraId="2BE08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12" w:type="pct"/>
                  <w:tcBorders>
                    <w:tl2br w:val="nil"/>
                    <w:tr2bl w:val="nil"/>
                  </w:tcBorders>
                  <w:noWrap w:val="0"/>
                  <w:vAlign w:val="center"/>
                </w:tcPr>
                <w:p w14:paraId="3329437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类别</w:t>
                  </w:r>
                </w:p>
              </w:tc>
              <w:tc>
                <w:tcPr>
                  <w:tcW w:w="2810" w:type="pct"/>
                  <w:tcBorders>
                    <w:tl2br w:val="nil"/>
                    <w:tr2bl w:val="nil"/>
                  </w:tcBorders>
                  <w:noWrap w:val="0"/>
                  <w:vAlign w:val="center"/>
                </w:tcPr>
                <w:p w14:paraId="6C2CA2F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文件要求</w:t>
                  </w:r>
                  <w:r>
                    <w:rPr>
                      <w:rFonts w:hint="eastAsia" w:ascii="Times New Roman" w:hAnsi="Times New Roman" w:cs="Times New Roman"/>
                      <w:color w:val="auto"/>
                      <w:sz w:val="21"/>
                      <w:szCs w:val="21"/>
                      <w:highlight w:val="none"/>
                      <w:lang w:val="en-US" w:eastAsia="zh-CN"/>
                    </w:rPr>
                    <w:t>（摘录）</w:t>
                  </w:r>
                </w:p>
              </w:tc>
              <w:tc>
                <w:tcPr>
                  <w:tcW w:w="1309" w:type="pct"/>
                  <w:tcBorders>
                    <w:tl2br w:val="nil"/>
                    <w:tr2bl w:val="nil"/>
                  </w:tcBorders>
                  <w:noWrap w:val="0"/>
                  <w:vAlign w:val="center"/>
                </w:tcPr>
                <w:p w14:paraId="2C0CB2C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本项目情况</w:t>
                  </w:r>
                </w:p>
              </w:tc>
              <w:tc>
                <w:tcPr>
                  <w:tcW w:w="368" w:type="pct"/>
                  <w:tcBorders>
                    <w:tl2br w:val="nil"/>
                    <w:tr2bl w:val="nil"/>
                  </w:tcBorders>
                  <w:noWrap w:val="0"/>
                  <w:vAlign w:val="center"/>
                </w:tcPr>
                <w:p w14:paraId="204E945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相符性</w:t>
                  </w:r>
                </w:p>
              </w:tc>
            </w:tr>
            <w:tr w14:paraId="15B7D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2" w:type="pct"/>
                  <w:vMerge w:val="restart"/>
                  <w:tcBorders>
                    <w:tl2br w:val="nil"/>
                    <w:tr2bl w:val="nil"/>
                  </w:tcBorders>
                  <w:noWrap w:val="0"/>
                  <w:vAlign w:val="center"/>
                </w:tcPr>
                <w:p w14:paraId="0DAEC3A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加强生态监管，维护生态系统安全</w:t>
                  </w:r>
                </w:p>
              </w:tc>
              <w:tc>
                <w:tcPr>
                  <w:tcW w:w="2810" w:type="pct"/>
                  <w:tcBorders>
                    <w:tl2br w:val="nil"/>
                    <w:tr2bl w:val="nil"/>
                  </w:tcBorders>
                  <w:noWrap w:val="0"/>
                  <w:vAlign w:val="center"/>
                </w:tcPr>
                <w:p w14:paraId="1EA5728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第一节  加强重要生态空间管控</w:t>
                  </w:r>
                </w:p>
                <w:p w14:paraId="1E88C0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六节点即黑颈鹤国家级自然保护区、驾车省级自然保护区、珠江源省级自然保护区、海峰省级自然保护区、十八连山省级自然保护区、丁累大箐省级自然保护</w:t>
                  </w:r>
                  <w:r>
                    <w:rPr>
                      <w:rFonts w:hint="eastAsia" w:ascii="Times New Roman" w:hAnsi="Times New Roman" w:cs="Times New Roman"/>
                      <w:color w:val="auto"/>
                      <w:sz w:val="21"/>
                      <w:szCs w:val="21"/>
                      <w:highlight w:val="none"/>
                      <w:lang w:val="en-US" w:eastAsia="zh-CN"/>
                    </w:rPr>
                    <w:t>区等</w:t>
                  </w:r>
                  <w:r>
                    <w:rPr>
                      <w:rFonts w:hint="default" w:ascii="Times New Roman" w:hAnsi="Times New Roman" w:cs="Times New Roman"/>
                      <w:color w:val="auto"/>
                      <w:sz w:val="21"/>
                      <w:szCs w:val="21"/>
                      <w:highlight w:val="none"/>
                      <w:lang w:val="en-US" w:eastAsia="zh-CN"/>
                    </w:rPr>
                    <w:t>六大自然保护区，针对各保护区典型的自然生态系统、珍稀濒危野生动植物种实行分类分级管控与保护。</w:t>
                  </w:r>
                </w:p>
              </w:tc>
              <w:tc>
                <w:tcPr>
                  <w:tcW w:w="1309" w:type="pct"/>
                  <w:tcBorders>
                    <w:tl2br w:val="nil"/>
                    <w:tr2bl w:val="nil"/>
                  </w:tcBorders>
                  <w:noWrap w:val="0"/>
                  <w:vAlign w:val="center"/>
                </w:tcPr>
                <w:p w14:paraId="0E94FE0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本项目不占用</w:t>
                  </w:r>
                  <w:r>
                    <w:rPr>
                      <w:rFonts w:hint="eastAsia" w:cs="Times New Roman"/>
                      <w:color w:val="auto"/>
                      <w:sz w:val="21"/>
                      <w:szCs w:val="21"/>
                      <w:highlight w:val="none"/>
                      <w:lang w:val="en-US" w:eastAsia="zh-CN"/>
                    </w:rPr>
                    <w:t>上述自然保护区</w:t>
                  </w:r>
                  <w:r>
                    <w:rPr>
                      <w:rFonts w:hint="eastAsia" w:ascii="Times New Roman" w:hAnsi="Times New Roman" w:cs="Times New Roman"/>
                      <w:color w:val="auto"/>
                      <w:sz w:val="21"/>
                      <w:szCs w:val="21"/>
                      <w:highlight w:val="none"/>
                      <w:lang w:val="en-US" w:eastAsia="zh-CN"/>
                    </w:rPr>
                    <w:t>，不会对保护区内典型自然生态系统和珍稀濒危野生动物造成影响</w:t>
                  </w:r>
                  <w:r>
                    <w:rPr>
                      <w:rFonts w:hint="eastAsia"/>
                      <w:color w:val="auto"/>
                      <w:highlight w:val="none"/>
                      <w:lang w:eastAsia="zh-CN"/>
                    </w:rPr>
                    <w:t>。</w:t>
                  </w:r>
                  <w:r>
                    <w:rPr>
                      <w:rFonts w:hint="eastAsia"/>
                      <w:color w:val="auto"/>
                      <w:sz w:val="21"/>
                      <w:szCs w:val="21"/>
                      <w:highlight w:val="none"/>
                      <w:lang w:eastAsia="zh-CN"/>
                    </w:rPr>
                    <w:t>本项目距离最近</w:t>
                  </w:r>
                  <w:r>
                    <w:rPr>
                      <w:rFonts w:hint="eastAsia"/>
                      <w:color w:val="auto"/>
                      <w:sz w:val="21"/>
                      <w:szCs w:val="21"/>
                      <w:highlight w:val="none"/>
                      <w:lang w:val="en-US" w:eastAsia="zh-CN"/>
                    </w:rPr>
                    <w:t>的自然保护区为</w:t>
                  </w:r>
                  <w:r>
                    <w:rPr>
                      <w:rFonts w:hint="eastAsia"/>
                      <w:color w:val="auto"/>
                      <w:sz w:val="21"/>
                      <w:szCs w:val="21"/>
                      <w:highlight w:val="none"/>
                      <w:lang w:eastAsia="zh-CN"/>
                    </w:rPr>
                    <w:t>会泽黑颈鹤国家级自然保护区，</w:t>
                  </w:r>
                  <w:r>
                    <w:rPr>
                      <w:rFonts w:hint="eastAsia"/>
                      <w:color w:val="auto"/>
                      <w:sz w:val="21"/>
                      <w:szCs w:val="21"/>
                      <w:highlight w:val="none"/>
                      <w:lang w:val="en-US" w:eastAsia="zh-CN"/>
                    </w:rPr>
                    <w:t>距离</w:t>
                  </w:r>
                  <w:r>
                    <w:rPr>
                      <w:rFonts w:hint="eastAsia"/>
                      <w:color w:val="auto"/>
                      <w:sz w:val="21"/>
                      <w:szCs w:val="21"/>
                      <w:highlight w:val="none"/>
                      <w:lang w:eastAsia="zh-CN"/>
                    </w:rPr>
                    <w:t>约</w:t>
                  </w:r>
                  <w:r>
                    <w:rPr>
                      <w:rFonts w:hint="eastAsia"/>
                      <w:color w:val="auto"/>
                      <w:sz w:val="21"/>
                      <w:szCs w:val="21"/>
                      <w:highlight w:val="none"/>
                      <w:lang w:val="en-US" w:eastAsia="zh-CN"/>
                    </w:rPr>
                    <w:t>20</w:t>
                  </w:r>
                  <w:r>
                    <w:rPr>
                      <w:rFonts w:hint="eastAsia"/>
                      <w:color w:val="auto"/>
                      <w:sz w:val="21"/>
                      <w:szCs w:val="21"/>
                      <w:highlight w:val="none"/>
                      <w:lang w:eastAsia="zh-CN"/>
                    </w:rPr>
                    <w:t>km。</w:t>
                  </w:r>
                </w:p>
              </w:tc>
              <w:tc>
                <w:tcPr>
                  <w:tcW w:w="368" w:type="pct"/>
                  <w:tcBorders>
                    <w:tl2br w:val="nil"/>
                    <w:tr2bl w:val="nil"/>
                  </w:tcBorders>
                  <w:noWrap w:val="0"/>
                  <w:vAlign w:val="center"/>
                </w:tcPr>
                <w:p w14:paraId="1CD0B8C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相符</w:t>
                  </w:r>
                </w:p>
              </w:tc>
            </w:tr>
            <w:tr w14:paraId="652E1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2" w:type="pct"/>
                  <w:vMerge w:val="continue"/>
                  <w:tcBorders>
                    <w:tl2br w:val="nil"/>
                    <w:tr2bl w:val="nil"/>
                  </w:tcBorders>
                  <w:noWrap w:val="0"/>
                  <w:vAlign w:val="center"/>
                </w:tcPr>
                <w:p w14:paraId="6866E24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p>
              </w:tc>
              <w:tc>
                <w:tcPr>
                  <w:tcW w:w="2810" w:type="pct"/>
                  <w:tcBorders>
                    <w:tl2br w:val="nil"/>
                    <w:tr2bl w:val="nil"/>
                  </w:tcBorders>
                  <w:noWrap w:val="0"/>
                  <w:vAlign w:val="center"/>
                </w:tcPr>
                <w:p w14:paraId="25B4954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第二节  实施生物多样性保护工程</w:t>
                  </w:r>
                </w:p>
                <w:p w14:paraId="13C8EF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实施生物多样性保护行动。以区域内各类自然保护地为重点，加强自然保护地保护力度，开展植被修复，恢复重要物种栖息廊道，加强保护区连接性，构建跨区保护体系，防止种群隔离和孤岛化，维持小种群数量，促进自然保护地特殊生物多样性资源的有效保护。</w:t>
                  </w:r>
                </w:p>
              </w:tc>
              <w:tc>
                <w:tcPr>
                  <w:tcW w:w="1309" w:type="pct"/>
                  <w:tcBorders>
                    <w:tl2br w:val="nil"/>
                    <w:tr2bl w:val="nil"/>
                  </w:tcBorders>
                  <w:noWrap w:val="0"/>
                  <w:vAlign w:val="center"/>
                </w:tcPr>
                <w:p w14:paraId="27ED3D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本项目为</w:t>
                  </w:r>
                  <w:r>
                    <w:rPr>
                      <w:rFonts w:hint="eastAsia" w:cs="Times New Roman"/>
                      <w:color w:val="auto"/>
                      <w:sz w:val="21"/>
                      <w:szCs w:val="21"/>
                      <w:highlight w:val="none"/>
                      <w:lang w:val="en-US" w:eastAsia="zh-CN"/>
                    </w:rPr>
                    <w:t>光伏发电项目</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光伏阵列分散分布</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光伏板基础占地面积较小，集电</w:t>
                  </w:r>
                  <w:r>
                    <w:rPr>
                      <w:rFonts w:hint="eastAsia" w:ascii="Times New Roman" w:hAnsi="Times New Roman" w:cs="Times New Roman"/>
                      <w:color w:val="auto"/>
                      <w:sz w:val="21"/>
                      <w:szCs w:val="21"/>
                      <w:highlight w:val="none"/>
                      <w:lang w:val="en-US" w:eastAsia="zh-CN"/>
                    </w:rPr>
                    <w:t>线路为架空线路</w:t>
                  </w:r>
                  <w:r>
                    <w:rPr>
                      <w:rFonts w:hint="eastAsia" w:cs="Times New Roman"/>
                      <w:color w:val="auto"/>
                      <w:sz w:val="21"/>
                      <w:szCs w:val="21"/>
                      <w:highlight w:val="none"/>
                      <w:lang w:val="en-US" w:eastAsia="zh-CN"/>
                    </w:rPr>
                    <w:t>和地埋电缆混合布置，未形成连片封闭区域，不涉及重要物种栖息廊道，</w:t>
                  </w:r>
                  <w:r>
                    <w:rPr>
                      <w:rFonts w:hint="eastAsia" w:ascii="Times New Roman" w:hAnsi="Times New Roman" w:cs="Times New Roman"/>
                      <w:color w:val="auto"/>
                      <w:sz w:val="21"/>
                      <w:szCs w:val="21"/>
                      <w:highlight w:val="none"/>
                      <w:lang w:val="en-US" w:eastAsia="zh-CN"/>
                    </w:rPr>
                    <w:t>不会造成区域野生动物种群隔离和孤岛化，对区域小种群数量影响较小</w:t>
                  </w:r>
                </w:p>
              </w:tc>
              <w:tc>
                <w:tcPr>
                  <w:tcW w:w="368" w:type="pct"/>
                  <w:tcBorders>
                    <w:tl2br w:val="nil"/>
                    <w:tr2bl w:val="nil"/>
                  </w:tcBorders>
                  <w:noWrap w:val="0"/>
                  <w:vAlign w:val="center"/>
                </w:tcPr>
                <w:p w14:paraId="00D5864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相符</w:t>
                  </w:r>
                </w:p>
              </w:tc>
            </w:tr>
            <w:tr w14:paraId="0ECA24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2" w:type="pct"/>
                  <w:vMerge w:val="continue"/>
                  <w:tcBorders>
                    <w:tl2br w:val="nil"/>
                    <w:tr2bl w:val="nil"/>
                  </w:tcBorders>
                  <w:noWrap w:val="0"/>
                  <w:vAlign w:val="center"/>
                </w:tcPr>
                <w:p w14:paraId="554B77D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p>
              </w:tc>
              <w:tc>
                <w:tcPr>
                  <w:tcW w:w="2810" w:type="pct"/>
                  <w:tcBorders>
                    <w:tl2br w:val="nil"/>
                    <w:tr2bl w:val="nil"/>
                  </w:tcBorders>
                  <w:noWrap w:val="0"/>
                  <w:vAlign w:val="center"/>
                </w:tcPr>
                <w:p w14:paraId="087EB73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第三节  加强生态系统保护与修复</w:t>
                  </w:r>
                </w:p>
                <w:p w14:paraId="13CE3D2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完善森林资源监督专项机制，落实天然林保护制度，全面推行林长制，加强林业</w:t>
                  </w:r>
                  <w:r>
                    <w:rPr>
                      <w:rFonts w:hint="eastAsia" w:cs="Times New Roman"/>
                      <w:color w:val="auto"/>
                      <w:sz w:val="21"/>
                      <w:szCs w:val="21"/>
                      <w:highlight w:val="none"/>
                      <w:lang w:val="en-US" w:eastAsia="zh-CN"/>
                    </w:rPr>
                    <w:t>生态保护红线</w:t>
                  </w:r>
                  <w:r>
                    <w:rPr>
                      <w:rFonts w:hint="default" w:ascii="Times New Roman" w:hAnsi="Times New Roman" w:cs="Times New Roman"/>
                      <w:color w:val="auto"/>
                      <w:sz w:val="21"/>
                      <w:szCs w:val="21"/>
                      <w:highlight w:val="none"/>
                      <w:lang w:val="en-US" w:eastAsia="zh-CN"/>
                    </w:rPr>
                    <w:t>管控，确保天然林面积稳中有增、功能逐步提升、治理持续提高。大力实施林业重点生态工程，开展森林公园、重点林场等生态区位重要的退化林修复工程</w:t>
                  </w:r>
                  <w:r>
                    <w:rPr>
                      <w:rFonts w:hint="eastAsia" w:ascii="Times New Roman" w:hAnsi="Times New Roman" w:cs="Times New Roman"/>
                      <w:color w:val="auto"/>
                      <w:sz w:val="21"/>
                      <w:szCs w:val="21"/>
                      <w:highlight w:val="none"/>
                      <w:lang w:val="en-US" w:eastAsia="zh-CN"/>
                    </w:rPr>
                    <w:t>……</w:t>
                  </w:r>
                </w:p>
                <w:p w14:paraId="4F75903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积极推进长江流域与珠江流域水土保持综合治理，采取坡面整治、沟道防护、水土保持、疏溪固堤、保护林营造等措施，结合封禁、抚育恢复林草植被，全面治理牛栏江、南盘江及北盘江流域区域内水土流失敏感区</w:t>
                  </w:r>
                  <w:r>
                    <w:rPr>
                      <w:rFonts w:hint="eastAsia" w:ascii="Times New Roman" w:hAnsi="Times New Roman" w:cs="Times New Roman"/>
                      <w:color w:val="auto"/>
                      <w:sz w:val="21"/>
                      <w:szCs w:val="21"/>
                      <w:highlight w:val="none"/>
                      <w:lang w:val="en-US" w:eastAsia="zh-CN"/>
                    </w:rPr>
                    <w:t>……</w:t>
                  </w:r>
                </w:p>
              </w:tc>
              <w:tc>
                <w:tcPr>
                  <w:tcW w:w="1309" w:type="pct"/>
                  <w:tcBorders>
                    <w:tl2br w:val="nil"/>
                    <w:tr2bl w:val="nil"/>
                  </w:tcBorders>
                  <w:noWrap w:val="0"/>
                  <w:vAlign w:val="center"/>
                </w:tcPr>
                <w:p w14:paraId="26BDDAF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w:t>
                  </w:r>
                  <w:r>
                    <w:rPr>
                      <w:rFonts w:hint="eastAsia" w:cs="Times New Roman"/>
                      <w:color w:val="auto"/>
                      <w:sz w:val="21"/>
                      <w:szCs w:val="21"/>
                      <w:highlight w:val="none"/>
                      <w:lang w:val="en-US" w:eastAsia="zh-CN"/>
                    </w:rPr>
                    <w:t>光伏阵列基础</w:t>
                  </w:r>
                  <w:r>
                    <w:rPr>
                      <w:rFonts w:hint="eastAsia" w:ascii="Times New Roman" w:hAnsi="Times New Roman" w:cs="Times New Roman"/>
                      <w:color w:val="auto"/>
                      <w:sz w:val="21"/>
                      <w:szCs w:val="21"/>
                      <w:highlight w:val="none"/>
                      <w:lang w:val="en-US" w:eastAsia="zh-CN"/>
                    </w:rPr>
                    <w:t>占地面积较小</w:t>
                  </w:r>
                  <w:r>
                    <w:rPr>
                      <w:rFonts w:hint="eastAsia" w:cs="Times New Roman"/>
                      <w:color w:val="auto"/>
                      <w:sz w:val="21"/>
                      <w:szCs w:val="21"/>
                      <w:highlight w:val="none"/>
                      <w:lang w:val="en-US" w:eastAsia="zh-CN"/>
                    </w:rPr>
                    <w:t>。项目选址区域自然坡度较大，不适宜大型机械开台作业，项目施工以人工建设为主，施工总体扰动较小，</w:t>
                  </w:r>
                  <w:r>
                    <w:rPr>
                      <w:rFonts w:hint="eastAsia" w:ascii="Times New Roman" w:hAnsi="Times New Roman" w:cs="Times New Roman"/>
                      <w:color w:val="auto"/>
                      <w:sz w:val="21"/>
                      <w:szCs w:val="21"/>
                      <w:highlight w:val="none"/>
                      <w:lang w:val="en-US" w:eastAsia="zh-CN"/>
                    </w:rPr>
                    <w:t>且</w:t>
                  </w:r>
                  <w:r>
                    <w:rPr>
                      <w:rFonts w:hint="eastAsia" w:cs="Times New Roman"/>
                      <w:color w:val="auto"/>
                      <w:sz w:val="21"/>
                      <w:szCs w:val="21"/>
                      <w:highlight w:val="none"/>
                      <w:lang w:val="en-US" w:eastAsia="zh-CN"/>
                    </w:rPr>
                    <w:t>项目</w:t>
                  </w:r>
                  <w:r>
                    <w:rPr>
                      <w:rFonts w:hint="eastAsia" w:ascii="Times New Roman" w:hAnsi="Times New Roman" w:cs="Times New Roman"/>
                      <w:color w:val="auto"/>
                      <w:sz w:val="21"/>
                      <w:szCs w:val="21"/>
                      <w:highlight w:val="none"/>
                      <w:lang w:val="en-US" w:eastAsia="zh-CN"/>
                    </w:rPr>
                    <w:t>进行了水土保持相关设计，不会对区域水土流失造成明显影响。</w:t>
                  </w:r>
                </w:p>
              </w:tc>
              <w:tc>
                <w:tcPr>
                  <w:tcW w:w="368" w:type="pct"/>
                  <w:tcBorders>
                    <w:tl2br w:val="nil"/>
                    <w:tr2bl w:val="nil"/>
                  </w:tcBorders>
                  <w:noWrap w:val="0"/>
                  <w:vAlign w:val="center"/>
                </w:tcPr>
                <w:p w14:paraId="1A2180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相符</w:t>
                  </w:r>
                </w:p>
              </w:tc>
            </w:tr>
            <w:tr w14:paraId="4A4FA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2" w:type="pct"/>
                  <w:vMerge w:val="continue"/>
                  <w:tcBorders>
                    <w:tl2br w:val="nil"/>
                    <w:tr2bl w:val="nil"/>
                  </w:tcBorders>
                  <w:noWrap w:val="0"/>
                  <w:vAlign w:val="center"/>
                </w:tcPr>
                <w:p w14:paraId="4845DF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p>
              </w:tc>
              <w:tc>
                <w:tcPr>
                  <w:tcW w:w="2810" w:type="pct"/>
                  <w:tcBorders>
                    <w:tl2br w:val="nil"/>
                    <w:tr2bl w:val="nil"/>
                  </w:tcBorders>
                  <w:noWrap w:val="0"/>
                  <w:vAlign w:val="center"/>
                </w:tcPr>
                <w:p w14:paraId="6DC98E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第四节  加强自然保护地体系监管</w:t>
                  </w:r>
                </w:p>
                <w:p w14:paraId="07AC3C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落实国家及云南省对自然保护地生态环境监管的工作要求，构建“统筹管控、差异管理”的自然保护地分类分级管理体制，创建“一个保护地、一套机构、一块牌子”的自然资源统一管理机制，制定自然保护地分类、分级、分区管控要求，对不同类型、不同级别、不同分区的自然保护地实行差别化管控。</w:t>
                  </w:r>
                </w:p>
              </w:tc>
              <w:tc>
                <w:tcPr>
                  <w:tcW w:w="1309" w:type="pct"/>
                  <w:tcBorders>
                    <w:tl2br w:val="nil"/>
                    <w:tr2bl w:val="nil"/>
                  </w:tcBorders>
                  <w:noWrap w:val="0"/>
                  <w:vAlign w:val="center"/>
                </w:tcPr>
                <w:p w14:paraId="5289F4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本项目不涉及自然保护地</w:t>
                  </w:r>
                  <w:r>
                    <w:rPr>
                      <w:rFonts w:hint="eastAsia"/>
                      <w:color w:val="auto"/>
                      <w:sz w:val="21"/>
                      <w:szCs w:val="21"/>
                      <w:highlight w:val="none"/>
                      <w:lang w:eastAsia="zh-CN"/>
                    </w:rPr>
                    <w:t>，</w:t>
                  </w:r>
                  <w:r>
                    <w:rPr>
                      <w:rFonts w:hint="eastAsia"/>
                      <w:color w:val="auto"/>
                      <w:sz w:val="21"/>
                      <w:szCs w:val="21"/>
                      <w:highlight w:val="none"/>
                    </w:rPr>
                    <w:t>本项目距离最的自然保护区为会泽黑颈鹤国家级自然保护区，距离约</w:t>
                  </w:r>
                  <w:r>
                    <w:rPr>
                      <w:rFonts w:hint="eastAsia"/>
                      <w:color w:val="auto"/>
                      <w:sz w:val="21"/>
                      <w:szCs w:val="21"/>
                      <w:highlight w:val="none"/>
                      <w:lang w:val="en-US" w:eastAsia="zh-CN"/>
                    </w:rPr>
                    <w:t>20</w:t>
                  </w:r>
                  <w:r>
                    <w:rPr>
                      <w:rFonts w:hint="eastAsia"/>
                      <w:color w:val="auto"/>
                      <w:sz w:val="21"/>
                      <w:szCs w:val="21"/>
                      <w:highlight w:val="none"/>
                    </w:rPr>
                    <w:t>km。</w:t>
                  </w:r>
                </w:p>
              </w:tc>
              <w:tc>
                <w:tcPr>
                  <w:tcW w:w="368" w:type="pct"/>
                  <w:tcBorders>
                    <w:tl2br w:val="nil"/>
                    <w:tr2bl w:val="nil"/>
                  </w:tcBorders>
                  <w:noWrap w:val="0"/>
                  <w:vAlign w:val="center"/>
                </w:tcPr>
                <w:p w14:paraId="2F4659A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bl>
          <w:p w14:paraId="09F5427F">
            <w:pPr>
              <w:keepNext w:val="0"/>
              <w:keepLines w:val="0"/>
              <w:suppressLineNumbers w:val="0"/>
              <w:spacing w:before="0" w:beforeAutospacing="0" w:after="0" w:afterAutospacing="0"/>
              <w:ind w:left="0" w:right="0" w:firstLine="480"/>
              <w:rPr>
                <w:rFonts w:hint="default"/>
                <w:color w:val="auto"/>
                <w:highlight w:val="none"/>
              </w:rPr>
            </w:pPr>
          </w:p>
          <w:p w14:paraId="7DF6922D">
            <w:pPr>
              <w:keepNext w:val="0"/>
              <w:keepLines w:val="0"/>
              <w:suppressLineNumbers w:val="0"/>
              <w:spacing w:before="0" w:beforeAutospacing="0" w:after="0" w:afterAutospacing="0"/>
              <w:ind w:left="0" w:leftChars="0" w:right="0" w:firstLine="0" w:firstLineChars="0"/>
              <w:rPr>
                <w:rFonts w:hint="eastAsia"/>
                <w:color w:val="auto"/>
                <w:highlight w:val="none"/>
                <w:lang w:val="en-US" w:eastAsia="zh-CN"/>
              </w:rPr>
            </w:pPr>
            <w:r>
              <w:rPr>
                <w:rFonts w:hint="eastAsia" w:ascii="Times New Roman" w:hAnsi="Times New Roman" w:cs="Times New Roman"/>
                <w:color w:val="auto"/>
                <w:highlight w:val="none"/>
                <w:lang w:val="en-US" w:eastAsia="zh-CN"/>
              </w:rPr>
              <w:t>1.3.4 与</w:t>
            </w:r>
            <w:r>
              <w:rPr>
                <w:rFonts w:hint="eastAsia"/>
                <w:color w:val="auto"/>
                <w:highlight w:val="none"/>
                <w:lang w:val="en-US" w:eastAsia="zh-CN"/>
              </w:rPr>
              <w:t>《牛栏江流域（云南部分）水环境保护规划（2009—2030年）》相符性分析</w:t>
            </w:r>
          </w:p>
          <w:p w14:paraId="1F611A1F">
            <w:pPr>
              <w:keepNext w:val="0"/>
              <w:keepLines w:val="0"/>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根据《牛栏江流域（云南部分）水环境保护规划（2009—2030年）》，本项目所在区域涉及“牛栏江德泽水库以下生态环境保护区（下游区）——下游区（Ⅱ区）——水源涵养区（Ⅱ</w:t>
            </w:r>
            <w:r>
              <w:rPr>
                <w:rFonts w:hint="eastAsia"/>
                <w:color w:val="auto"/>
                <w:highlight w:val="none"/>
                <w:vertAlign w:val="subscript"/>
                <w:lang w:val="en-US" w:eastAsia="zh-CN"/>
              </w:rPr>
              <w:t>2</w:t>
            </w:r>
            <w:r>
              <w:rPr>
                <w:rFonts w:hint="eastAsia"/>
                <w:color w:val="auto"/>
                <w:highlight w:val="none"/>
                <w:lang w:val="en-US" w:eastAsia="zh-CN"/>
              </w:rPr>
              <w:t>区）”。对比《牛栏江流域（云南部分）水环境保护规划（2009—2030年）》，本项目符合性分析，见表1.3-4。</w:t>
            </w:r>
          </w:p>
          <w:p w14:paraId="0847E9F2">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b/>
                <w:bCs/>
                <w:color w:val="auto"/>
                <w:highlight w:val="none"/>
                <w:lang w:val="en-US" w:eastAsia="zh-CN"/>
              </w:rPr>
              <w:t>1.3-4 项目与《牛栏江流域（云南部分）水环境保护规划（2009—2030年）》</w:t>
            </w:r>
          </w:p>
          <w:tbl>
            <w:tblPr>
              <w:tblStyle w:val="10"/>
              <w:tblW w:w="4761"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97"/>
              <w:gridCol w:w="6482"/>
              <w:gridCol w:w="4087"/>
              <w:gridCol w:w="1012"/>
            </w:tblGrid>
            <w:tr w14:paraId="4F35EF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3" w:type="pct"/>
                  <w:tcBorders>
                    <w:tl2br w:val="nil"/>
                    <w:tr2bl w:val="nil"/>
                  </w:tcBorders>
                  <w:noWrap w:val="0"/>
                  <w:vAlign w:val="center"/>
                </w:tcPr>
                <w:p w14:paraId="425971B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序号</w:t>
                  </w:r>
                </w:p>
              </w:tc>
              <w:tc>
                <w:tcPr>
                  <w:tcW w:w="2639" w:type="pct"/>
                  <w:tcBorders>
                    <w:tl2br w:val="nil"/>
                    <w:tr2bl w:val="nil"/>
                  </w:tcBorders>
                  <w:noWrap w:val="0"/>
                  <w:vAlign w:val="center"/>
                </w:tcPr>
                <w:p w14:paraId="2C63265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要求（摘录）</w:t>
                  </w:r>
                </w:p>
              </w:tc>
              <w:tc>
                <w:tcPr>
                  <w:tcW w:w="1664" w:type="pct"/>
                  <w:tcBorders>
                    <w:tl2br w:val="nil"/>
                    <w:tr2bl w:val="nil"/>
                  </w:tcBorders>
                  <w:noWrap w:val="0"/>
                  <w:vAlign w:val="center"/>
                </w:tcPr>
                <w:p w14:paraId="08DBE7E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412" w:type="pct"/>
                  <w:tcBorders>
                    <w:tl2br w:val="nil"/>
                    <w:tr2bl w:val="nil"/>
                  </w:tcBorders>
                  <w:noWrap w:val="0"/>
                  <w:vAlign w:val="center"/>
                </w:tcPr>
                <w:p w14:paraId="55BDB54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符合性</w:t>
                  </w:r>
                </w:p>
              </w:tc>
            </w:tr>
            <w:tr w14:paraId="59F732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3" w:type="pct"/>
                  <w:tcBorders>
                    <w:tl2br w:val="nil"/>
                    <w:tr2bl w:val="nil"/>
                  </w:tcBorders>
                  <w:noWrap w:val="0"/>
                  <w:vAlign w:val="center"/>
                </w:tcPr>
                <w:p w14:paraId="5106C12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1</w:t>
                  </w:r>
                </w:p>
              </w:tc>
              <w:tc>
                <w:tcPr>
                  <w:tcW w:w="2639" w:type="pct"/>
                  <w:tcBorders>
                    <w:tl2br w:val="nil"/>
                    <w:tr2bl w:val="nil"/>
                  </w:tcBorders>
                  <w:noWrap w:val="0"/>
                  <w:vAlign w:val="center"/>
                </w:tcPr>
                <w:p w14:paraId="14B52CA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规划总目标：严格控制主要污染物及有毒有害物质的排放，切实控制重点工业污染源及城镇生活污染源，大力削减农业农村面源污染负荷，加强生态保障体系建设，有效控制流域水土流失，提高水源涵养能力，保障城镇及农村饮用水安全，生态环境得到有效恢复和全面保护，确保牛栏江调水水源区和下游区水质达到并稳定保持《地表水环境质量标准》（GB3838-2002）Ⅲ类水质标准，促进区域可持续发展。</w:t>
                  </w:r>
                </w:p>
              </w:tc>
              <w:tc>
                <w:tcPr>
                  <w:tcW w:w="1664" w:type="pct"/>
                  <w:vMerge w:val="restart"/>
                  <w:tcBorders>
                    <w:tl2br w:val="nil"/>
                    <w:tr2bl w:val="nil"/>
                  </w:tcBorders>
                  <w:noWrap w:val="0"/>
                  <w:vAlign w:val="center"/>
                </w:tcPr>
                <w:p w14:paraId="588E916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olor w:val="auto"/>
                      <w:sz w:val="21"/>
                      <w:szCs w:val="21"/>
                      <w:highlight w:val="none"/>
                      <w:lang w:val="en-US" w:eastAsia="zh-CN"/>
                    </w:rPr>
                  </w:pPr>
                  <w:r>
                    <w:rPr>
                      <w:rFonts w:hint="eastAsia"/>
                      <w:color w:val="auto"/>
                      <w:highlight w:val="none"/>
                      <w:lang w:val="en-US" w:eastAsia="zh-CN"/>
                    </w:rPr>
                    <w:t>1.</w:t>
                  </w:r>
                  <w:r>
                    <w:rPr>
                      <w:rFonts w:hint="eastAsia"/>
                      <w:color w:val="auto"/>
                      <w:sz w:val="21"/>
                      <w:szCs w:val="21"/>
                      <w:highlight w:val="none"/>
                      <w:lang w:val="en-US" w:eastAsia="zh-CN"/>
                    </w:rPr>
                    <w:t>本项目废水主要为员工生活污水和光伏板清洗废水。光伏板清洗废水不含清洗剂，直接用于板下植物浇洒不外排。升压站员工生活污水经处理后，用于升压站绿化，不外排。因此，本项目满足牛栏江流域控制生活污染源的要求。</w:t>
                  </w:r>
                </w:p>
                <w:p w14:paraId="1AFA348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2.本项目已进行绿化植被恢复方案，可有效控制选址区域的水土流失。</w:t>
                  </w:r>
                </w:p>
                <w:p w14:paraId="38341A9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3.根据会泽县2025公布的水环境质量月报，2025年，硝厂河断面水质保持《地表水环境质量标准》（GB3838-2002）Ⅲ类水质标准，满足规划要求。根据云南省生态环境厅驻曲靖市生态环境监测站于2025年2月21日公布的《2024年曲靖市环境质量年报》，牛栏江（江底大桥）断面水质状况为优，2024年水质类别为Ⅱ类，满足水功能区划Ⅲ类水质要求，区域水环境达标。</w:t>
                  </w:r>
                </w:p>
              </w:tc>
              <w:tc>
                <w:tcPr>
                  <w:tcW w:w="412" w:type="pct"/>
                  <w:tcBorders>
                    <w:tl2br w:val="nil"/>
                    <w:tr2bl w:val="nil"/>
                  </w:tcBorders>
                  <w:noWrap w:val="0"/>
                  <w:vAlign w:val="center"/>
                </w:tcPr>
                <w:p w14:paraId="6F5B49E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DBB89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3537E82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2639" w:type="pct"/>
                  <w:tcBorders>
                    <w:tl2br w:val="nil"/>
                    <w:tr2bl w:val="nil"/>
                  </w:tcBorders>
                  <w:noWrap w:val="0"/>
                  <w:vAlign w:val="center"/>
                </w:tcPr>
                <w:p w14:paraId="69FE710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远期目标：2021—2030年，通过流域农业产业结构调整，调水水源区农业农村面源污染得到有效控制，流域生态保障体系基本形成，流域水土流失得到有效控制，生态环境得到有效恢复和全面保护，牛栏江调水水源区和下游区水质达到并稳定保持《地表水环境质量标准》（GB3838-2002）Ⅲ类水质标准，促进区域可持续发展。</w:t>
                  </w:r>
                </w:p>
              </w:tc>
              <w:tc>
                <w:tcPr>
                  <w:tcW w:w="1664" w:type="pct"/>
                  <w:vMerge w:val="continue"/>
                  <w:tcBorders>
                    <w:tl2br w:val="nil"/>
                    <w:tr2bl w:val="nil"/>
                  </w:tcBorders>
                  <w:noWrap w:val="0"/>
                  <w:vAlign w:val="center"/>
                </w:tcPr>
                <w:p w14:paraId="41A039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p>
              </w:tc>
              <w:tc>
                <w:tcPr>
                  <w:tcW w:w="412" w:type="pct"/>
                  <w:tcBorders>
                    <w:tl2br w:val="nil"/>
                    <w:tr2bl w:val="nil"/>
                  </w:tcBorders>
                  <w:noWrap w:val="0"/>
                  <w:vAlign w:val="center"/>
                </w:tcPr>
                <w:p w14:paraId="244EEF6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36FF0F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0B85679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2639" w:type="pct"/>
                  <w:tcBorders>
                    <w:tl2br w:val="nil"/>
                    <w:tr2bl w:val="nil"/>
                  </w:tcBorders>
                  <w:noWrap w:val="0"/>
                  <w:vAlign w:val="center"/>
                </w:tcPr>
                <w:p w14:paraId="4CD56AB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加快调水水源区工业园区基础设施建设，实现工业园区废水零排放</w:t>
                  </w:r>
                </w:p>
              </w:tc>
              <w:tc>
                <w:tcPr>
                  <w:tcW w:w="1664" w:type="pct"/>
                  <w:tcBorders>
                    <w:tl2br w:val="nil"/>
                    <w:tr2bl w:val="nil"/>
                  </w:tcBorders>
                  <w:noWrap w:val="0"/>
                  <w:vAlign w:val="center"/>
                </w:tcPr>
                <w:p w14:paraId="0D54A67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本项目不属于工业园区项目，无工业废水排放</w:t>
                  </w:r>
                </w:p>
              </w:tc>
              <w:tc>
                <w:tcPr>
                  <w:tcW w:w="412" w:type="pct"/>
                  <w:tcBorders>
                    <w:tl2br w:val="nil"/>
                    <w:tr2bl w:val="nil"/>
                  </w:tcBorders>
                  <w:noWrap w:val="0"/>
                  <w:vAlign w:val="center"/>
                </w:tcPr>
                <w:p w14:paraId="6EAB489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r w14:paraId="3179F6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1B26376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p>
              </w:tc>
              <w:tc>
                <w:tcPr>
                  <w:tcW w:w="2639" w:type="pct"/>
                  <w:tcBorders>
                    <w:tl2br w:val="nil"/>
                    <w:tr2bl w:val="nil"/>
                  </w:tcBorders>
                  <w:noWrap w:val="0"/>
                  <w:vAlign w:val="center"/>
                </w:tcPr>
                <w:p w14:paraId="41A3F10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落实国家产业政策和有关环保政策，实现企业废水零排放</w:t>
                  </w:r>
                </w:p>
              </w:tc>
              <w:tc>
                <w:tcPr>
                  <w:tcW w:w="1664" w:type="pct"/>
                  <w:tcBorders>
                    <w:tl2br w:val="nil"/>
                    <w:tr2bl w:val="nil"/>
                  </w:tcBorders>
                  <w:noWrap w:val="0"/>
                  <w:vAlign w:val="center"/>
                </w:tcPr>
                <w:p w14:paraId="5F529D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废水主要为员工生活污水和光伏板清洗废水。光伏板清洗废水不含清洗剂，直接用于板下植物浇洒不外排。升压站员工生活污水经处理后，用于升压站绿化，不外排。因此，本项目满足牛栏江流域废水零排放要求。</w:t>
                  </w:r>
                </w:p>
              </w:tc>
              <w:tc>
                <w:tcPr>
                  <w:tcW w:w="412" w:type="pct"/>
                  <w:tcBorders>
                    <w:tl2br w:val="nil"/>
                    <w:tr2bl w:val="nil"/>
                  </w:tcBorders>
                  <w:noWrap w:val="0"/>
                  <w:vAlign w:val="center"/>
                </w:tcPr>
                <w:p w14:paraId="3ECDE6B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r w14:paraId="09BDC3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1D129FC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2639" w:type="pct"/>
                  <w:tcBorders>
                    <w:tl2br w:val="nil"/>
                    <w:tr2bl w:val="nil"/>
                  </w:tcBorders>
                  <w:noWrap w:val="0"/>
                  <w:vAlign w:val="center"/>
                </w:tcPr>
                <w:p w14:paraId="3381B42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3、严格工业企业环境管理</w:t>
                  </w:r>
                </w:p>
                <w:p w14:paraId="7342253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严格环境准入政策，避免新污染物输入。调水水源区不得建设不符合国家产业政策的工业项目及高污染工业项目，包括污染严重的钢铁、有色冶金、基础化工、农药、电镀、造纸制浆、制革、印染、石棉制品、土硫磺、土磷肥和染料等企业和项目；新建工业项目必须进入工业园区或废水实现零排放，改扩建项目不得新增化学需氧量、总氮、总磷排放量；新建、改建、扩建工业项目应采用先进的生产工艺和污染防治技术，其清洁生产水平应达到国家清洁生产标准中的国内先进水平。下游区工业废水排水水质达标率100%。</w:t>
                  </w:r>
                </w:p>
                <w:p w14:paraId="3CA4726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严格工业固体废弃物管理，实现固体废弃物安全处置。调水水源区内所有排放固体废弃物的企业，按国家有关固体废弃物安全处置的要求，对现有固体废弃物堆场进行安全处置，特别是磷化工企业固体废弃物的安全处置。新建固体废弃物堆场必须达到国家有关固体废弃物安全处置的要求。</w:t>
                  </w:r>
                </w:p>
              </w:tc>
              <w:tc>
                <w:tcPr>
                  <w:tcW w:w="1664" w:type="pct"/>
                  <w:tcBorders>
                    <w:tl2br w:val="nil"/>
                    <w:tr2bl w:val="nil"/>
                  </w:tcBorders>
                  <w:noWrap w:val="0"/>
                  <w:vAlign w:val="center"/>
                </w:tcPr>
                <w:p w14:paraId="4E23C47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本项目废水主要为员工生活污水和光伏板清洗废水。光伏板清洗废水不含清洗剂，直接用于板下植物浇洒不外排。升压站员工生活污水经处理后，用于升压站绿化，不外排。本项目不设置排污口，不会向牛栏江流域输入新污染物。</w:t>
                  </w:r>
                </w:p>
                <w:p w14:paraId="39C7E4D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s="Times New Roman"/>
                      <w:color w:val="auto"/>
                      <w:sz w:val="21"/>
                      <w:szCs w:val="21"/>
                      <w:highlight w:val="none"/>
                      <w:lang w:eastAsia="zh-CN"/>
                    </w:rPr>
                  </w:pPr>
                  <w:r>
                    <w:rPr>
                      <w:rFonts w:hint="eastAsia"/>
                      <w:color w:val="auto"/>
                      <w:sz w:val="21"/>
                      <w:szCs w:val="21"/>
                      <w:highlight w:val="none"/>
                      <w:lang w:val="en-US" w:eastAsia="zh-CN"/>
                    </w:rPr>
                    <w:t>2.本项目不涉及</w:t>
                  </w:r>
                  <w:r>
                    <w:rPr>
                      <w:rFonts w:hint="default" w:ascii="Times New Roman" w:hAnsi="Times New Roman" w:cs="Times New Roman"/>
                      <w:color w:val="auto"/>
                      <w:sz w:val="21"/>
                      <w:szCs w:val="21"/>
                      <w:highlight w:val="none"/>
                    </w:rPr>
                    <w:t>调水水源区</w:t>
                  </w:r>
                  <w:r>
                    <w:rPr>
                      <w:rFonts w:hint="eastAsia" w:cs="Times New Roman"/>
                      <w:color w:val="auto"/>
                      <w:sz w:val="21"/>
                      <w:szCs w:val="21"/>
                      <w:highlight w:val="none"/>
                      <w:lang w:eastAsia="zh-CN"/>
                    </w:rPr>
                    <w:t>。</w:t>
                  </w:r>
                </w:p>
                <w:p w14:paraId="006E6AF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olor w:val="auto"/>
                      <w:sz w:val="21"/>
                      <w:szCs w:val="21"/>
                      <w:highlight w:val="none"/>
                      <w:lang w:val="en-US" w:eastAsia="zh-CN"/>
                    </w:rPr>
                  </w:pPr>
                  <w:r>
                    <w:rPr>
                      <w:rFonts w:hint="eastAsia" w:cs="Times New Roman"/>
                      <w:color w:val="auto"/>
                      <w:sz w:val="21"/>
                      <w:szCs w:val="21"/>
                      <w:highlight w:val="none"/>
                      <w:lang w:val="en-US" w:eastAsia="zh-CN"/>
                    </w:rPr>
                    <w:t>3.</w:t>
                  </w:r>
                  <w:r>
                    <w:rPr>
                      <w:rFonts w:hint="eastAsia"/>
                      <w:color w:val="auto"/>
                      <w:sz w:val="21"/>
                      <w:szCs w:val="21"/>
                      <w:highlight w:val="none"/>
                      <w:lang w:val="en-US" w:eastAsia="zh-CN"/>
                    </w:rPr>
                    <w:t>本项目不属于污染类项目。</w:t>
                  </w:r>
                </w:p>
                <w:p w14:paraId="25899FC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4.项目施工工艺成熟，施工完成后的绿化恢复方案已设计，可最大程度减少区域生态影响。</w:t>
                  </w:r>
                </w:p>
                <w:p w14:paraId="36FB42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5.本项目施工期产生的固体废物可得到妥善处置，不外排,。</w:t>
                  </w:r>
                </w:p>
              </w:tc>
              <w:tc>
                <w:tcPr>
                  <w:tcW w:w="412" w:type="pct"/>
                  <w:tcBorders>
                    <w:tl2br w:val="nil"/>
                    <w:tr2bl w:val="nil"/>
                  </w:tcBorders>
                  <w:noWrap w:val="0"/>
                  <w:vAlign w:val="center"/>
                </w:tcPr>
                <w:p w14:paraId="00F4734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14:paraId="726B89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4B3368F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2639" w:type="pct"/>
                  <w:tcBorders>
                    <w:tl2br w:val="nil"/>
                    <w:tr2bl w:val="nil"/>
                  </w:tcBorders>
                  <w:noWrap w:val="0"/>
                  <w:vAlign w:val="center"/>
                </w:tcPr>
                <w:p w14:paraId="6368244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县城及乡镇污水处理厂（站）及配套管网建设</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县城及乡镇地面保洁及垃圾处置</w:t>
                  </w:r>
                </w:p>
              </w:tc>
              <w:tc>
                <w:tcPr>
                  <w:tcW w:w="1664" w:type="pct"/>
                  <w:tcBorders>
                    <w:tl2br w:val="nil"/>
                    <w:tr2bl w:val="nil"/>
                  </w:tcBorders>
                  <w:noWrap w:val="0"/>
                  <w:vAlign w:val="center"/>
                </w:tcPr>
                <w:p w14:paraId="156EE49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本项目不属于县城及乡镇建设项目</w:t>
                  </w:r>
                </w:p>
              </w:tc>
              <w:tc>
                <w:tcPr>
                  <w:tcW w:w="412" w:type="pct"/>
                  <w:tcBorders>
                    <w:tl2br w:val="nil"/>
                    <w:tr2bl w:val="nil"/>
                  </w:tcBorders>
                  <w:noWrap w:val="0"/>
                  <w:vAlign w:val="center"/>
                </w:tcPr>
                <w:p w14:paraId="49B40BC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r w14:paraId="185935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36F7A6F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w:t>
                  </w:r>
                </w:p>
              </w:tc>
              <w:tc>
                <w:tcPr>
                  <w:tcW w:w="2639" w:type="pct"/>
                  <w:tcBorders>
                    <w:tl2br w:val="nil"/>
                    <w:tr2bl w:val="nil"/>
                  </w:tcBorders>
                  <w:noWrap w:val="0"/>
                  <w:vAlign w:val="center"/>
                </w:tcPr>
                <w:p w14:paraId="3ADF5DD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Times New Roman" w:hAnsi="Times New Roman" w:eastAsia="仿宋" w:cs="Times New Roman"/>
                      <w:color w:val="auto"/>
                      <w:sz w:val="21"/>
                      <w:szCs w:val="21"/>
                      <w:highlight w:val="none"/>
                      <w:lang w:eastAsia="zh-CN"/>
                    </w:rPr>
                  </w:pPr>
                  <w:r>
                    <w:rPr>
                      <w:rFonts w:hint="default" w:ascii="Times New Roman" w:hAnsi="Times New Roman" w:cs="Times New Roman"/>
                      <w:color w:val="auto"/>
                      <w:sz w:val="21"/>
                      <w:szCs w:val="21"/>
                      <w:highlight w:val="none"/>
                    </w:rPr>
                    <w:t>加强农田化肥流失防治</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加强农村固废污染防治及综合利用</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加强重点区域农村生活污水的处理</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优化农业产业结构</w:t>
                  </w:r>
                  <w:r>
                    <w:rPr>
                      <w:rFonts w:hint="eastAsia" w:ascii="Times New Roman" w:hAnsi="Times New Roman" w:cs="Times New Roman"/>
                      <w:color w:val="auto"/>
                      <w:sz w:val="21"/>
                      <w:szCs w:val="21"/>
                      <w:highlight w:val="none"/>
                      <w:lang w:eastAsia="zh-CN"/>
                    </w:rPr>
                    <w:t>；开展生态县和环境优美乡镇建设</w:t>
                  </w:r>
                </w:p>
              </w:tc>
              <w:tc>
                <w:tcPr>
                  <w:tcW w:w="1664" w:type="pct"/>
                  <w:tcBorders>
                    <w:tl2br w:val="nil"/>
                    <w:tr2bl w:val="nil"/>
                  </w:tcBorders>
                  <w:noWrap w:val="0"/>
                  <w:vAlign w:val="center"/>
                </w:tcPr>
                <w:p w14:paraId="289D050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本项目不属于农业项目</w:t>
                  </w:r>
                </w:p>
              </w:tc>
              <w:tc>
                <w:tcPr>
                  <w:tcW w:w="412" w:type="pct"/>
                  <w:tcBorders>
                    <w:tl2br w:val="nil"/>
                    <w:tr2bl w:val="nil"/>
                  </w:tcBorders>
                  <w:noWrap w:val="0"/>
                  <w:vAlign w:val="center"/>
                </w:tcPr>
                <w:p w14:paraId="40C46CE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r w14:paraId="2DB9CC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217119A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w:t>
                  </w:r>
                </w:p>
              </w:tc>
              <w:tc>
                <w:tcPr>
                  <w:tcW w:w="2639" w:type="pct"/>
                  <w:tcBorders>
                    <w:tl2br w:val="nil"/>
                    <w:tr2bl w:val="nil"/>
                  </w:tcBorders>
                  <w:noWrap w:val="0"/>
                  <w:vAlign w:val="center"/>
                </w:tcPr>
                <w:p w14:paraId="6C4B364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Times New Roman" w:hAnsi="Times New Roman" w:eastAsia="仿宋" w:cs="Times New Roman"/>
                      <w:color w:val="auto"/>
                      <w:sz w:val="21"/>
                      <w:szCs w:val="21"/>
                      <w:highlight w:val="none"/>
                      <w:lang w:eastAsia="zh-CN"/>
                    </w:rPr>
                  </w:pPr>
                  <w:r>
                    <w:rPr>
                      <w:rFonts w:hint="eastAsia" w:ascii="Times New Roman" w:hAnsi="Times New Roman" w:eastAsia="仿宋" w:cs="Times New Roman"/>
                      <w:color w:val="auto"/>
                      <w:sz w:val="21"/>
                      <w:szCs w:val="21"/>
                      <w:highlight w:val="none"/>
                      <w:lang w:eastAsia="zh-CN"/>
                    </w:rPr>
                    <w:t>在调水水源区，实施工程造林、退耕还林、石漠化治理、人工中幼林抚育、现有水源林管护、现有水土保持林管护、低产低效林分改造措施，打造调水水源区源头水源涵养林体系和牛栏江干流及主要支流两岸水土保持林体系；实施德泽水库、黄草坪水库、青水海水库、大石头水库防护林建设，打造调水水源区主要库区防护林体系。</w:t>
                  </w:r>
                </w:p>
              </w:tc>
              <w:tc>
                <w:tcPr>
                  <w:tcW w:w="1664" w:type="pct"/>
                  <w:tcBorders>
                    <w:tl2br w:val="nil"/>
                    <w:tr2bl w:val="nil"/>
                  </w:tcBorders>
                  <w:noWrap w:val="0"/>
                  <w:vAlign w:val="center"/>
                </w:tcPr>
                <w:p w14:paraId="715C463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ascii="Times New Roman" w:hAnsi="Times New Roman" w:eastAsia="仿宋" w:cs="Times New Roman"/>
                      <w:color w:val="auto"/>
                      <w:sz w:val="21"/>
                      <w:szCs w:val="21"/>
                      <w:highlight w:val="none"/>
                      <w:lang w:eastAsia="zh-CN"/>
                    </w:rPr>
                  </w:pPr>
                  <w:r>
                    <w:rPr>
                      <w:rFonts w:hint="eastAsia"/>
                      <w:color w:val="auto"/>
                      <w:sz w:val="21"/>
                      <w:szCs w:val="21"/>
                      <w:highlight w:val="none"/>
                      <w:lang w:val="en-US" w:eastAsia="zh-CN"/>
                    </w:rPr>
                    <w:t>1.本项目选址范围内不涉及</w:t>
                  </w:r>
                  <w:r>
                    <w:rPr>
                      <w:rFonts w:hint="eastAsia" w:ascii="Times New Roman" w:hAnsi="Times New Roman" w:eastAsia="仿宋" w:cs="Times New Roman"/>
                      <w:color w:val="auto"/>
                      <w:sz w:val="21"/>
                      <w:szCs w:val="21"/>
                      <w:highlight w:val="none"/>
                      <w:lang w:eastAsia="zh-CN"/>
                    </w:rPr>
                    <w:t>水水源区</w:t>
                  </w:r>
                </w:p>
                <w:p w14:paraId="2DA7BC8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2.本项目已编制了《水土保持方案》，项目在采取相应的水土保持措施后，不会对区域水源涵养功能造成影响</w:t>
                  </w:r>
                </w:p>
              </w:tc>
              <w:tc>
                <w:tcPr>
                  <w:tcW w:w="412" w:type="pct"/>
                  <w:tcBorders>
                    <w:tl2br w:val="nil"/>
                    <w:tr2bl w:val="nil"/>
                  </w:tcBorders>
                  <w:noWrap w:val="0"/>
                  <w:vAlign w:val="center"/>
                </w:tcPr>
                <w:p w14:paraId="3ED91F9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14:paraId="3E6F36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3" w:type="pct"/>
                  <w:tcBorders>
                    <w:tl2br w:val="nil"/>
                    <w:tr2bl w:val="nil"/>
                  </w:tcBorders>
                  <w:noWrap w:val="0"/>
                  <w:vAlign w:val="center"/>
                </w:tcPr>
                <w:p w14:paraId="5CB8124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w:t>
                  </w:r>
                </w:p>
              </w:tc>
              <w:tc>
                <w:tcPr>
                  <w:tcW w:w="2639" w:type="pct"/>
                  <w:tcBorders>
                    <w:tl2br w:val="nil"/>
                    <w:tr2bl w:val="nil"/>
                  </w:tcBorders>
                  <w:noWrap w:val="0"/>
                  <w:vAlign w:val="center"/>
                </w:tcPr>
                <w:p w14:paraId="2A1FCC1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严格环保审批与验收制度。严格牛栏江流域规划环评、区域环评及新、改、扩建项目环评的审批管理。对超过总量指标或完不成跨界水质目标考核的地方，各级环保部门暂停审批排放水污染物的工业建设项目环评报告。在调水水源区内，经环境影响评价可能会影响跨界断面水质的拟建项目，在审批前应采取适当方式征询下游相邻地方环保部门的意见。严格执行建设项目竣工环境保护验收制度。</w:t>
                  </w:r>
                </w:p>
              </w:tc>
              <w:tc>
                <w:tcPr>
                  <w:tcW w:w="1664" w:type="pct"/>
                  <w:tcBorders>
                    <w:tl2br w:val="nil"/>
                    <w:tr2bl w:val="nil"/>
                  </w:tcBorders>
                  <w:noWrap w:val="0"/>
                  <w:vAlign w:val="center"/>
                </w:tcPr>
                <w:p w14:paraId="778B49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1.本项目选址范围内不涉及调</w:t>
                  </w:r>
                  <w:r>
                    <w:rPr>
                      <w:rFonts w:hint="eastAsia" w:ascii="Times New Roman" w:hAnsi="Times New Roman" w:eastAsia="仿宋" w:cs="Times New Roman"/>
                      <w:color w:val="auto"/>
                      <w:sz w:val="21"/>
                      <w:szCs w:val="21"/>
                      <w:highlight w:val="none"/>
                      <w:lang w:eastAsia="zh-CN"/>
                    </w:rPr>
                    <w:t>水水源区</w:t>
                  </w:r>
                </w:p>
                <w:p w14:paraId="244EC6F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2.本项目不属于污染类项目，不涉及总量控制指标。</w:t>
                  </w:r>
                </w:p>
                <w:p w14:paraId="1A6E164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3.本项目废水不外排，不会影响跨界断面水质。</w:t>
                  </w:r>
                </w:p>
                <w:p w14:paraId="483B8EA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4.本项目光伏方阵、升压站及其他临时工程均不在河道管理范围内。部分输电线路为架空线路，塔基不占用河道管理范围，仅导线跨越河流，不会对区域地表水质造成影响。</w:t>
                  </w:r>
                </w:p>
              </w:tc>
              <w:tc>
                <w:tcPr>
                  <w:tcW w:w="412" w:type="pct"/>
                  <w:tcBorders>
                    <w:tl2br w:val="nil"/>
                    <w:tr2bl w:val="nil"/>
                  </w:tcBorders>
                  <w:noWrap w:val="0"/>
                  <w:vAlign w:val="center"/>
                </w:tcPr>
                <w:p w14:paraId="73C8E99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bl>
          <w:p w14:paraId="6FBFD65C">
            <w:pPr>
              <w:keepNext w:val="0"/>
              <w:keepLines w:val="0"/>
              <w:suppressLineNumbers w:val="0"/>
              <w:spacing w:before="0" w:beforeAutospacing="0" w:after="0" w:afterAutospacing="0"/>
              <w:ind w:left="0" w:right="0"/>
              <w:rPr>
                <w:rFonts w:hint="default"/>
                <w:color w:val="auto"/>
                <w:highlight w:val="none"/>
              </w:rPr>
            </w:pPr>
          </w:p>
          <w:p w14:paraId="619960F7">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1.3.</w:t>
            </w:r>
            <w:r>
              <w:rPr>
                <w:rFonts w:hint="eastAsia"/>
                <w:color w:val="auto"/>
                <w:highlight w:val="none"/>
                <w:lang w:val="en-US" w:eastAsia="zh-CN"/>
              </w:rPr>
              <w:t>5</w:t>
            </w:r>
            <w:r>
              <w:rPr>
                <w:rFonts w:hint="eastAsia"/>
                <w:color w:val="auto"/>
                <w:highlight w:val="none"/>
              </w:rPr>
              <w:t>与《云南省生物多样性保护战略与行动计划（2024—2030年）》的相符性分析</w:t>
            </w:r>
          </w:p>
          <w:p w14:paraId="7A3D623A">
            <w:pPr>
              <w:keepNext w:val="0"/>
              <w:keepLines w:val="0"/>
              <w:suppressLineNumbers w:val="0"/>
              <w:bidi w:val="0"/>
              <w:spacing w:before="0" w:beforeAutospacing="0" w:after="0" w:afterAutospacing="0"/>
              <w:ind w:left="0" w:right="0"/>
              <w:rPr>
                <w:rFonts w:hint="default" w:eastAsia="仿宋"/>
                <w:color w:val="auto"/>
                <w:highlight w:val="none"/>
                <w:lang w:val="en-US" w:eastAsia="zh-CN"/>
              </w:rPr>
            </w:pPr>
            <w:r>
              <w:rPr>
                <w:rFonts w:hint="eastAsia"/>
                <w:color w:val="auto"/>
                <w:highlight w:val="none"/>
                <w:lang w:val="en-US" w:eastAsia="zh-CN"/>
              </w:rPr>
              <w:t>本项目位于曲靖市会泽县，项目不涉及云南生物多样性保护优先区域，距离云南生物多样性保护优先区域约46km。项目</w:t>
            </w:r>
            <w:r>
              <w:rPr>
                <w:rFonts w:hint="eastAsia"/>
                <w:color w:val="auto"/>
                <w:highlight w:val="none"/>
              </w:rPr>
              <w:t>与《云南省生物多样性保护战略与行动计划（2024—2030年）》</w:t>
            </w:r>
            <w:r>
              <w:rPr>
                <w:rFonts w:hint="eastAsia"/>
                <w:color w:val="auto"/>
                <w:highlight w:val="none"/>
                <w:lang w:val="en-US" w:eastAsia="zh-CN"/>
              </w:rPr>
              <w:t>见下表。</w:t>
            </w:r>
          </w:p>
          <w:p w14:paraId="34AB4F96">
            <w:pPr>
              <w:keepNext w:val="0"/>
              <w:keepLines w:val="0"/>
              <w:suppressLineNumbers w:val="0"/>
              <w:spacing w:before="0" w:beforeAutospacing="0" w:after="0" w:afterAutospacing="0"/>
              <w:ind w:left="0" w:right="0" w:firstLine="482"/>
              <w:jc w:val="center"/>
              <w:rPr>
                <w:rFonts w:hint="eastAsia"/>
                <w:b/>
                <w:bCs/>
                <w:color w:val="auto"/>
                <w:highlight w:val="none"/>
              </w:rPr>
            </w:pPr>
            <w:r>
              <w:rPr>
                <w:rFonts w:hint="eastAsia"/>
                <w:b/>
                <w:bCs/>
                <w:color w:val="auto"/>
                <w:highlight w:val="none"/>
                <w:lang w:val="en-US" w:eastAsia="zh-CN"/>
              </w:rPr>
              <w:t>1.3-5</w:t>
            </w:r>
            <w:r>
              <w:rPr>
                <w:rFonts w:hint="eastAsia"/>
                <w:b/>
                <w:bCs/>
                <w:color w:val="auto"/>
                <w:highlight w:val="none"/>
              </w:rPr>
              <w:t xml:space="preserve"> 项目与《云南省生物多样性保护战略与行动计划（2024—2030年）》相符性分析</w:t>
            </w:r>
          </w:p>
          <w:tbl>
            <w:tblPr>
              <w:tblStyle w:val="10"/>
              <w:tblW w:w="4761"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99"/>
              <w:gridCol w:w="6480"/>
              <w:gridCol w:w="4087"/>
              <w:gridCol w:w="1012"/>
            </w:tblGrid>
            <w:tr w14:paraId="7ED2B3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5" w:type="pct"/>
                  <w:tcBorders>
                    <w:tl2br w:val="nil"/>
                    <w:tr2bl w:val="nil"/>
                  </w:tcBorders>
                  <w:noWrap w:val="0"/>
                  <w:vAlign w:val="center"/>
                </w:tcPr>
                <w:p w14:paraId="47039CE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序号</w:t>
                  </w:r>
                </w:p>
              </w:tc>
              <w:tc>
                <w:tcPr>
                  <w:tcW w:w="2638" w:type="pct"/>
                  <w:tcBorders>
                    <w:tl2br w:val="nil"/>
                    <w:tr2bl w:val="nil"/>
                  </w:tcBorders>
                  <w:noWrap w:val="0"/>
                  <w:vAlign w:val="center"/>
                </w:tcPr>
                <w:p w14:paraId="5090887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要求（摘录）</w:t>
                  </w:r>
                </w:p>
              </w:tc>
              <w:tc>
                <w:tcPr>
                  <w:tcW w:w="1664" w:type="pct"/>
                  <w:tcBorders>
                    <w:tl2br w:val="nil"/>
                    <w:tr2bl w:val="nil"/>
                  </w:tcBorders>
                  <w:noWrap w:val="0"/>
                  <w:vAlign w:val="center"/>
                </w:tcPr>
                <w:p w14:paraId="0041893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412" w:type="pct"/>
                  <w:tcBorders>
                    <w:tl2br w:val="nil"/>
                    <w:tr2bl w:val="nil"/>
                  </w:tcBorders>
                  <w:noWrap w:val="0"/>
                  <w:vAlign w:val="center"/>
                </w:tcPr>
                <w:p w14:paraId="3E151AF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符合性</w:t>
                  </w:r>
                </w:p>
              </w:tc>
            </w:tr>
            <w:tr w14:paraId="5033AA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285" w:type="pct"/>
                  <w:tcBorders>
                    <w:tl2br w:val="nil"/>
                    <w:tr2bl w:val="nil"/>
                  </w:tcBorders>
                  <w:noWrap w:val="0"/>
                  <w:vAlign w:val="center"/>
                </w:tcPr>
                <w:p w14:paraId="634CDE4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1</w:t>
                  </w:r>
                </w:p>
              </w:tc>
              <w:tc>
                <w:tcPr>
                  <w:tcW w:w="2638" w:type="pct"/>
                  <w:tcBorders>
                    <w:tl2br w:val="nil"/>
                    <w:tr2bl w:val="nil"/>
                  </w:tcBorders>
                  <w:noWrap w:val="0"/>
                  <w:vAlign w:val="center"/>
                </w:tcPr>
                <w:p w14:paraId="0E2D943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尊重自然、保护优先。牢固树立尊重自然、顺应自然、保护自然的生态文明理念，坚持保护优先，综合运用自然恢复和人工修复两种手段，因地因时制宜、分区分类施策，对重要生态系统、生物物种及遗传资源实施有效保护，保障生物安全和生态安全</w:t>
                  </w:r>
                </w:p>
              </w:tc>
              <w:tc>
                <w:tcPr>
                  <w:tcW w:w="1664" w:type="pct"/>
                  <w:tcBorders>
                    <w:tl2br w:val="nil"/>
                    <w:tr2bl w:val="nil"/>
                  </w:tcBorders>
                  <w:noWrap w:val="0"/>
                  <w:vAlign w:val="center"/>
                </w:tcPr>
                <w:p w14:paraId="6B31FA2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本项目不占用重要生态系统，不占用生态保护红线区域，施工过程对周边生态保护红线区域影响可控，能够保障</w:t>
                  </w:r>
                  <w:r>
                    <w:rPr>
                      <w:rFonts w:hint="default" w:ascii="Times New Roman" w:hAnsi="Times New Roman" w:cs="Times New Roman"/>
                      <w:color w:val="auto"/>
                      <w:sz w:val="21"/>
                      <w:szCs w:val="21"/>
                      <w:highlight w:val="none"/>
                    </w:rPr>
                    <w:t>生物安全和生态安全</w:t>
                  </w:r>
                </w:p>
              </w:tc>
              <w:tc>
                <w:tcPr>
                  <w:tcW w:w="412" w:type="pct"/>
                  <w:tcBorders>
                    <w:tl2br w:val="nil"/>
                    <w:tr2bl w:val="nil"/>
                  </w:tcBorders>
                  <w:noWrap w:val="0"/>
                  <w:vAlign w:val="center"/>
                </w:tcPr>
                <w:p w14:paraId="5338BCD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0A82A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5" w:type="pct"/>
                  <w:tcBorders>
                    <w:tl2br w:val="nil"/>
                    <w:tr2bl w:val="nil"/>
                  </w:tcBorders>
                  <w:noWrap w:val="0"/>
                  <w:vAlign w:val="center"/>
                </w:tcPr>
                <w:p w14:paraId="64962AD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2638" w:type="pct"/>
                  <w:tcBorders>
                    <w:tl2br w:val="nil"/>
                    <w:tr2bl w:val="nil"/>
                  </w:tcBorders>
                  <w:noWrap w:val="0"/>
                  <w:vAlign w:val="center"/>
                </w:tcPr>
                <w:p w14:paraId="38F0DD0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绿色发展、惠益共享。将生物多样性保护、可持续利用与惠益分享作为推进美丽中国七彩云南建设的重要目标，科学合理和可持续利用生物生态资源，建立生态产品价值实现机制，促进公平公正分享利用生物遗传资源、自然生态资源所产生的惠益，推动生产和生活方式绿色低碳转型，实现生物多样性保护和高质量发展双赢。</w:t>
                  </w:r>
                </w:p>
              </w:tc>
              <w:tc>
                <w:tcPr>
                  <w:tcW w:w="1664" w:type="pct"/>
                  <w:tcBorders>
                    <w:tl2br w:val="nil"/>
                    <w:tr2bl w:val="nil"/>
                  </w:tcBorders>
                  <w:noWrap w:val="0"/>
                  <w:vAlign w:val="center"/>
                </w:tcPr>
                <w:p w14:paraId="261E362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本项目不涉及</w:t>
                  </w:r>
                </w:p>
              </w:tc>
              <w:tc>
                <w:tcPr>
                  <w:tcW w:w="412" w:type="pct"/>
                  <w:tcBorders>
                    <w:tl2br w:val="nil"/>
                    <w:tr2bl w:val="nil"/>
                  </w:tcBorders>
                  <w:noWrap w:val="0"/>
                  <w:vAlign w:val="center"/>
                </w:tcPr>
                <w:p w14:paraId="04D99FD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不涉及</w:t>
                  </w:r>
                </w:p>
              </w:tc>
            </w:tr>
            <w:tr w14:paraId="1B6CBC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5" w:type="pct"/>
                  <w:tcBorders>
                    <w:tl2br w:val="nil"/>
                    <w:tr2bl w:val="nil"/>
                  </w:tcBorders>
                  <w:noWrap w:val="0"/>
                  <w:vAlign w:val="center"/>
                </w:tcPr>
                <w:p w14:paraId="0C5B3BF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2638" w:type="pct"/>
                  <w:tcBorders>
                    <w:tl2br w:val="nil"/>
                    <w:tr2bl w:val="nil"/>
                  </w:tcBorders>
                  <w:noWrap w:val="0"/>
                  <w:vAlign w:val="center"/>
                </w:tcPr>
                <w:p w14:paraId="25C3D4D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完善体制机制，加强生物多样性保护工作统筹协调，强化各级政府生物多样性保护的主体责任和主导作用，鼓励和引导企事业单位、社会组织和公众参与生物多样性保护、可持续利用和惠益分享，形成全社会共同参与生物多样性保护的良好氛围。持续深化生物多样性保护国际合作，积极拓展国际合作对象、合作领域和合作项目。</w:t>
                  </w:r>
                </w:p>
              </w:tc>
              <w:tc>
                <w:tcPr>
                  <w:tcW w:w="1664" w:type="pct"/>
                  <w:tcBorders>
                    <w:tl2br w:val="nil"/>
                    <w:tr2bl w:val="nil"/>
                  </w:tcBorders>
                  <w:noWrap w:val="0"/>
                  <w:vAlign w:val="center"/>
                </w:tcPr>
                <w:p w14:paraId="25BAC3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本项目不涉及</w:t>
                  </w:r>
                </w:p>
              </w:tc>
              <w:tc>
                <w:tcPr>
                  <w:tcW w:w="412" w:type="pct"/>
                  <w:tcBorders>
                    <w:tl2br w:val="nil"/>
                    <w:tr2bl w:val="nil"/>
                  </w:tcBorders>
                  <w:noWrap w:val="0"/>
                  <w:vAlign w:val="center"/>
                </w:tcPr>
                <w:p w14:paraId="1C70F90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r w14:paraId="03B73F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285" w:type="pct"/>
                  <w:tcBorders>
                    <w:tl2br w:val="nil"/>
                    <w:tr2bl w:val="nil"/>
                  </w:tcBorders>
                  <w:noWrap w:val="0"/>
                  <w:vAlign w:val="center"/>
                </w:tcPr>
                <w:p w14:paraId="2FCCE2D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p>
              </w:tc>
              <w:tc>
                <w:tcPr>
                  <w:tcW w:w="2638" w:type="pct"/>
                  <w:tcBorders>
                    <w:tl2br w:val="nil"/>
                    <w:tr2bl w:val="nil"/>
                  </w:tcBorders>
                  <w:noWrap w:val="0"/>
                  <w:vAlign w:val="center"/>
                </w:tcPr>
                <w:p w14:paraId="1C025EF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制定云南省生物多样性保护全民行动方案，构建全民参与机制。完善生物多样性保护重大决策公众参与机制，提高公众参与度。培育生物多样性友好型消费和生活方式，拒绝食用野生动物及其制品，减少食物浪费和过度消费。研究建立各方参与的生物多样性保护联盟，搭建以互联网为主要手段的全民参与监督平台。完善生物多样性的公益诉讼和违法活动举报机制。定期公开发布生物多样性保护信息，及时回应公众关注的社会热点问题，接受公众与媒体舆论监督。完善生态护林员制度，建立健全高效自然保护地社区共管机制，保护社区居民合法权益。建立完善社区为基础的地方传统种质资源保护机制。鼓励将生态系统保护修复等工程与生态产业发展有机融合，建立持续性惠益分享机制。推动将生物多样性保护融入村规民约，让生物多样性保护成为村民自发行为。组织开展各类生物多样性保护志愿者活动。充分发挥各级工会、共青团、妇联等群团组织</w:t>
                  </w:r>
                </w:p>
              </w:tc>
              <w:tc>
                <w:tcPr>
                  <w:tcW w:w="1664" w:type="pct"/>
                  <w:tcBorders>
                    <w:tl2br w:val="nil"/>
                    <w:tr2bl w:val="nil"/>
                  </w:tcBorders>
                  <w:noWrap w:val="0"/>
                  <w:vAlign w:val="center"/>
                </w:tcPr>
                <w:p w14:paraId="1B231DD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本项目制定了生态环境保护制度，禁止施工人员捕杀野生动物，禁止引入外来物种。</w:t>
                  </w:r>
                </w:p>
              </w:tc>
              <w:tc>
                <w:tcPr>
                  <w:tcW w:w="412" w:type="pct"/>
                  <w:tcBorders>
                    <w:tl2br w:val="nil"/>
                    <w:tr2bl w:val="nil"/>
                  </w:tcBorders>
                  <w:noWrap w:val="0"/>
                  <w:vAlign w:val="center"/>
                </w:tcPr>
                <w:p w14:paraId="6312F76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bl>
          <w:p w14:paraId="5C02C161">
            <w:pPr>
              <w:keepNext w:val="0"/>
              <w:keepLines w:val="0"/>
              <w:suppressLineNumbers w:val="0"/>
              <w:spacing w:before="0" w:beforeAutospacing="0" w:after="0" w:afterAutospacing="0"/>
              <w:ind w:left="0" w:right="0" w:firstLine="482"/>
              <w:jc w:val="center"/>
              <w:rPr>
                <w:rFonts w:hint="default"/>
                <w:color w:val="auto"/>
                <w:highlight w:val="none"/>
              </w:rPr>
            </w:pPr>
          </w:p>
          <w:p w14:paraId="68C53FB2">
            <w:pPr>
              <w:keepNext w:val="0"/>
              <w:keepLines w:val="0"/>
              <w:suppressLineNumbers w:val="0"/>
              <w:spacing w:before="0" w:beforeAutospacing="0" w:after="0" w:afterAutospacing="0"/>
              <w:ind w:left="0" w:right="0" w:firstLine="0" w:firstLineChars="0"/>
              <w:rPr>
                <w:rFonts w:hint="default"/>
                <w:color w:val="auto"/>
                <w:highlight w:val="none"/>
              </w:rPr>
            </w:pPr>
            <w:r>
              <w:rPr>
                <w:rFonts w:hint="default"/>
                <w:color w:val="auto"/>
                <w:highlight w:val="none"/>
              </w:rPr>
              <mc:AlternateContent>
                <mc:Choice Requires="wps">
                  <w:drawing>
                    <wp:anchor distT="0" distB="0" distL="114300" distR="114300" simplePos="0" relativeHeight="251715584" behindDoc="0" locked="0" layoutInCell="1" allowOverlap="1">
                      <wp:simplePos x="0" y="0"/>
                      <wp:positionH relativeFrom="column">
                        <wp:posOffset>3141345</wp:posOffset>
                      </wp:positionH>
                      <wp:positionV relativeFrom="paragraph">
                        <wp:posOffset>1762125</wp:posOffset>
                      </wp:positionV>
                      <wp:extent cx="75565" cy="75565"/>
                      <wp:effectExtent l="4445" t="4445" r="15240" b="15240"/>
                      <wp:wrapNone/>
                      <wp:docPr id="73" name="矩形 180"/>
                      <wp:cNvGraphicFramePr/>
                      <a:graphic xmlns:a="http://schemas.openxmlformats.org/drawingml/2006/main">
                        <a:graphicData uri="http://schemas.microsoft.com/office/word/2010/wordprocessingShape">
                          <wps:wsp>
                            <wps:cNvSpPr/>
                            <wps:spPr>
                              <a:xfrm>
                                <a:off x="0" y="0"/>
                                <a:ext cx="75565" cy="75565"/>
                              </a:xfrm>
                              <a:prstGeom prst="rect">
                                <a:avLst/>
                              </a:prstGeom>
                              <a:solidFill>
                                <a:srgbClr val="FF0000"/>
                              </a:solidFill>
                              <a:ln w="952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180" o:spid="_x0000_s1026" o:spt="1" style="position:absolute;left:0pt;margin-left:247.35pt;margin-top:138.75pt;height:5.95pt;width:5.95pt;z-index:251715584;mso-width-relative:page;mso-height-relative:page;" fillcolor="#FF0000" filled="t" stroked="t" coordsize="21600,21600" o:gfxdata="UEsDBAoAAAAAAIdO4kAAAAAAAAAAAAAAAAAEAAAAZHJzL1BLAwQUAAAACACHTuJAWIlBY9wAAAAL&#10;AQAADwAAAGRycy9kb3ducmV2LnhtbE2Py07DMBBF90j8gzVI7KjdNo82jdMFJRIVUiUa2Duxm4TG&#10;48h20/L3mBUsZ+bozrn59qYHMinreoMc5jMGRGFjZI8th4+qfFoBcV6gFINBxeFbOdgW93e5yKS5&#10;4ruajr4lIQRdJjh03o8Zpa7plBZuZkaF4XYyVgsfRttSacU1hOuBLhhLqBY9hg+dGNVzp5rz8aI5&#10;vH7tz7uynN7qZVXZz/3LId4tD5w/PszZBohXN/8Hw69+UIciONXmgtKRgUO0jtKAclikaQwkEDFL&#10;EiB12KzWEdAip/87FD9QSwMEFAAAAAgAh07iQMPfDcoTAgAAUQQAAA4AAABkcnMvZTJvRG9jLnht&#10;bK1UzY7TMBC+I/EOlu80aVF3l6jpHraUC4KVFh5g6jiJJf8xdpuWl0HixkPwOIjX2LFTWna59EAO&#10;ydgefzPfNzNZ3O6NZjuJQTlb8+mk5Exa4Rplu5p//rR+dcNZiGAb0M7Kmh9k4LfLly8Wg6/kzPVO&#10;NxIZgdhQDb7mfYy+KoogemkgTJyXlg5bhwYiLbErGoSB0I0uZmV5VQwOG49OyBBodzUe8iMiXgLo&#10;2lYJuXJia6SNIypKDZEohV75wJc527aVIn5s2yAj0zUnpjG/KQjZm/QulguoOgTfK3FMAS5J4Rkn&#10;A8pS0BPUCiKwLap/oIwS6IJr40Q4U4xEsiLEYlo+0+ahBy8zF5I6+JPo4f/Big+7e2Sqqfn1a84s&#10;GKr4728/fv38zqY3WZ7Bh4q8Hvw9klhpFchMXPctmvQlFmyfJT2cJJX7yARtXs/nV3POBJ2MJmEU&#10;56seQ3wnnWHJqDlSvbKMsHsf4uj6xyVFCk6rZq20zgvsNnca2Q6otut1SU8qJ6E/cdOWDTV/M5+l&#10;NIAatqVGIdN4Ih1sl+M9uREuA06JrSD0YwIZYWwno6JMWkHVS2je2obFgyddLc0TT8kY2XCmJY1f&#10;srJnBKUv8SR22hLJcx2StXHNgcpIU00i9g6/UhjqaeL3ZQtIQcEK2q45ER/NuzgOwdaj6nq6Nc3a&#10;JTDqtKzicSpSK/+9zsHPf4LlI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iJQWPcAAAACwEAAA8A&#10;AAAAAAAAAQAgAAAAIgAAAGRycy9kb3ducmV2LnhtbFBLAQIUABQAAAAIAIdO4kDD3w3KEwIAAFEE&#10;AAAOAAAAAAAAAAEAIAAAACsBAABkcnMvZTJvRG9jLnhtbFBLBQYAAAAABgAGAFkBAACwBQAAAAA=&#10;">
                      <v:fill on="t" focussize="0,0"/>
                      <v:stroke color="#FF0000" joinstyle="miter"/>
                      <v:imagedata o:title=""/>
                      <o:lock v:ext="edit" aspectratio="f"/>
                    </v:rect>
                  </w:pict>
                </mc:Fallback>
              </mc:AlternateContent>
            </w:r>
            <w:r>
              <w:rPr>
                <w:rFonts w:hint="default"/>
                <w:color w:val="auto"/>
                <w:highlight w:val="none"/>
              </w:rPr>
              <mc:AlternateContent>
                <mc:Choice Requires="wps">
                  <w:drawing>
                    <wp:anchor distT="0" distB="0" distL="114300" distR="114300" simplePos="0" relativeHeight="251716608" behindDoc="0" locked="0" layoutInCell="1" allowOverlap="1">
                      <wp:simplePos x="0" y="0"/>
                      <wp:positionH relativeFrom="column">
                        <wp:posOffset>2287905</wp:posOffset>
                      </wp:positionH>
                      <wp:positionV relativeFrom="paragraph">
                        <wp:posOffset>2830195</wp:posOffset>
                      </wp:positionV>
                      <wp:extent cx="918845" cy="329565"/>
                      <wp:effectExtent l="4445" t="1050290" r="10160" b="10795"/>
                      <wp:wrapNone/>
                      <wp:docPr id="74" name="自选图形 181"/>
                      <wp:cNvGraphicFramePr/>
                      <a:graphic xmlns:a="http://schemas.openxmlformats.org/drawingml/2006/main">
                        <a:graphicData uri="http://schemas.microsoft.com/office/word/2010/wordprocessingShape">
                          <wps:wsp>
                            <wps:cNvSpPr/>
                            <wps:spPr>
                              <a:xfrm>
                                <a:off x="0" y="0"/>
                                <a:ext cx="918845" cy="329565"/>
                              </a:xfrm>
                              <a:prstGeom prst="wedgeRectCallout">
                                <a:avLst>
                                  <a:gd name="adj1" fmla="val 44540"/>
                                  <a:gd name="adj2" fmla="val -357321"/>
                                </a:avLst>
                              </a:prstGeom>
                              <a:solidFill>
                                <a:srgbClr val="FFFFFF"/>
                              </a:solidFill>
                              <a:ln w="9525" cap="flat" cmpd="sng">
                                <a:solidFill>
                                  <a:srgbClr val="7030A0"/>
                                </a:solidFill>
                                <a:prstDash val="solid"/>
                                <a:miter/>
                                <a:headEnd type="none" w="med" len="med"/>
                                <a:tailEnd type="none" w="med" len="med"/>
                              </a:ln>
                            </wps:spPr>
                            <wps:txbx>
                              <w:txbxContent>
                                <w:p w14:paraId="1181529F">
                                  <w:pPr>
                                    <w:ind w:firstLine="0" w:firstLineChars="0"/>
                                    <w:rPr>
                                      <w:sz w:val="21"/>
                                      <w:szCs w:val="21"/>
                                    </w:rPr>
                                  </w:pPr>
                                  <w:r>
                                    <w:rPr>
                                      <w:rFonts w:hint="eastAsia"/>
                                      <w:sz w:val="21"/>
                                      <w:szCs w:val="21"/>
                                    </w:rPr>
                                    <w:t>项目所在地</w:t>
                                  </w:r>
                                </w:p>
                              </w:txbxContent>
                            </wps:txbx>
                            <wps:bodyPr vert="horz" wrap="square" anchor="t" anchorCtr="0" upright="1"/>
                          </wps:wsp>
                        </a:graphicData>
                      </a:graphic>
                    </wp:anchor>
                  </w:drawing>
                </mc:Choice>
                <mc:Fallback>
                  <w:pict>
                    <v:shape id="自选图形 181" o:spid="_x0000_s1026" o:spt="61" type="#_x0000_t61" style="position:absolute;left:0pt;margin-left:180.15pt;margin-top:222.85pt;height:25.95pt;width:72.35pt;z-index:251716608;mso-width-relative:page;mso-height-relative:page;" fillcolor="#FFFFFF" filled="t" stroked="t" coordsize="21600,21600" o:gfxdata="UEsDBAoAAAAAAIdO4kAAAAAAAAAAAAAAAAAEAAAAZHJzL1BLAwQUAAAACACHTuJA6TUg0NgAAAAL&#10;AQAADwAAAGRycy9kb3ducmV2LnhtbE2Py07DMBBF90j8gzVI7KjdtEkhxKkQ0A9oqBDs3HhIAvY4&#10;it0Hf8+wguXMXJ05t1qfvRNHnOIQSMN8pkAgtcEO1GnYvWxubkHEZMgaFwg1fGOEdX15UZnShhNt&#10;8dikTjCEYmk09CmNpZSx7dGbOAsjEt8+wuRN4nHqpJ3MieHeyUypQnozEH/ozYiPPbZfzcFryN7p&#10;6WH7lj/7Zvc6us9swwyn9fXVXN2DSHhOf2H41Wd1qNlpHw5ko3AaFoVacFTDcpmvQHAiVzm32/Pm&#10;blWArCv5v0P9A1BLAwQUAAAACACHTuJA10Q2BGICAADDBAAADgAAAGRycy9lMm9Eb2MueG1srVTN&#10;ctMwEL4zwztodG+d3zb11OkwDeXCQIfCA2ws2RajPyQlTjhxY/oM3DjyDvA2nYG3YCW7bVIuOZCD&#10;s7JW337ft1qfX2yUJGvuvDC6oMPjASVcl4YJXRf0w/uroxklPoBmII3mBd1yTy/mz5+dtzbnI9MY&#10;ybgjCKJ93tqCNiHYPMt82XAF/thYrnGzMk5BwKWrM+agRXQls9FgcJK1xjHrTMm9x7eLbpP2iO4Q&#10;QFNVouQLU64U16FDdVxCQEm+EdbTeWJbVbwMb6vK80BkQVFpSE8sgvEyPrP5OeS1A9uIsqcAh1B4&#10;okmB0Fj0AWoBAcjKiX+glCid8aYKx6VRWSckOYIqhoMn3tw0YHnSglZ7+2C6/3+w5Zv1tSOCFfR0&#10;QokGhR3//fXHny+3d99+3f38ToazYTSptT7H3Bt77fqVxzAq3lROxX/UQjbJ2O2DsXwTSIkvz4az&#10;2WRKSYlb49HZ9GQaMbPHw9b58IobRWJQ0Jazmr/D5l2ClGYVkrWwfu1D8pj1RIF9HFJSKYktW4Mk&#10;k8l0ct/SnZzRbs7ReHo6HiVNWL/HxOieQSzgjRTsSkiZFq5eXkpHsEBBr9KvJ7+XJjVpUeh0FGUC&#10;zkWF9xFDZdFbr+skYe+E3wU+HYwHLxJ35LKXFoktwDcdgbQV60OuROCxGZA3HNhLzUjYWmyfxrGl&#10;kYzijBLJccpjlDIDCHlIJpKQGjsU2941OkZhs9wgTAyXhm3x4uB3BNvVGPcZK+IUodRPK3BYH3SJ&#10;rwuKHnThZejGbmWdqBs81fUgguHdTrehn8M4PLvrxOPx2z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k1INDYAAAACwEAAA8AAAAAAAAAAQAgAAAAIgAAAGRycy9kb3ducmV2LnhtbFBLAQIUABQA&#10;AAAIAIdO4kDXRDYEYgIAAMMEAAAOAAAAAAAAAAEAIAAAACcBAABkcnMvZTJvRG9jLnhtbFBLBQYA&#10;AAAABgAGAFkBAAD7BQAAAAA=&#10;" adj="20421,-66381">
                      <v:fill on="t" focussize="0,0"/>
                      <v:stroke color="#7030A0" joinstyle="miter"/>
                      <v:imagedata o:title=""/>
                      <o:lock v:ext="edit" aspectratio="f"/>
                      <v:textbox>
                        <w:txbxContent>
                          <w:p w14:paraId="1181529F">
                            <w:pPr>
                              <w:ind w:firstLine="0" w:firstLineChars="0"/>
                              <w:rPr>
                                <w:sz w:val="21"/>
                                <w:szCs w:val="21"/>
                              </w:rPr>
                            </w:pPr>
                            <w:r>
                              <w:rPr>
                                <w:rFonts w:hint="eastAsia"/>
                                <w:sz w:val="21"/>
                                <w:szCs w:val="21"/>
                              </w:rPr>
                              <w:t>项目所在地</w:t>
                            </w:r>
                          </w:p>
                        </w:txbxContent>
                      </v:textbox>
                    </v:shape>
                  </w:pict>
                </mc:Fallback>
              </mc:AlternateContent>
            </w:r>
            <w:r>
              <w:rPr>
                <w:rFonts w:hint="default"/>
                <w:color w:val="auto"/>
                <w:highlight w:val="none"/>
              </w:rPr>
              <w:drawing>
                <wp:inline distT="0" distB="0" distL="114300" distR="114300">
                  <wp:extent cx="7310120" cy="4803140"/>
                  <wp:effectExtent l="0" t="0" r="5080" b="16510"/>
                  <wp:docPr id="75" name="图片 3" descr="第17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descr="第17页-1"/>
                          <pic:cNvPicPr>
                            <a:picLocks noChangeAspect="1"/>
                          </pic:cNvPicPr>
                        </pic:nvPicPr>
                        <pic:blipFill>
                          <a:blip r:embed="rId31"/>
                          <a:srcRect t="3694" b="3441"/>
                          <a:stretch>
                            <a:fillRect/>
                          </a:stretch>
                        </pic:blipFill>
                        <pic:spPr>
                          <a:xfrm>
                            <a:off x="0" y="0"/>
                            <a:ext cx="7310120" cy="4803140"/>
                          </a:xfrm>
                          <a:prstGeom prst="rect">
                            <a:avLst/>
                          </a:prstGeom>
                          <a:noFill/>
                          <a:ln>
                            <a:noFill/>
                          </a:ln>
                        </pic:spPr>
                      </pic:pic>
                    </a:graphicData>
                  </a:graphic>
                </wp:inline>
              </w:drawing>
            </w:r>
          </w:p>
          <w:p w14:paraId="1F1631F6">
            <w:pPr>
              <w:keepNext w:val="0"/>
              <w:keepLines w:val="0"/>
              <w:suppressLineNumbers w:val="0"/>
              <w:spacing w:before="0" w:beforeAutospacing="0" w:after="0" w:afterAutospacing="0"/>
              <w:ind w:left="0" w:right="0" w:firstLine="480"/>
              <w:jc w:val="center"/>
              <w:rPr>
                <w:rFonts w:hint="default"/>
                <w:color w:val="auto"/>
                <w:highlight w:val="none"/>
              </w:rPr>
            </w:pPr>
            <w:r>
              <w:rPr>
                <w:rFonts w:hint="eastAsia"/>
                <w:color w:val="auto"/>
                <w:highlight w:val="none"/>
              </w:rPr>
              <w:t>图</w:t>
            </w:r>
            <w:r>
              <w:rPr>
                <w:rFonts w:hint="eastAsia"/>
                <w:color w:val="auto"/>
                <w:highlight w:val="none"/>
                <w:lang w:val="en-US" w:eastAsia="zh-CN"/>
              </w:rPr>
              <w:t>1.3-2</w:t>
            </w:r>
            <w:r>
              <w:rPr>
                <w:rFonts w:hint="eastAsia"/>
                <w:color w:val="auto"/>
                <w:highlight w:val="none"/>
              </w:rPr>
              <w:t xml:space="preserve"> 云南省生物多样性保护规划图</w:t>
            </w:r>
          </w:p>
          <w:p w14:paraId="6730D209">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1.3.</w:t>
            </w:r>
            <w:r>
              <w:rPr>
                <w:rFonts w:hint="eastAsia"/>
                <w:color w:val="auto"/>
                <w:highlight w:val="none"/>
                <w:lang w:val="en-US" w:eastAsia="zh-CN"/>
              </w:rPr>
              <w:t>6</w:t>
            </w:r>
            <w:r>
              <w:rPr>
                <w:rFonts w:hint="eastAsia"/>
                <w:color w:val="auto"/>
                <w:highlight w:val="none"/>
              </w:rPr>
              <w:t>与《会泽县国土</w:t>
            </w:r>
            <w:r>
              <w:rPr>
                <w:rFonts w:hint="eastAsia"/>
                <w:color w:val="auto"/>
                <w:highlight w:val="none"/>
                <w:lang w:eastAsia="zh-CN"/>
              </w:rPr>
              <w:t>空间</w:t>
            </w:r>
            <w:r>
              <w:rPr>
                <w:rFonts w:hint="eastAsia"/>
                <w:color w:val="auto"/>
                <w:highlight w:val="none"/>
              </w:rPr>
              <w:t>规划2021年—2035年》（会政发〔2025〕9号）的相符性分析</w:t>
            </w:r>
          </w:p>
          <w:p w14:paraId="71ABDEB1">
            <w:pPr>
              <w:keepNext w:val="0"/>
              <w:keepLines w:val="0"/>
              <w:suppressLineNumbers w:val="0"/>
              <w:spacing w:before="0" w:beforeAutospacing="0" w:after="0" w:afterAutospacing="0"/>
              <w:ind w:left="0" w:right="0" w:firstLine="482"/>
              <w:jc w:val="center"/>
              <w:rPr>
                <w:rFonts w:hint="eastAsia"/>
                <w:b/>
                <w:bCs/>
                <w:color w:val="auto"/>
                <w:highlight w:val="none"/>
              </w:rPr>
            </w:pPr>
            <w:r>
              <w:rPr>
                <w:rFonts w:hint="eastAsia"/>
                <w:b/>
                <w:bCs/>
                <w:color w:val="auto"/>
                <w:highlight w:val="none"/>
                <w:lang w:val="en-US" w:eastAsia="zh-CN"/>
              </w:rPr>
              <w:t>1.3-6</w:t>
            </w:r>
            <w:r>
              <w:rPr>
                <w:rFonts w:hint="eastAsia"/>
                <w:b/>
                <w:bCs/>
                <w:color w:val="auto"/>
                <w:highlight w:val="none"/>
              </w:rPr>
              <w:t xml:space="preserve"> 项目与《</w:t>
            </w:r>
            <w:r>
              <w:rPr>
                <w:rFonts w:hint="eastAsia"/>
                <w:b/>
                <w:bCs/>
                <w:color w:val="auto"/>
                <w:highlight w:val="none"/>
                <w:lang w:eastAsia="zh-CN"/>
              </w:rPr>
              <w:t>会泽县国土空间总体规划2021年</w:t>
            </w:r>
            <w:r>
              <w:rPr>
                <w:rFonts w:hint="eastAsia"/>
                <w:b/>
                <w:bCs/>
                <w:color w:val="auto"/>
                <w:highlight w:val="none"/>
              </w:rPr>
              <w:t>—2035年</w:t>
            </w:r>
            <w:r>
              <w:rPr>
                <w:rFonts w:hint="eastAsia"/>
                <w:b/>
                <w:bCs/>
                <w:color w:val="auto"/>
                <w:highlight w:val="none"/>
                <w:lang w:eastAsia="zh-CN"/>
              </w:rPr>
              <w:t>》</w:t>
            </w:r>
            <w:r>
              <w:rPr>
                <w:rFonts w:hint="eastAsia"/>
                <w:b/>
                <w:bCs/>
                <w:color w:val="auto"/>
                <w:highlight w:val="none"/>
              </w:rPr>
              <w:t>相符性分析</w:t>
            </w:r>
          </w:p>
          <w:tbl>
            <w:tblPr>
              <w:tblStyle w:val="10"/>
              <w:tblW w:w="4761"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99"/>
              <w:gridCol w:w="6480"/>
              <w:gridCol w:w="4087"/>
              <w:gridCol w:w="1012"/>
            </w:tblGrid>
            <w:tr w14:paraId="0715D8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699E341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序号</w:t>
                  </w:r>
                </w:p>
              </w:tc>
              <w:tc>
                <w:tcPr>
                  <w:tcW w:w="2638" w:type="pct"/>
                  <w:tcBorders>
                    <w:tl2br w:val="nil"/>
                    <w:tr2bl w:val="nil"/>
                  </w:tcBorders>
                  <w:noWrap w:val="0"/>
                  <w:vAlign w:val="center"/>
                </w:tcPr>
                <w:p w14:paraId="2A314E2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要求（摘录）</w:t>
                  </w:r>
                </w:p>
              </w:tc>
              <w:tc>
                <w:tcPr>
                  <w:tcW w:w="1664" w:type="pct"/>
                  <w:tcBorders>
                    <w:tl2br w:val="nil"/>
                    <w:tr2bl w:val="nil"/>
                  </w:tcBorders>
                  <w:noWrap w:val="0"/>
                  <w:vAlign w:val="center"/>
                </w:tcPr>
                <w:p w14:paraId="79ACE81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412" w:type="pct"/>
                  <w:tcBorders>
                    <w:tl2br w:val="nil"/>
                    <w:tr2bl w:val="nil"/>
                  </w:tcBorders>
                  <w:noWrap w:val="0"/>
                  <w:vAlign w:val="center"/>
                </w:tcPr>
                <w:p w14:paraId="198168E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符合性</w:t>
                  </w:r>
                </w:p>
              </w:tc>
            </w:tr>
            <w:tr w14:paraId="6BB380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000" w:type="pct"/>
                  <w:gridSpan w:val="4"/>
                  <w:tcBorders>
                    <w:tl2br w:val="nil"/>
                    <w:tr2bl w:val="nil"/>
                  </w:tcBorders>
                  <w:noWrap w:val="0"/>
                  <w:vAlign w:val="center"/>
                </w:tcPr>
                <w:p w14:paraId="49805F7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战略目标</w:t>
                  </w:r>
                </w:p>
              </w:tc>
            </w:tr>
            <w:tr w14:paraId="4B8492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6DAA54B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1</w:t>
                  </w:r>
                </w:p>
              </w:tc>
              <w:tc>
                <w:tcPr>
                  <w:tcW w:w="2638" w:type="pct"/>
                  <w:tcBorders>
                    <w:tl2br w:val="nil"/>
                    <w:tr2bl w:val="nil"/>
                  </w:tcBorders>
                  <w:noWrap w:val="0"/>
                  <w:vAlign w:val="center"/>
                </w:tcPr>
                <w:p w14:paraId="4EED49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b/>
                      <w:bCs/>
                      <w:color w:val="auto"/>
                      <w:szCs w:val="21"/>
                      <w:highlight w:val="none"/>
                    </w:rPr>
                  </w:pPr>
                  <w:r>
                    <w:rPr>
                      <w:rFonts w:hint="default"/>
                      <w:color w:val="auto"/>
                      <w:sz w:val="21"/>
                      <w:szCs w:val="21"/>
                      <w:highlight w:val="none"/>
                    </w:rPr>
                    <w:t>至203</w:t>
                  </w:r>
                  <w:r>
                    <w:rPr>
                      <w:rFonts w:hint="eastAsia"/>
                      <w:color w:val="auto"/>
                      <w:sz w:val="21"/>
                      <w:szCs w:val="21"/>
                      <w:highlight w:val="none"/>
                      <w:lang w:val="en-US" w:eastAsia="zh-CN"/>
                    </w:rPr>
                    <w:t>5</w:t>
                  </w:r>
                  <w:r>
                    <w:rPr>
                      <w:rFonts w:hint="default"/>
                      <w:color w:val="auto"/>
                      <w:sz w:val="21"/>
                      <w:szCs w:val="21"/>
                      <w:highlight w:val="none"/>
                    </w:rPr>
                    <w:t>年，国土空间利用效率、竞争能力、开放水平和可持续发展能力大幅提升，生态格局全面稳固，城市功能完善，人居环境品质优良，文化吸引力突出，城乡一体化发展水平大幅提高；创新驱动的开放型产业体系基本建立，对外开放水平大幅提高，对区域发展的引领带动作用进一步增强，全面支撑曲靖建设成为云南副中心城市。全面对接成渝地区双城经济圈和滇中经济圈建设，现代产业体系全面构建，高品质、宜居、宜业、宜游的美丽会泽国土空间新格局全面形成。</w:t>
                  </w:r>
                </w:p>
              </w:tc>
              <w:tc>
                <w:tcPr>
                  <w:tcW w:w="1664" w:type="pct"/>
                  <w:tcBorders>
                    <w:tl2br w:val="nil"/>
                    <w:tr2bl w:val="nil"/>
                  </w:tcBorders>
                  <w:noWrap w:val="0"/>
                  <w:vAlign w:val="center"/>
                </w:tcPr>
                <w:p w14:paraId="0EE2081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本项目永久占地面积较少，符合集约用地相关政策要求，国土空间利用效率符合会泽县战略目标。</w:t>
                  </w:r>
                </w:p>
              </w:tc>
              <w:tc>
                <w:tcPr>
                  <w:tcW w:w="412" w:type="pct"/>
                  <w:tcBorders>
                    <w:tl2br w:val="nil"/>
                    <w:tr2bl w:val="nil"/>
                  </w:tcBorders>
                  <w:noWrap w:val="0"/>
                  <w:vAlign w:val="center"/>
                </w:tcPr>
                <w:p w14:paraId="6F3FE3A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bCs/>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4FADB1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000" w:type="pct"/>
                  <w:gridSpan w:val="4"/>
                  <w:tcBorders>
                    <w:tl2br w:val="nil"/>
                    <w:tr2bl w:val="nil"/>
                  </w:tcBorders>
                  <w:noWrap w:val="0"/>
                  <w:vAlign w:val="center"/>
                </w:tcPr>
                <w:p w14:paraId="0127FC7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发展策略</w:t>
                  </w:r>
                </w:p>
              </w:tc>
            </w:tr>
            <w:tr w14:paraId="6AC706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37613F2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2638" w:type="pct"/>
                  <w:tcBorders>
                    <w:tl2br w:val="nil"/>
                    <w:tr2bl w:val="nil"/>
                  </w:tcBorders>
                  <w:noWrap w:val="0"/>
                  <w:vAlign w:val="center"/>
                </w:tcPr>
                <w:p w14:paraId="12781F6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落实农产品主产区主体功能，立足会泽优质的高原特色农业生产要素，严格保护耕地和永久基本农田，合理调整农业产业结构，大力推行“一县一业、一乡一特、一村一品”产业布局，努力提高高原特色农业优质产品的品质和供给能力，打造生态、绿色、现代、高端的高原特色农业品牌，形成规模化、现代化的高原特色农业产业集群。</w:t>
                  </w:r>
                </w:p>
              </w:tc>
              <w:tc>
                <w:tcPr>
                  <w:tcW w:w="1664" w:type="pct"/>
                  <w:tcBorders>
                    <w:tl2br w:val="nil"/>
                    <w:tr2bl w:val="nil"/>
                  </w:tcBorders>
                  <w:noWrap w:val="0"/>
                  <w:vAlign w:val="center"/>
                </w:tcPr>
                <w:p w14:paraId="00211F4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本项目选址不占用耕地和永久基本农田。不影响会泽县农产品主产区功能定位。</w:t>
                  </w:r>
                </w:p>
              </w:tc>
              <w:tc>
                <w:tcPr>
                  <w:tcW w:w="412" w:type="pct"/>
                  <w:tcBorders>
                    <w:tl2br w:val="nil"/>
                    <w:tr2bl w:val="nil"/>
                  </w:tcBorders>
                  <w:noWrap w:val="0"/>
                  <w:vAlign w:val="center"/>
                </w:tcPr>
                <w:p w14:paraId="74E86C2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符合</w:t>
                  </w:r>
                </w:p>
              </w:tc>
            </w:tr>
            <w:tr w14:paraId="5DDA31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0399BA7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p>
              </w:tc>
              <w:tc>
                <w:tcPr>
                  <w:tcW w:w="2638" w:type="pct"/>
                  <w:tcBorders>
                    <w:tl2br w:val="nil"/>
                    <w:tr2bl w:val="nil"/>
                  </w:tcBorders>
                  <w:noWrap w:val="0"/>
                  <w:vAlign w:val="center"/>
                </w:tcPr>
                <w:p w14:paraId="7CD4664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落实国家长江经济带“共抓大保护、不搞大开发”战略，坚持山水林田湖草生命共同体理念，严格保护长江上游重要支流流域的山水本底，加大对生态重要地区的保护力度及生态修复治理，以会泽黑颈鹤国家级自然保护区为核心，牛栏江、小江、以礼河等重要水系为廊道，重点推进生态廊道和生态网络构建，全面提升自然生态系统稳定性和生态服务功能，切实筑牢长江上游生态安全屏障。</w:t>
                  </w:r>
                </w:p>
              </w:tc>
              <w:tc>
                <w:tcPr>
                  <w:tcW w:w="1664" w:type="pct"/>
                  <w:tcBorders>
                    <w:tl2br w:val="nil"/>
                    <w:tr2bl w:val="nil"/>
                  </w:tcBorders>
                  <w:noWrap w:val="0"/>
                  <w:vAlign w:val="center"/>
                </w:tcPr>
                <w:p w14:paraId="0380C28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本项目符合长江经济带相关政策，符合</w:t>
                  </w:r>
                  <w:r>
                    <w:rPr>
                      <w:rFonts w:hint="default" w:ascii="Times New Roman" w:hAnsi="Times New Roman" w:cs="Times New Roman"/>
                      <w:b w:val="0"/>
                      <w:bCs w:val="0"/>
                      <w:color w:val="auto"/>
                      <w:sz w:val="21"/>
                      <w:szCs w:val="21"/>
                      <w:highlight w:val="none"/>
                    </w:rPr>
                    <w:t>“共抓大保护、不搞大开发”战略</w:t>
                  </w:r>
                  <w:r>
                    <w:rPr>
                      <w:rFonts w:hint="eastAsia" w:ascii="Times New Roman" w:hAnsi="Times New Roman" w:cs="Times New Roman"/>
                      <w:b w:val="0"/>
                      <w:bCs w:val="0"/>
                      <w:color w:val="auto"/>
                      <w:sz w:val="21"/>
                      <w:szCs w:val="21"/>
                      <w:highlight w:val="none"/>
                      <w:lang w:eastAsia="zh-CN"/>
                    </w:rPr>
                    <w:t>。</w:t>
                  </w:r>
                  <w:r>
                    <w:rPr>
                      <w:rFonts w:hint="eastAsia" w:ascii="Times New Roman" w:hAnsi="Times New Roman" w:cs="Times New Roman"/>
                      <w:b w:val="0"/>
                      <w:bCs w:val="0"/>
                      <w:color w:val="auto"/>
                      <w:sz w:val="21"/>
                      <w:szCs w:val="21"/>
                      <w:highlight w:val="none"/>
                      <w:lang w:val="en-US" w:eastAsia="zh-CN"/>
                    </w:rPr>
                    <w:t>本项目评价范围内无黑颈鹤自然保护区和牛栏江生态廊道</w:t>
                  </w:r>
                </w:p>
              </w:tc>
              <w:tc>
                <w:tcPr>
                  <w:tcW w:w="412" w:type="pct"/>
                  <w:tcBorders>
                    <w:tl2br w:val="nil"/>
                    <w:tr2bl w:val="nil"/>
                  </w:tcBorders>
                  <w:noWrap w:val="0"/>
                  <w:vAlign w:val="center"/>
                </w:tcPr>
                <w:p w14:paraId="1CE9FC9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符合</w:t>
                  </w:r>
                </w:p>
              </w:tc>
            </w:tr>
            <w:tr w14:paraId="447B20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000" w:type="pct"/>
                  <w:gridSpan w:val="4"/>
                  <w:tcBorders>
                    <w:tl2br w:val="nil"/>
                    <w:tr2bl w:val="nil"/>
                  </w:tcBorders>
                  <w:noWrap w:val="0"/>
                  <w:vAlign w:val="center"/>
                </w:tcPr>
                <w:p w14:paraId="4F8BA4B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bCs/>
                      <w:color w:val="auto"/>
                      <w:sz w:val="21"/>
                      <w:szCs w:val="21"/>
                      <w:highlight w:val="none"/>
                      <w:lang w:val="en-US" w:eastAsia="zh-CN"/>
                    </w:rPr>
                    <w:t>“三线”控制</w:t>
                  </w:r>
                </w:p>
              </w:tc>
            </w:tr>
            <w:tr w14:paraId="3CEB67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22A3690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2638" w:type="pct"/>
                  <w:tcBorders>
                    <w:tl2br w:val="nil"/>
                    <w:tr2bl w:val="nil"/>
                  </w:tcBorders>
                  <w:noWrap w:val="0"/>
                  <w:vAlign w:val="center"/>
                </w:tcPr>
                <w:p w14:paraId="332F1FC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严格落实耕地用途管制，落实耕地占补平衡和进出平衡。对符合国家规定范围的能源、交通、水利、军事设施等重大建设项目选址确实难以避让永久基本农田的，应按照法律法规和有关要求，按照“数量不减、质量不降、布局稳定”的要求进行补划。</w:t>
                  </w:r>
                </w:p>
              </w:tc>
              <w:tc>
                <w:tcPr>
                  <w:tcW w:w="1664" w:type="pct"/>
                  <w:tcBorders>
                    <w:tl2br w:val="nil"/>
                    <w:tr2bl w:val="nil"/>
                  </w:tcBorders>
                  <w:noWrap w:val="0"/>
                  <w:vAlign w:val="center"/>
                </w:tcPr>
                <w:p w14:paraId="39730E5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本项目不占用耕地，不占用永久基本农田</w:t>
                  </w:r>
                </w:p>
              </w:tc>
              <w:tc>
                <w:tcPr>
                  <w:tcW w:w="412" w:type="pct"/>
                  <w:tcBorders>
                    <w:tl2br w:val="nil"/>
                    <w:tr2bl w:val="nil"/>
                  </w:tcBorders>
                  <w:noWrap w:val="0"/>
                  <w:vAlign w:val="center"/>
                </w:tcPr>
                <w:p w14:paraId="3BCE406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符合</w:t>
                  </w:r>
                </w:p>
              </w:tc>
            </w:tr>
            <w:tr w14:paraId="138BB4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4AA4445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w:t>
                  </w:r>
                </w:p>
              </w:tc>
              <w:tc>
                <w:tcPr>
                  <w:tcW w:w="2638" w:type="pct"/>
                  <w:tcBorders>
                    <w:tl2br w:val="nil"/>
                    <w:tr2bl w:val="nil"/>
                  </w:tcBorders>
                  <w:noWrap w:val="0"/>
                  <w:vAlign w:val="center"/>
                </w:tcPr>
                <w:p w14:paraId="0D8C7E5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生态保护红线一经划定，未经批准，严禁擅自调整。自然保护地核心保护区原则上禁止人为活动，其他区域严格禁止开发性、生产性建设活动。在符合现行法律法规前提下，除国家重大战略项目外，仅允许对生态功能不造成破坏的有限人为活动。</w:t>
                  </w:r>
                </w:p>
              </w:tc>
              <w:tc>
                <w:tcPr>
                  <w:tcW w:w="1664" w:type="pct"/>
                  <w:tcBorders>
                    <w:tl2br w:val="nil"/>
                    <w:tr2bl w:val="nil"/>
                  </w:tcBorders>
                  <w:noWrap w:val="0"/>
                  <w:vAlign w:val="center"/>
                </w:tcPr>
                <w:p w14:paraId="7997910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本项目不占用生态保护红线和自然保护地，仅有架空线路跨越生态保护红线。跨越生态保护红线为无害化通过行为。项目不在生态保护红线内进行永久和临时占地，无施工人员进入活动</w:t>
                  </w:r>
                </w:p>
              </w:tc>
              <w:tc>
                <w:tcPr>
                  <w:tcW w:w="412" w:type="pct"/>
                  <w:tcBorders>
                    <w:tl2br w:val="nil"/>
                    <w:tr2bl w:val="nil"/>
                  </w:tcBorders>
                  <w:noWrap w:val="0"/>
                  <w:vAlign w:val="center"/>
                </w:tcPr>
                <w:p w14:paraId="524D713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符合</w:t>
                  </w:r>
                </w:p>
              </w:tc>
            </w:tr>
            <w:tr w14:paraId="6B10EA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2376F59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w:t>
                  </w:r>
                </w:p>
              </w:tc>
              <w:tc>
                <w:tcPr>
                  <w:tcW w:w="2638" w:type="pct"/>
                  <w:tcBorders>
                    <w:tl2br w:val="nil"/>
                    <w:tr2bl w:val="nil"/>
                  </w:tcBorders>
                  <w:noWrap w:val="0"/>
                  <w:vAlign w:val="center"/>
                </w:tcPr>
                <w:p w14:paraId="11C7911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严控新增建设用地，引导人口、产业和用地合理布局，推动城镇紧凑发展和节约集约用地，促进县城中心城区、重点乡（镇）形成多中心、组团式的空间布局。</w:t>
                  </w:r>
                </w:p>
              </w:tc>
              <w:tc>
                <w:tcPr>
                  <w:tcW w:w="1664" w:type="pct"/>
                  <w:tcBorders>
                    <w:tl2br w:val="nil"/>
                    <w:tr2bl w:val="nil"/>
                  </w:tcBorders>
                  <w:noWrap w:val="0"/>
                  <w:vAlign w:val="center"/>
                </w:tcPr>
                <w:p w14:paraId="2C39A6D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本项目用地预审已完成审批，相关集约用地手续正在办理，新增的建设用地符合会泽县自然资源局要求</w:t>
                  </w:r>
                </w:p>
              </w:tc>
              <w:tc>
                <w:tcPr>
                  <w:tcW w:w="412" w:type="pct"/>
                  <w:tcBorders>
                    <w:tl2br w:val="nil"/>
                    <w:tr2bl w:val="nil"/>
                  </w:tcBorders>
                  <w:noWrap w:val="0"/>
                  <w:vAlign w:val="center"/>
                </w:tcPr>
                <w:p w14:paraId="596C098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符合</w:t>
                  </w:r>
                </w:p>
              </w:tc>
            </w:tr>
            <w:tr w14:paraId="2222C3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000" w:type="pct"/>
                  <w:gridSpan w:val="4"/>
                  <w:tcBorders>
                    <w:tl2br w:val="nil"/>
                    <w:tr2bl w:val="nil"/>
                  </w:tcBorders>
                  <w:noWrap w:val="0"/>
                  <w:vAlign w:val="center"/>
                </w:tcPr>
                <w:p w14:paraId="4BB4CD0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bCs/>
                      <w:color w:val="auto"/>
                      <w:sz w:val="21"/>
                      <w:szCs w:val="21"/>
                      <w:highlight w:val="none"/>
                      <w:lang w:val="en-US" w:eastAsia="zh-CN"/>
                    </w:rPr>
                    <w:t>主体功能区定位</w:t>
                  </w:r>
                </w:p>
              </w:tc>
            </w:tr>
            <w:tr w14:paraId="1B58B7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1725588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7</w:t>
                  </w:r>
                </w:p>
              </w:tc>
              <w:tc>
                <w:tcPr>
                  <w:tcW w:w="2638" w:type="pct"/>
                  <w:tcBorders>
                    <w:tl2br w:val="nil"/>
                    <w:tr2bl w:val="nil"/>
                  </w:tcBorders>
                  <w:noWrap w:val="0"/>
                  <w:vAlign w:val="center"/>
                </w:tcPr>
                <w:p w14:paraId="241EAF1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ascii="Times New Roman" w:hAnsi="Times New Roman" w:cs="Times New Roman"/>
                      <w:b w:val="0"/>
                      <w:bCs w:val="0"/>
                      <w:color w:val="auto"/>
                      <w:sz w:val="21"/>
                      <w:szCs w:val="21"/>
                      <w:highlight w:val="none"/>
                    </w:rPr>
                    <w:t>落实云南省主体功能区定位，会泽县为国家级农产品主产区，承担提供农产品、保障粮食安全等功能。重点加强耕地保护，落实“长牙齿”的耕地保护制度，坚持遏制耕地“非农化”、防止耕地“非粮化”，牢牢守住耕地红线。以大力发展高原特色现代农业为重点，稳定粮食生产，增强农业综合生产能力。</w:t>
                  </w:r>
                </w:p>
              </w:tc>
              <w:tc>
                <w:tcPr>
                  <w:tcW w:w="1664" w:type="pct"/>
                  <w:tcBorders>
                    <w:tl2br w:val="nil"/>
                    <w:tr2bl w:val="nil"/>
                  </w:tcBorders>
                  <w:noWrap w:val="0"/>
                  <w:vAlign w:val="center"/>
                </w:tcPr>
                <w:p w14:paraId="4E24851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本项目不占用耕地和基本农田，不会对区域农产品产量、质量造成影响。</w:t>
                  </w:r>
                </w:p>
              </w:tc>
              <w:tc>
                <w:tcPr>
                  <w:tcW w:w="412" w:type="pct"/>
                  <w:tcBorders>
                    <w:tl2br w:val="nil"/>
                    <w:tr2bl w:val="nil"/>
                  </w:tcBorders>
                  <w:noWrap w:val="0"/>
                  <w:vAlign w:val="center"/>
                </w:tcPr>
                <w:p w14:paraId="0E95A55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34B570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294579A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w:t>
                  </w:r>
                </w:p>
              </w:tc>
              <w:tc>
                <w:tcPr>
                  <w:tcW w:w="2638" w:type="pct"/>
                  <w:tcBorders>
                    <w:tl2br w:val="nil"/>
                    <w:tr2bl w:val="nil"/>
                  </w:tcBorders>
                  <w:noWrap w:val="0"/>
                  <w:vAlign w:val="center"/>
                </w:tcPr>
                <w:p w14:paraId="2CC56CC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推进生态环境共治共保，强化生态环境保护的整体性。加强与东川、鲁甸、威宁、宣威、巧家、沾益等县（区）构建跨区域、跨流域生态保护、环境污染共建共治共享机制，深化流域多县区联合保护机制，共同推进小江、牛栏江流域生态环境综合治理工程，建设绿色生态走廊，促进金沙江流域生态环境协同治理保护，推动流域水质、区域环境持续改善。</w:t>
                  </w:r>
                </w:p>
              </w:tc>
              <w:tc>
                <w:tcPr>
                  <w:tcW w:w="1664" w:type="pct"/>
                  <w:tcBorders>
                    <w:tl2br w:val="nil"/>
                    <w:tr2bl w:val="nil"/>
                  </w:tcBorders>
                  <w:noWrap w:val="0"/>
                  <w:vAlign w:val="center"/>
                </w:tcPr>
                <w:p w14:paraId="5A86471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本项目位于牛栏江流域，项目符合牛栏江流域相关规划，对区域水质不会造成影响。</w:t>
                  </w:r>
                </w:p>
              </w:tc>
              <w:tc>
                <w:tcPr>
                  <w:tcW w:w="412" w:type="pct"/>
                  <w:tcBorders>
                    <w:tl2br w:val="nil"/>
                    <w:tr2bl w:val="nil"/>
                  </w:tcBorders>
                  <w:noWrap w:val="0"/>
                  <w:vAlign w:val="center"/>
                </w:tcPr>
                <w:p w14:paraId="56A378E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66A1D5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2DCB267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w:t>
                  </w:r>
                </w:p>
              </w:tc>
              <w:tc>
                <w:tcPr>
                  <w:tcW w:w="2638" w:type="pct"/>
                  <w:tcBorders>
                    <w:tl2br w:val="nil"/>
                    <w:tr2bl w:val="nil"/>
                  </w:tcBorders>
                  <w:noWrap w:val="0"/>
                  <w:vAlign w:val="center"/>
                </w:tcPr>
                <w:p w14:paraId="0501956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重点开展生态保护，以自然保护为主要导向，具有特殊重要生态功能或生态环境敏感脆弱、必须强制性严格保护的自然区域。至2035年，规划生态保护区占国土面积的20.66%，集中于会泽黑颈鹤国家级自然保护区、云南会泽驾车自然保护区、金钟山森林公园、牛栏江森林公园等区域。自然保护地核心区原则上禁止人为活动，一般控制区除国家重大战略项目外，仅允许对生态功能不造成破坏的有限人为活动。</w:t>
                  </w:r>
                </w:p>
              </w:tc>
              <w:tc>
                <w:tcPr>
                  <w:tcW w:w="1664" w:type="pct"/>
                  <w:tcBorders>
                    <w:tl2br w:val="nil"/>
                    <w:tr2bl w:val="nil"/>
                  </w:tcBorders>
                  <w:noWrap w:val="0"/>
                  <w:vAlign w:val="center"/>
                </w:tcPr>
                <w:p w14:paraId="5CD28F2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本项目不占用自然保护地，评价范围内不涉及</w:t>
                  </w:r>
                  <w:r>
                    <w:rPr>
                      <w:rFonts w:hint="default" w:ascii="Times New Roman" w:hAnsi="Times New Roman" w:cs="Times New Roman"/>
                      <w:b w:val="0"/>
                      <w:bCs w:val="0"/>
                      <w:color w:val="auto"/>
                      <w:sz w:val="21"/>
                      <w:szCs w:val="21"/>
                      <w:highlight w:val="none"/>
                    </w:rPr>
                    <w:t>会泽黑颈鹤国家级自然保护区、云南会泽驾车自然保护区、金钟山森林公园、牛栏江森林公园等区域</w:t>
                  </w:r>
                  <w:r>
                    <w:rPr>
                      <w:rFonts w:hint="eastAsia" w:ascii="Times New Roman" w:hAnsi="Times New Roman" w:cs="Times New Roman"/>
                      <w:b w:val="0"/>
                      <w:bCs w:val="0"/>
                      <w:color w:val="auto"/>
                      <w:sz w:val="21"/>
                      <w:szCs w:val="21"/>
                      <w:highlight w:val="none"/>
                      <w:lang w:eastAsia="zh-CN"/>
                    </w:rPr>
                    <w:t>。</w:t>
                  </w:r>
                  <w:r>
                    <w:rPr>
                      <w:rFonts w:hint="eastAsia" w:ascii="Times New Roman" w:hAnsi="Times New Roman" w:cs="Times New Roman"/>
                      <w:b w:val="0"/>
                      <w:bCs w:val="0"/>
                      <w:color w:val="auto"/>
                      <w:sz w:val="21"/>
                      <w:szCs w:val="21"/>
                      <w:highlight w:val="none"/>
                      <w:lang w:val="en-US" w:eastAsia="zh-CN"/>
                    </w:rPr>
                    <w:t>仅部分</w:t>
                  </w:r>
                  <w:r>
                    <w:rPr>
                      <w:rFonts w:hint="eastAsia" w:cs="Times New Roman"/>
                      <w:b w:val="0"/>
                      <w:bCs w:val="0"/>
                      <w:color w:val="auto"/>
                      <w:sz w:val="21"/>
                      <w:szCs w:val="21"/>
                      <w:highlight w:val="none"/>
                      <w:lang w:val="en-US" w:eastAsia="zh-CN"/>
                    </w:rPr>
                    <w:t>架空</w:t>
                  </w:r>
                  <w:r>
                    <w:rPr>
                      <w:rFonts w:hint="eastAsia" w:ascii="Times New Roman" w:hAnsi="Times New Roman" w:cs="Times New Roman"/>
                      <w:b w:val="0"/>
                      <w:bCs w:val="0"/>
                      <w:color w:val="auto"/>
                      <w:sz w:val="21"/>
                      <w:szCs w:val="21"/>
                      <w:highlight w:val="none"/>
                      <w:lang w:val="en-US" w:eastAsia="zh-CN"/>
                    </w:rPr>
                    <w:t>集电线路跨越生态保护红线。</w:t>
                  </w:r>
                  <w:r>
                    <w:rPr>
                      <w:rFonts w:hint="eastAsia" w:cs="Times New Roman"/>
                      <w:b w:val="0"/>
                      <w:bCs w:val="0"/>
                      <w:color w:val="auto"/>
                      <w:sz w:val="21"/>
                      <w:szCs w:val="21"/>
                      <w:highlight w:val="none"/>
                      <w:lang w:val="en-US" w:eastAsia="zh-CN"/>
                    </w:rPr>
                    <w:t>跨越生态保护红线为无害化通过行为。项目不在生态保护红线内进行永久和临时占地，无施工人员进入活动。</w:t>
                  </w:r>
                </w:p>
              </w:tc>
              <w:tc>
                <w:tcPr>
                  <w:tcW w:w="412" w:type="pct"/>
                  <w:tcBorders>
                    <w:tl2br w:val="nil"/>
                    <w:tr2bl w:val="nil"/>
                  </w:tcBorders>
                  <w:noWrap w:val="0"/>
                  <w:vAlign w:val="center"/>
                </w:tcPr>
                <w:p w14:paraId="7533873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符合</w:t>
                  </w:r>
                </w:p>
              </w:tc>
            </w:tr>
            <w:tr w14:paraId="26467D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0E5DB62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w:t>
                  </w:r>
                </w:p>
              </w:tc>
              <w:tc>
                <w:tcPr>
                  <w:tcW w:w="2638" w:type="pct"/>
                  <w:tcBorders>
                    <w:tl2br w:val="nil"/>
                    <w:tr2bl w:val="nil"/>
                  </w:tcBorders>
                  <w:noWrap w:val="0"/>
                  <w:vAlign w:val="center"/>
                </w:tcPr>
                <w:p w14:paraId="13E05BB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至2035年，规划生态控制区占国土面积的11.53%，主要包含天然林、公益林、重要湿地、重要水源地等区域。区内严格控制破坏生态资源、影响生态功能的开发建设活动，生态保护红线以外的其他区域以保护为主，充分发挥生态屏障、水源涵养、水土保持、生物多样性保护等重要生态服务功能。加强生态保育和生态修复，允许在不降低生态功能、不破坏生态系统的前提下，依据国土空间规划和相关法定程序、管控规则，进行适度开发利用。</w:t>
                  </w:r>
                </w:p>
              </w:tc>
              <w:tc>
                <w:tcPr>
                  <w:tcW w:w="1664" w:type="pct"/>
                  <w:tcBorders>
                    <w:tl2br w:val="nil"/>
                    <w:tr2bl w:val="nil"/>
                  </w:tcBorders>
                  <w:noWrap w:val="0"/>
                  <w:vAlign w:val="center"/>
                </w:tcPr>
                <w:p w14:paraId="4449484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本项目林地占地手续已完成审批。本项目仅部分塔基占用乔木林地，总占地面积较小，且占地分散，不会对当地林地生态系统造成破坏。</w:t>
                  </w:r>
                </w:p>
              </w:tc>
              <w:tc>
                <w:tcPr>
                  <w:tcW w:w="412" w:type="pct"/>
                  <w:tcBorders>
                    <w:tl2br w:val="nil"/>
                    <w:tr2bl w:val="nil"/>
                  </w:tcBorders>
                  <w:noWrap w:val="0"/>
                  <w:vAlign w:val="center"/>
                </w:tcPr>
                <w:p w14:paraId="1BF8269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4BB1A0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48E1586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11</w:t>
                  </w:r>
                </w:p>
              </w:tc>
              <w:tc>
                <w:tcPr>
                  <w:tcW w:w="2638" w:type="pct"/>
                  <w:tcBorders>
                    <w:tl2br w:val="nil"/>
                    <w:tr2bl w:val="nil"/>
                  </w:tcBorders>
                  <w:noWrap w:val="0"/>
                  <w:vAlign w:val="center"/>
                </w:tcPr>
                <w:p w14:paraId="5C28988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加强建设用地节约集约利用，合理调整建设用地结构，优化城乡建设用地布局。统筹城乡居民生活、基础设施、公共服务、产业发展、生态环境保护等建设需求，优先保障清洁能源、光伏产业、生态旅游、乡村振兴发展、搬迁安置等项目用地需求。重点保障渝昆高铁、会巧高速、宣会高速等区域基础设施建设，结合交通、水利等各类设施空间进行用地优化调整，支持复合型基础设施廊道建设，提高重大设施用地节约集约水平。</w:t>
                  </w:r>
                </w:p>
              </w:tc>
              <w:tc>
                <w:tcPr>
                  <w:tcW w:w="1664" w:type="pct"/>
                  <w:tcBorders>
                    <w:tl2br w:val="nil"/>
                    <w:tr2bl w:val="nil"/>
                  </w:tcBorders>
                  <w:noWrap w:val="0"/>
                  <w:vAlign w:val="center"/>
                </w:tcPr>
                <w:p w14:paraId="67BC09B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本项目为光伏产业，相关集约用地审批手续正在办理</w:t>
                  </w:r>
                </w:p>
              </w:tc>
              <w:tc>
                <w:tcPr>
                  <w:tcW w:w="412" w:type="pct"/>
                  <w:tcBorders>
                    <w:tl2br w:val="nil"/>
                    <w:tr2bl w:val="nil"/>
                  </w:tcBorders>
                  <w:noWrap w:val="0"/>
                  <w:vAlign w:val="center"/>
                </w:tcPr>
                <w:p w14:paraId="41F5F5A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相符</w:t>
                  </w:r>
                </w:p>
              </w:tc>
            </w:tr>
            <w:tr w14:paraId="5A318F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74867AF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w:t>
                  </w:r>
                </w:p>
              </w:tc>
              <w:tc>
                <w:tcPr>
                  <w:tcW w:w="2638" w:type="pct"/>
                  <w:tcBorders>
                    <w:tl2br w:val="nil"/>
                    <w:tr2bl w:val="nil"/>
                  </w:tcBorders>
                  <w:noWrap w:val="0"/>
                  <w:vAlign w:val="center"/>
                </w:tcPr>
                <w:p w14:paraId="4C358E4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永久基本农田不得转为林地、草地、园地等其他农用地及农业设施建设用地。严禁占用永久基本农田发展林果业和挖塘养鱼；严禁占用永久基本农田种植苗木、草皮等用于绿化装饰以及其他破坏耕作层的植物；严禁占用永久基本农田挖湖造景、建设绿化带；严禁新增占用永久基本农田建设畜禽养殖设施、水产养殖设施和破坏耕作层的种植业设施；严禁占用永久基本农田扩大自然保护地；禁止任何单位和个人闲置、荒芜永久基本农田。在永久基本农田集中分布区，不得规划新建可能造成污染的建设项目。</w:t>
                  </w:r>
                </w:p>
              </w:tc>
              <w:tc>
                <w:tcPr>
                  <w:tcW w:w="1664" w:type="pct"/>
                  <w:tcBorders>
                    <w:tl2br w:val="nil"/>
                    <w:tr2bl w:val="nil"/>
                  </w:tcBorders>
                  <w:noWrap w:val="0"/>
                  <w:vAlign w:val="center"/>
                </w:tcPr>
                <w:p w14:paraId="5E96761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本项目选址不占用永久基本农田。项目为光伏发电项目，可造成污染的工程为升压站部分，升压站选址远离基本农田。</w:t>
                  </w:r>
                </w:p>
              </w:tc>
              <w:tc>
                <w:tcPr>
                  <w:tcW w:w="412" w:type="pct"/>
                  <w:tcBorders>
                    <w:tl2br w:val="nil"/>
                    <w:tr2bl w:val="nil"/>
                  </w:tcBorders>
                  <w:noWrap w:val="0"/>
                  <w:vAlign w:val="center"/>
                </w:tcPr>
                <w:p w14:paraId="6AA8D35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相符</w:t>
                  </w:r>
                </w:p>
              </w:tc>
            </w:tr>
            <w:tr w14:paraId="6012C9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000" w:type="pct"/>
                  <w:gridSpan w:val="4"/>
                  <w:tcBorders>
                    <w:tl2br w:val="nil"/>
                    <w:tr2bl w:val="nil"/>
                  </w:tcBorders>
                  <w:noWrap w:val="0"/>
                  <w:vAlign w:val="center"/>
                </w:tcPr>
                <w:p w14:paraId="37EE783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bCs/>
                      <w:color w:val="auto"/>
                      <w:sz w:val="21"/>
                      <w:szCs w:val="21"/>
                      <w:highlight w:val="none"/>
                      <w:lang w:val="en-US" w:eastAsia="zh-CN"/>
                    </w:rPr>
                    <w:t>生态空间保护</w:t>
                  </w:r>
                </w:p>
              </w:tc>
            </w:tr>
            <w:tr w14:paraId="65389D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169F7F4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13</w:t>
                  </w:r>
                </w:p>
              </w:tc>
              <w:tc>
                <w:tcPr>
                  <w:tcW w:w="2638" w:type="pct"/>
                  <w:tcBorders>
                    <w:tl2br w:val="nil"/>
                    <w:tr2bl w:val="nil"/>
                  </w:tcBorders>
                  <w:noWrap w:val="0"/>
                  <w:vAlign w:val="center"/>
                </w:tcPr>
                <w:p w14:paraId="72929C4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加强有限人为活动管控。生态保护红线内自然保护地核心保护区原则上禁止人为活动；自然保护地核心保护区外，禁止开发性、生产性建设活动，在符合法律法规的前提下，允许对生态功能不造成破坏的有限人为活动。有限人为活动涉及生态保护红线内的自然保护地、饮用水水源保护区等区域，应符合现行相关法律法规相关规定和要求，并依法依规按程序取得相应职能部门的意见。除允许的有限人为活动之外，符合国家明确的、确需占用生态保护红线的国家重大项目，按照规定办理用地审批。</w:t>
                  </w:r>
                </w:p>
              </w:tc>
              <w:tc>
                <w:tcPr>
                  <w:tcW w:w="1664" w:type="pct"/>
                  <w:tcBorders>
                    <w:tl2br w:val="nil"/>
                    <w:tr2bl w:val="nil"/>
                  </w:tcBorders>
                  <w:noWrap w:val="0"/>
                  <w:vAlign w:val="center"/>
                </w:tcPr>
                <w:p w14:paraId="714891C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本项目选址不涉及</w:t>
                  </w:r>
                  <w:r>
                    <w:rPr>
                      <w:rFonts w:hint="default" w:ascii="Times New Roman" w:hAnsi="Times New Roman" w:cs="Times New Roman"/>
                      <w:b w:val="0"/>
                      <w:bCs w:val="0"/>
                      <w:color w:val="auto"/>
                      <w:sz w:val="21"/>
                      <w:szCs w:val="21"/>
                      <w:highlight w:val="none"/>
                    </w:rPr>
                    <w:t>自然保护地</w:t>
                  </w:r>
                  <w:r>
                    <w:rPr>
                      <w:rFonts w:hint="eastAsia" w:ascii="Times New Roman" w:hAnsi="Times New Roman" w:cs="Times New Roman"/>
                      <w:b w:val="0"/>
                      <w:bCs w:val="0"/>
                      <w:color w:val="auto"/>
                      <w:sz w:val="21"/>
                      <w:szCs w:val="21"/>
                      <w:highlight w:val="none"/>
                      <w:lang w:val="en-US" w:eastAsia="zh-CN"/>
                    </w:rPr>
                    <w:t>和饮用水水源保护区。项目仅部分</w:t>
                  </w:r>
                  <w:r>
                    <w:rPr>
                      <w:rFonts w:hint="eastAsia" w:cs="Times New Roman"/>
                      <w:b w:val="0"/>
                      <w:bCs w:val="0"/>
                      <w:color w:val="auto"/>
                      <w:sz w:val="21"/>
                      <w:szCs w:val="21"/>
                      <w:highlight w:val="none"/>
                      <w:lang w:val="en-US" w:eastAsia="zh-CN"/>
                    </w:rPr>
                    <w:t>架空</w:t>
                  </w:r>
                  <w:r>
                    <w:rPr>
                      <w:rFonts w:hint="eastAsia" w:ascii="Times New Roman" w:hAnsi="Times New Roman" w:cs="Times New Roman"/>
                      <w:b w:val="0"/>
                      <w:bCs w:val="0"/>
                      <w:color w:val="auto"/>
                      <w:sz w:val="21"/>
                      <w:szCs w:val="21"/>
                      <w:highlight w:val="none"/>
                      <w:lang w:val="en-US" w:eastAsia="zh-CN"/>
                    </w:rPr>
                    <w:t>集电线路跨越生态保护红线。</w:t>
                  </w:r>
                  <w:r>
                    <w:rPr>
                      <w:rFonts w:hint="eastAsia" w:cs="Times New Roman"/>
                      <w:b w:val="0"/>
                      <w:bCs w:val="0"/>
                      <w:color w:val="auto"/>
                      <w:sz w:val="21"/>
                      <w:szCs w:val="21"/>
                      <w:highlight w:val="none"/>
                      <w:lang w:val="en-US" w:eastAsia="zh-CN"/>
                    </w:rPr>
                    <w:t>跨越生态保护红线为无害化通过行为，项目不在生态保护红线内进行永久和临时占地，无施工人员进入活动</w:t>
                  </w:r>
                  <w:r>
                    <w:rPr>
                      <w:rFonts w:hint="eastAsia"/>
                      <w:color w:val="auto"/>
                      <w:highlight w:val="none"/>
                      <w:lang w:eastAsia="zh-CN"/>
                    </w:rPr>
                    <w:t>。</w:t>
                  </w:r>
                </w:p>
              </w:tc>
              <w:tc>
                <w:tcPr>
                  <w:tcW w:w="412" w:type="pct"/>
                  <w:tcBorders>
                    <w:tl2br w:val="nil"/>
                    <w:tr2bl w:val="nil"/>
                  </w:tcBorders>
                  <w:noWrap w:val="0"/>
                  <w:vAlign w:val="center"/>
                </w:tcPr>
                <w:p w14:paraId="125D312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相符</w:t>
                  </w:r>
                </w:p>
              </w:tc>
            </w:tr>
            <w:tr w14:paraId="08F090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4E811C2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14</w:t>
                  </w:r>
                </w:p>
              </w:tc>
              <w:tc>
                <w:tcPr>
                  <w:tcW w:w="2638" w:type="pct"/>
                  <w:tcBorders>
                    <w:tl2br w:val="nil"/>
                    <w:tr2bl w:val="nil"/>
                  </w:tcBorders>
                  <w:noWrap w:val="0"/>
                  <w:vAlign w:val="center"/>
                </w:tcPr>
                <w:p w14:paraId="5448DA8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落实临时用地生态恢复责任。生态保护红线内允许的有限人为活动和国家重大项目占用生态保护红线涉及临时用地的，应避让自然保护地、饮用水水源保护区等区域，占用林地、草地等应符合相关法律法规的规定及要求。临时用地使用期间做好环境保护，使用结束后，应及时开展生态修复，将对生态环境的影响降至最低。</w:t>
                  </w:r>
                </w:p>
              </w:tc>
              <w:tc>
                <w:tcPr>
                  <w:tcW w:w="1664" w:type="pct"/>
                  <w:tcBorders>
                    <w:tl2br w:val="nil"/>
                    <w:tr2bl w:val="nil"/>
                  </w:tcBorders>
                  <w:noWrap w:val="0"/>
                  <w:vAlign w:val="center"/>
                </w:tcPr>
                <w:p w14:paraId="28C0B21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本项目仅架空集电线路跨越生态保护红线，跨越路径上不涉及临时用地，不涉及自然保护地和饮用水水源保护区。项目占用林地、草地已通过林草部门审批。</w:t>
                  </w:r>
                </w:p>
              </w:tc>
              <w:tc>
                <w:tcPr>
                  <w:tcW w:w="412" w:type="pct"/>
                  <w:tcBorders>
                    <w:tl2br w:val="nil"/>
                    <w:tr2bl w:val="nil"/>
                  </w:tcBorders>
                  <w:noWrap w:val="0"/>
                  <w:vAlign w:val="center"/>
                </w:tcPr>
                <w:p w14:paraId="63E0668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相符</w:t>
                  </w:r>
                </w:p>
              </w:tc>
            </w:tr>
            <w:tr w14:paraId="13F99D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0E24C5D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15</w:t>
                  </w:r>
                </w:p>
              </w:tc>
              <w:tc>
                <w:tcPr>
                  <w:tcW w:w="2638" w:type="pct"/>
                  <w:tcBorders>
                    <w:tl2br w:val="nil"/>
                    <w:tr2bl w:val="nil"/>
                  </w:tcBorders>
                  <w:noWrap w:val="0"/>
                  <w:vAlign w:val="center"/>
                </w:tcPr>
                <w:p w14:paraId="787ABCE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保护黑颈鹤等候鸟迁飞通道。结合自然资源分布特征，以点、线结合的方式保护候鸟迁飞廊道。加强大桥念湖－长海子候鸟迁飞通道保护，推进沿途生态廊道建设、湿地生态系统保护修复，加强森林植被恢复，采取水生植物底播、控制湿地水位等措施，改善候鸟迁徙、栖息环境，保障候鸟迁飞安全。积极支撑构建连接昭通大山包—曲靖会泽—威宁草海—昆明寻甸等候鸟越冬地廊道与栖息地体系，加强区域协作与整体保护，提升会泽黑颈鹤国家级自然保护区作为西南地区候鸟迁徙通道上重要停歇点、繁殖地和越冬地的作用。</w:t>
                  </w:r>
                </w:p>
              </w:tc>
              <w:tc>
                <w:tcPr>
                  <w:tcW w:w="1664" w:type="pct"/>
                  <w:tcBorders>
                    <w:tl2br w:val="nil"/>
                    <w:tr2bl w:val="nil"/>
                  </w:tcBorders>
                  <w:noWrap w:val="0"/>
                  <w:vAlign w:val="center"/>
                </w:tcPr>
                <w:p w14:paraId="276A250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本项目选址区域不涉及云南省候鸟迁徙通道重点区域范围（第一批）</w:t>
                  </w:r>
                  <w:r>
                    <w:rPr>
                      <w:rFonts w:hint="eastAsia" w:ascii="Times New Roman" w:hAnsi="Times New Roman" w:cs="Times New Roman"/>
                      <w:b w:val="0"/>
                      <w:bCs w:val="0"/>
                      <w:color w:val="auto"/>
                      <w:sz w:val="21"/>
                      <w:szCs w:val="21"/>
                      <w:highlight w:val="none"/>
                      <w:lang w:eastAsia="zh-CN"/>
                    </w:rPr>
                    <w:t>。</w:t>
                  </w:r>
                  <w:r>
                    <w:rPr>
                      <w:rFonts w:hint="eastAsia" w:ascii="Times New Roman" w:hAnsi="Times New Roman" w:cs="Times New Roman"/>
                      <w:b w:val="0"/>
                      <w:bCs w:val="0"/>
                      <w:color w:val="auto"/>
                      <w:sz w:val="21"/>
                      <w:szCs w:val="21"/>
                      <w:highlight w:val="none"/>
                      <w:lang w:val="en-US" w:eastAsia="zh-CN"/>
                    </w:rPr>
                    <w:t>区域</w:t>
                  </w:r>
                  <w:r>
                    <w:rPr>
                      <w:rFonts w:hint="eastAsia" w:cs="Times New Roman"/>
                      <w:b w:val="0"/>
                      <w:bCs w:val="0"/>
                      <w:color w:val="auto"/>
                      <w:sz w:val="21"/>
                      <w:szCs w:val="21"/>
                      <w:highlight w:val="none"/>
                      <w:lang w:val="en-US" w:eastAsia="zh-CN"/>
                    </w:rPr>
                    <w:t>人类活动频繁，不涉及黑颈鹤等候鸟迁飞通道。</w:t>
                  </w:r>
                </w:p>
              </w:tc>
              <w:tc>
                <w:tcPr>
                  <w:tcW w:w="412" w:type="pct"/>
                  <w:tcBorders>
                    <w:tl2br w:val="nil"/>
                    <w:tr2bl w:val="nil"/>
                  </w:tcBorders>
                  <w:noWrap w:val="0"/>
                  <w:vAlign w:val="center"/>
                </w:tcPr>
                <w:p w14:paraId="3267B7B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eastAsia" w:cs="Times New Roman"/>
                      <w:b w:val="0"/>
                      <w:bCs w:val="0"/>
                      <w:color w:val="auto"/>
                      <w:sz w:val="21"/>
                      <w:szCs w:val="21"/>
                      <w:highlight w:val="none"/>
                      <w:lang w:val="en-US" w:eastAsia="zh-CN"/>
                    </w:rPr>
                    <w:t>相符</w:t>
                  </w:r>
                </w:p>
              </w:tc>
            </w:tr>
            <w:tr w14:paraId="22579C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000" w:type="pct"/>
                  <w:gridSpan w:val="4"/>
                  <w:tcBorders>
                    <w:tl2br w:val="nil"/>
                    <w:tr2bl w:val="nil"/>
                  </w:tcBorders>
                  <w:noWrap w:val="0"/>
                  <w:vAlign w:val="center"/>
                </w:tcPr>
                <w:p w14:paraId="3100D163">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构建能源体系</w:t>
                  </w:r>
                </w:p>
              </w:tc>
            </w:tr>
            <w:tr w14:paraId="5FFF5D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284" w:type="pct"/>
                  <w:tcBorders>
                    <w:tl2br w:val="nil"/>
                    <w:tr2bl w:val="nil"/>
                  </w:tcBorders>
                  <w:noWrap w:val="0"/>
                  <w:vAlign w:val="center"/>
                </w:tcPr>
                <w:p w14:paraId="56CFFA3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16</w:t>
                  </w:r>
                </w:p>
              </w:tc>
              <w:tc>
                <w:tcPr>
                  <w:tcW w:w="2638" w:type="pct"/>
                  <w:tcBorders>
                    <w:tl2br w:val="nil"/>
                    <w:tr2bl w:val="nil"/>
                  </w:tcBorders>
                  <w:noWrap w:val="0"/>
                  <w:vAlign w:val="center"/>
                </w:tcPr>
                <w:p w14:paraId="75F5896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大力发展光伏发电。充分利用荒山、荒坡等未利用地，建设农光、林光、畜光互补光伏电站，支持建设以“自发自用”为主要方式的分布式光伏发电，鼓励建设建筑屋顶光伏发电，规划建设集中式光伏发电站50 余座。继续建设完善在建的以礼河四级电站复建项目。积极推进抽水蓄能和共享储能项目，规划布局共享储能项目二项，规划与毛家村水库综合用水调水工程融合布局抽水蓄能项目一项。支持新能源发电站接网及消纳，保障“风光水储”用地及配套变电站、汇流站、输电工程等建设用地需求。</w:t>
                  </w:r>
                </w:p>
              </w:tc>
              <w:tc>
                <w:tcPr>
                  <w:tcW w:w="1664" w:type="pct"/>
                  <w:tcBorders>
                    <w:tl2br w:val="nil"/>
                    <w:tr2bl w:val="nil"/>
                  </w:tcBorders>
                  <w:noWrap w:val="0"/>
                  <w:vAlign w:val="center"/>
                </w:tcPr>
                <w:p w14:paraId="26C8847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本项目为光伏发电项目，已纳入会泽县国土空间规划。项目光伏阵列主要为荒山及荒坡。</w:t>
                  </w:r>
                </w:p>
              </w:tc>
              <w:tc>
                <w:tcPr>
                  <w:tcW w:w="412" w:type="pct"/>
                  <w:tcBorders>
                    <w:tl2br w:val="nil"/>
                    <w:tr2bl w:val="nil"/>
                  </w:tcBorders>
                  <w:noWrap w:val="0"/>
                  <w:vAlign w:val="center"/>
                </w:tcPr>
                <w:p w14:paraId="7514A79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相符</w:t>
                  </w:r>
                </w:p>
              </w:tc>
            </w:tr>
          </w:tbl>
          <w:p w14:paraId="02C48626">
            <w:pPr>
              <w:keepNext w:val="0"/>
              <w:keepLines w:val="0"/>
              <w:suppressLineNumbers w:val="0"/>
              <w:spacing w:before="0" w:beforeAutospacing="0" w:after="0" w:afterAutospacing="0"/>
              <w:ind w:left="0" w:right="0" w:firstLine="0" w:firstLineChars="0"/>
              <w:jc w:val="center"/>
              <w:rPr>
                <w:rFonts w:hint="default"/>
                <w:color w:val="auto"/>
                <w:highlight w:val="none"/>
              </w:rPr>
            </w:pPr>
          </w:p>
          <w:p w14:paraId="6CDB585E">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b/>
                <w:bCs/>
                <w:color w:val="auto"/>
                <w:szCs w:val="32"/>
                <w:highlight w:val="none"/>
              </w:rPr>
              <w:t>1.4 项目与相关的环保法规符合性分析</w:t>
            </w:r>
          </w:p>
          <w:p w14:paraId="5F56BACF">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与本项目相关的环保法规包括：《云南省生物多样性保护条例》（2019年1月1日起施行）、《云南省生态环境保护条例》（2024年11月1日施行）、《输变电建设项目环境保护技术要求》（HJ 1113-2020）</w:t>
            </w:r>
            <w:r>
              <w:rPr>
                <w:rFonts w:hint="eastAsia"/>
                <w:color w:val="auto"/>
                <w:highlight w:val="none"/>
                <w:lang w:eastAsia="zh-CN"/>
              </w:rPr>
              <w:t>、《云南省牛栏江保护条例》</w:t>
            </w:r>
            <w:r>
              <w:rPr>
                <w:rFonts w:hint="eastAsia"/>
                <w:color w:val="auto"/>
                <w:highlight w:val="none"/>
              </w:rPr>
              <w:t>。</w:t>
            </w:r>
          </w:p>
          <w:p w14:paraId="0C9A4A36">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1.4.1 项目与《云南省生物多样性保护条例》相符性分</w:t>
            </w:r>
          </w:p>
          <w:p w14:paraId="28962D2D">
            <w:pPr>
              <w:keepNext w:val="0"/>
              <w:keepLines w:val="0"/>
              <w:suppressLineNumbers w:val="0"/>
              <w:autoSpaceDE/>
              <w:autoSpaceDN/>
              <w:spacing w:before="0" w:beforeAutospacing="0" w:after="0" w:afterAutospacing="0"/>
              <w:ind w:left="0" w:right="0" w:firstLine="0" w:firstLineChars="0"/>
              <w:jc w:val="center"/>
              <w:rPr>
                <w:rFonts w:hint="default"/>
                <w:color w:val="auto"/>
                <w:highlight w:val="none"/>
              </w:rPr>
            </w:pPr>
            <w:r>
              <w:rPr>
                <w:rFonts w:hint="eastAsia"/>
                <w:b/>
                <w:bCs/>
                <w:color w:val="auto"/>
                <w:szCs w:val="21"/>
                <w:highlight w:val="none"/>
                <w:lang w:val="en-US" w:eastAsia="zh-CN"/>
              </w:rPr>
              <w:t>1.4-1</w:t>
            </w:r>
            <w:r>
              <w:rPr>
                <w:rFonts w:hint="eastAsia"/>
                <w:b/>
                <w:bCs/>
                <w:color w:val="auto"/>
                <w:szCs w:val="21"/>
                <w:highlight w:val="none"/>
              </w:rPr>
              <w:t xml:space="preserve"> 项目与《云南省生物多样性保护条例》</w:t>
            </w:r>
          </w:p>
          <w:tbl>
            <w:tblPr>
              <w:tblStyle w:val="10"/>
              <w:tblW w:w="477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6"/>
              <w:gridCol w:w="6613"/>
              <w:gridCol w:w="3920"/>
              <w:gridCol w:w="1027"/>
            </w:tblGrid>
            <w:tr w14:paraId="72E7AA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303" w:type="pct"/>
                  <w:tcBorders>
                    <w:tl2br w:val="nil"/>
                    <w:tr2bl w:val="nil"/>
                  </w:tcBorders>
                  <w:vAlign w:val="center"/>
                </w:tcPr>
                <w:p w14:paraId="0BC5032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序号</w:t>
                  </w:r>
                </w:p>
              </w:tc>
              <w:tc>
                <w:tcPr>
                  <w:tcW w:w="2686" w:type="pct"/>
                  <w:tcBorders>
                    <w:tl2br w:val="nil"/>
                    <w:tr2bl w:val="nil"/>
                  </w:tcBorders>
                  <w:vAlign w:val="center"/>
                </w:tcPr>
                <w:p w14:paraId="224CDFB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要求（摘录）</w:t>
                  </w:r>
                </w:p>
              </w:tc>
              <w:tc>
                <w:tcPr>
                  <w:tcW w:w="1592" w:type="pct"/>
                  <w:tcBorders>
                    <w:tl2br w:val="nil"/>
                    <w:tr2bl w:val="nil"/>
                  </w:tcBorders>
                  <w:vAlign w:val="center"/>
                </w:tcPr>
                <w:p w14:paraId="284574C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项目情况</w:t>
                  </w:r>
                </w:p>
              </w:tc>
              <w:tc>
                <w:tcPr>
                  <w:tcW w:w="417" w:type="pct"/>
                  <w:tcBorders>
                    <w:tl2br w:val="nil"/>
                    <w:tr2bl w:val="nil"/>
                  </w:tcBorders>
                  <w:vAlign w:val="center"/>
                </w:tcPr>
                <w:p w14:paraId="3970549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符合性</w:t>
                  </w:r>
                </w:p>
              </w:tc>
            </w:tr>
            <w:tr w14:paraId="64A398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3" w:type="pct"/>
                  <w:tcBorders>
                    <w:tl2br w:val="nil"/>
                    <w:tr2bl w:val="nil"/>
                  </w:tcBorders>
                  <w:vAlign w:val="center"/>
                </w:tcPr>
                <w:p w14:paraId="6D1A6EA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宋体"/>
                      <w:color w:val="auto"/>
                      <w:sz w:val="21"/>
                      <w:szCs w:val="21"/>
                      <w:highlight w:val="none"/>
                    </w:rPr>
                  </w:pPr>
                  <w:r>
                    <w:rPr>
                      <w:rFonts w:hint="eastAsia"/>
                      <w:color w:val="auto"/>
                      <w:sz w:val="21"/>
                      <w:szCs w:val="21"/>
                      <w:highlight w:val="none"/>
                    </w:rPr>
                    <w:t>1</w:t>
                  </w:r>
                </w:p>
              </w:tc>
              <w:tc>
                <w:tcPr>
                  <w:tcW w:w="2686" w:type="pct"/>
                  <w:tcBorders>
                    <w:tl2br w:val="nil"/>
                    <w:tr2bl w:val="nil"/>
                  </w:tcBorders>
                  <w:vAlign w:val="center"/>
                </w:tcPr>
                <w:p w14:paraId="5CA27B0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任何单位和个人不得擅自向自然保护区引进外来物种。确需引进的，应当依法办理审批手续，并按照有关技术规范进行试验</w:t>
                  </w:r>
                </w:p>
              </w:tc>
              <w:tc>
                <w:tcPr>
                  <w:tcW w:w="1592" w:type="pct"/>
                  <w:tcBorders>
                    <w:tl2br w:val="nil"/>
                    <w:tr2bl w:val="nil"/>
                  </w:tcBorders>
                  <w:vAlign w:val="center"/>
                </w:tcPr>
                <w:p w14:paraId="58FEBD3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宋体"/>
                      <w:color w:val="auto"/>
                      <w:sz w:val="21"/>
                      <w:szCs w:val="21"/>
                      <w:highlight w:val="none"/>
                    </w:rPr>
                  </w:pPr>
                  <w:r>
                    <w:rPr>
                      <w:rFonts w:hint="eastAsia"/>
                      <w:color w:val="auto"/>
                      <w:sz w:val="21"/>
                      <w:szCs w:val="21"/>
                      <w:highlight w:val="none"/>
                    </w:rPr>
                    <w:t>本项目建成后绿化植被均为本土植被，不涉及引入外来物种</w:t>
                  </w:r>
                </w:p>
              </w:tc>
              <w:tc>
                <w:tcPr>
                  <w:tcW w:w="417" w:type="pct"/>
                  <w:tcBorders>
                    <w:tl2br w:val="nil"/>
                    <w:tr2bl w:val="nil"/>
                  </w:tcBorders>
                  <w:vAlign w:val="center"/>
                </w:tcPr>
                <w:p w14:paraId="2B043E3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符合</w:t>
                  </w:r>
                </w:p>
              </w:tc>
            </w:tr>
            <w:tr w14:paraId="456FB7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03" w:type="pct"/>
                  <w:tcBorders>
                    <w:tl2br w:val="nil"/>
                    <w:tr2bl w:val="nil"/>
                  </w:tcBorders>
                  <w:vAlign w:val="center"/>
                </w:tcPr>
                <w:p w14:paraId="54E0B91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宋体"/>
                      <w:color w:val="auto"/>
                      <w:sz w:val="21"/>
                      <w:szCs w:val="21"/>
                      <w:highlight w:val="none"/>
                    </w:rPr>
                  </w:pPr>
                  <w:r>
                    <w:rPr>
                      <w:rFonts w:hint="eastAsia"/>
                      <w:color w:val="auto"/>
                      <w:sz w:val="21"/>
                      <w:szCs w:val="21"/>
                      <w:highlight w:val="none"/>
                    </w:rPr>
                    <w:t>2</w:t>
                  </w:r>
                </w:p>
              </w:tc>
              <w:tc>
                <w:tcPr>
                  <w:tcW w:w="2686" w:type="pct"/>
                  <w:tcBorders>
                    <w:tl2br w:val="nil"/>
                    <w:tr2bl w:val="nil"/>
                  </w:tcBorders>
                  <w:vAlign w:val="center"/>
                </w:tcPr>
                <w:p w14:paraId="28C609E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禁</w:t>
                  </w:r>
                  <w:r>
                    <w:rPr>
                      <w:rFonts w:hint="default"/>
                      <w:color w:val="auto"/>
                      <w:sz w:val="21"/>
                      <w:szCs w:val="21"/>
                      <w:highlight w:val="none"/>
                    </w:rPr>
                    <w:t>止扩散、放生或者丢弃外来入侵物种。</w:t>
                  </w:r>
                </w:p>
                <w:p w14:paraId="0B55653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任何单位和个人发现疑似外来物种的，应当及时向当地环境保护、林业、农业、卫生等行政主管部门或者相关自然保护地管理机构报告。接到报告的部门或者机构应当立即组织现场勘查，确认为本行政区域内新出现的外来入侵物种的，应当及时处置，向当地人民政府和上一级主管部门报告，并通报相邻地区。接到报告的部门或者机构没有能力认定或者处置的，应当及时将有关情况转报具有认定和处置能力的部门。具有认定和处置能力的部门应当按照前款规定的程序及时处理。</w:t>
                  </w:r>
                </w:p>
              </w:tc>
              <w:tc>
                <w:tcPr>
                  <w:tcW w:w="1592" w:type="pct"/>
                  <w:tcBorders>
                    <w:tl2br w:val="nil"/>
                    <w:tr2bl w:val="nil"/>
                  </w:tcBorders>
                  <w:vAlign w:val="center"/>
                </w:tcPr>
                <w:p w14:paraId="23C970A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1.本项目绿化工程未引入外来入侵物种</w:t>
                  </w:r>
                </w:p>
                <w:p w14:paraId="041A0E8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宋体"/>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本项目已制定了相应管理措施，一旦发现外来物种，立刻上报当地行政管理部门</w:t>
                  </w:r>
                </w:p>
              </w:tc>
              <w:tc>
                <w:tcPr>
                  <w:tcW w:w="417" w:type="pct"/>
                  <w:tcBorders>
                    <w:tl2br w:val="nil"/>
                    <w:tr2bl w:val="nil"/>
                  </w:tcBorders>
                  <w:vAlign w:val="center"/>
                </w:tcPr>
                <w:p w14:paraId="154B751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符合</w:t>
                  </w:r>
                </w:p>
              </w:tc>
            </w:tr>
            <w:tr w14:paraId="2A57D4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539" w:hRule="atLeast"/>
                <w:jc w:val="center"/>
              </w:trPr>
              <w:tc>
                <w:tcPr>
                  <w:tcW w:w="303" w:type="pct"/>
                  <w:tcBorders>
                    <w:tl2br w:val="nil"/>
                    <w:tr2bl w:val="nil"/>
                  </w:tcBorders>
                  <w:vAlign w:val="center"/>
                </w:tcPr>
                <w:p w14:paraId="015C104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eastAsia="仿宋"/>
                      <w:color w:val="auto"/>
                      <w:sz w:val="21"/>
                      <w:szCs w:val="21"/>
                      <w:highlight w:val="none"/>
                      <w:lang w:val="en-US" w:eastAsia="zh-CN"/>
                    </w:rPr>
                  </w:pPr>
                  <w:r>
                    <w:rPr>
                      <w:rFonts w:hint="eastAsia"/>
                      <w:color w:val="auto"/>
                      <w:sz w:val="21"/>
                      <w:szCs w:val="21"/>
                      <w:highlight w:val="none"/>
                      <w:lang w:val="en-US" w:eastAsia="zh-CN"/>
                    </w:rPr>
                    <w:t>3</w:t>
                  </w:r>
                </w:p>
              </w:tc>
              <w:tc>
                <w:tcPr>
                  <w:tcW w:w="2686" w:type="pct"/>
                  <w:tcBorders>
                    <w:tl2br w:val="nil"/>
                    <w:tr2bl w:val="nil"/>
                  </w:tcBorders>
                  <w:vAlign w:val="center"/>
                </w:tcPr>
                <w:p w14:paraId="133F449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 xml:space="preserve">新建、改建、扩建建设项目以及开发自然资源，应当依法开展环境影响评价。对可能造成重要生态系统破坏、损害重要物种及其栖息地和生境的，应当制定专项保护、恢复和补偿方案，纳入环境影响评价。在生物多样性保护优先区域的建设项目以及自然资源开发，应当评价对生物多样性的影响，并作为环境影响评价的重要组成部分。 </w:t>
                  </w:r>
                </w:p>
              </w:tc>
              <w:tc>
                <w:tcPr>
                  <w:tcW w:w="1592" w:type="pct"/>
                  <w:tcBorders>
                    <w:tl2br w:val="nil"/>
                    <w:tr2bl w:val="nil"/>
                  </w:tcBorders>
                  <w:vAlign w:val="center"/>
                </w:tcPr>
                <w:p w14:paraId="31F2519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eastAsia"/>
                      <w:color w:val="auto"/>
                      <w:sz w:val="21"/>
                      <w:szCs w:val="21"/>
                      <w:highlight w:val="none"/>
                      <w:lang w:val="en-US" w:eastAsia="zh-CN"/>
                    </w:rPr>
                  </w:pPr>
                  <w:r>
                    <w:rPr>
                      <w:rFonts w:hint="eastAsia"/>
                      <w:color w:val="auto"/>
                      <w:sz w:val="21"/>
                      <w:szCs w:val="21"/>
                      <w:highlight w:val="none"/>
                      <w:lang w:val="en-US" w:eastAsia="zh-CN"/>
                    </w:rPr>
                    <w:t>本项目已开展环境影响评价工作。</w:t>
                  </w:r>
                </w:p>
                <w:p w14:paraId="52D3944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eastAsia"/>
                      <w:color w:val="auto"/>
                      <w:sz w:val="21"/>
                      <w:szCs w:val="21"/>
                      <w:highlight w:val="none"/>
                      <w:lang w:val="en-US" w:eastAsia="zh-CN"/>
                    </w:rPr>
                  </w:pPr>
                  <w:r>
                    <w:rPr>
                      <w:rFonts w:hint="eastAsia"/>
                      <w:color w:val="auto"/>
                      <w:sz w:val="21"/>
                      <w:szCs w:val="21"/>
                      <w:highlight w:val="none"/>
                      <w:lang w:val="en-US" w:eastAsia="zh-CN"/>
                    </w:rPr>
                    <w:t>项目《使用林地可行性报告》（云南绘山绘水林业规划设计有限公司，云林许准（曲）〔2025〕210号），本项目光伏阵列占地均为非林地。部分集电线路塔基涉及占用乔木林地，项目不占用天然林地和公益林地。</w:t>
                  </w:r>
                </w:p>
                <w:p w14:paraId="7F44D71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eastAsia"/>
                      <w:color w:val="auto"/>
                      <w:sz w:val="21"/>
                      <w:szCs w:val="21"/>
                      <w:highlight w:val="none"/>
                      <w:lang w:val="en-US" w:eastAsia="zh-CN"/>
                    </w:rPr>
                  </w:pPr>
                  <w:r>
                    <w:rPr>
                      <w:rFonts w:hint="eastAsia"/>
                      <w:color w:val="auto"/>
                      <w:sz w:val="21"/>
                      <w:szCs w:val="21"/>
                      <w:highlight w:val="none"/>
                      <w:lang w:val="en-US" w:eastAsia="zh-CN"/>
                    </w:rPr>
                    <w:t>项目已针对占地区域制定了针对当地生态环境恢复方案。</w:t>
                  </w:r>
                </w:p>
                <w:p w14:paraId="2AFF91F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default"/>
                      <w:color w:val="auto"/>
                      <w:sz w:val="21"/>
                      <w:szCs w:val="21"/>
                      <w:highlight w:val="none"/>
                      <w:lang w:val="en-US" w:eastAsia="zh-CN"/>
                    </w:rPr>
                  </w:pPr>
                  <w:r>
                    <w:rPr>
                      <w:rFonts w:hint="eastAsia"/>
                      <w:color w:val="auto"/>
                      <w:sz w:val="21"/>
                      <w:szCs w:val="21"/>
                      <w:highlight w:val="none"/>
                      <w:lang w:val="en-US" w:eastAsia="zh-CN"/>
                    </w:rPr>
                    <w:t>项目不涉及生物多样性优先保护区域。</w:t>
                  </w:r>
                </w:p>
              </w:tc>
              <w:tc>
                <w:tcPr>
                  <w:tcW w:w="417" w:type="pct"/>
                  <w:tcBorders>
                    <w:tl2br w:val="nil"/>
                    <w:tr2bl w:val="nil"/>
                  </w:tcBorders>
                  <w:vAlign w:val="center"/>
                </w:tcPr>
                <w:p w14:paraId="68F2FC4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符合</w:t>
                  </w:r>
                </w:p>
              </w:tc>
            </w:tr>
          </w:tbl>
          <w:p w14:paraId="78AB4245">
            <w:pPr>
              <w:keepNext w:val="0"/>
              <w:keepLines w:val="0"/>
              <w:suppressLineNumbers w:val="0"/>
              <w:spacing w:before="0" w:beforeAutospacing="0" w:after="0" w:afterAutospacing="0"/>
              <w:ind w:left="0" w:right="0" w:firstLine="480"/>
              <w:rPr>
                <w:rFonts w:hint="default"/>
                <w:color w:val="auto"/>
                <w:highlight w:val="none"/>
              </w:rPr>
            </w:pPr>
          </w:p>
          <w:p w14:paraId="3EA452A8">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1.4.2 项目与《云南省生态环境保护条例》相符性分析</w:t>
            </w:r>
          </w:p>
          <w:p w14:paraId="51C90A75">
            <w:pPr>
              <w:keepNext w:val="0"/>
              <w:keepLines w:val="0"/>
              <w:suppressLineNumbers w:val="0"/>
              <w:kinsoku w:val="0"/>
              <w:overflowPunct w:val="0"/>
              <w:adjustRightInd w:val="0"/>
              <w:snapToGrid w:val="0"/>
              <w:spacing w:before="0" w:beforeAutospacing="0" w:after="0" w:afterAutospacing="0"/>
              <w:ind w:left="0" w:right="0" w:firstLine="0" w:firstLineChars="0"/>
              <w:jc w:val="center"/>
              <w:rPr>
                <w:rFonts w:hint="default"/>
                <w:b/>
                <w:color w:val="auto"/>
                <w:highlight w:val="none"/>
              </w:rPr>
            </w:pPr>
            <w:r>
              <w:rPr>
                <w:rFonts w:hint="default"/>
                <w:b/>
                <w:color w:val="auto"/>
                <w:highlight w:val="none"/>
              </w:rPr>
              <w:t>表</w:t>
            </w:r>
            <w:r>
              <w:rPr>
                <w:rFonts w:hint="eastAsia"/>
                <w:b/>
                <w:color w:val="auto"/>
                <w:highlight w:val="none"/>
                <w:lang w:val="en-US" w:eastAsia="zh-CN"/>
              </w:rPr>
              <w:t xml:space="preserve">1.4-2 </w:t>
            </w:r>
            <w:r>
              <w:rPr>
                <w:rFonts w:hint="default"/>
                <w:b/>
                <w:color w:val="auto"/>
                <w:highlight w:val="none"/>
              </w:rPr>
              <w:t>与《云南省生态环境保护条例》符合性分析一览表</w:t>
            </w:r>
          </w:p>
          <w:tbl>
            <w:tblPr>
              <w:tblStyle w:val="10"/>
              <w:tblW w:w="471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6630"/>
              <w:gridCol w:w="3559"/>
              <w:gridCol w:w="1230"/>
            </w:tblGrid>
            <w:tr w14:paraId="3B92FE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303" w:type="pct"/>
                  <w:tcBorders>
                    <w:tl2br w:val="nil"/>
                    <w:tr2bl w:val="nil"/>
                  </w:tcBorders>
                  <w:vAlign w:val="center"/>
                </w:tcPr>
                <w:p w14:paraId="2EF9885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序号</w:t>
                  </w:r>
                </w:p>
              </w:tc>
              <w:tc>
                <w:tcPr>
                  <w:tcW w:w="2726" w:type="pct"/>
                  <w:tcBorders>
                    <w:tl2br w:val="nil"/>
                    <w:tr2bl w:val="nil"/>
                  </w:tcBorders>
                  <w:vAlign w:val="center"/>
                </w:tcPr>
                <w:p w14:paraId="5655687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要求（摘录）</w:t>
                  </w:r>
                </w:p>
              </w:tc>
              <w:tc>
                <w:tcPr>
                  <w:tcW w:w="1463" w:type="pct"/>
                  <w:tcBorders>
                    <w:tl2br w:val="nil"/>
                    <w:tr2bl w:val="nil"/>
                  </w:tcBorders>
                  <w:vAlign w:val="center"/>
                </w:tcPr>
                <w:p w14:paraId="6C061AC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项目情况</w:t>
                  </w:r>
                </w:p>
              </w:tc>
              <w:tc>
                <w:tcPr>
                  <w:tcW w:w="506" w:type="pct"/>
                  <w:tcBorders>
                    <w:tl2br w:val="nil"/>
                    <w:tr2bl w:val="nil"/>
                  </w:tcBorders>
                  <w:vAlign w:val="center"/>
                </w:tcPr>
                <w:p w14:paraId="7533A31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符合性</w:t>
                  </w:r>
                </w:p>
              </w:tc>
            </w:tr>
            <w:tr w14:paraId="487E3F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3" w:type="pct"/>
                  <w:tcBorders>
                    <w:tl2br w:val="nil"/>
                    <w:tr2bl w:val="nil"/>
                  </w:tcBorders>
                  <w:vAlign w:val="center"/>
                </w:tcPr>
                <w:p w14:paraId="79AFAB0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1</w:t>
                  </w:r>
                </w:p>
              </w:tc>
              <w:tc>
                <w:tcPr>
                  <w:tcW w:w="2726" w:type="pct"/>
                  <w:tcBorders>
                    <w:tl2br w:val="nil"/>
                    <w:tr2bl w:val="nil"/>
                  </w:tcBorders>
                  <w:vAlign w:val="center"/>
                </w:tcPr>
                <w:p w14:paraId="01DA273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企业事业单位和其他生产经营者应当建立健全生态环境保护管理制度，采取生态环境保护措施，加强对从业人员生态环境保护法律法规和生态环境保护知识的培训，防止、减少环境污染和生态破坏，对所造成的损害依法承担责任。</w:t>
                  </w:r>
                </w:p>
              </w:tc>
              <w:tc>
                <w:tcPr>
                  <w:tcW w:w="1463" w:type="pct"/>
                  <w:tcBorders>
                    <w:tl2br w:val="nil"/>
                    <w:tr2bl w:val="nil"/>
                  </w:tcBorders>
                  <w:vAlign w:val="center"/>
                </w:tcPr>
                <w:p w14:paraId="796F183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环评已要求建设单位在运营期内对员工进行生态环境保护培训</w:t>
                  </w:r>
                </w:p>
              </w:tc>
              <w:tc>
                <w:tcPr>
                  <w:tcW w:w="506" w:type="pct"/>
                  <w:tcBorders>
                    <w:tl2br w:val="nil"/>
                    <w:tr2bl w:val="nil"/>
                  </w:tcBorders>
                  <w:vAlign w:val="center"/>
                </w:tcPr>
                <w:p w14:paraId="070A139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6E0CA2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03" w:type="pct"/>
                  <w:tcBorders>
                    <w:tl2br w:val="nil"/>
                    <w:tr2bl w:val="nil"/>
                  </w:tcBorders>
                  <w:vAlign w:val="center"/>
                </w:tcPr>
                <w:p w14:paraId="6543C22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2</w:t>
                  </w:r>
                </w:p>
              </w:tc>
              <w:tc>
                <w:tcPr>
                  <w:tcW w:w="2726" w:type="pct"/>
                  <w:tcBorders>
                    <w:tl2br w:val="nil"/>
                    <w:tr2bl w:val="nil"/>
                  </w:tcBorders>
                  <w:vAlign w:val="center"/>
                </w:tcPr>
                <w:p w14:paraId="79DBFCA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排放污染物的企业事业单位和其他生产经营者，应当采取措施，防治在生产建设或者其他活动中产生的废气、废水、废渣、医疗废物、粉尘、恶臭气体、放射性物质以及噪声、振动、光辐射、电磁辐射等对生态环境的污染和危害。</w:t>
                  </w:r>
                </w:p>
              </w:tc>
              <w:tc>
                <w:tcPr>
                  <w:tcW w:w="1463" w:type="pct"/>
                  <w:tcBorders>
                    <w:tl2br w:val="nil"/>
                    <w:tr2bl w:val="nil"/>
                  </w:tcBorders>
                  <w:vAlign w:val="center"/>
                </w:tcPr>
                <w:p w14:paraId="424B80A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eastAsia="仿宋"/>
                      <w:color w:val="auto"/>
                      <w:sz w:val="21"/>
                      <w:szCs w:val="21"/>
                      <w:highlight w:val="none"/>
                      <w:lang w:val="en-US" w:eastAsia="zh-CN"/>
                    </w:rPr>
                  </w:pPr>
                  <w:r>
                    <w:rPr>
                      <w:rFonts w:hint="eastAsia"/>
                      <w:color w:val="auto"/>
                      <w:sz w:val="21"/>
                      <w:szCs w:val="21"/>
                      <w:highlight w:val="none"/>
                    </w:rPr>
                    <w:t>本项目已设计了相应的废水、</w:t>
                  </w:r>
                  <w:r>
                    <w:rPr>
                      <w:rFonts w:hint="eastAsia"/>
                      <w:color w:val="auto"/>
                      <w:sz w:val="21"/>
                      <w:szCs w:val="21"/>
                      <w:highlight w:val="none"/>
                      <w:lang w:val="en-US" w:eastAsia="zh-CN"/>
                    </w:rPr>
                    <w:t>废气</w:t>
                  </w:r>
                  <w:r>
                    <w:rPr>
                      <w:rFonts w:hint="eastAsia"/>
                      <w:color w:val="auto"/>
                      <w:sz w:val="21"/>
                      <w:szCs w:val="21"/>
                      <w:highlight w:val="none"/>
                      <w:lang w:eastAsia="zh-CN"/>
                    </w:rPr>
                    <w:t>、</w:t>
                  </w:r>
                  <w:r>
                    <w:rPr>
                      <w:rFonts w:hint="eastAsia"/>
                      <w:color w:val="auto"/>
                      <w:sz w:val="21"/>
                      <w:szCs w:val="21"/>
                      <w:highlight w:val="none"/>
                    </w:rPr>
                    <w:t>噪声、</w:t>
                  </w:r>
                  <w:r>
                    <w:rPr>
                      <w:rFonts w:hint="eastAsia"/>
                      <w:color w:val="auto"/>
                      <w:sz w:val="21"/>
                      <w:szCs w:val="21"/>
                      <w:highlight w:val="none"/>
                      <w:lang w:val="en-US" w:eastAsia="zh-CN"/>
                    </w:rPr>
                    <w:t>固体废物、</w:t>
                  </w:r>
                  <w:r>
                    <w:rPr>
                      <w:rFonts w:hint="eastAsia"/>
                      <w:color w:val="auto"/>
                      <w:sz w:val="21"/>
                      <w:szCs w:val="21"/>
                      <w:highlight w:val="none"/>
                    </w:rPr>
                    <w:t>电磁辐射的污染防治措施</w:t>
                  </w:r>
                  <w:r>
                    <w:rPr>
                      <w:rFonts w:hint="eastAsia"/>
                      <w:color w:val="auto"/>
                      <w:sz w:val="21"/>
                      <w:szCs w:val="21"/>
                      <w:highlight w:val="none"/>
                      <w:lang w:eastAsia="zh-CN"/>
                    </w:rPr>
                    <w:t>。</w:t>
                  </w:r>
                  <w:r>
                    <w:rPr>
                      <w:rFonts w:hint="eastAsia"/>
                      <w:color w:val="auto"/>
                      <w:sz w:val="21"/>
                      <w:szCs w:val="21"/>
                      <w:highlight w:val="none"/>
                      <w:lang w:val="en-US" w:eastAsia="zh-CN"/>
                    </w:rPr>
                    <w:t>经分析，项目施工期及营运期对周边环境影响可控。</w:t>
                  </w:r>
                </w:p>
              </w:tc>
              <w:tc>
                <w:tcPr>
                  <w:tcW w:w="506" w:type="pct"/>
                  <w:tcBorders>
                    <w:tl2br w:val="nil"/>
                    <w:tr2bl w:val="nil"/>
                  </w:tcBorders>
                  <w:vAlign w:val="center"/>
                </w:tcPr>
                <w:p w14:paraId="11E9762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03D15E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64" w:hRule="atLeast"/>
                <w:jc w:val="center"/>
              </w:trPr>
              <w:tc>
                <w:tcPr>
                  <w:tcW w:w="303" w:type="pct"/>
                  <w:tcBorders>
                    <w:tl2br w:val="nil"/>
                    <w:tr2bl w:val="nil"/>
                  </w:tcBorders>
                  <w:vAlign w:val="center"/>
                </w:tcPr>
                <w:p w14:paraId="46DDCFB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3</w:t>
                  </w:r>
                </w:p>
              </w:tc>
              <w:tc>
                <w:tcPr>
                  <w:tcW w:w="2726" w:type="pct"/>
                  <w:tcBorders>
                    <w:tl2br w:val="nil"/>
                    <w:tr2bl w:val="nil"/>
                  </w:tcBorders>
                  <w:vAlign w:val="center"/>
                </w:tcPr>
                <w:p w14:paraId="32B85BA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产生危险废物的单位，应当按照国家有关规定和环境保护标准要求贮存、利用、处置危险废物，不得擅自倾倒、堆放。从事收集、贮存、利用、处置危险废物经营活动的单位，应当依法申请取得许可证，并执行许可证管理制度的相关规定。</w:t>
                  </w:r>
                </w:p>
              </w:tc>
              <w:tc>
                <w:tcPr>
                  <w:tcW w:w="1463" w:type="pct"/>
                  <w:tcBorders>
                    <w:tl2br w:val="nil"/>
                    <w:tr2bl w:val="nil"/>
                  </w:tcBorders>
                  <w:vAlign w:val="center"/>
                </w:tcPr>
                <w:p w14:paraId="5AEBF5A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rPr>
                    <w:t>本项目已设计了危险废物贮存库，用于储存事故废油。</w:t>
                  </w:r>
                  <w:r>
                    <w:rPr>
                      <w:rFonts w:hint="eastAsia"/>
                      <w:color w:val="auto"/>
                      <w:sz w:val="21"/>
                      <w:szCs w:val="21"/>
                      <w:highlight w:val="none"/>
                      <w:lang w:val="en-US" w:eastAsia="zh-CN"/>
                    </w:rPr>
                    <w:t>环评已要求项目建成后签订危险废物委托处置协议，将事故废油交由有资质单位处置。</w:t>
                  </w:r>
                </w:p>
              </w:tc>
              <w:tc>
                <w:tcPr>
                  <w:tcW w:w="506" w:type="pct"/>
                  <w:tcBorders>
                    <w:tl2br w:val="nil"/>
                    <w:tr2bl w:val="nil"/>
                  </w:tcBorders>
                  <w:vAlign w:val="center"/>
                </w:tcPr>
                <w:p w14:paraId="18104A0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4E9E03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303" w:type="pct"/>
                  <w:tcBorders>
                    <w:tl2br w:val="nil"/>
                    <w:tr2bl w:val="nil"/>
                  </w:tcBorders>
                  <w:vAlign w:val="center"/>
                </w:tcPr>
                <w:p w14:paraId="3170F23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4</w:t>
                  </w:r>
                </w:p>
              </w:tc>
              <w:tc>
                <w:tcPr>
                  <w:tcW w:w="2726" w:type="pct"/>
                  <w:tcBorders>
                    <w:tl2br w:val="nil"/>
                    <w:tr2bl w:val="nil"/>
                  </w:tcBorders>
                  <w:vAlign w:val="center"/>
                </w:tcPr>
                <w:p w14:paraId="72DC84D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可能产生电离、电磁辐射污染的企业事业单位和其他生产经营者应当采取有效的污染防治措施，确保电离、电磁辐射强度符合国家规定的标准。</w:t>
                  </w:r>
                </w:p>
              </w:tc>
              <w:tc>
                <w:tcPr>
                  <w:tcW w:w="1463" w:type="pct"/>
                  <w:tcBorders>
                    <w:tl2br w:val="nil"/>
                    <w:tr2bl w:val="nil"/>
                  </w:tcBorders>
                  <w:vAlign w:val="center"/>
                </w:tcPr>
                <w:p w14:paraId="446DCE6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经</w:t>
                  </w:r>
                  <w:r>
                    <w:rPr>
                      <w:rFonts w:hint="eastAsia"/>
                      <w:color w:val="auto"/>
                      <w:sz w:val="21"/>
                      <w:szCs w:val="21"/>
                      <w:highlight w:val="none"/>
                      <w:lang w:val="en-US" w:eastAsia="zh-CN"/>
                    </w:rPr>
                    <w:t>分析</w:t>
                  </w:r>
                  <w:r>
                    <w:rPr>
                      <w:rFonts w:hint="eastAsia"/>
                      <w:color w:val="auto"/>
                      <w:sz w:val="21"/>
                      <w:szCs w:val="21"/>
                      <w:highlight w:val="none"/>
                    </w:rPr>
                    <w:t>，本项目电磁辐射满足国家规定的标准</w:t>
                  </w:r>
                </w:p>
              </w:tc>
              <w:tc>
                <w:tcPr>
                  <w:tcW w:w="506" w:type="pct"/>
                  <w:tcBorders>
                    <w:tl2br w:val="nil"/>
                    <w:tr2bl w:val="nil"/>
                  </w:tcBorders>
                  <w:vAlign w:val="center"/>
                </w:tcPr>
                <w:p w14:paraId="53DE34C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448773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303" w:type="pct"/>
                  <w:tcBorders>
                    <w:tl2br w:val="nil"/>
                    <w:tr2bl w:val="nil"/>
                  </w:tcBorders>
                  <w:vAlign w:val="center"/>
                </w:tcPr>
                <w:p w14:paraId="6699195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5</w:t>
                  </w:r>
                </w:p>
              </w:tc>
              <w:tc>
                <w:tcPr>
                  <w:tcW w:w="2726" w:type="pct"/>
                  <w:tcBorders>
                    <w:tl2br w:val="nil"/>
                    <w:tr2bl w:val="nil"/>
                  </w:tcBorders>
                  <w:vAlign w:val="center"/>
                </w:tcPr>
                <w:p w14:paraId="2BBA6EE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排放噪声的单位和个人应当采取有效措施，使其排放的噪声符合国家规定的排放标准。</w:t>
                  </w:r>
                </w:p>
                <w:p w14:paraId="6926843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在噪声敏感建筑物集中区域，禁止夜间进行产生噪声的建筑施工作业，但抢修、抢险施工作业，因生产工艺要求或者其他特殊需要必须连续施工作业的除外。</w:t>
                  </w:r>
                </w:p>
                <w:p w14:paraId="63E1D03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因特殊需要必须连续施工作业的，应当取得县级以上人民政府住房城乡建设、生态环境主管部门或者各级人民政府指定的部门的证明，并在施工现场显著位置公示或者以其他方式提前公告附近居民。</w:t>
                  </w:r>
                </w:p>
              </w:tc>
              <w:tc>
                <w:tcPr>
                  <w:tcW w:w="1463" w:type="pct"/>
                  <w:tcBorders>
                    <w:tl2br w:val="nil"/>
                    <w:tr2bl w:val="nil"/>
                  </w:tcBorders>
                  <w:vAlign w:val="center"/>
                </w:tcPr>
                <w:p w14:paraId="1DCC73A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w:t>
                  </w:r>
                  <w:r>
                    <w:rPr>
                      <w:rFonts w:hint="eastAsia"/>
                      <w:color w:val="auto"/>
                      <w:sz w:val="21"/>
                      <w:szCs w:val="21"/>
                      <w:highlight w:val="none"/>
                    </w:rPr>
                    <w:t>在采取环评提出的措施后，本项目噪声排放满足国家规定的排放标准。</w:t>
                  </w:r>
                </w:p>
                <w:p w14:paraId="6789DE2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lang w:val="en-US" w:eastAsia="zh-CN"/>
                    </w:rPr>
                    <w:t>2.项目选址不涉及噪声敏感建筑集中区域，</w:t>
                  </w:r>
                  <w:r>
                    <w:rPr>
                      <w:rFonts w:hint="eastAsia"/>
                      <w:color w:val="auto"/>
                      <w:sz w:val="21"/>
                      <w:szCs w:val="21"/>
                      <w:highlight w:val="none"/>
                    </w:rPr>
                    <w:t>项目不在夜间施工。</w:t>
                  </w:r>
                </w:p>
              </w:tc>
              <w:tc>
                <w:tcPr>
                  <w:tcW w:w="506" w:type="pct"/>
                  <w:tcBorders>
                    <w:tl2br w:val="nil"/>
                    <w:tr2bl w:val="nil"/>
                  </w:tcBorders>
                  <w:vAlign w:val="center"/>
                </w:tcPr>
                <w:p w14:paraId="6E06A9A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bl>
          <w:p w14:paraId="1789A9E1">
            <w:pPr>
              <w:keepNext w:val="0"/>
              <w:keepLines w:val="0"/>
              <w:suppressLineNumbers w:val="0"/>
              <w:spacing w:before="0" w:beforeAutospacing="0" w:after="0" w:afterAutospacing="0"/>
              <w:ind w:left="0" w:right="0" w:firstLine="480"/>
              <w:rPr>
                <w:rFonts w:hint="default"/>
                <w:color w:val="auto"/>
                <w:highlight w:val="none"/>
              </w:rPr>
            </w:pPr>
          </w:p>
          <w:p w14:paraId="6D387821">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1.4.</w:t>
            </w:r>
            <w:r>
              <w:rPr>
                <w:rFonts w:hint="eastAsia"/>
                <w:color w:val="auto"/>
                <w:highlight w:val="none"/>
                <w:lang w:val="en-US" w:eastAsia="zh-CN"/>
              </w:rPr>
              <w:t xml:space="preserve">3 </w:t>
            </w:r>
            <w:r>
              <w:rPr>
                <w:rFonts w:hint="eastAsia"/>
                <w:color w:val="auto"/>
                <w:highlight w:val="none"/>
              </w:rPr>
              <w:t>项目与《输变电建设项目环境保护技术要求》相符性分析</w:t>
            </w:r>
          </w:p>
          <w:p w14:paraId="515F4B49">
            <w:pPr>
              <w:keepNext w:val="0"/>
              <w:keepLines w:val="0"/>
              <w:suppressLineNumbers w:val="0"/>
              <w:kinsoku w:val="0"/>
              <w:overflowPunct w:val="0"/>
              <w:adjustRightInd w:val="0"/>
              <w:snapToGrid w:val="0"/>
              <w:spacing w:before="0" w:beforeAutospacing="0" w:after="0" w:afterAutospacing="0"/>
              <w:ind w:left="0" w:right="0" w:firstLine="0" w:firstLineChars="0"/>
              <w:jc w:val="center"/>
              <w:rPr>
                <w:rFonts w:hint="default"/>
                <w:b/>
                <w:color w:val="auto"/>
                <w:highlight w:val="none"/>
              </w:rPr>
            </w:pPr>
            <w:r>
              <w:rPr>
                <w:rFonts w:hint="default"/>
                <w:b/>
                <w:color w:val="auto"/>
                <w:highlight w:val="none"/>
              </w:rPr>
              <w:t>表</w:t>
            </w:r>
            <w:r>
              <w:rPr>
                <w:rFonts w:hint="eastAsia"/>
                <w:b/>
                <w:color w:val="auto"/>
                <w:highlight w:val="none"/>
                <w:lang w:val="en-US" w:eastAsia="zh-CN"/>
              </w:rPr>
              <w:t>1.4-3</w:t>
            </w:r>
            <w:r>
              <w:rPr>
                <w:rFonts w:hint="eastAsia"/>
                <w:b/>
                <w:color w:val="auto"/>
                <w:highlight w:val="none"/>
              </w:rPr>
              <w:t xml:space="preserve"> </w:t>
            </w:r>
            <w:r>
              <w:rPr>
                <w:rFonts w:hint="default"/>
                <w:b/>
                <w:color w:val="auto"/>
                <w:highlight w:val="none"/>
              </w:rPr>
              <w:t>与输变电建设项目环境保护技术要求符合性分析一览表</w:t>
            </w:r>
          </w:p>
          <w:tbl>
            <w:tblPr>
              <w:tblStyle w:val="10"/>
              <w:tblW w:w="471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6631"/>
              <w:gridCol w:w="3559"/>
              <w:gridCol w:w="1232"/>
            </w:tblGrid>
            <w:tr w14:paraId="59025E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2" w:hRule="atLeast"/>
                <w:jc w:val="center"/>
              </w:trPr>
              <w:tc>
                <w:tcPr>
                  <w:tcW w:w="304" w:type="pct"/>
                  <w:tcBorders>
                    <w:tl2br w:val="nil"/>
                    <w:tr2bl w:val="nil"/>
                  </w:tcBorders>
                  <w:vAlign w:val="center"/>
                </w:tcPr>
                <w:p w14:paraId="3510D06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序号</w:t>
                  </w:r>
                </w:p>
              </w:tc>
              <w:tc>
                <w:tcPr>
                  <w:tcW w:w="2726" w:type="pct"/>
                  <w:tcBorders>
                    <w:tl2br w:val="nil"/>
                    <w:tr2bl w:val="nil"/>
                  </w:tcBorders>
                  <w:vAlign w:val="center"/>
                </w:tcPr>
                <w:p w14:paraId="1465344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要求（摘录）</w:t>
                  </w:r>
                </w:p>
              </w:tc>
              <w:tc>
                <w:tcPr>
                  <w:tcW w:w="1463" w:type="pct"/>
                  <w:tcBorders>
                    <w:tl2br w:val="nil"/>
                    <w:tr2bl w:val="nil"/>
                  </w:tcBorders>
                  <w:vAlign w:val="center"/>
                </w:tcPr>
                <w:p w14:paraId="15220C1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项目情况</w:t>
                  </w:r>
                </w:p>
              </w:tc>
              <w:tc>
                <w:tcPr>
                  <w:tcW w:w="506" w:type="pct"/>
                  <w:tcBorders>
                    <w:tl2br w:val="nil"/>
                    <w:tr2bl w:val="nil"/>
                  </w:tcBorders>
                  <w:vAlign w:val="center"/>
                </w:tcPr>
                <w:p w14:paraId="1BC1737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符合性</w:t>
                  </w:r>
                </w:p>
              </w:tc>
            </w:tr>
            <w:tr w14:paraId="0EF84B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vAlign w:val="center"/>
                </w:tcPr>
                <w:p w14:paraId="6F36445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1</w:t>
                  </w:r>
                </w:p>
              </w:tc>
              <w:tc>
                <w:tcPr>
                  <w:tcW w:w="2726" w:type="pct"/>
                  <w:tcBorders>
                    <w:tl2br w:val="nil"/>
                    <w:tr2bl w:val="nil"/>
                  </w:tcBorders>
                  <w:vAlign w:val="center"/>
                </w:tcPr>
                <w:p w14:paraId="1D0D2E6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变电建设项目环境保护应坚持保护优先、预防为主、综合治理、公众参与、损害担责的原则，对可能产生的电磁、声、生态、水、大气等不利环境影响和环境风险进行防治，在确保满足各项环境标准的基础上持续不断改善环境质量。</w:t>
                  </w:r>
                </w:p>
              </w:tc>
              <w:tc>
                <w:tcPr>
                  <w:tcW w:w="1463" w:type="pct"/>
                  <w:tcBorders>
                    <w:tl2br w:val="nil"/>
                    <w:tr2bl w:val="nil"/>
                  </w:tcBorders>
                  <w:vAlign w:val="center"/>
                </w:tcPr>
                <w:p w14:paraId="35844C9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环评已提出相应的污染防治措施，项目建成后，可减少当地水资源自然蒸发损耗，促进植被生长，减少水土流失，有助于改善环境质量</w:t>
                  </w:r>
                </w:p>
              </w:tc>
              <w:tc>
                <w:tcPr>
                  <w:tcW w:w="506" w:type="pct"/>
                  <w:tcBorders>
                    <w:tl2br w:val="nil"/>
                    <w:tr2bl w:val="nil"/>
                  </w:tcBorders>
                  <w:vAlign w:val="center"/>
                </w:tcPr>
                <w:p w14:paraId="1A2BE11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64F984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shd w:val="clear" w:color="auto" w:fill="auto"/>
                  <w:vAlign w:val="center"/>
                </w:tcPr>
                <w:p w14:paraId="0ECE038C">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2</w:t>
                  </w:r>
                </w:p>
              </w:tc>
              <w:tc>
                <w:tcPr>
                  <w:tcW w:w="2726" w:type="pct"/>
                  <w:tcBorders>
                    <w:tl2br w:val="nil"/>
                    <w:tr2bl w:val="nil"/>
                  </w:tcBorders>
                  <w:vAlign w:val="center"/>
                </w:tcPr>
                <w:p w14:paraId="41F1879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变电建设项目需要配套建设的环境保护设施，必须与主体工程同时设计、同时施工、同时投产使用。建设单位应当将环境保护设施纳入施工合同，保证环境保护设施建设进度和资金，并在项目建设过程中同时组织实施环境影响评价文件及其审批部门审批决定中提出的环境保护对策措施。</w:t>
                  </w:r>
                </w:p>
              </w:tc>
              <w:tc>
                <w:tcPr>
                  <w:tcW w:w="1463" w:type="pct"/>
                  <w:tcBorders>
                    <w:tl2br w:val="nil"/>
                    <w:tr2bl w:val="nil"/>
                  </w:tcBorders>
                  <w:vAlign w:val="center"/>
                </w:tcPr>
                <w:p w14:paraId="1860306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eastAsia="仿宋"/>
                      <w:color w:val="auto"/>
                      <w:sz w:val="21"/>
                      <w:szCs w:val="21"/>
                      <w:highlight w:val="none"/>
                      <w:lang w:val="en-US" w:eastAsia="zh-CN"/>
                    </w:rPr>
                  </w:pPr>
                  <w:r>
                    <w:rPr>
                      <w:rFonts w:hint="eastAsia"/>
                      <w:color w:val="auto"/>
                      <w:sz w:val="21"/>
                      <w:szCs w:val="21"/>
                      <w:highlight w:val="none"/>
                      <w:lang w:val="en-US" w:eastAsia="zh-CN"/>
                    </w:rPr>
                    <w:t>本项目尚未开工，主体工程及环境保护措施已同步设计。</w:t>
                  </w:r>
                </w:p>
              </w:tc>
              <w:tc>
                <w:tcPr>
                  <w:tcW w:w="506" w:type="pct"/>
                  <w:tcBorders>
                    <w:tl2br w:val="nil"/>
                    <w:tr2bl w:val="nil"/>
                  </w:tcBorders>
                  <w:vAlign w:val="center"/>
                </w:tcPr>
                <w:p w14:paraId="64C14C0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eastAsia="仿宋"/>
                      <w:color w:val="auto"/>
                      <w:sz w:val="21"/>
                      <w:szCs w:val="21"/>
                      <w:highlight w:val="none"/>
                      <w:lang w:val="en-US" w:eastAsia="zh-CN"/>
                    </w:rPr>
                  </w:pPr>
                  <w:r>
                    <w:rPr>
                      <w:rFonts w:hint="eastAsia"/>
                      <w:color w:val="auto"/>
                      <w:sz w:val="21"/>
                      <w:szCs w:val="21"/>
                      <w:highlight w:val="none"/>
                      <w:lang w:val="en-US" w:eastAsia="zh-CN"/>
                    </w:rPr>
                    <w:t>相符</w:t>
                  </w:r>
                </w:p>
              </w:tc>
            </w:tr>
            <w:tr w14:paraId="7F8BB8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04" w:type="pct"/>
                  <w:tcBorders>
                    <w:tl2br w:val="nil"/>
                    <w:tr2bl w:val="nil"/>
                  </w:tcBorders>
                  <w:shd w:val="clear" w:color="auto" w:fill="auto"/>
                  <w:vAlign w:val="center"/>
                </w:tcPr>
                <w:p w14:paraId="3A9E25ED">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3</w:t>
                  </w:r>
                </w:p>
              </w:tc>
              <w:tc>
                <w:tcPr>
                  <w:tcW w:w="2726" w:type="pct"/>
                  <w:tcBorders>
                    <w:tl2br w:val="nil"/>
                    <w:tr2bl w:val="nil"/>
                  </w:tcBorders>
                  <w:vAlign w:val="center"/>
                </w:tcPr>
                <w:p w14:paraId="470901B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变电建设项目选址选线应符合生态保护红线管控要求，避让自然保护区、饮用水水源保护区等环境敏感区。确实因自然条件等因素限制无法避让自然保护区实验区、饮用水水源二级保护区等环境敏感区的输电线路，应在满足相关法律法规及管理要求的前提下对线路方案进行唯一性论证，并采取无害化方式通过。</w:t>
                  </w:r>
                </w:p>
              </w:tc>
              <w:tc>
                <w:tcPr>
                  <w:tcW w:w="1463" w:type="pct"/>
                  <w:tcBorders>
                    <w:tl2br w:val="nil"/>
                    <w:tr2bl w:val="nil"/>
                  </w:tcBorders>
                  <w:vAlign w:val="center"/>
                </w:tcPr>
                <w:p w14:paraId="5025575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rPr>
                    <w:t>本项目选址</w:t>
                  </w:r>
                  <w:r>
                    <w:rPr>
                      <w:rFonts w:hint="eastAsia"/>
                      <w:color w:val="auto"/>
                      <w:sz w:val="21"/>
                      <w:szCs w:val="21"/>
                      <w:highlight w:val="none"/>
                      <w:lang w:val="en-US" w:eastAsia="zh-CN"/>
                    </w:rPr>
                    <w:t>不占用生态保护红线</w:t>
                  </w:r>
                  <w:r>
                    <w:rPr>
                      <w:rFonts w:hint="eastAsia"/>
                      <w:color w:val="auto"/>
                      <w:sz w:val="21"/>
                      <w:szCs w:val="21"/>
                      <w:highlight w:val="none"/>
                    </w:rPr>
                    <w:t>、饮用水水源保护区、自然保护区等环境敏感区域</w:t>
                  </w:r>
                  <w:r>
                    <w:rPr>
                      <w:rFonts w:hint="eastAsia"/>
                      <w:color w:val="auto"/>
                      <w:sz w:val="21"/>
                      <w:szCs w:val="21"/>
                      <w:highlight w:val="none"/>
                      <w:lang w:val="en-US" w:eastAsia="zh-CN"/>
                    </w:rPr>
                    <w:t>。经分析，本项目跨越生态保护红线的架空线路为唯一线路。</w:t>
                  </w:r>
                </w:p>
              </w:tc>
              <w:tc>
                <w:tcPr>
                  <w:tcW w:w="506" w:type="pct"/>
                  <w:tcBorders>
                    <w:tl2br w:val="nil"/>
                    <w:tr2bl w:val="nil"/>
                  </w:tcBorders>
                  <w:vAlign w:val="center"/>
                </w:tcPr>
                <w:p w14:paraId="3D9CC88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17AFCF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tcBorders>
                    <w:tl2br w:val="nil"/>
                    <w:tr2bl w:val="nil"/>
                  </w:tcBorders>
                  <w:shd w:val="clear" w:color="auto" w:fill="auto"/>
                  <w:vAlign w:val="center"/>
                </w:tcPr>
                <w:p w14:paraId="65BA8C50">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4</w:t>
                  </w:r>
                </w:p>
              </w:tc>
              <w:tc>
                <w:tcPr>
                  <w:tcW w:w="2726" w:type="pct"/>
                  <w:tcBorders>
                    <w:tl2br w:val="nil"/>
                    <w:tr2bl w:val="nil"/>
                  </w:tcBorders>
                  <w:vAlign w:val="center"/>
                </w:tcPr>
                <w:p w14:paraId="7E1F7EB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变电工程在选址时应按终期规模综合考虑进出线走廊规划，避免进出线进入自然保护区、饮用水水源保护区等环境敏感区。</w:t>
                  </w:r>
                </w:p>
              </w:tc>
              <w:tc>
                <w:tcPr>
                  <w:tcW w:w="1463" w:type="pct"/>
                  <w:tcBorders>
                    <w:tl2br w:val="nil"/>
                    <w:tr2bl w:val="nil"/>
                  </w:tcBorders>
                  <w:vAlign w:val="center"/>
                </w:tcPr>
                <w:p w14:paraId="692FD44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lang w:val="en-US"/>
                    </w:rPr>
                  </w:pPr>
                  <w:r>
                    <w:rPr>
                      <w:rFonts w:hint="eastAsia"/>
                      <w:color w:val="auto"/>
                      <w:sz w:val="21"/>
                      <w:szCs w:val="21"/>
                      <w:highlight w:val="none"/>
                    </w:rPr>
                    <w:t>本项目选址</w:t>
                  </w:r>
                  <w:r>
                    <w:rPr>
                      <w:rFonts w:hint="eastAsia"/>
                      <w:color w:val="auto"/>
                      <w:sz w:val="21"/>
                      <w:szCs w:val="21"/>
                      <w:highlight w:val="none"/>
                      <w:lang w:val="en-US" w:eastAsia="zh-CN"/>
                    </w:rPr>
                    <w:t>不占用下列环境敏感区：国家公园、自然保护区、风景名胜区、世界文化和自然遗产地、饮用水水源保护区、生态保护红线、永久基本农田、基本草原、自然公园、重要湿地、天然林、重点保护野生动物栖息地、重点保护野生植物生长繁殖地。</w:t>
                  </w:r>
                </w:p>
              </w:tc>
              <w:tc>
                <w:tcPr>
                  <w:tcW w:w="506" w:type="pct"/>
                  <w:tcBorders>
                    <w:tl2br w:val="nil"/>
                    <w:tr2bl w:val="nil"/>
                  </w:tcBorders>
                  <w:vAlign w:val="center"/>
                </w:tcPr>
                <w:p w14:paraId="6B8ED75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359DC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304" w:type="pct"/>
                  <w:tcBorders>
                    <w:tl2br w:val="nil"/>
                    <w:tr2bl w:val="nil"/>
                  </w:tcBorders>
                  <w:shd w:val="clear" w:color="auto" w:fill="auto"/>
                  <w:vAlign w:val="center"/>
                </w:tcPr>
                <w:p w14:paraId="75A51C35">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5</w:t>
                  </w:r>
                </w:p>
              </w:tc>
              <w:tc>
                <w:tcPr>
                  <w:tcW w:w="2726" w:type="pct"/>
                  <w:tcBorders>
                    <w:tl2br w:val="nil"/>
                    <w:tr2bl w:val="nil"/>
                  </w:tcBorders>
                  <w:vAlign w:val="center"/>
                </w:tcPr>
                <w:p w14:paraId="4A60AD5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户外变电工程及规划架空进出线选址选线时，应关注以居住、医疗卫生、文化教育、科研、行政办公等为主要功能的区域，采取综合措施，减少电磁和声环境影响。</w:t>
                  </w:r>
                </w:p>
              </w:tc>
              <w:tc>
                <w:tcPr>
                  <w:tcW w:w="1463" w:type="pct"/>
                  <w:tcBorders>
                    <w:tl2br w:val="nil"/>
                    <w:tr2bl w:val="nil"/>
                  </w:tcBorders>
                  <w:vAlign w:val="center"/>
                </w:tcPr>
                <w:p w14:paraId="52FDB81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w:t>
                  </w:r>
                  <w:r>
                    <w:rPr>
                      <w:rFonts w:hint="eastAsia"/>
                      <w:color w:val="auto"/>
                      <w:sz w:val="21"/>
                      <w:szCs w:val="21"/>
                      <w:highlight w:val="none"/>
                      <w:lang w:val="en-US" w:eastAsia="zh-CN"/>
                    </w:rPr>
                    <w:t>升压站</w:t>
                  </w:r>
                  <w:r>
                    <w:rPr>
                      <w:rFonts w:hint="eastAsia"/>
                      <w:color w:val="auto"/>
                      <w:sz w:val="21"/>
                      <w:szCs w:val="21"/>
                      <w:highlight w:val="none"/>
                    </w:rPr>
                    <w:t>选址位于农村地区，不涉及</w:t>
                  </w:r>
                  <w:r>
                    <w:rPr>
                      <w:rFonts w:hint="default"/>
                      <w:color w:val="auto"/>
                      <w:sz w:val="21"/>
                      <w:szCs w:val="21"/>
                      <w:highlight w:val="none"/>
                    </w:rPr>
                    <w:t>以医疗卫生、文化教育、科研、行政办公等为主要功能的区域</w:t>
                  </w:r>
                </w:p>
                <w:p w14:paraId="3B6A6E1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项目升压站200m范围内无电磁和声环境敏感目标。</w:t>
                  </w:r>
                </w:p>
              </w:tc>
              <w:tc>
                <w:tcPr>
                  <w:tcW w:w="506" w:type="pct"/>
                  <w:tcBorders>
                    <w:tl2br w:val="nil"/>
                    <w:tr2bl w:val="nil"/>
                  </w:tcBorders>
                  <w:vAlign w:val="center"/>
                </w:tcPr>
                <w:p w14:paraId="1ECBE1C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65D258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tcBorders>
                    <w:tl2br w:val="nil"/>
                    <w:tr2bl w:val="nil"/>
                  </w:tcBorders>
                  <w:shd w:val="clear" w:color="auto" w:fill="auto"/>
                  <w:vAlign w:val="center"/>
                </w:tcPr>
                <w:p w14:paraId="5FF9CA6B">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6</w:t>
                  </w:r>
                </w:p>
              </w:tc>
              <w:tc>
                <w:tcPr>
                  <w:tcW w:w="2726" w:type="pct"/>
                  <w:tcBorders>
                    <w:tl2br w:val="nil"/>
                    <w:tr2bl w:val="nil"/>
                  </w:tcBorders>
                  <w:vAlign w:val="center"/>
                </w:tcPr>
                <w:p w14:paraId="2DD9570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原则上避免在0类声环境功能区建设变电工程。</w:t>
                  </w:r>
                </w:p>
              </w:tc>
              <w:tc>
                <w:tcPr>
                  <w:tcW w:w="1463" w:type="pct"/>
                  <w:tcBorders>
                    <w:tl2br w:val="nil"/>
                    <w:tr2bl w:val="nil"/>
                  </w:tcBorders>
                  <w:vAlign w:val="center"/>
                </w:tcPr>
                <w:p w14:paraId="2A18800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本项目不涉及0类声环境功能区</w:t>
                  </w:r>
                </w:p>
              </w:tc>
              <w:tc>
                <w:tcPr>
                  <w:tcW w:w="506" w:type="pct"/>
                  <w:tcBorders>
                    <w:tl2br w:val="nil"/>
                    <w:tr2bl w:val="nil"/>
                  </w:tcBorders>
                  <w:vAlign w:val="center"/>
                </w:tcPr>
                <w:p w14:paraId="1FCF4A3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31D50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304" w:type="pct"/>
                  <w:tcBorders>
                    <w:tl2br w:val="nil"/>
                    <w:tr2bl w:val="nil"/>
                  </w:tcBorders>
                  <w:shd w:val="clear" w:color="auto" w:fill="auto"/>
                  <w:vAlign w:val="center"/>
                </w:tcPr>
                <w:p w14:paraId="638F5042">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7</w:t>
                  </w:r>
                </w:p>
              </w:tc>
              <w:tc>
                <w:tcPr>
                  <w:tcW w:w="2726" w:type="pct"/>
                  <w:tcBorders>
                    <w:tl2br w:val="nil"/>
                    <w:tr2bl w:val="nil"/>
                  </w:tcBorders>
                  <w:vAlign w:val="center"/>
                </w:tcPr>
                <w:p w14:paraId="3859F8E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变电工程选址时，应综合考虑减少土地占用、植被砍伐和弃土弃渣等，以减少对生态环境的不利影响。</w:t>
                  </w:r>
                </w:p>
              </w:tc>
              <w:tc>
                <w:tcPr>
                  <w:tcW w:w="1463" w:type="pct"/>
                  <w:tcBorders>
                    <w:tl2br w:val="nil"/>
                    <w:tr2bl w:val="nil"/>
                  </w:tcBorders>
                  <w:vAlign w:val="center"/>
                </w:tcPr>
                <w:p w14:paraId="141BD44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本项目升压站占地较少，选址区域主要为</w:t>
                  </w:r>
                  <w:r>
                    <w:rPr>
                      <w:rFonts w:hint="eastAsia"/>
                      <w:color w:val="auto"/>
                      <w:sz w:val="21"/>
                      <w:szCs w:val="21"/>
                      <w:highlight w:val="none"/>
                      <w:lang w:val="en-US" w:eastAsia="zh-CN"/>
                    </w:rPr>
                    <w:t>荒坡地，不需要对乔木及灌木进行砍伐。</w:t>
                  </w:r>
                </w:p>
                <w:p w14:paraId="083999F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eastAsia="仿宋"/>
                      <w:color w:val="auto"/>
                      <w:sz w:val="21"/>
                      <w:szCs w:val="21"/>
                      <w:highlight w:val="none"/>
                      <w:lang w:eastAsia="zh-CN"/>
                    </w:rPr>
                  </w:pPr>
                  <w:r>
                    <w:rPr>
                      <w:rFonts w:hint="eastAsia"/>
                      <w:color w:val="auto"/>
                      <w:sz w:val="21"/>
                      <w:szCs w:val="21"/>
                      <w:highlight w:val="none"/>
                      <w:lang w:val="en-US" w:eastAsia="zh-CN"/>
                    </w:rPr>
                    <w:t>2.</w:t>
                  </w:r>
                  <w:r>
                    <w:rPr>
                      <w:rFonts w:hint="eastAsia"/>
                      <w:color w:val="auto"/>
                      <w:sz w:val="21"/>
                      <w:szCs w:val="21"/>
                      <w:highlight w:val="none"/>
                    </w:rPr>
                    <w:t>项目建设可平衡土石方，不产生弃土</w:t>
                  </w:r>
                  <w:r>
                    <w:rPr>
                      <w:rFonts w:hint="eastAsia"/>
                      <w:color w:val="auto"/>
                      <w:sz w:val="21"/>
                      <w:szCs w:val="21"/>
                      <w:highlight w:val="none"/>
                      <w:lang w:eastAsia="zh-CN"/>
                    </w:rPr>
                    <w:t>。</w:t>
                  </w:r>
                </w:p>
              </w:tc>
              <w:tc>
                <w:tcPr>
                  <w:tcW w:w="506" w:type="pct"/>
                  <w:tcBorders>
                    <w:tl2br w:val="nil"/>
                    <w:tr2bl w:val="nil"/>
                  </w:tcBorders>
                  <w:vAlign w:val="center"/>
                </w:tcPr>
                <w:p w14:paraId="3EE9B30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1F2592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304" w:type="pct"/>
                  <w:tcBorders>
                    <w:tl2br w:val="nil"/>
                    <w:tr2bl w:val="nil"/>
                  </w:tcBorders>
                  <w:shd w:val="clear" w:color="auto" w:fill="auto"/>
                  <w:vAlign w:val="center"/>
                </w:tcPr>
                <w:p w14:paraId="40C2490E">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8</w:t>
                  </w:r>
                </w:p>
              </w:tc>
              <w:tc>
                <w:tcPr>
                  <w:tcW w:w="2726" w:type="pct"/>
                  <w:tcBorders>
                    <w:tl2br w:val="nil"/>
                    <w:tr2bl w:val="nil"/>
                  </w:tcBorders>
                  <w:vAlign w:val="center"/>
                </w:tcPr>
                <w:p w14:paraId="06086C8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输电线路宜避让集中林区，以减少林木砍伐，保护生态环境。</w:t>
                  </w:r>
                </w:p>
              </w:tc>
              <w:tc>
                <w:tcPr>
                  <w:tcW w:w="1463" w:type="pct"/>
                  <w:tcBorders>
                    <w:tl2br w:val="nil"/>
                    <w:tr2bl w:val="nil"/>
                  </w:tcBorders>
                  <w:vAlign w:val="center"/>
                </w:tcPr>
                <w:p w14:paraId="779AABC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本项目集电线路已尽可能避让集中林区，部分架空线路塔基占用乔木林地，共占用0.1144hm</w:t>
                  </w:r>
                  <w:r>
                    <w:rPr>
                      <w:rFonts w:hint="eastAsia"/>
                      <w:color w:val="auto"/>
                      <w:sz w:val="21"/>
                      <w:szCs w:val="21"/>
                      <w:highlight w:val="none"/>
                      <w:vertAlign w:val="superscript"/>
                      <w:lang w:val="en-US" w:eastAsia="zh-CN"/>
                    </w:rPr>
                    <w:t>2</w:t>
                  </w:r>
                  <w:r>
                    <w:rPr>
                      <w:rFonts w:hint="eastAsia"/>
                      <w:color w:val="auto"/>
                      <w:sz w:val="21"/>
                      <w:szCs w:val="21"/>
                      <w:highlight w:val="none"/>
                      <w:lang w:val="en-US" w:eastAsia="zh-CN"/>
                    </w:rPr>
                    <w:t>。</w:t>
                  </w:r>
                </w:p>
              </w:tc>
              <w:tc>
                <w:tcPr>
                  <w:tcW w:w="506" w:type="pct"/>
                  <w:tcBorders>
                    <w:tl2br w:val="nil"/>
                    <w:tr2bl w:val="nil"/>
                  </w:tcBorders>
                  <w:vAlign w:val="center"/>
                </w:tcPr>
                <w:p w14:paraId="6ADA064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eastAsia="仿宋"/>
                      <w:color w:val="auto"/>
                      <w:sz w:val="21"/>
                      <w:szCs w:val="21"/>
                      <w:highlight w:val="none"/>
                      <w:lang w:val="en-US" w:eastAsia="zh-CN"/>
                    </w:rPr>
                  </w:pPr>
                  <w:r>
                    <w:rPr>
                      <w:rFonts w:hint="eastAsia"/>
                      <w:color w:val="auto"/>
                      <w:sz w:val="21"/>
                      <w:szCs w:val="21"/>
                      <w:highlight w:val="none"/>
                      <w:lang w:val="en-US" w:eastAsia="zh-CN"/>
                    </w:rPr>
                    <w:t>相符</w:t>
                  </w:r>
                </w:p>
              </w:tc>
            </w:tr>
            <w:tr w14:paraId="2B9336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304" w:type="pct"/>
                  <w:tcBorders>
                    <w:tl2br w:val="nil"/>
                    <w:tr2bl w:val="nil"/>
                  </w:tcBorders>
                  <w:shd w:val="clear" w:color="auto" w:fill="auto"/>
                  <w:vAlign w:val="center"/>
                </w:tcPr>
                <w:p w14:paraId="5950613D">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9</w:t>
                  </w:r>
                </w:p>
              </w:tc>
              <w:tc>
                <w:tcPr>
                  <w:tcW w:w="2726" w:type="pct"/>
                  <w:tcBorders>
                    <w:tl2br w:val="nil"/>
                    <w:tr2bl w:val="nil"/>
                  </w:tcBorders>
                  <w:vAlign w:val="center"/>
                </w:tcPr>
                <w:p w14:paraId="269B3D1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输变电建设项目的初步设计、施工图设计文件中应包含相关的环境保护内容，编制环境保护篇章、开展环境保护专项设计，落实防治环境污染和生态破坏的措施、设施及相应资金。</w:t>
                  </w:r>
                </w:p>
              </w:tc>
              <w:tc>
                <w:tcPr>
                  <w:tcW w:w="1463" w:type="pct"/>
                  <w:tcBorders>
                    <w:tl2br w:val="nil"/>
                    <w:tr2bl w:val="nil"/>
                  </w:tcBorders>
                  <w:vAlign w:val="center"/>
                </w:tcPr>
                <w:p w14:paraId="60A4D73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本项目设计文件已包含环境保护内容，相应资金已筹备。</w:t>
                  </w:r>
                </w:p>
              </w:tc>
              <w:tc>
                <w:tcPr>
                  <w:tcW w:w="506" w:type="pct"/>
                  <w:tcBorders>
                    <w:tl2br w:val="nil"/>
                    <w:tr2bl w:val="nil"/>
                  </w:tcBorders>
                  <w:vAlign w:val="center"/>
                </w:tcPr>
                <w:p w14:paraId="172BD7C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相符</w:t>
                  </w:r>
                </w:p>
              </w:tc>
            </w:tr>
            <w:tr w14:paraId="0C19ED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304" w:type="pct"/>
                  <w:tcBorders>
                    <w:tl2br w:val="nil"/>
                    <w:tr2bl w:val="nil"/>
                  </w:tcBorders>
                  <w:shd w:val="clear" w:color="auto" w:fill="auto"/>
                  <w:vAlign w:val="center"/>
                </w:tcPr>
                <w:p w14:paraId="5AECBB4F">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10</w:t>
                  </w:r>
                </w:p>
              </w:tc>
              <w:tc>
                <w:tcPr>
                  <w:tcW w:w="2726" w:type="pct"/>
                  <w:tcBorders>
                    <w:tl2br w:val="nil"/>
                    <w:tr2bl w:val="nil"/>
                  </w:tcBorders>
                  <w:vAlign w:val="center"/>
                </w:tcPr>
                <w:p w14:paraId="4798A5D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改建、扩建输变电建设项目应采取措施，治理与该项目有关的原有环境污染和生态破坏。</w:t>
                  </w:r>
                </w:p>
              </w:tc>
              <w:tc>
                <w:tcPr>
                  <w:tcW w:w="1463" w:type="pct"/>
                  <w:tcBorders>
                    <w:tl2br w:val="nil"/>
                    <w:tr2bl w:val="nil"/>
                  </w:tcBorders>
                  <w:vAlign w:val="center"/>
                </w:tcPr>
                <w:p w14:paraId="2087995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本项目尚未开工，不存在与项目有关的原有环境污染和生态破坏。</w:t>
                  </w:r>
                </w:p>
              </w:tc>
              <w:tc>
                <w:tcPr>
                  <w:tcW w:w="506" w:type="pct"/>
                  <w:tcBorders>
                    <w:tl2br w:val="nil"/>
                    <w:tr2bl w:val="nil"/>
                  </w:tcBorders>
                  <w:vAlign w:val="center"/>
                </w:tcPr>
                <w:p w14:paraId="7E3DB41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相符</w:t>
                  </w:r>
                </w:p>
              </w:tc>
            </w:tr>
            <w:tr w14:paraId="2892F5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304" w:type="pct"/>
                  <w:tcBorders>
                    <w:tl2br w:val="nil"/>
                    <w:tr2bl w:val="nil"/>
                  </w:tcBorders>
                  <w:shd w:val="clear" w:color="auto" w:fill="auto"/>
                  <w:vAlign w:val="center"/>
                </w:tcPr>
                <w:p w14:paraId="0AA42320">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11</w:t>
                  </w:r>
                </w:p>
              </w:tc>
              <w:tc>
                <w:tcPr>
                  <w:tcW w:w="2726" w:type="pct"/>
                  <w:tcBorders>
                    <w:tl2br w:val="nil"/>
                    <w:tr2bl w:val="nil"/>
                  </w:tcBorders>
                  <w:vAlign w:val="center"/>
                </w:tcPr>
                <w:p w14:paraId="699D0BC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输电线路进入自然保护区实验区、饮用水水源二级保护区等环境敏感区时，应采取塔基定位避让、减少进入长度、控制导线高度等环境保护措施，减少对环境保护对象的不利影响。</w:t>
                  </w:r>
                </w:p>
              </w:tc>
              <w:tc>
                <w:tcPr>
                  <w:tcW w:w="1463" w:type="pct"/>
                  <w:tcBorders>
                    <w:tl2br w:val="nil"/>
                    <w:tr2bl w:val="nil"/>
                  </w:tcBorders>
                  <w:vAlign w:val="center"/>
                </w:tcPr>
                <w:p w14:paraId="1E8B8B8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本项目集电线路未进入自然保护区实验区、饮用水水源二级保护区。</w:t>
                  </w:r>
                </w:p>
              </w:tc>
              <w:tc>
                <w:tcPr>
                  <w:tcW w:w="506" w:type="pct"/>
                  <w:tcBorders>
                    <w:tl2br w:val="nil"/>
                    <w:tr2bl w:val="nil"/>
                  </w:tcBorders>
                  <w:vAlign w:val="center"/>
                </w:tcPr>
                <w:p w14:paraId="5E26E9D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相符</w:t>
                  </w:r>
                </w:p>
              </w:tc>
            </w:tr>
            <w:tr w14:paraId="224DCE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04" w:type="pct"/>
                  <w:tcBorders>
                    <w:tl2br w:val="nil"/>
                    <w:tr2bl w:val="nil"/>
                  </w:tcBorders>
                  <w:shd w:val="clear" w:color="auto" w:fill="auto"/>
                  <w:vAlign w:val="center"/>
                </w:tcPr>
                <w:p w14:paraId="3CC0C69B">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12</w:t>
                  </w:r>
                </w:p>
              </w:tc>
              <w:tc>
                <w:tcPr>
                  <w:tcW w:w="2726" w:type="pct"/>
                  <w:tcBorders>
                    <w:tl2br w:val="nil"/>
                    <w:tr2bl w:val="nil"/>
                  </w:tcBorders>
                  <w:vAlign w:val="center"/>
                </w:tcPr>
                <w:p w14:paraId="4B58086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变电工程应设置足够容量的事故油池及其配套的拦截、防雨、防渗等措施和设施。一旦发生泄漏，应能及时进行拦截和处理，确保油及油水混合物全部收集、不外排。</w:t>
                  </w:r>
                </w:p>
              </w:tc>
              <w:tc>
                <w:tcPr>
                  <w:tcW w:w="1463" w:type="pct"/>
                  <w:tcBorders>
                    <w:tl2br w:val="nil"/>
                    <w:tr2bl w:val="nil"/>
                  </w:tcBorders>
                  <w:vAlign w:val="center"/>
                </w:tcPr>
                <w:p w14:paraId="355E188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本项目升压站已设计有足够</w:t>
                  </w:r>
                  <w:r>
                    <w:rPr>
                      <w:rFonts w:hint="eastAsia"/>
                      <w:color w:val="auto"/>
                      <w:sz w:val="21"/>
                      <w:szCs w:val="21"/>
                      <w:highlight w:val="none"/>
                      <w:lang w:val="en-US" w:eastAsia="zh-CN"/>
                    </w:rPr>
                    <w:t>容积</w:t>
                  </w:r>
                  <w:r>
                    <w:rPr>
                      <w:rFonts w:hint="eastAsia"/>
                      <w:color w:val="auto"/>
                      <w:sz w:val="21"/>
                      <w:szCs w:val="21"/>
                      <w:highlight w:val="none"/>
                    </w:rPr>
                    <w:t>的事故油池，并配套相应的防渗防雨防流失设施。</w:t>
                  </w:r>
                </w:p>
              </w:tc>
              <w:tc>
                <w:tcPr>
                  <w:tcW w:w="506" w:type="pct"/>
                  <w:tcBorders>
                    <w:tl2br w:val="nil"/>
                    <w:tr2bl w:val="nil"/>
                  </w:tcBorders>
                  <w:vAlign w:val="center"/>
                </w:tcPr>
                <w:p w14:paraId="2E5C6BB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0AC0C9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tcBorders>
                    <w:tl2br w:val="nil"/>
                    <w:tr2bl w:val="nil"/>
                  </w:tcBorders>
                  <w:shd w:val="clear" w:color="auto" w:fill="auto"/>
                  <w:vAlign w:val="center"/>
                </w:tcPr>
                <w:p w14:paraId="72EE61B9">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13</w:t>
                  </w:r>
                </w:p>
              </w:tc>
              <w:tc>
                <w:tcPr>
                  <w:tcW w:w="2726" w:type="pct"/>
                  <w:tcBorders>
                    <w:tl2br w:val="nil"/>
                    <w:tr2bl w:val="nil"/>
                  </w:tcBorders>
                  <w:vAlign w:val="center"/>
                </w:tcPr>
                <w:p w14:paraId="36C1C91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工程设计应对产生的工频电场、</w:t>
                  </w:r>
                  <w:r>
                    <w:rPr>
                      <w:rFonts w:hint="eastAsia"/>
                      <w:color w:val="auto"/>
                      <w:sz w:val="21"/>
                      <w:szCs w:val="21"/>
                      <w:highlight w:val="none"/>
                      <w:lang w:eastAsia="zh-CN"/>
                    </w:rPr>
                    <w:t>工频磁感应强度</w:t>
                  </w:r>
                  <w:r>
                    <w:rPr>
                      <w:rFonts w:hint="default"/>
                      <w:color w:val="auto"/>
                      <w:sz w:val="21"/>
                      <w:szCs w:val="21"/>
                      <w:highlight w:val="none"/>
                    </w:rPr>
                    <w:t>、直流合成电场等电磁环境影响因子进行验算，采取相应防护措施，确保电磁环境影响满足国家标准要求。</w:t>
                  </w:r>
                </w:p>
              </w:tc>
              <w:tc>
                <w:tcPr>
                  <w:tcW w:w="1463" w:type="pct"/>
                  <w:tcBorders>
                    <w:tl2br w:val="nil"/>
                    <w:tr2bl w:val="nil"/>
                  </w:tcBorders>
                  <w:vAlign w:val="center"/>
                </w:tcPr>
                <w:p w14:paraId="5FB96E0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经分析，本项目建成后工频电场、</w:t>
                  </w:r>
                  <w:r>
                    <w:rPr>
                      <w:rFonts w:hint="eastAsia"/>
                      <w:color w:val="auto"/>
                      <w:sz w:val="21"/>
                      <w:szCs w:val="21"/>
                      <w:highlight w:val="none"/>
                      <w:lang w:eastAsia="zh-CN"/>
                    </w:rPr>
                    <w:t>工频磁感应强度</w:t>
                  </w:r>
                  <w:r>
                    <w:rPr>
                      <w:rFonts w:hint="eastAsia"/>
                      <w:color w:val="auto"/>
                      <w:sz w:val="21"/>
                      <w:szCs w:val="21"/>
                      <w:highlight w:val="none"/>
                    </w:rPr>
                    <w:t>满足相应标准</w:t>
                  </w:r>
                </w:p>
              </w:tc>
              <w:tc>
                <w:tcPr>
                  <w:tcW w:w="506" w:type="pct"/>
                  <w:tcBorders>
                    <w:tl2br w:val="nil"/>
                    <w:tr2bl w:val="nil"/>
                  </w:tcBorders>
                  <w:vAlign w:val="center"/>
                </w:tcPr>
                <w:p w14:paraId="7504268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1CCCBA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tcBorders>
                    <w:tl2br w:val="nil"/>
                    <w:tr2bl w:val="nil"/>
                  </w:tcBorders>
                  <w:shd w:val="clear" w:color="auto" w:fill="auto"/>
                  <w:vAlign w:val="center"/>
                </w:tcPr>
                <w:p w14:paraId="168DE3D4">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14</w:t>
                  </w:r>
                </w:p>
              </w:tc>
              <w:tc>
                <w:tcPr>
                  <w:tcW w:w="2726" w:type="pct"/>
                  <w:tcBorders>
                    <w:tl2br w:val="nil"/>
                    <w:tr2bl w:val="nil"/>
                  </w:tcBorders>
                  <w:vAlign w:val="center"/>
                </w:tcPr>
                <w:p w14:paraId="17E7CDA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输电线路设计应因地制宜选择线路型式、架设高度、杆塔塔型、导线参数、相序布置等，减少电磁环境影响。</w:t>
                  </w:r>
                </w:p>
              </w:tc>
              <w:tc>
                <w:tcPr>
                  <w:tcW w:w="1463" w:type="pct"/>
                  <w:tcBorders>
                    <w:tl2br w:val="nil"/>
                    <w:tr2bl w:val="nil"/>
                  </w:tcBorders>
                  <w:vAlign w:val="center"/>
                </w:tcPr>
                <w:p w14:paraId="53C96CD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本项目集电线路以架空线路为主，且尽可能避让居民点，相关塔型设计符合电力部门要求，尽最大可能减少电磁环境影响。</w:t>
                  </w:r>
                </w:p>
              </w:tc>
              <w:tc>
                <w:tcPr>
                  <w:tcW w:w="506" w:type="pct"/>
                  <w:tcBorders>
                    <w:tl2br w:val="nil"/>
                    <w:tr2bl w:val="nil"/>
                  </w:tcBorders>
                  <w:vAlign w:val="center"/>
                </w:tcPr>
                <w:p w14:paraId="1726042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rPr>
                  </w:pPr>
                  <w:r>
                    <w:rPr>
                      <w:rFonts w:hint="eastAsia"/>
                      <w:color w:val="auto"/>
                      <w:sz w:val="21"/>
                      <w:szCs w:val="21"/>
                      <w:highlight w:val="none"/>
                    </w:rPr>
                    <w:t>相符</w:t>
                  </w:r>
                </w:p>
              </w:tc>
            </w:tr>
            <w:tr w14:paraId="43D014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tcBorders>
                    <w:tl2br w:val="nil"/>
                    <w:tr2bl w:val="nil"/>
                  </w:tcBorders>
                  <w:shd w:val="clear" w:color="auto" w:fill="auto"/>
                  <w:vAlign w:val="center"/>
                </w:tcPr>
                <w:p w14:paraId="0452411A">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15</w:t>
                  </w:r>
                </w:p>
              </w:tc>
              <w:tc>
                <w:tcPr>
                  <w:tcW w:w="2726" w:type="pct"/>
                  <w:tcBorders>
                    <w:tl2br w:val="nil"/>
                    <w:tr2bl w:val="nil"/>
                  </w:tcBorders>
                  <w:vAlign w:val="center"/>
                </w:tcPr>
                <w:p w14:paraId="18FB23A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架空输电线路经过电磁环境敏感目标时，应采取避让或增加导线对地高度等措施，减少电磁环境影响。</w:t>
                  </w:r>
                </w:p>
              </w:tc>
              <w:tc>
                <w:tcPr>
                  <w:tcW w:w="1463" w:type="pct"/>
                  <w:tcBorders>
                    <w:tl2br w:val="nil"/>
                    <w:tr2bl w:val="nil"/>
                  </w:tcBorders>
                  <w:vAlign w:val="center"/>
                </w:tcPr>
                <w:p w14:paraId="3090F36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本项目架空线路已采取避让设计</w:t>
                  </w:r>
                </w:p>
              </w:tc>
              <w:tc>
                <w:tcPr>
                  <w:tcW w:w="506" w:type="pct"/>
                  <w:tcBorders>
                    <w:tl2br w:val="nil"/>
                    <w:tr2bl w:val="nil"/>
                  </w:tcBorders>
                  <w:vAlign w:val="center"/>
                </w:tcPr>
                <w:p w14:paraId="73701CC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rPr>
                  </w:pPr>
                  <w:r>
                    <w:rPr>
                      <w:rFonts w:hint="eastAsia"/>
                      <w:color w:val="auto"/>
                      <w:sz w:val="21"/>
                      <w:szCs w:val="21"/>
                      <w:highlight w:val="none"/>
                    </w:rPr>
                    <w:t>相符</w:t>
                  </w:r>
                </w:p>
              </w:tc>
            </w:tr>
            <w:tr w14:paraId="183488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1DC99835">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16</w:t>
                  </w:r>
                </w:p>
              </w:tc>
              <w:tc>
                <w:tcPr>
                  <w:tcW w:w="2726" w:type="pct"/>
                  <w:tcBorders>
                    <w:tl2br w:val="nil"/>
                    <w:tr2bl w:val="nil"/>
                  </w:tcBorders>
                  <w:vAlign w:val="center"/>
                </w:tcPr>
                <w:p w14:paraId="0A28A9F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变电工程的布置设计应考虑进出线对周围电磁环境的影响。</w:t>
                  </w:r>
                </w:p>
              </w:tc>
              <w:tc>
                <w:tcPr>
                  <w:tcW w:w="1463" w:type="pct"/>
                  <w:tcBorders>
                    <w:tl2br w:val="nil"/>
                    <w:tr2bl w:val="nil"/>
                  </w:tcBorders>
                  <w:vAlign w:val="center"/>
                </w:tcPr>
                <w:p w14:paraId="39D1A46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本项目升压站布局已考虑对周围电磁环境的影响</w:t>
                  </w:r>
                </w:p>
              </w:tc>
              <w:tc>
                <w:tcPr>
                  <w:tcW w:w="506" w:type="pct"/>
                  <w:tcBorders>
                    <w:tl2br w:val="nil"/>
                    <w:tr2bl w:val="nil"/>
                  </w:tcBorders>
                  <w:vAlign w:val="center"/>
                </w:tcPr>
                <w:p w14:paraId="3E6BCD4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1569F8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632DBEA9">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17</w:t>
                  </w:r>
                </w:p>
              </w:tc>
              <w:tc>
                <w:tcPr>
                  <w:tcW w:w="2726" w:type="pct"/>
                  <w:tcBorders>
                    <w:tl2br w:val="nil"/>
                    <w:tr2bl w:val="nil"/>
                  </w:tcBorders>
                  <w:vAlign w:val="center"/>
                </w:tcPr>
                <w:p w14:paraId="2E300AB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噪声控制设计应首先从噪声源强上进行控制，选择低噪声设备；对于声源上无法根治的噪声，应采用隔声、吸声、消声、防振、减振等降噪措施，确保厂界排放噪声和周围声环境敏感目标分别满足GB12348和GB3096要求。</w:t>
                  </w:r>
                </w:p>
              </w:tc>
              <w:tc>
                <w:tcPr>
                  <w:tcW w:w="1463" w:type="pct"/>
                  <w:tcBorders>
                    <w:tl2br w:val="nil"/>
                    <w:tr2bl w:val="nil"/>
                  </w:tcBorders>
                  <w:vAlign w:val="center"/>
                </w:tcPr>
                <w:p w14:paraId="516A6FF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rPr>
                  </w:pPr>
                  <w:r>
                    <w:rPr>
                      <w:rFonts w:hint="eastAsia"/>
                      <w:color w:val="auto"/>
                      <w:sz w:val="21"/>
                      <w:szCs w:val="21"/>
                      <w:highlight w:val="none"/>
                    </w:rPr>
                    <w:t>经预测，本项目升压站厂界噪声满足相应排放标准。</w:t>
                  </w:r>
                  <w:r>
                    <w:rPr>
                      <w:rFonts w:hint="eastAsia"/>
                      <w:color w:val="auto"/>
                      <w:sz w:val="21"/>
                      <w:szCs w:val="21"/>
                      <w:highlight w:val="none"/>
                      <w:lang w:val="en-US" w:eastAsia="zh-CN"/>
                    </w:rPr>
                    <w:t>升压站周边200m无声环境保护目标。</w:t>
                  </w:r>
                </w:p>
              </w:tc>
              <w:tc>
                <w:tcPr>
                  <w:tcW w:w="506" w:type="pct"/>
                  <w:tcBorders>
                    <w:tl2br w:val="nil"/>
                    <w:tr2bl w:val="nil"/>
                  </w:tcBorders>
                  <w:vAlign w:val="center"/>
                </w:tcPr>
                <w:p w14:paraId="75850EE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6B8B26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525163DB">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18</w:t>
                  </w:r>
                </w:p>
              </w:tc>
              <w:tc>
                <w:tcPr>
                  <w:tcW w:w="2726" w:type="pct"/>
                  <w:tcBorders>
                    <w:tl2br w:val="nil"/>
                    <w:tr2bl w:val="nil"/>
                  </w:tcBorders>
                  <w:vAlign w:val="center"/>
                </w:tcPr>
                <w:p w14:paraId="39174F6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户外变电工程总体布置应综合考虑声环境影响因素，合理规划，利用建筑物、地形等阻挡噪声传播，减少对声环境敏感目标的影响。</w:t>
                  </w:r>
                </w:p>
              </w:tc>
              <w:tc>
                <w:tcPr>
                  <w:tcW w:w="1463" w:type="pct"/>
                  <w:tcBorders>
                    <w:tl2br w:val="nil"/>
                    <w:tr2bl w:val="nil"/>
                  </w:tcBorders>
                  <w:vAlign w:val="center"/>
                </w:tcPr>
                <w:p w14:paraId="02F56BD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eastAsia="仿宋"/>
                      <w:color w:val="auto"/>
                      <w:sz w:val="21"/>
                      <w:szCs w:val="21"/>
                      <w:highlight w:val="none"/>
                      <w:lang w:eastAsia="zh-CN"/>
                    </w:rPr>
                  </w:pPr>
                  <w:r>
                    <w:rPr>
                      <w:rFonts w:hint="eastAsia"/>
                      <w:color w:val="auto"/>
                      <w:sz w:val="21"/>
                      <w:szCs w:val="21"/>
                      <w:highlight w:val="none"/>
                    </w:rPr>
                    <w:t>本项目建成后，升压站周边无声环境敏感目标</w:t>
                  </w:r>
                  <w:r>
                    <w:rPr>
                      <w:rFonts w:hint="eastAsia"/>
                      <w:color w:val="auto"/>
                      <w:highlight w:val="none"/>
                      <w:lang w:eastAsia="zh-CN"/>
                    </w:rPr>
                    <w:t>。</w:t>
                  </w:r>
                </w:p>
              </w:tc>
              <w:tc>
                <w:tcPr>
                  <w:tcW w:w="506" w:type="pct"/>
                  <w:tcBorders>
                    <w:tl2br w:val="nil"/>
                    <w:tr2bl w:val="nil"/>
                  </w:tcBorders>
                  <w:vAlign w:val="center"/>
                </w:tcPr>
                <w:p w14:paraId="388922B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7FB95C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4D611679">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19</w:t>
                  </w:r>
                </w:p>
              </w:tc>
              <w:tc>
                <w:tcPr>
                  <w:tcW w:w="2726" w:type="pct"/>
                  <w:tcBorders>
                    <w:tl2br w:val="nil"/>
                    <w:tr2bl w:val="nil"/>
                  </w:tcBorders>
                  <w:vAlign w:val="center"/>
                </w:tcPr>
                <w:p w14:paraId="0DBDD87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户外变电工程在设计过程中应进行平面布置优化，将主变压器、换流变压器、高压电抗器等主要声源设备布置在站址中央区域或远离站外声环境敏感目标侧的区域。</w:t>
                  </w:r>
                </w:p>
              </w:tc>
              <w:tc>
                <w:tcPr>
                  <w:tcW w:w="1463" w:type="pct"/>
                  <w:tcBorders>
                    <w:tl2br w:val="nil"/>
                    <w:tr2bl w:val="nil"/>
                  </w:tcBorders>
                  <w:vAlign w:val="center"/>
                </w:tcPr>
                <w:p w14:paraId="3499222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w:t>
                  </w:r>
                  <w:r>
                    <w:rPr>
                      <w:rFonts w:hint="eastAsia"/>
                      <w:color w:val="auto"/>
                      <w:sz w:val="21"/>
                      <w:szCs w:val="21"/>
                      <w:highlight w:val="none"/>
                      <w:lang w:val="en-US" w:eastAsia="zh-CN"/>
                    </w:rPr>
                    <w:t>主变布置在站址中央，</w:t>
                  </w:r>
                  <w:r>
                    <w:rPr>
                      <w:rFonts w:hint="eastAsia"/>
                      <w:color w:val="auto"/>
                      <w:sz w:val="21"/>
                      <w:szCs w:val="21"/>
                      <w:highlight w:val="none"/>
                    </w:rPr>
                    <w:t>升压站周边200m无声环境保护目标。</w:t>
                  </w:r>
                </w:p>
              </w:tc>
              <w:tc>
                <w:tcPr>
                  <w:tcW w:w="506" w:type="pct"/>
                  <w:tcBorders>
                    <w:tl2br w:val="nil"/>
                    <w:tr2bl w:val="nil"/>
                  </w:tcBorders>
                  <w:vAlign w:val="center"/>
                </w:tcPr>
                <w:p w14:paraId="5750E57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255EF2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7BCFDFB3">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20</w:t>
                  </w:r>
                </w:p>
              </w:tc>
              <w:tc>
                <w:tcPr>
                  <w:tcW w:w="2726" w:type="pct"/>
                  <w:tcBorders>
                    <w:tl2br w:val="nil"/>
                    <w:tr2bl w:val="nil"/>
                  </w:tcBorders>
                  <w:vAlign w:val="center"/>
                </w:tcPr>
                <w:p w14:paraId="22DD335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变电工程位于1类或周围噪声敏感建筑物较多的2类声环境功能区时，建设单位应严格控制主变压器、换流变压器、高压电抗器等主要噪声源的噪声水平，并在满足GB12348的基础上保留适当裕度。</w:t>
                  </w:r>
                </w:p>
              </w:tc>
              <w:tc>
                <w:tcPr>
                  <w:tcW w:w="1463" w:type="pct"/>
                  <w:tcBorders>
                    <w:tl2br w:val="nil"/>
                    <w:tr2bl w:val="nil"/>
                  </w:tcBorders>
                  <w:vAlign w:val="center"/>
                </w:tcPr>
                <w:p w14:paraId="5CD0B6E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经分析，本项目厂界噪声满足</w:t>
                  </w:r>
                  <w:r>
                    <w:rPr>
                      <w:rFonts w:hint="default"/>
                      <w:color w:val="auto"/>
                      <w:sz w:val="21"/>
                      <w:szCs w:val="21"/>
                      <w:highlight w:val="none"/>
                    </w:rPr>
                    <w:t>GB12348</w:t>
                  </w:r>
                  <w:r>
                    <w:rPr>
                      <w:rFonts w:hint="eastAsia"/>
                      <w:color w:val="auto"/>
                      <w:sz w:val="21"/>
                      <w:szCs w:val="21"/>
                      <w:highlight w:val="none"/>
                    </w:rPr>
                    <w:t>中1类标准</w:t>
                  </w:r>
                </w:p>
              </w:tc>
              <w:tc>
                <w:tcPr>
                  <w:tcW w:w="506" w:type="pct"/>
                  <w:tcBorders>
                    <w:tl2br w:val="nil"/>
                    <w:tr2bl w:val="nil"/>
                  </w:tcBorders>
                  <w:vAlign w:val="center"/>
                </w:tcPr>
                <w:p w14:paraId="07FF2A2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40BF31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55A4B76A">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21</w:t>
                  </w:r>
                </w:p>
              </w:tc>
              <w:tc>
                <w:tcPr>
                  <w:tcW w:w="2726" w:type="pct"/>
                  <w:tcBorders>
                    <w:tl2br w:val="nil"/>
                    <w:tr2bl w:val="nil"/>
                  </w:tcBorders>
                  <w:vAlign w:val="center"/>
                </w:tcPr>
                <w:p w14:paraId="626A624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变电工程应采取降低低频噪声影响的防治措施，以减少噪声扰民。</w:t>
                  </w:r>
                </w:p>
              </w:tc>
              <w:tc>
                <w:tcPr>
                  <w:tcW w:w="1463" w:type="pct"/>
                  <w:tcBorders>
                    <w:tl2br w:val="nil"/>
                    <w:tr2bl w:val="nil"/>
                  </w:tcBorders>
                  <w:vAlign w:val="center"/>
                </w:tcPr>
                <w:p w14:paraId="42D17C0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rPr>
                  </w:pPr>
                  <w:r>
                    <w:rPr>
                      <w:rFonts w:hint="eastAsia"/>
                      <w:color w:val="auto"/>
                      <w:sz w:val="21"/>
                      <w:szCs w:val="21"/>
                      <w:highlight w:val="none"/>
                    </w:rPr>
                    <w:t>本项目</w:t>
                  </w:r>
                  <w:r>
                    <w:rPr>
                      <w:rFonts w:hint="eastAsia"/>
                      <w:color w:val="auto"/>
                      <w:sz w:val="21"/>
                      <w:szCs w:val="21"/>
                      <w:highlight w:val="none"/>
                      <w:lang w:val="en-US" w:eastAsia="zh-CN"/>
                    </w:rPr>
                    <w:t>采用优化选址的方式，降低低频噪声的环境影响。项目升压站200m范围内无声环境敏感目标</w:t>
                  </w:r>
                </w:p>
              </w:tc>
              <w:tc>
                <w:tcPr>
                  <w:tcW w:w="506" w:type="pct"/>
                  <w:tcBorders>
                    <w:tl2br w:val="nil"/>
                    <w:tr2bl w:val="nil"/>
                  </w:tcBorders>
                  <w:vAlign w:val="center"/>
                </w:tcPr>
                <w:p w14:paraId="558D51A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706841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298EE004">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22</w:t>
                  </w:r>
                </w:p>
              </w:tc>
              <w:tc>
                <w:tcPr>
                  <w:tcW w:w="2726" w:type="pct"/>
                  <w:tcBorders>
                    <w:tl2br w:val="nil"/>
                    <w:tr2bl w:val="nil"/>
                  </w:tcBorders>
                  <w:vAlign w:val="center"/>
                </w:tcPr>
                <w:p w14:paraId="046CC08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rPr>
                  </w:pPr>
                  <w:r>
                    <w:rPr>
                      <w:rFonts w:hint="eastAsia"/>
                      <w:color w:val="auto"/>
                      <w:sz w:val="21"/>
                      <w:szCs w:val="21"/>
                      <w:highlight w:val="none"/>
                    </w:rPr>
                    <w:t>输变电建设项目在设计过程中应按照避让、减缓、恢复的次序提出生态影响防护与恢复的措施</w:t>
                  </w:r>
                </w:p>
              </w:tc>
              <w:tc>
                <w:tcPr>
                  <w:tcW w:w="1463" w:type="pct"/>
                  <w:tcBorders>
                    <w:tl2br w:val="nil"/>
                    <w:tr2bl w:val="nil"/>
                  </w:tcBorders>
                  <w:vAlign w:val="center"/>
                </w:tcPr>
                <w:p w14:paraId="0B5DE4C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本项目已按照输变电建设项目在设计过程中应按照避让、减缓、恢复的次序提出生态影响防护与恢复的措施</w:t>
                  </w:r>
                </w:p>
              </w:tc>
              <w:tc>
                <w:tcPr>
                  <w:tcW w:w="506" w:type="pct"/>
                  <w:tcBorders>
                    <w:tl2br w:val="nil"/>
                    <w:tr2bl w:val="nil"/>
                  </w:tcBorders>
                  <w:vAlign w:val="center"/>
                </w:tcPr>
                <w:p w14:paraId="4791AE6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rPr>
                  </w:pPr>
                  <w:r>
                    <w:rPr>
                      <w:rFonts w:hint="eastAsia"/>
                      <w:color w:val="auto"/>
                      <w:sz w:val="21"/>
                      <w:szCs w:val="21"/>
                      <w:highlight w:val="none"/>
                    </w:rPr>
                    <w:t>相符</w:t>
                  </w:r>
                </w:p>
              </w:tc>
            </w:tr>
            <w:tr w14:paraId="0884D8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7124403E">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23</w:t>
                  </w:r>
                </w:p>
              </w:tc>
              <w:tc>
                <w:tcPr>
                  <w:tcW w:w="2726" w:type="pct"/>
                  <w:tcBorders>
                    <w:tl2br w:val="nil"/>
                    <w:tr2bl w:val="nil"/>
                  </w:tcBorders>
                  <w:vAlign w:val="center"/>
                </w:tcPr>
                <w:p w14:paraId="1C6681E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rPr>
                  </w:pPr>
                  <w:r>
                    <w:rPr>
                      <w:rFonts w:hint="eastAsia"/>
                      <w:color w:val="auto"/>
                      <w:sz w:val="21"/>
                      <w:szCs w:val="21"/>
                      <w:highlight w:val="none"/>
                    </w:rPr>
                    <w:t>输电线路应因地制宜合理选择塔基基础，在山丘区应采用全方位长短腿与不等高基础设计，以减少土石方开挖。输电线路无法避让集中林区时，应采取控制导线高度设计，以减少林木砍伐，保护生态环境。</w:t>
                  </w:r>
                </w:p>
              </w:tc>
              <w:tc>
                <w:tcPr>
                  <w:tcW w:w="1463" w:type="pct"/>
                  <w:tcBorders>
                    <w:tl2br w:val="nil"/>
                    <w:tr2bl w:val="nil"/>
                  </w:tcBorders>
                  <w:vAlign w:val="center"/>
                </w:tcPr>
                <w:p w14:paraId="4159FC3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 xml:space="preserve">本项目架空集电线路一采用长短腿与不等高基础设计，在跨越林区时抬高导线高度，减少林木砍伐。 </w:t>
                  </w:r>
                </w:p>
              </w:tc>
              <w:tc>
                <w:tcPr>
                  <w:tcW w:w="506" w:type="pct"/>
                  <w:tcBorders>
                    <w:tl2br w:val="nil"/>
                    <w:tr2bl w:val="nil"/>
                  </w:tcBorders>
                  <w:vAlign w:val="center"/>
                </w:tcPr>
                <w:p w14:paraId="445341D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rPr>
                  </w:pPr>
                  <w:r>
                    <w:rPr>
                      <w:rFonts w:hint="eastAsia"/>
                      <w:color w:val="auto"/>
                      <w:sz w:val="21"/>
                      <w:szCs w:val="21"/>
                      <w:highlight w:val="none"/>
                    </w:rPr>
                    <w:t>相符</w:t>
                  </w:r>
                </w:p>
              </w:tc>
            </w:tr>
            <w:tr w14:paraId="5E05D1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3785C050">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24</w:t>
                  </w:r>
                </w:p>
              </w:tc>
              <w:tc>
                <w:tcPr>
                  <w:tcW w:w="2726" w:type="pct"/>
                  <w:tcBorders>
                    <w:tl2br w:val="nil"/>
                    <w:tr2bl w:val="nil"/>
                  </w:tcBorders>
                  <w:shd w:val="clear" w:color="auto" w:fill="auto"/>
                  <w:vAlign w:val="center"/>
                </w:tcPr>
                <w:p w14:paraId="13B3A18C">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eastAsia" w:ascii="Times New Roman" w:hAnsi="Times New Roman" w:eastAsia="仿宋" w:cs="Times New Roman"/>
                      <w:color w:val="auto"/>
                      <w:kern w:val="2"/>
                      <w:sz w:val="21"/>
                      <w:szCs w:val="21"/>
                      <w:highlight w:val="none"/>
                      <w:lang w:val="en-US" w:eastAsia="zh-CN" w:bidi="ar-SA"/>
                    </w:rPr>
                  </w:pPr>
                  <w:r>
                    <w:rPr>
                      <w:rFonts w:hint="default"/>
                      <w:color w:val="auto"/>
                      <w:sz w:val="21"/>
                      <w:szCs w:val="21"/>
                      <w:highlight w:val="none"/>
                    </w:rPr>
                    <w:t>输变电建设项目临时占地，应因地制宜进行土地功能恢复设计。</w:t>
                  </w:r>
                </w:p>
              </w:tc>
              <w:tc>
                <w:tcPr>
                  <w:tcW w:w="1463" w:type="pct"/>
                  <w:tcBorders>
                    <w:tl2br w:val="nil"/>
                    <w:tr2bl w:val="nil"/>
                  </w:tcBorders>
                  <w:shd w:val="clear" w:color="auto" w:fill="auto"/>
                  <w:vAlign w:val="center"/>
                </w:tcPr>
                <w:p w14:paraId="7589D1FC">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本项目临时工程主要为施工场地和表土堆场，已进行了复绿设计，施工结束后重新种植</w:t>
                  </w:r>
                  <w:r>
                    <w:rPr>
                      <w:rFonts w:hint="eastAsia"/>
                      <w:color w:val="auto"/>
                      <w:sz w:val="21"/>
                      <w:szCs w:val="21"/>
                      <w:highlight w:val="none"/>
                      <w:lang w:val="en-US" w:eastAsia="zh-CN"/>
                    </w:rPr>
                    <w:t>当地原有植被。</w:t>
                  </w:r>
                </w:p>
              </w:tc>
              <w:tc>
                <w:tcPr>
                  <w:tcW w:w="506" w:type="pct"/>
                  <w:tcBorders>
                    <w:tl2br w:val="nil"/>
                    <w:tr2bl w:val="nil"/>
                  </w:tcBorders>
                  <w:vAlign w:val="center"/>
                </w:tcPr>
                <w:p w14:paraId="47EACAE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rPr>
                  </w:pPr>
                  <w:r>
                    <w:rPr>
                      <w:rFonts w:hint="eastAsia"/>
                      <w:color w:val="auto"/>
                      <w:sz w:val="21"/>
                      <w:szCs w:val="21"/>
                      <w:highlight w:val="none"/>
                    </w:rPr>
                    <w:t>相符</w:t>
                  </w:r>
                </w:p>
              </w:tc>
            </w:tr>
            <w:tr w14:paraId="54651E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4399EBF3">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25</w:t>
                  </w:r>
                </w:p>
              </w:tc>
              <w:tc>
                <w:tcPr>
                  <w:tcW w:w="2726" w:type="pct"/>
                  <w:tcBorders>
                    <w:tl2br w:val="nil"/>
                    <w:tr2bl w:val="nil"/>
                  </w:tcBorders>
                  <w:shd w:val="clear" w:color="auto" w:fill="auto"/>
                  <w:vAlign w:val="center"/>
                </w:tcPr>
                <w:p w14:paraId="29B99524">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eastAsia" w:ascii="Times New Roman" w:hAnsi="Times New Roman" w:eastAsia="仿宋" w:cs="Times New Roman"/>
                      <w:color w:val="auto"/>
                      <w:kern w:val="2"/>
                      <w:sz w:val="21"/>
                      <w:szCs w:val="21"/>
                      <w:highlight w:val="none"/>
                      <w:lang w:val="en-US" w:eastAsia="zh-CN" w:bidi="ar-SA"/>
                    </w:rPr>
                  </w:pPr>
                  <w:r>
                    <w:rPr>
                      <w:rFonts w:hint="default"/>
                      <w:color w:val="auto"/>
                      <w:sz w:val="21"/>
                      <w:szCs w:val="21"/>
                      <w:highlight w:val="none"/>
                    </w:rPr>
                    <w:t>变电工程应采取节水措施，加强水的重复利用，减少废（污）水排放。雨水和生活污水应采取分流制。</w:t>
                  </w:r>
                </w:p>
              </w:tc>
              <w:tc>
                <w:tcPr>
                  <w:tcW w:w="1463" w:type="pct"/>
                  <w:tcBorders>
                    <w:tl2br w:val="nil"/>
                    <w:tr2bl w:val="nil"/>
                  </w:tcBorders>
                  <w:shd w:val="clear" w:color="auto" w:fill="auto"/>
                  <w:vAlign w:val="center"/>
                </w:tcPr>
                <w:p w14:paraId="41DC751C">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本项目采取雨污分流设计，生活污水经处理后用于区域植被绿化施肥，不外排</w:t>
                  </w:r>
                </w:p>
              </w:tc>
              <w:tc>
                <w:tcPr>
                  <w:tcW w:w="506" w:type="pct"/>
                  <w:tcBorders>
                    <w:tl2br w:val="nil"/>
                    <w:tr2bl w:val="nil"/>
                  </w:tcBorders>
                  <w:shd w:val="clear" w:color="auto" w:fill="auto"/>
                  <w:vAlign w:val="center"/>
                </w:tcPr>
                <w:p w14:paraId="2A7A08BF">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相符</w:t>
                  </w:r>
                </w:p>
              </w:tc>
            </w:tr>
            <w:tr w14:paraId="08F9A3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0AC8E08B">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2726" w:type="pct"/>
                  <w:tcBorders>
                    <w:tl2br w:val="nil"/>
                    <w:tr2bl w:val="nil"/>
                  </w:tcBorders>
                  <w:shd w:val="clear" w:color="auto" w:fill="auto"/>
                  <w:vAlign w:val="center"/>
                </w:tcPr>
                <w:p w14:paraId="6A65189D">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default"/>
                      <w:color w:val="auto"/>
                      <w:sz w:val="21"/>
                      <w:szCs w:val="21"/>
                      <w:highlight w:val="none"/>
                    </w:rPr>
                    <w:t>变电工程站内产生的生活污水宜考虑处理后纳入城市污水管网；不具备纳入城市污水管网条件的变电工程，应根据站内生活污水产生情况设置生活污水处理装置（化粪池、地埋式污水处理装置、回用水池、蒸发池等），生活污水经处理后回收利用、定期清理或外排，外排时应严格执行相应的国家和地方水污染物排放标准相关要求</w:t>
                  </w:r>
                  <w:r>
                    <w:rPr>
                      <w:rFonts w:hint="eastAsia"/>
                      <w:color w:val="auto"/>
                      <w:sz w:val="21"/>
                      <w:szCs w:val="21"/>
                      <w:highlight w:val="none"/>
                      <w:lang w:eastAsia="zh-CN"/>
                    </w:rPr>
                    <w:t>。</w:t>
                  </w:r>
                </w:p>
              </w:tc>
              <w:tc>
                <w:tcPr>
                  <w:tcW w:w="1463" w:type="pct"/>
                  <w:tcBorders>
                    <w:tl2br w:val="nil"/>
                    <w:tr2bl w:val="nil"/>
                  </w:tcBorders>
                  <w:shd w:val="clear" w:color="auto" w:fill="auto"/>
                  <w:vAlign w:val="center"/>
                </w:tcPr>
                <w:p w14:paraId="3AB2EF8E">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本项目采取雨污分流设计，生活污水经处理后用于区域植被绿化施肥，不外排</w:t>
                  </w:r>
                </w:p>
              </w:tc>
              <w:tc>
                <w:tcPr>
                  <w:tcW w:w="506" w:type="pct"/>
                  <w:tcBorders>
                    <w:tl2br w:val="nil"/>
                    <w:tr2bl w:val="nil"/>
                  </w:tcBorders>
                  <w:shd w:val="clear" w:color="auto" w:fill="auto"/>
                  <w:vAlign w:val="center"/>
                </w:tcPr>
                <w:p w14:paraId="3720C44E">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相符</w:t>
                  </w:r>
                </w:p>
              </w:tc>
            </w:tr>
            <w:tr w14:paraId="774940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shd w:val="clear" w:color="auto" w:fill="auto"/>
                  <w:vAlign w:val="center"/>
                </w:tcPr>
                <w:p w14:paraId="3BA54F5D">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2726" w:type="pct"/>
                  <w:tcBorders>
                    <w:tl2br w:val="nil"/>
                    <w:tr2bl w:val="nil"/>
                  </w:tcBorders>
                  <w:shd w:val="clear" w:color="auto" w:fill="auto"/>
                  <w:vAlign w:val="center"/>
                </w:tcPr>
                <w:p w14:paraId="0E8A654A">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kern w:val="2"/>
                      <w:sz w:val="21"/>
                      <w:szCs w:val="21"/>
                      <w:highlight w:val="none"/>
                      <w:lang w:val="en-US" w:eastAsia="zh-CN" w:bidi="ar-SA"/>
                    </w:rPr>
                    <w:t>进入自然保护区和饮用水水源保护区等环境敏感区的输电线路，建设单位应加强施工过程的管理，开展环境保护培训，明确保护对象和保护要求，严格控制施工影响范围，确定适宜的施工季节和施工方式，减少对环境保护对象的不利影响。</w:t>
                  </w:r>
                </w:p>
              </w:tc>
              <w:tc>
                <w:tcPr>
                  <w:tcW w:w="1463" w:type="pct"/>
                  <w:tcBorders>
                    <w:tl2br w:val="nil"/>
                    <w:tr2bl w:val="nil"/>
                  </w:tcBorders>
                  <w:shd w:val="clear" w:color="auto" w:fill="auto"/>
                  <w:vAlign w:val="center"/>
                </w:tcPr>
                <w:p w14:paraId="2186222B">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本项目未进入</w:t>
                  </w:r>
                  <w:r>
                    <w:rPr>
                      <w:rFonts w:hint="default" w:ascii="Times New Roman" w:hAnsi="Times New Roman" w:eastAsia="仿宋" w:cs="Times New Roman"/>
                      <w:color w:val="auto"/>
                      <w:kern w:val="2"/>
                      <w:sz w:val="21"/>
                      <w:szCs w:val="21"/>
                      <w:highlight w:val="none"/>
                      <w:lang w:val="en-US" w:eastAsia="zh-CN" w:bidi="ar-SA"/>
                    </w:rPr>
                    <w:t>自然保护区和饮用水水源保护区</w:t>
                  </w:r>
                  <w:r>
                    <w:rPr>
                      <w:rFonts w:hint="eastAsia" w:ascii="Times New Roman" w:hAnsi="Times New Roman" w:cs="Times New Roman"/>
                      <w:color w:val="auto"/>
                      <w:kern w:val="2"/>
                      <w:sz w:val="21"/>
                      <w:szCs w:val="21"/>
                      <w:highlight w:val="none"/>
                      <w:lang w:val="en-US" w:eastAsia="zh-CN" w:bidi="ar-SA"/>
                    </w:rPr>
                    <w:t>。</w:t>
                  </w:r>
                </w:p>
              </w:tc>
              <w:tc>
                <w:tcPr>
                  <w:tcW w:w="506" w:type="pct"/>
                  <w:tcBorders>
                    <w:tl2br w:val="nil"/>
                    <w:tr2bl w:val="nil"/>
                  </w:tcBorders>
                  <w:shd w:val="clear" w:color="auto" w:fill="auto"/>
                  <w:vAlign w:val="center"/>
                </w:tcPr>
                <w:p w14:paraId="057CF3CB">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相符</w:t>
                  </w:r>
                </w:p>
              </w:tc>
            </w:tr>
            <w:tr w14:paraId="6EF85A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56" w:hRule="atLeast"/>
                <w:jc w:val="center"/>
              </w:trPr>
              <w:tc>
                <w:tcPr>
                  <w:tcW w:w="304" w:type="pct"/>
                  <w:tcBorders>
                    <w:tl2br w:val="nil"/>
                    <w:tr2bl w:val="nil"/>
                  </w:tcBorders>
                  <w:shd w:val="clear" w:color="auto" w:fill="auto"/>
                  <w:vAlign w:val="center"/>
                </w:tcPr>
                <w:p w14:paraId="62408DE8">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2726" w:type="pct"/>
                  <w:tcBorders>
                    <w:tl2br w:val="nil"/>
                    <w:tr2bl w:val="nil"/>
                  </w:tcBorders>
                  <w:shd w:val="clear" w:color="auto" w:fill="auto"/>
                  <w:vAlign w:val="center"/>
                </w:tcPr>
                <w:p w14:paraId="39567025">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eastAsia" w:ascii="Times New Roman" w:hAnsi="Times New Roman" w:eastAsia="仿宋" w:cs="Times New Roman"/>
                      <w:color w:val="auto"/>
                      <w:kern w:val="2"/>
                      <w:sz w:val="21"/>
                      <w:szCs w:val="21"/>
                      <w:highlight w:val="none"/>
                      <w:lang w:val="en-US" w:eastAsia="zh-CN" w:bidi="ar-SA"/>
                    </w:rPr>
                  </w:pPr>
                  <w:r>
                    <w:rPr>
                      <w:rFonts w:hint="default"/>
                      <w:color w:val="auto"/>
                      <w:sz w:val="21"/>
                      <w:szCs w:val="21"/>
                      <w:highlight w:val="none"/>
                    </w:rPr>
                    <w:t>变电工程施工过程中场界环境噪声排放应满足GB12523中的要求。</w:t>
                  </w:r>
                </w:p>
              </w:tc>
              <w:tc>
                <w:tcPr>
                  <w:tcW w:w="1463" w:type="pct"/>
                  <w:tcBorders>
                    <w:tl2br w:val="nil"/>
                    <w:tr2bl w:val="nil"/>
                  </w:tcBorders>
                  <w:shd w:val="clear" w:color="auto" w:fill="auto"/>
                  <w:vAlign w:val="center"/>
                </w:tcPr>
                <w:p w14:paraId="1E80938C">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经分析，本项目施工过程施工厂界噪声满足</w:t>
                  </w:r>
                  <w:r>
                    <w:rPr>
                      <w:rFonts w:hint="default"/>
                      <w:color w:val="auto"/>
                      <w:sz w:val="21"/>
                      <w:szCs w:val="21"/>
                      <w:highlight w:val="none"/>
                    </w:rPr>
                    <w:t>GB12523</w:t>
                  </w:r>
                  <w:r>
                    <w:rPr>
                      <w:rFonts w:hint="eastAsia"/>
                      <w:color w:val="auto"/>
                      <w:sz w:val="21"/>
                      <w:szCs w:val="21"/>
                      <w:highlight w:val="none"/>
                    </w:rPr>
                    <w:t>标准</w:t>
                  </w:r>
                </w:p>
              </w:tc>
              <w:tc>
                <w:tcPr>
                  <w:tcW w:w="506" w:type="pct"/>
                  <w:tcBorders>
                    <w:tl2br w:val="nil"/>
                    <w:tr2bl w:val="nil"/>
                  </w:tcBorders>
                  <w:shd w:val="clear" w:color="auto" w:fill="auto"/>
                  <w:vAlign w:val="center"/>
                </w:tcPr>
                <w:p w14:paraId="4B8FA1AD">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相符</w:t>
                  </w:r>
                </w:p>
              </w:tc>
            </w:tr>
            <w:tr w14:paraId="57C033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7310AE0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29</w:t>
                  </w:r>
                </w:p>
              </w:tc>
              <w:tc>
                <w:tcPr>
                  <w:tcW w:w="2726" w:type="pct"/>
                  <w:tcBorders>
                    <w:tl2br w:val="nil"/>
                    <w:tr2bl w:val="nil"/>
                  </w:tcBorders>
                  <w:shd w:val="clear" w:color="auto" w:fill="auto"/>
                  <w:vAlign w:val="center"/>
                </w:tcPr>
                <w:p w14:paraId="62FCCE57">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default"/>
                      <w:color w:val="auto"/>
                      <w:sz w:val="21"/>
                      <w:szCs w:val="21"/>
                      <w:highlight w:val="none"/>
                    </w:rPr>
                    <w:t>输变电建设项目施工期临时用地应永临结合，优先利用荒地、劣地</w:t>
                  </w:r>
                  <w:r>
                    <w:rPr>
                      <w:rFonts w:hint="eastAsia"/>
                      <w:color w:val="auto"/>
                      <w:sz w:val="21"/>
                      <w:szCs w:val="21"/>
                      <w:highlight w:val="none"/>
                    </w:rPr>
                    <w:t>。</w:t>
                  </w:r>
                </w:p>
              </w:tc>
              <w:tc>
                <w:tcPr>
                  <w:tcW w:w="1463" w:type="pct"/>
                  <w:tcBorders>
                    <w:tl2br w:val="nil"/>
                    <w:tr2bl w:val="nil"/>
                  </w:tcBorders>
                  <w:shd w:val="clear" w:color="auto" w:fill="auto"/>
                  <w:vAlign w:val="center"/>
                </w:tcPr>
                <w:p w14:paraId="547AE257">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本项目施工期临时工程均为</w:t>
                  </w:r>
                  <w:r>
                    <w:rPr>
                      <w:rFonts w:hint="eastAsia"/>
                      <w:color w:val="auto"/>
                      <w:sz w:val="21"/>
                      <w:szCs w:val="21"/>
                      <w:highlight w:val="none"/>
                      <w:lang w:val="en-US" w:eastAsia="zh-CN"/>
                    </w:rPr>
                    <w:t>草地</w:t>
                  </w:r>
                  <w:r>
                    <w:rPr>
                      <w:rFonts w:hint="eastAsia"/>
                      <w:color w:val="auto"/>
                      <w:sz w:val="21"/>
                      <w:szCs w:val="21"/>
                      <w:highlight w:val="none"/>
                    </w:rPr>
                    <w:t>和</w:t>
                  </w:r>
                  <w:r>
                    <w:rPr>
                      <w:rFonts w:hint="eastAsia"/>
                      <w:color w:val="auto"/>
                      <w:sz w:val="21"/>
                      <w:szCs w:val="21"/>
                      <w:highlight w:val="none"/>
                      <w:lang w:val="en-US" w:eastAsia="zh-CN"/>
                    </w:rPr>
                    <w:t>其他非林地</w:t>
                  </w:r>
                </w:p>
              </w:tc>
              <w:tc>
                <w:tcPr>
                  <w:tcW w:w="506" w:type="pct"/>
                  <w:tcBorders>
                    <w:tl2br w:val="nil"/>
                    <w:tr2bl w:val="nil"/>
                  </w:tcBorders>
                  <w:shd w:val="clear" w:color="auto" w:fill="auto"/>
                  <w:vAlign w:val="center"/>
                </w:tcPr>
                <w:p w14:paraId="2B993D15">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相符</w:t>
                  </w:r>
                </w:p>
              </w:tc>
            </w:tr>
            <w:tr w14:paraId="0D78D2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5857401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30</w:t>
                  </w:r>
                </w:p>
              </w:tc>
              <w:tc>
                <w:tcPr>
                  <w:tcW w:w="2726" w:type="pct"/>
                  <w:tcBorders>
                    <w:tl2br w:val="nil"/>
                    <w:tr2bl w:val="nil"/>
                  </w:tcBorders>
                  <w:shd w:val="clear" w:color="auto" w:fill="auto"/>
                  <w:vAlign w:val="center"/>
                </w:tcPr>
                <w:p w14:paraId="10BAEEC2">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default"/>
                      <w:color w:val="auto"/>
                      <w:sz w:val="21"/>
                      <w:szCs w:val="21"/>
                      <w:highlight w:val="none"/>
                    </w:rPr>
                    <w:t>输变电建设项目施工占用耕地、园地、林地和草地，应做好表土剥离、分类存放和回填利用。</w:t>
                  </w:r>
                </w:p>
              </w:tc>
              <w:tc>
                <w:tcPr>
                  <w:tcW w:w="1463" w:type="pct"/>
                  <w:tcBorders>
                    <w:tl2br w:val="nil"/>
                    <w:tr2bl w:val="nil"/>
                  </w:tcBorders>
                  <w:shd w:val="clear" w:color="auto" w:fill="auto"/>
                  <w:vAlign w:val="center"/>
                </w:tcPr>
                <w:p w14:paraId="5BFCACC1">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本项目已编制了水土保持方案，进行了表土剥离设计</w:t>
                  </w:r>
                </w:p>
              </w:tc>
              <w:tc>
                <w:tcPr>
                  <w:tcW w:w="506" w:type="pct"/>
                  <w:tcBorders>
                    <w:tl2br w:val="nil"/>
                    <w:tr2bl w:val="nil"/>
                  </w:tcBorders>
                  <w:shd w:val="clear" w:color="auto" w:fill="auto"/>
                  <w:vAlign w:val="center"/>
                </w:tcPr>
                <w:p w14:paraId="3B882222">
                  <w:pPr>
                    <w:keepNext w:val="0"/>
                    <w:keepLines w:val="0"/>
                    <w:suppressLineNumbers w:val="0"/>
                    <w:kinsoku w:val="0"/>
                    <w:overflowPunct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lang w:val="en-US" w:eastAsia="zh-CN" w:bidi="ar-SA"/>
                    </w:rPr>
                  </w:pPr>
                  <w:r>
                    <w:rPr>
                      <w:rFonts w:hint="eastAsia"/>
                      <w:color w:val="auto"/>
                      <w:sz w:val="21"/>
                      <w:szCs w:val="21"/>
                      <w:highlight w:val="none"/>
                    </w:rPr>
                    <w:t>相符</w:t>
                  </w:r>
                </w:p>
              </w:tc>
            </w:tr>
            <w:tr w14:paraId="751FDA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603845C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31</w:t>
                  </w:r>
                </w:p>
              </w:tc>
              <w:tc>
                <w:tcPr>
                  <w:tcW w:w="2726" w:type="pct"/>
                  <w:tcBorders>
                    <w:tl2br w:val="nil"/>
                    <w:tr2bl w:val="nil"/>
                  </w:tcBorders>
                  <w:vAlign w:val="center"/>
                </w:tcPr>
                <w:p w14:paraId="53054AB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进入自然保护区的输电线路，应落实环境影响评价文件和设计阶段制定的生态环境保护方案。施工时宜采用飞艇、动力伞、无人机等展放线，索道运输、人畜运输材料等对生态环境破坏较小的施工工艺。</w:t>
                  </w:r>
                </w:p>
              </w:tc>
              <w:tc>
                <w:tcPr>
                  <w:tcW w:w="1463" w:type="pct"/>
                  <w:tcBorders>
                    <w:tl2br w:val="nil"/>
                    <w:tr2bl w:val="nil"/>
                  </w:tcBorders>
                  <w:vAlign w:val="center"/>
                </w:tcPr>
                <w:p w14:paraId="149F6F3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本项目未进入自然保护区。项目跨越生态保护红线采用无人机放线的施工工艺</w:t>
                  </w:r>
                </w:p>
              </w:tc>
              <w:tc>
                <w:tcPr>
                  <w:tcW w:w="506" w:type="pct"/>
                  <w:tcBorders>
                    <w:tl2br w:val="nil"/>
                    <w:tr2bl w:val="nil"/>
                  </w:tcBorders>
                  <w:vAlign w:val="center"/>
                </w:tcPr>
                <w:p w14:paraId="4CC0196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eastAsia="仿宋"/>
                      <w:color w:val="auto"/>
                      <w:sz w:val="21"/>
                      <w:szCs w:val="21"/>
                      <w:highlight w:val="none"/>
                      <w:lang w:val="en-US" w:eastAsia="zh-CN"/>
                    </w:rPr>
                  </w:pPr>
                  <w:r>
                    <w:rPr>
                      <w:rFonts w:hint="eastAsia"/>
                      <w:color w:val="auto"/>
                      <w:sz w:val="21"/>
                      <w:szCs w:val="21"/>
                      <w:highlight w:val="none"/>
                      <w:lang w:val="en-US" w:eastAsia="zh-CN"/>
                    </w:rPr>
                    <w:t>相符</w:t>
                  </w:r>
                </w:p>
              </w:tc>
            </w:tr>
            <w:tr w14:paraId="1E3AF7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4DEFA99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32</w:t>
                  </w:r>
                </w:p>
              </w:tc>
              <w:tc>
                <w:tcPr>
                  <w:tcW w:w="2726" w:type="pct"/>
                  <w:tcBorders>
                    <w:tl2br w:val="nil"/>
                    <w:tr2bl w:val="nil"/>
                  </w:tcBorders>
                  <w:vAlign w:val="center"/>
                </w:tcPr>
                <w:p w14:paraId="5995442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施工临时道路应尽可能利用机耕路、林区小路等现有道路，新建道路应严格控制道路宽度，以减少临时工程对生态环境的影响。</w:t>
                  </w:r>
                </w:p>
              </w:tc>
              <w:tc>
                <w:tcPr>
                  <w:tcW w:w="1463" w:type="pct"/>
                  <w:tcBorders>
                    <w:tl2br w:val="nil"/>
                    <w:tr2bl w:val="nil"/>
                  </w:tcBorders>
                  <w:vAlign w:val="center"/>
                </w:tcPr>
                <w:p w14:paraId="26F5398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w:t>
                  </w:r>
                  <w:r>
                    <w:rPr>
                      <w:rFonts w:hint="eastAsia"/>
                      <w:color w:val="auto"/>
                      <w:sz w:val="21"/>
                      <w:szCs w:val="21"/>
                      <w:highlight w:val="none"/>
                    </w:rPr>
                    <w:t>本项目</w:t>
                  </w:r>
                  <w:r>
                    <w:rPr>
                      <w:rFonts w:hint="eastAsia"/>
                      <w:color w:val="auto"/>
                      <w:sz w:val="21"/>
                      <w:szCs w:val="21"/>
                      <w:highlight w:val="none"/>
                      <w:lang w:val="en-US" w:eastAsia="zh-CN"/>
                    </w:rPr>
                    <w:t>施工道路已尽可能利用机耕路和现有道路。</w:t>
                  </w:r>
                </w:p>
                <w:p w14:paraId="3CB2586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rPr>
                  </w:pPr>
                  <w:r>
                    <w:rPr>
                      <w:rFonts w:hint="eastAsia"/>
                      <w:color w:val="auto"/>
                      <w:sz w:val="21"/>
                      <w:szCs w:val="21"/>
                      <w:highlight w:val="none"/>
                      <w:lang w:val="en-US" w:eastAsia="zh-CN"/>
                    </w:rPr>
                    <w:t>2.新建临时道路路宽度，根据地形限制在3m以内</w:t>
                  </w:r>
                </w:p>
              </w:tc>
              <w:tc>
                <w:tcPr>
                  <w:tcW w:w="506" w:type="pct"/>
                  <w:tcBorders>
                    <w:tl2br w:val="nil"/>
                    <w:tr2bl w:val="nil"/>
                  </w:tcBorders>
                  <w:vAlign w:val="center"/>
                </w:tcPr>
                <w:p w14:paraId="3C33AEE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4A1E8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26E37EB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33</w:t>
                  </w:r>
                </w:p>
              </w:tc>
              <w:tc>
                <w:tcPr>
                  <w:tcW w:w="2726" w:type="pct"/>
                  <w:tcBorders>
                    <w:tl2br w:val="nil"/>
                    <w:tr2bl w:val="nil"/>
                  </w:tcBorders>
                  <w:vAlign w:val="center"/>
                </w:tcPr>
                <w:p w14:paraId="6A725C7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施工结束后，应及时清理施工现场，因地制宜进行土地功能恢复。</w:t>
                  </w:r>
                </w:p>
              </w:tc>
              <w:tc>
                <w:tcPr>
                  <w:tcW w:w="1463" w:type="pct"/>
                  <w:tcBorders>
                    <w:tl2br w:val="nil"/>
                    <w:tr2bl w:val="nil"/>
                  </w:tcBorders>
                  <w:vAlign w:val="center"/>
                </w:tcPr>
                <w:p w14:paraId="4AF61A5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本项目已进行施工场地复绿设计</w:t>
                  </w:r>
                </w:p>
              </w:tc>
              <w:tc>
                <w:tcPr>
                  <w:tcW w:w="506" w:type="pct"/>
                  <w:tcBorders>
                    <w:tl2br w:val="nil"/>
                    <w:tr2bl w:val="nil"/>
                  </w:tcBorders>
                  <w:vAlign w:val="center"/>
                </w:tcPr>
                <w:p w14:paraId="136501B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78E053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4F42E91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eastAsia="仿宋"/>
                      <w:color w:val="auto"/>
                      <w:sz w:val="21"/>
                      <w:szCs w:val="21"/>
                      <w:highlight w:val="none"/>
                      <w:lang w:val="en-US" w:eastAsia="zh-CN"/>
                    </w:rPr>
                  </w:pPr>
                  <w:r>
                    <w:rPr>
                      <w:rFonts w:hint="eastAsia"/>
                      <w:color w:val="auto"/>
                      <w:sz w:val="21"/>
                      <w:szCs w:val="21"/>
                      <w:highlight w:val="none"/>
                      <w:lang w:val="en-US" w:eastAsia="zh-CN"/>
                    </w:rPr>
                    <w:t>34</w:t>
                  </w:r>
                </w:p>
              </w:tc>
              <w:tc>
                <w:tcPr>
                  <w:tcW w:w="2726" w:type="pct"/>
                  <w:tcBorders>
                    <w:tl2br w:val="nil"/>
                    <w:tr2bl w:val="nil"/>
                  </w:tcBorders>
                  <w:vAlign w:val="center"/>
                </w:tcPr>
                <w:p w14:paraId="706E3CA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施工期间禁止向水体排放、倾倒垃圾、弃土、弃渣，禁止排放未经处理的钻浆等废弃物。</w:t>
                  </w:r>
                </w:p>
              </w:tc>
              <w:tc>
                <w:tcPr>
                  <w:tcW w:w="1463" w:type="pct"/>
                  <w:tcBorders>
                    <w:tl2br w:val="nil"/>
                    <w:tr2bl w:val="nil"/>
                  </w:tcBorders>
                  <w:vAlign w:val="center"/>
                </w:tcPr>
                <w:p w14:paraId="15C922B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eastAsia="zh-CN"/>
                    </w:rPr>
                  </w:pPr>
                  <w:r>
                    <w:rPr>
                      <w:rFonts w:hint="eastAsia"/>
                      <w:color w:val="auto"/>
                      <w:sz w:val="21"/>
                      <w:szCs w:val="21"/>
                      <w:highlight w:val="none"/>
                      <w:lang w:val="en-US" w:eastAsia="zh-CN"/>
                    </w:rPr>
                    <w:t>1.</w:t>
                  </w:r>
                  <w:r>
                    <w:rPr>
                      <w:rFonts w:hint="eastAsia"/>
                      <w:color w:val="auto"/>
                      <w:sz w:val="21"/>
                      <w:szCs w:val="21"/>
                      <w:highlight w:val="none"/>
                    </w:rPr>
                    <w:t>本项目施工期废水全部回用，不外排</w:t>
                  </w:r>
                  <w:r>
                    <w:rPr>
                      <w:rFonts w:hint="eastAsia"/>
                      <w:color w:val="auto"/>
                      <w:sz w:val="21"/>
                      <w:szCs w:val="21"/>
                      <w:highlight w:val="none"/>
                      <w:lang w:eastAsia="zh-CN"/>
                    </w:rPr>
                    <w:t>。</w:t>
                  </w:r>
                </w:p>
                <w:p w14:paraId="66C0D54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2.项目施工期无弃土产生，土石方可做到平衡。生活垃圾和施工建筑垃圾均可得到妥善处置，不外排。</w:t>
                  </w:r>
                </w:p>
                <w:p w14:paraId="0DED164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highlight w:val="none"/>
                      <w:lang w:val="en-US" w:eastAsia="zh-CN"/>
                    </w:rPr>
                  </w:pPr>
                  <w:r>
                    <w:rPr>
                      <w:rFonts w:hint="eastAsia"/>
                      <w:color w:val="auto"/>
                      <w:sz w:val="21"/>
                      <w:szCs w:val="21"/>
                      <w:highlight w:val="none"/>
                      <w:lang w:val="en-US" w:eastAsia="zh-CN"/>
                    </w:rPr>
                    <w:t>3.本项目钻孔期间不使用水，不产生钻浆。</w:t>
                  </w:r>
                </w:p>
              </w:tc>
              <w:tc>
                <w:tcPr>
                  <w:tcW w:w="506" w:type="pct"/>
                  <w:tcBorders>
                    <w:tl2br w:val="nil"/>
                    <w:tr2bl w:val="nil"/>
                  </w:tcBorders>
                  <w:vAlign w:val="center"/>
                </w:tcPr>
                <w:p w14:paraId="71CCCCF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777E55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3D4572E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35</w:t>
                  </w:r>
                </w:p>
              </w:tc>
              <w:tc>
                <w:tcPr>
                  <w:tcW w:w="2726" w:type="pct"/>
                  <w:tcBorders>
                    <w:tl2br w:val="nil"/>
                    <w:tr2bl w:val="nil"/>
                  </w:tcBorders>
                  <w:vAlign w:val="center"/>
                </w:tcPr>
                <w:p w14:paraId="3C20B44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变电工程施工现场临时厕所的化粪池应进行防渗处理。</w:t>
                  </w:r>
                </w:p>
              </w:tc>
              <w:tc>
                <w:tcPr>
                  <w:tcW w:w="1463" w:type="pct"/>
                  <w:tcBorders>
                    <w:tl2br w:val="nil"/>
                    <w:tr2bl w:val="nil"/>
                  </w:tcBorders>
                  <w:vAlign w:val="center"/>
                </w:tcPr>
                <w:p w14:paraId="1F5E7B3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本项目施工场地不设置化粪池</w:t>
                  </w:r>
                </w:p>
              </w:tc>
              <w:tc>
                <w:tcPr>
                  <w:tcW w:w="506" w:type="pct"/>
                  <w:tcBorders>
                    <w:tl2br w:val="nil"/>
                    <w:tr2bl w:val="nil"/>
                  </w:tcBorders>
                  <w:vAlign w:val="center"/>
                </w:tcPr>
                <w:p w14:paraId="3FA181A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不涉及</w:t>
                  </w:r>
                </w:p>
              </w:tc>
            </w:tr>
            <w:tr w14:paraId="34D7C8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30AA698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36</w:t>
                  </w:r>
                </w:p>
              </w:tc>
              <w:tc>
                <w:tcPr>
                  <w:tcW w:w="2726" w:type="pct"/>
                  <w:tcBorders>
                    <w:tl2br w:val="nil"/>
                    <w:tr2bl w:val="nil"/>
                  </w:tcBorders>
                  <w:vAlign w:val="center"/>
                </w:tcPr>
                <w:p w14:paraId="69FB870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施工过程中，应当加强对施工现场和物料运输的管理，在施工工地设置硬质围挡，保持道路清洁，管控料堆和渣土堆放，防治扬尘污染。</w:t>
                  </w:r>
                </w:p>
              </w:tc>
              <w:tc>
                <w:tcPr>
                  <w:tcW w:w="1463" w:type="pct"/>
                  <w:tcBorders>
                    <w:tl2br w:val="nil"/>
                    <w:tr2bl w:val="nil"/>
                  </w:tcBorders>
                  <w:vAlign w:val="center"/>
                </w:tcPr>
                <w:p w14:paraId="5C35386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本项目施工工地厂界已设计了硬质围挡，施工过</w:t>
                  </w:r>
                  <w:r>
                    <w:rPr>
                      <w:rFonts w:hint="eastAsia"/>
                      <w:color w:val="auto"/>
                      <w:sz w:val="21"/>
                      <w:szCs w:val="21"/>
                      <w:highlight w:val="none"/>
                      <w:lang w:eastAsia="zh-CN"/>
                    </w:rPr>
                    <w:t>程中</w:t>
                  </w:r>
                  <w:r>
                    <w:rPr>
                      <w:rFonts w:hint="eastAsia"/>
                      <w:color w:val="auto"/>
                      <w:sz w:val="21"/>
                      <w:szCs w:val="21"/>
                      <w:highlight w:val="none"/>
                    </w:rPr>
                    <w:t>定期对道路进行洒水抑尘。表土堆场采用撒草绿化防治扬尘污染</w:t>
                  </w:r>
                </w:p>
              </w:tc>
              <w:tc>
                <w:tcPr>
                  <w:tcW w:w="506" w:type="pct"/>
                  <w:tcBorders>
                    <w:tl2br w:val="nil"/>
                    <w:tr2bl w:val="nil"/>
                  </w:tcBorders>
                  <w:vAlign w:val="center"/>
                </w:tcPr>
                <w:p w14:paraId="22C0DFC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2B4D07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tcBorders>
                    <w:tl2br w:val="nil"/>
                    <w:tr2bl w:val="nil"/>
                  </w:tcBorders>
                  <w:vAlign w:val="center"/>
                </w:tcPr>
                <w:p w14:paraId="2582667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37</w:t>
                  </w:r>
                </w:p>
              </w:tc>
              <w:tc>
                <w:tcPr>
                  <w:tcW w:w="2726" w:type="pct"/>
                  <w:tcBorders>
                    <w:tl2br w:val="nil"/>
                    <w:tr2bl w:val="nil"/>
                  </w:tcBorders>
                  <w:vAlign w:val="center"/>
                </w:tcPr>
                <w:p w14:paraId="41694AD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施工过程中，对易起尘的临时堆土、运输过程中的土石方等应采用密闭式防尘布（网）进行苫盖，施工面集中且有条件的地方宜采取洒水降尘等有效措施，减少易造成大气污染的施工作业。</w:t>
                  </w:r>
                </w:p>
              </w:tc>
              <w:tc>
                <w:tcPr>
                  <w:tcW w:w="1463" w:type="pct"/>
                  <w:tcBorders>
                    <w:tl2br w:val="nil"/>
                    <w:tr2bl w:val="nil"/>
                  </w:tcBorders>
                  <w:vAlign w:val="center"/>
                </w:tcPr>
                <w:p w14:paraId="4D5A055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环评已要求项目</w:t>
                  </w:r>
                  <w:r>
                    <w:rPr>
                      <w:rFonts w:hint="default"/>
                      <w:color w:val="auto"/>
                      <w:sz w:val="21"/>
                      <w:szCs w:val="21"/>
                      <w:highlight w:val="none"/>
                    </w:rPr>
                    <w:t>临时堆土、运输过程中的土石方等应采用密闭式防尘布（网）进行苫盖</w:t>
                  </w:r>
                  <w:r>
                    <w:rPr>
                      <w:rFonts w:hint="eastAsia"/>
                      <w:color w:val="auto"/>
                      <w:sz w:val="21"/>
                      <w:szCs w:val="21"/>
                      <w:highlight w:val="none"/>
                    </w:rPr>
                    <w:t>，定期对道路进行洒水抑尘</w:t>
                  </w:r>
                </w:p>
              </w:tc>
              <w:tc>
                <w:tcPr>
                  <w:tcW w:w="506" w:type="pct"/>
                  <w:tcBorders>
                    <w:tl2br w:val="nil"/>
                    <w:tr2bl w:val="nil"/>
                  </w:tcBorders>
                  <w:vAlign w:val="center"/>
                </w:tcPr>
                <w:p w14:paraId="478E314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768934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4893CDD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38</w:t>
                  </w:r>
                </w:p>
              </w:tc>
              <w:tc>
                <w:tcPr>
                  <w:tcW w:w="2726" w:type="pct"/>
                  <w:tcBorders>
                    <w:tl2br w:val="nil"/>
                    <w:tr2bl w:val="nil"/>
                  </w:tcBorders>
                  <w:vAlign w:val="center"/>
                </w:tcPr>
                <w:p w14:paraId="3B10F33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施工过程中，建设单位应当对裸露地面进行覆盖；暂时不能开工的建设用地超过三个月的，应当进行绿化、铺装或者遮盖。</w:t>
                  </w:r>
                </w:p>
              </w:tc>
              <w:tc>
                <w:tcPr>
                  <w:tcW w:w="1463" w:type="pct"/>
                  <w:tcBorders>
                    <w:tl2br w:val="nil"/>
                    <w:tr2bl w:val="nil"/>
                  </w:tcBorders>
                  <w:vAlign w:val="center"/>
                </w:tcPr>
                <w:p w14:paraId="742EEF1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rPr>
                    <w:t>本项目施工期</w:t>
                  </w:r>
                  <w:r>
                    <w:rPr>
                      <w:rFonts w:hint="eastAsia"/>
                      <w:color w:val="auto"/>
                      <w:sz w:val="21"/>
                      <w:szCs w:val="21"/>
                      <w:highlight w:val="none"/>
                      <w:lang w:val="en-US" w:eastAsia="zh-CN"/>
                    </w:rPr>
                    <w:t>已提出相应管理要求，对裸露地面进行覆盖</w:t>
                  </w:r>
                </w:p>
              </w:tc>
              <w:tc>
                <w:tcPr>
                  <w:tcW w:w="506" w:type="pct"/>
                  <w:tcBorders>
                    <w:tl2br w:val="nil"/>
                    <w:tr2bl w:val="nil"/>
                  </w:tcBorders>
                  <w:vAlign w:val="center"/>
                </w:tcPr>
                <w:p w14:paraId="7B03D63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4CE889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585E9BC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39</w:t>
                  </w:r>
                </w:p>
              </w:tc>
              <w:tc>
                <w:tcPr>
                  <w:tcW w:w="2726" w:type="pct"/>
                  <w:tcBorders>
                    <w:tl2br w:val="nil"/>
                    <w:tr2bl w:val="nil"/>
                  </w:tcBorders>
                  <w:vAlign w:val="center"/>
                </w:tcPr>
                <w:p w14:paraId="60FAF7E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施工过程中产生的土石方、建筑垃圾、生活垃圾应分类集中收集，并按国家和地方有关规定定期进行清运处置，施工完成后及时做好迹地清理工作。</w:t>
                  </w:r>
                </w:p>
              </w:tc>
              <w:tc>
                <w:tcPr>
                  <w:tcW w:w="1463" w:type="pct"/>
                  <w:tcBorders>
                    <w:tl2br w:val="nil"/>
                    <w:tr2bl w:val="nil"/>
                  </w:tcBorders>
                  <w:vAlign w:val="center"/>
                </w:tcPr>
                <w:p w14:paraId="5BA47FD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本项目施工期不产生弃土，建筑垃圾和生活垃圾定期清运，妥善处置，不外排</w:t>
                  </w:r>
                </w:p>
              </w:tc>
              <w:tc>
                <w:tcPr>
                  <w:tcW w:w="506" w:type="pct"/>
                  <w:tcBorders>
                    <w:tl2br w:val="nil"/>
                    <w:tr2bl w:val="nil"/>
                  </w:tcBorders>
                  <w:vAlign w:val="center"/>
                </w:tcPr>
                <w:p w14:paraId="01C6289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177AA2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9" w:hRule="atLeast"/>
                <w:jc w:val="center"/>
              </w:trPr>
              <w:tc>
                <w:tcPr>
                  <w:tcW w:w="304" w:type="pct"/>
                  <w:tcBorders>
                    <w:tl2br w:val="nil"/>
                    <w:tr2bl w:val="nil"/>
                  </w:tcBorders>
                  <w:vAlign w:val="center"/>
                </w:tcPr>
                <w:p w14:paraId="295947F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40</w:t>
                  </w:r>
                </w:p>
              </w:tc>
              <w:tc>
                <w:tcPr>
                  <w:tcW w:w="2726" w:type="pct"/>
                  <w:tcBorders>
                    <w:tl2br w:val="nil"/>
                    <w:tr2bl w:val="nil"/>
                  </w:tcBorders>
                  <w:vAlign w:val="center"/>
                </w:tcPr>
                <w:p w14:paraId="7A536DC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在农田和经济作物区施工时，施工临时占地宜采取隔离保护措施，施工结束后应将混凝土余料和残渣及时清除，以免影响后期土地功能的恢复。</w:t>
                  </w:r>
                </w:p>
              </w:tc>
              <w:tc>
                <w:tcPr>
                  <w:tcW w:w="1463" w:type="pct"/>
                  <w:tcBorders>
                    <w:tl2br w:val="nil"/>
                    <w:tr2bl w:val="nil"/>
                  </w:tcBorders>
                  <w:vAlign w:val="center"/>
                </w:tcPr>
                <w:p w14:paraId="714BBAC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本项目不在农田和经济作物上方铺设光伏板</w:t>
                  </w:r>
                </w:p>
              </w:tc>
              <w:tc>
                <w:tcPr>
                  <w:tcW w:w="506" w:type="pct"/>
                  <w:tcBorders>
                    <w:tl2br w:val="nil"/>
                    <w:tr2bl w:val="nil"/>
                  </w:tcBorders>
                  <w:vAlign w:val="center"/>
                </w:tcPr>
                <w:p w14:paraId="3E921E8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不涉及</w:t>
                  </w:r>
                </w:p>
              </w:tc>
            </w:tr>
          </w:tbl>
          <w:p w14:paraId="319CFD8F">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1.4.</w:t>
            </w:r>
            <w:r>
              <w:rPr>
                <w:rFonts w:hint="eastAsia"/>
                <w:color w:val="auto"/>
                <w:highlight w:val="none"/>
                <w:lang w:val="en-US" w:eastAsia="zh-CN"/>
              </w:rPr>
              <w:t xml:space="preserve">4 </w:t>
            </w:r>
            <w:r>
              <w:rPr>
                <w:rFonts w:hint="eastAsia"/>
                <w:color w:val="auto"/>
                <w:highlight w:val="none"/>
              </w:rPr>
              <w:t>项目与《云南省牛栏江保护条例》相符性分析</w:t>
            </w:r>
          </w:p>
          <w:p w14:paraId="6E3E19E8">
            <w:pPr>
              <w:keepNext w:val="0"/>
              <w:keepLines w:val="0"/>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本项目涉及牛栏江下游保护区中的水源涵养区。对比《云南省牛栏江保护条例》，本项目符合性分析，见表1.4-4。</w:t>
            </w:r>
          </w:p>
          <w:p w14:paraId="2C6E5E1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color w:val="auto"/>
                <w:highlight w:val="none"/>
                <w:lang w:val="en-US" w:eastAsia="zh-CN"/>
              </w:rPr>
            </w:pPr>
            <w:r>
              <w:rPr>
                <w:rFonts w:hint="eastAsia"/>
                <w:b/>
                <w:bCs/>
                <w:color w:val="auto"/>
                <w:highlight w:val="none"/>
                <w:lang w:val="en-US" w:eastAsia="zh-CN"/>
              </w:rPr>
              <w:t>1.4-4 项目与《云南省牛栏江保护条例》</w:t>
            </w:r>
          </w:p>
          <w:tbl>
            <w:tblPr>
              <w:tblStyle w:val="10"/>
              <w:tblW w:w="477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33"/>
              <w:gridCol w:w="6038"/>
              <w:gridCol w:w="4539"/>
              <w:gridCol w:w="912"/>
            </w:tblGrid>
            <w:tr w14:paraId="3D7D03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338" w:type="pct"/>
                  <w:tcBorders>
                    <w:tl2br w:val="nil"/>
                    <w:tr2bl w:val="nil"/>
                  </w:tcBorders>
                  <w:noWrap w:val="0"/>
                  <w:vAlign w:val="center"/>
                </w:tcPr>
                <w:p w14:paraId="68067D4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序号</w:t>
                  </w:r>
                </w:p>
              </w:tc>
              <w:tc>
                <w:tcPr>
                  <w:tcW w:w="2450" w:type="pct"/>
                  <w:tcBorders>
                    <w:tl2br w:val="nil"/>
                    <w:tr2bl w:val="nil"/>
                  </w:tcBorders>
                  <w:noWrap w:val="0"/>
                  <w:vAlign w:val="center"/>
                </w:tcPr>
                <w:p w14:paraId="662F2DF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要求（摘录）</w:t>
                  </w:r>
                </w:p>
              </w:tc>
              <w:tc>
                <w:tcPr>
                  <w:tcW w:w="1841" w:type="pct"/>
                  <w:tcBorders>
                    <w:tl2br w:val="nil"/>
                    <w:tr2bl w:val="nil"/>
                  </w:tcBorders>
                  <w:noWrap w:val="0"/>
                  <w:vAlign w:val="center"/>
                </w:tcPr>
                <w:p w14:paraId="59F8C4B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370" w:type="pct"/>
                  <w:tcBorders>
                    <w:tl2br w:val="nil"/>
                    <w:tr2bl w:val="nil"/>
                  </w:tcBorders>
                  <w:noWrap w:val="0"/>
                  <w:vAlign w:val="center"/>
                </w:tcPr>
                <w:p w14:paraId="1E69185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符合性</w:t>
                  </w:r>
                </w:p>
              </w:tc>
            </w:tr>
            <w:tr w14:paraId="3EC8AA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38" w:type="pct"/>
                  <w:tcBorders>
                    <w:tl2br w:val="nil"/>
                    <w:tr2bl w:val="nil"/>
                  </w:tcBorders>
                  <w:noWrap w:val="0"/>
                  <w:vAlign w:val="center"/>
                </w:tcPr>
                <w:p w14:paraId="03F4C4C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1</w:t>
                  </w:r>
                </w:p>
              </w:tc>
              <w:tc>
                <w:tcPr>
                  <w:tcW w:w="2450" w:type="pct"/>
                  <w:tcBorders>
                    <w:tl2br w:val="nil"/>
                    <w:tr2bl w:val="nil"/>
                  </w:tcBorders>
                  <w:noWrap w:val="0"/>
                  <w:vAlign w:val="center"/>
                </w:tcPr>
                <w:p w14:paraId="2F8141F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第八条</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牛栏江流域水体水质按照《地表水环境质量标准》Ⅲ类水质标准进行保护。</w:t>
                  </w:r>
                </w:p>
              </w:tc>
              <w:tc>
                <w:tcPr>
                  <w:tcW w:w="1841" w:type="pct"/>
                  <w:tcBorders>
                    <w:tl2br w:val="nil"/>
                    <w:tr2bl w:val="nil"/>
                  </w:tcBorders>
                  <w:noWrap w:val="0"/>
                  <w:vAlign w:val="center"/>
                </w:tcPr>
                <w:p w14:paraId="6FCBB5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default"/>
                      <w:color w:val="auto"/>
                      <w:sz w:val="21"/>
                      <w:szCs w:val="21"/>
                      <w:highlight w:val="none"/>
                      <w:lang w:val="en-US" w:eastAsia="zh-CN"/>
                    </w:rPr>
                    <w:t>根据云南省生态环境厅驻曲靖市生态</w:t>
                  </w:r>
                  <w:r>
                    <w:rPr>
                      <w:rFonts w:hint="eastAsia"/>
                      <w:color w:val="auto"/>
                      <w:sz w:val="21"/>
                      <w:szCs w:val="21"/>
                      <w:highlight w:val="none"/>
                      <w:lang w:val="en-US" w:eastAsia="zh-CN"/>
                    </w:rPr>
                    <w:t>环境</w:t>
                  </w:r>
                  <w:r>
                    <w:rPr>
                      <w:rFonts w:hint="default"/>
                      <w:color w:val="auto"/>
                      <w:sz w:val="21"/>
                      <w:szCs w:val="21"/>
                      <w:highlight w:val="none"/>
                      <w:lang w:val="en-US" w:eastAsia="zh-CN"/>
                    </w:rPr>
                    <w:t>监测站公布的牛栏江水质状况监测月报，</w:t>
                  </w:r>
                  <w:r>
                    <w:rPr>
                      <w:rFonts w:hint="eastAsia"/>
                      <w:color w:val="auto"/>
                      <w:sz w:val="21"/>
                      <w:szCs w:val="21"/>
                      <w:highlight w:val="none"/>
                      <w:lang w:val="en-US" w:eastAsia="zh-CN"/>
                    </w:rPr>
                    <w:t>2025年全年</w:t>
                  </w:r>
                  <w:r>
                    <w:rPr>
                      <w:rFonts w:hint="default"/>
                      <w:color w:val="auto"/>
                      <w:sz w:val="21"/>
                      <w:szCs w:val="21"/>
                      <w:highlight w:val="none"/>
                      <w:lang w:val="en-US" w:eastAsia="zh-CN"/>
                    </w:rPr>
                    <w:t>德泽水库大坝处水质</w:t>
                  </w:r>
                  <w:r>
                    <w:rPr>
                      <w:rFonts w:hint="eastAsia"/>
                      <w:color w:val="auto"/>
                      <w:sz w:val="21"/>
                      <w:szCs w:val="21"/>
                      <w:highlight w:val="none"/>
                      <w:lang w:val="en-US" w:eastAsia="zh-CN"/>
                    </w:rPr>
                    <w:t>保持</w:t>
                  </w:r>
                  <w:r>
                    <w:rPr>
                      <w:rFonts w:hint="default"/>
                      <w:color w:val="auto"/>
                      <w:sz w:val="21"/>
                      <w:szCs w:val="21"/>
                      <w:highlight w:val="none"/>
                      <w:lang w:val="en-US" w:eastAsia="zh-CN"/>
                    </w:rPr>
                    <w:t>《地表水环境质量标准》（GB3838-2002）Ⅱ类水质标准，满足规划要求。</w:t>
                  </w:r>
                </w:p>
              </w:tc>
              <w:tc>
                <w:tcPr>
                  <w:tcW w:w="370" w:type="pct"/>
                  <w:tcBorders>
                    <w:tl2br w:val="nil"/>
                    <w:tr2bl w:val="nil"/>
                  </w:tcBorders>
                  <w:noWrap w:val="0"/>
                  <w:vAlign w:val="center"/>
                </w:tcPr>
                <w:p w14:paraId="4A64542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3FE03D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38" w:type="pct"/>
                  <w:tcBorders>
                    <w:tl2br w:val="nil"/>
                    <w:tr2bl w:val="nil"/>
                  </w:tcBorders>
                  <w:noWrap w:val="0"/>
                  <w:vAlign w:val="center"/>
                </w:tcPr>
                <w:p w14:paraId="14F9AAE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2450" w:type="pct"/>
                  <w:tcBorders>
                    <w:tl2br w:val="nil"/>
                    <w:tr2bl w:val="nil"/>
                  </w:tcBorders>
                  <w:noWrap w:val="0"/>
                  <w:vAlign w:val="center"/>
                </w:tcPr>
                <w:p w14:paraId="37511AB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第二十七条</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县级人民政府应当采取措施改善牛栏江流域水环境质量，保证出境断面水质符合规定的水环境质量标准。</w:t>
                  </w:r>
                </w:p>
                <w:p w14:paraId="410957C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对出境断面水质不符合规定标准的地区，上级人民政府及其所属有关部门应当停止审批、核准在该区域内新增水污染物排放的建设项目，并削减该地区重点水污染物排放总量，直至出境断面水质符合规定标准。</w:t>
                  </w:r>
                </w:p>
              </w:tc>
              <w:tc>
                <w:tcPr>
                  <w:tcW w:w="1841" w:type="pct"/>
                  <w:tcBorders>
                    <w:tl2br w:val="nil"/>
                    <w:tr2bl w:val="nil"/>
                  </w:tcBorders>
                  <w:noWrap w:val="0"/>
                  <w:vAlign w:val="center"/>
                </w:tcPr>
                <w:p w14:paraId="17945D8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会泽县地区牛栏江流域符合规定水环境质量标准。同时，本项目不涉及新增水污染物排放。</w:t>
                  </w:r>
                </w:p>
              </w:tc>
              <w:tc>
                <w:tcPr>
                  <w:tcW w:w="370" w:type="pct"/>
                  <w:tcBorders>
                    <w:tl2br w:val="nil"/>
                    <w:tr2bl w:val="nil"/>
                  </w:tcBorders>
                  <w:noWrap w:val="0"/>
                  <w:vAlign w:val="center"/>
                </w:tcPr>
                <w:p w14:paraId="7D301C4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EA917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38" w:type="pct"/>
                  <w:tcBorders>
                    <w:tl2br w:val="nil"/>
                    <w:tr2bl w:val="nil"/>
                  </w:tcBorders>
                  <w:noWrap w:val="0"/>
                  <w:vAlign w:val="center"/>
                </w:tcPr>
                <w:p w14:paraId="3D4E26E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2450" w:type="pct"/>
                  <w:tcBorders>
                    <w:tl2br w:val="nil"/>
                    <w:tr2bl w:val="nil"/>
                  </w:tcBorders>
                  <w:noWrap w:val="0"/>
                  <w:vAlign w:val="center"/>
                </w:tcPr>
                <w:p w14:paraId="31BC568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第二十八条</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牛栏江流域内的污水处理厂和重点污染排放工业企业应当安装水污染物排放自动监测设备，与环境保护行政主管部门的监控设备联网，并保证监测设备正常运行。</w:t>
                  </w:r>
                </w:p>
              </w:tc>
              <w:tc>
                <w:tcPr>
                  <w:tcW w:w="1841" w:type="pct"/>
                  <w:tcBorders>
                    <w:tl2br w:val="nil"/>
                    <w:tr2bl w:val="nil"/>
                  </w:tcBorders>
                  <w:noWrap w:val="0"/>
                  <w:vAlign w:val="center"/>
                </w:tcPr>
                <w:p w14:paraId="75ED8C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本项目不属于污水处理厂和重点污染物排放工业企业。</w:t>
                  </w:r>
                </w:p>
              </w:tc>
              <w:tc>
                <w:tcPr>
                  <w:tcW w:w="370" w:type="pct"/>
                  <w:tcBorders>
                    <w:tl2br w:val="nil"/>
                    <w:tr2bl w:val="nil"/>
                  </w:tcBorders>
                  <w:noWrap w:val="0"/>
                  <w:vAlign w:val="center"/>
                </w:tcPr>
                <w:p w14:paraId="5C6F3C0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不涉及</w:t>
                  </w:r>
                </w:p>
              </w:tc>
            </w:tr>
            <w:tr w14:paraId="3840A4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38" w:type="pct"/>
                  <w:tcBorders>
                    <w:tl2br w:val="nil"/>
                    <w:tr2bl w:val="nil"/>
                  </w:tcBorders>
                  <w:noWrap w:val="0"/>
                  <w:vAlign w:val="center"/>
                </w:tcPr>
                <w:p w14:paraId="16C49DB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2450" w:type="pct"/>
                  <w:tcBorders>
                    <w:tl2br w:val="nil"/>
                    <w:tr2bl w:val="nil"/>
                  </w:tcBorders>
                  <w:noWrap w:val="0"/>
                  <w:vAlign w:val="center"/>
                </w:tcPr>
                <w:p w14:paraId="008CA48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三十条牛栏江流域上游保护区内的工业园区应当建设污水集中和分散处理设施，工业污水处理达标后，在园区内综合回用，实现工业污水零排放。排污单位在向污水集中处理设施排放污水时，应当符合相应的水污染物排放标准和重点水污染物排放总量控制指标。工业园区的管理机构统一负责园区内污水集中处理设施的监督管理，并确保其正常运行。</w:t>
                  </w:r>
                </w:p>
                <w:p w14:paraId="03FDB19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工业园区外的工业企业应当进行技术改造，采取综合防治措施，提高水的重复利用率，逐年减少废水和污染物排放量。</w:t>
                  </w:r>
                </w:p>
              </w:tc>
              <w:tc>
                <w:tcPr>
                  <w:tcW w:w="1841" w:type="pct"/>
                  <w:tcBorders>
                    <w:tl2br w:val="nil"/>
                    <w:tr2bl w:val="nil"/>
                  </w:tcBorders>
                  <w:noWrap w:val="0"/>
                  <w:vAlign w:val="center"/>
                </w:tcPr>
                <w:p w14:paraId="428A11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本项目路径不涉及工业园区，项目建成后不产生水污染物排放。施工期产生的施工废水和施工人员的生活污水，可重复利用，不外排。项目建设不会造成区域水污染物增加。</w:t>
                  </w:r>
                </w:p>
              </w:tc>
              <w:tc>
                <w:tcPr>
                  <w:tcW w:w="370" w:type="pct"/>
                  <w:tcBorders>
                    <w:tl2br w:val="nil"/>
                    <w:tr2bl w:val="nil"/>
                  </w:tcBorders>
                  <w:noWrap w:val="0"/>
                  <w:vAlign w:val="center"/>
                </w:tcPr>
                <w:p w14:paraId="0B90FAC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bl>
          <w:p w14:paraId="7EFDDABB">
            <w:pPr>
              <w:keepNext w:val="0"/>
              <w:keepLines w:val="0"/>
              <w:suppressLineNumbers w:val="0"/>
              <w:spacing w:before="0" w:beforeAutospacing="0" w:after="0" w:afterAutospacing="0"/>
              <w:ind w:left="0" w:right="0" w:firstLine="480"/>
              <w:rPr>
                <w:rFonts w:hint="default"/>
                <w:color w:val="auto"/>
                <w:highlight w:val="none"/>
              </w:rPr>
            </w:pPr>
          </w:p>
          <w:p w14:paraId="67B1C5B2">
            <w:pPr>
              <w:keepNext w:val="0"/>
              <w:keepLines w:val="0"/>
              <w:suppressLineNumbers w:val="0"/>
              <w:spacing w:before="0" w:beforeAutospacing="0" w:after="0" w:afterAutospacing="0"/>
              <w:ind w:left="0" w:right="0" w:firstLine="0" w:firstLineChars="0"/>
              <w:rPr>
                <w:rFonts w:hint="default"/>
                <w:b/>
                <w:bCs/>
                <w:color w:val="auto"/>
                <w:szCs w:val="32"/>
                <w:highlight w:val="none"/>
              </w:rPr>
            </w:pPr>
            <w:r>
              <w:rPr>
                <w:rFonts w:hint="eastAsia"/>
                <w:b/>
                <w:bCs/>
                <w:color w:val="auto"/>
                <w:szCs w:val="32"/>
                <w:highlight w:val="none"/>
              </w:rPr>
              <w:t>1.5 与项目相关的其他法律法规符合性分析</w:t>
            </w:r>
          </w:p>
          <w:p w14:paraId="23E83AFE">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与本项目相关的其他法律法规包括：《关于支持光伏发电产业发展规范用地管理有关工作的通知》（自然资办发〔2023〕12号）、《关于进一步规范光伏复合项目使用林草地有关事项的通知》（云林规〔2021〕5号）、《云南省发展和改革委员会关于加强光伏资源开发建设有关工作的通知》（云发改能源〔2023〕785号）</w:t>
            </w:r>
            <w:r>
              <w:rPr>
                <w:rFonts w:hint="eastAsia"/>
                <w:color w:val="auto"/>
                <w:highlight w:val="none"/>
                <w:lang w:eastAsia="zh-CN"/>
              </w:rPr>
              <w:t>、《中华人民共和国长江保护法》</w:t>
            </w:r>
            <w:r>
              <w:rPr>
                <w:rFonts w:hint="eastAsia"/>
                <w:color w:val="auto"/>
                <w:highlight w:val="none"/>
              </w:rPr>
              <w:t>。</w:t>
            </w:r>
          </w:p>
          <w:p w14:paraId="38BD451E">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1.5.1 项目与《关于支持光伏发电产业发展规范用地管理有关工作的通知》（自然资办发〔2023〕12号）相符性分析</w:t>
            </w:r>
          </w:p>
          <w:p w14:paraId="5ED419DF">
            <w:pPr>
              <w:keepNext w:val="0"/>
              <w:keepLines w:val="0"/>
              <w:suppressLineNumbers w:val="0"/>
              <w:kinsoku w:val="0"/>
              <w:overflowPunct w:val="0"/>
              <w:adjustRightInd w:val="0"/>
              <w:snapToGrid w:val="0"/>
              <w:spacing w:before="0" w:beforeAutospacing="0" w:after="0" w:afterAutospacing="0"/>
              <w:ind w:left="0" w:right="0" w:firstLine="0" w:firstLineChars="0"/>
              <w:jc w:val="center"/>
              <w:rPr>
                <w:rFonts w:hint="default"/>
                <w:b/>
                <w:color w:val="auto"/>
                <w:highlight w:val="none"/>
              </w:rPr>
            </w:pPr>
            <w:r>
              <w:rPr>
                <w:rFonts w:hint="default"/>
                <w:b/>
                <w:color w:val="auto"/>
                <w:highlight w:val="none"/>
              </w:rPr>
              <w:t>表</w:t>
            </w:r>
            <w:r>
              <w:rPr>
                <w:rFonts w:hint="eastAsia"/>
                <w:b/>
                <w:color w:val="auto"/>
                <w:highlight w:val="none"/>
                <w:lang w:val="en-US" w:eastAsia="zh-CN"/>
              </w:rPr>
              <w:t>1.5-1</w:t>
            </w:r>
            <w:r>
              <w:rPr>
                <w:rFonts w:hint="eastAsia"/>
                <w:b/>
                <w:color w:val="auto"/>
                <w:highlight w:val="none"/>
              </w:rPr>
              <w:t xml:space="preserve"> </w:t>
            </w:r>
            <w:r>
              <w:rPr>
                <w:rFonts w:hint="default"/>
                <w:b/>
                <w:color w:val="auto"/>
                <w:highlight w:val="none"/>
              </w:rPr>
              <w:t>与《关于支持光伏发电产业发展规范用地管理有关工作的通知》符合性分析一览表</w:t>
            </w:r>
          </w:p>
          <w:tbl>
            <w:tblPr>
              <w:tblStyle w:val="10"/>
              <w:tblW w:w="471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6630"/>
              <w:gridCol w:w="3559"/>
              <w:gridCol w:w="1230"/>
            </w:tblGrid>
            <w:tr w14:paraId="1C0A44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304" w:type="pct"/>
                  <w:tcBorders>
                    <w:tl2br w:val="nil"/>
                    <w:tr2bl w:val="nil"/>
                  </w:tcBorders>
                  <w:vAlign w:val="center"/>
                </w:tcPr>
                <w:p w14:paraId="05322DD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序号</w:t>
                  </w:r>
                </w:p>
              </w:tc>
              <w:tc>
                <w:tcPr>
                  <w:tcW w:w="2726" w:type="pct"/>
                  <w:tcBorders>
                    <w:tl2br w:val="nil"/>
                    <w:tr2bl w:val="nil"/>
                  </w:tcBorders>
                  <w:vAlign w:val="center"/>
                </w:tcPr>
                <w:p w14:paraId="53FEF5A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要求（摘录）</w:t>
                  </w:r>
                </w:p>
              </w:tc>
              <w:tc>
                <w:tcPr>
                  <w:tcW w:w="1463" w:type="pct"/>
                  <w:tcBorders>
                    <w:tl2br w:val="nil"/>
                    <w:tr2bl w:val="nil"/>
                  </w:tcBorders>
                  <w:vAlign w:val="center"/>
                </w:tcPr>
                <w:p w14:paraId="4547191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项目情况</w:t>
                  </w:r>
                </w:p>
              </w:tc>
              <w:tc>
                <w:tcPr>
                  <w:tcW w:w="506" w:type="pct"/>
                  <w:tcBorders>
                    <w:tl2br w:val="nil"/>
                    <w:tr2bl w:val="nil"/>
                  </w:tcBorders>
                  <w:vAlign w:val="center"/>
                </w:tcPr>
                <w:p w14:paraId="6FBAE8B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符合性</w:t>
                  </w:r>
                </w:p>
              </w:tc>
            </w:tr>
            <w:tr w14:paraId="7D13A2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vAlign w:val="center"/>
                </w:tcPr>
                <w:p w14:paraId="444AC38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1</w:t>
                  </w:r>
                </w:p>
              </w:tc>
              <w:tc>
                <w:tcPr>
                  <w:tcW w:w="2726" w:type="pct"/>
                  <w:tcBorders>
                    <w:tl2br w:val="nil"/>
                    <w:tr2bl w:val="nil"/>
                  </w:tcBorders>
                  <w:vAlign w:val="center"/>
                </w:tcPr>
                <w:p w14:paraId="2E11C34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在符合“三区三线”管控规则的前提下，相关项目经可行性论证后可统筹纳入国土空间规划“一张图”，作为审批光伏项目新增用地用林用草的规划依据。</w:t>
                  </w:r>
                </w:p>
              </w:tc>
              <w:tc>
                <w:tcPr>
                  <w:tcW w:w="1463" w:type="pct"/>
                  <w:tcBorders>
                    <w:tl2br w:val="nil"/>
                    <w:tr2bl w:val="nil"/>
                  </w:tcBorders>
                  <w:vAlign w:val="center"/>
                </w:tcPr>
                <w:p w14:paraId="625C22D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本项目符合</w:t>
                  </w:r>
                  <w:r>
                    <w:rPr>
                      <w:rFonts w:hint="eastAsia"/>
                      <w:color w:val="auto"/>
                      <w:sz w:val="21"/>
                      <w:szCs w:val="21"/>
                      <w:highlight w:val="none"/>
                      <w:lang w:eastAsia="zh-CN"/>
                    </w:rPr>
                    <w:t>会泽县</w:t>
                  </w:r>
                  <w:r>
                    <w:rPr>
                      <w:rFonts w:hint="eastAsia"/>
                      <w:color w:val="auto"/>
                      <w:sz w:val="21"/>
                      <w:szCs w:val="21"/>
                      <w:highlight w:val="none"/>
                    </w:rPr>
                    <w:t>“三区三线”管控要求</w:t>
                  </w:r>
                </w:p>
              </w:tc>
              <w:tc>
                <w:tcPr>
                  <w:tcW w:w="506" w:type="pct"/>
                  <w:tcBorders>
                    <w:tl2br w:val="nil"/>
                    <w:tr2bl w:val="nil"/>
                  </w:tcBorders>
                  <w:vAlign w:val="center"/>
                </w:tcPr>
                <w:p w14:paraId="4A67E67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0BDDE2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04" w:type="pct"/>
                  <w:tcBorders>
                    <w:tl2br w:val="nil"/>
                    <w:tr2bl w:val="nil"/>
                  </w:tcBorders>
                  <w:vAlign w:val="center"/>
                </w:tcPr>
                <w:p w14:paraId="2DAE05C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2</w:t>
                  </w:r>
                </w:p>
              </w:tc>
              <w:tc>
                <w:tcPr>
                  <w:tcW w:w="2726" w:type="pct"/>
                  <w:tcBorders>
                    <w:tl2br w:val="nil"/>
                    <w:tr2bl w:val="nil"/>
                  </w:tcBorders>
                  <w:vAlign w:val="center"/>
                </w:tcPr>
                <w:p w14:paraId="77C4291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鼓励利用未利用地和存量建设用地发展光伏发电产业。在严格保护生态前提下，鼓励在沙漠、戈壁、荒漠等区域选址建设大型光伏基地；对于油田、气田以及难以复垦或修复的采煤沉陷区，推进其中的非耕地区域规划建设光伏基地。项目选址应当避让耕地、生态保护红线、历史文化保护线、特殊自然景观价值和文化标识区域、天然林地、国家沙化土地封禁保护区（光伏发电项目输出线路允许穿越国家沙化土地封禁保护区）等；涉及自然保护地的，还应当符合自然保护地相关法规和政策要求。新建、扩建光伏发电项目，一律不得占用永久基本农田、基本草原、Ⅰ级保护林地和东北内蒙古重点国有林区。</w:t>
                  </w:r>
                </w:p>
              </w:tc>
              <w:tc>
                <w:tcPr>
                  <w:tcW w:w="1463" w:type="pct"/>
                  <w:tcBorders>
                    <w:tl2br w:val="nil"/>
                    <w:tr2bl w:val="nil"/>
                  </w:tcBorders>
                  <w:vAlign w:val="center"/>
                </w:tcPr>
                <w:p w14:paraId="1C6EC3C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eastAsia" w:eastAsia="仿宋"/>
                      <w:color w:val="auto"/>
                      <w:sz w:val="21"/>
                      <w:szCs w:val="21"/>
                      <w:highlight w:val="none"/>
                      <w:lang w:val="en-US" w:eastAsia="zh-CN"/>
                    </w:rPr>
                  </w:pPr>
                  <w:r>
                    <w:rPr>
                      <w:rFonts w:hint="eastAsia"/>
                      <w:color w:val="auto"/>
                      <w:sz w:val="21"/>
                      <w:szCs w:val="21"/>
                      <w:highlight w:val="none"/>
                      <w:lang w:val="en-US" w:eastAsia="zh-CN"/>
                    </w:rPr>
                    <w:t>1.本项目选址已避让耕地、生态保护红线、</w:t>
                  </w:r>
                  <w:r>
                    <w:rPr>
                      <w:rFonts w:hint="default"/>
                      <w:color w:val="auto"/>
                      <w:sz w:val="21"/>
                      <w:szCs w:val="21"/>
                      <w:highlight w:val="none"/>
                    </w:rPr>
                    <w:t>历史文化保护线、特殊自然景观价值和文化标识区域、天然林地</w:t>
                  </w:r>
                  <w:r>
                    <w:rPr>
                      <w:rFonts w:hint="eastAsia"/>
                      <w:color w:val="auto"/>
                      <w:sz w:val="21"/>
                      <w:szCs w:val="21"/>
                      <w:highlight w:val="none"/>
                      <w:lang w:eastAsia="zh-CN"/>
                    </w:rPr>
                    <w:t>。</w:t>
                  </w:r>
                </w:p>
                <w:p w14:paraId="030C8E9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default"/>
                      <w:color w:val="auto"/>
                      <w:sz w:val="21"/>
                      <w:szCs w:val="21"/>
                      <w:highlight w:val="none"/>
                    </w:rPr>
                  </w:pPr>
                  <w:r>
                    <w:rPr>
                      <w:rFonts w:hint="eastAsia"/>
                      <w:color w:val="auto"/>
                      <w:sz w:val="21"/>
                      <w:szCs w:val="21"/>
                      <w:highlight w:val="none"/>
                      <w:lang w:val="en-US" w:eastAsia="zh-CN"/>
                    </w:rPr>
                    <w:t>2.本项目未占用永久基本农田、基本草原</w:t>
                  </w:r>
                  <w:r>
                    <w:rPr>
                      <w:rFonts w:hint="default"/>
                      <w:color w:val="auto"/>
                      <w:sz w:val="21"/>
                      <w:szCs w:val="21"/>
                      <w:highlight w:val="none"/>
                    </w:rPr>
                    <w:t>Ⅰ级保护林地</w:t>
                  </w:r>
                </w:p>
              </w:tc>
              <w:tc>
                <w:tcPr>
                  <w:tcW w:w="506" w:type="pct"/>
                  <w:tcBorders>
                    <w:tl2br w:val="nil"/>
                    <w:tr2bl w:val="nil"/>
                  </w:tcBorders>
                  <w:vAlign w:val="center"/>
                </w:tcPr>
                <w:p w14:paraId="071585E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00DB4F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1" w:hRule="atLeast"/>
                <w:jc w:val="center"/>
              </w:trPr>
              <w:tc>
                <w:tcPr>
                  <w:tcW w:w="304" w:type="pct"/>
                  <w:tcBorders>
                    <w:tl2br w:val="nil"/>
                    <w:tr2bl w:val="nil"/>
                  </w:tcBorders>
                  <w:vAlign w:val="center"/>
                </w:tcPr>
                <w:p w14:paraId="5B74398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3</w:t>
                  </w:r>
                </w:p>
              </w:tc>
              <w:tc>
                <w:tcPr>
                  <w:tcW w:w="2726" w:type="pct"/>
                  <w:tcBorders>
                    <w:tl2br w:val="nil"/>
                    <w:tr2bl w:val="nil"/>
                  </w:tcBorders>
                  <w:vAlign w:val="center"/>
                </w:tcPr>
                <w:p w14:paraId="2BDF1B1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光伏方阵用地。光伏方阵用地不得占用耕地，占用其他</w:t>
                  </w:r>
                  <w:r>
                    <w:rPr>
                      <w:rFonts w:hint="eastAsia"/>
                      <w:color w:val="auto"/>
                      <w:sz w:val="21"/>
                      <w:szCs w:val="21"/>
                      <w:highlight w:val="none"/>
                    </w:rPr>
                    <w:t>农业</w:t>
                  </w:r>
                  <w:r>
                    <w:rPr>
                      <w:rFonts w:hint="default"/>
                      <w:color w:val="auto"/>
                      <w:sz w:val="21"/>
                      <w:szCs w:val="21"/>
                      <w:highlight w:val="none"/>
                    </w:rPr>
                    <w:t>用地的，应根据实际合理控制，节约集约用地，尽量避免对生态和农业生产造成影响。光伏方阵用地涉及使用林地的，须采用林光互补模式，可使用年降水量400毫米以下区域的灌木林地以及其他区域覆盖度低于50%的灌木林地，不得采伐林木、割灌及破坏原有植被，不得将乔木林地、竹林地等采伐改造为灌木林地后架设光伏板；光伏支架最低点应高于灌木高度1米以上，每列光伏板南北方向应合理设置净间距，具体由各地结合实地确定，并采取有效水土保持措施，确保灌木覆盖度等生长状态不低于林光互补前水平。光伏方阵按规定使用灌木林地的，施工期间应办理临时使用林地手续，运营期间相关方签订协议，项目服务期满后应当恢复林地原状。光伏方阵用地涉及占用基本草原外草原的，地方林草主管部门应科学评估本地区草原资源与生态状况，合理确定项目的适建区域、建设模式与建设要求。鼓励采用“草光互补”模式。</w:t>
                  </w:r>
                </w:p>
                <w:p w14:paraId="19B842F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光伏方阵用地不得改变地表形态，以第三次全国国土调查及后续开展的年度国土变更调查成果为底版，依法依规进行管理。实行用地备案，不需按非农建设用地审批。</w:t>
                  </w:r>
                </w:p>
              </w:tc>
              <w:tc>
                <w:tcPr>
                  <w:tcW w:w="1463" w:type="pct"/>
                  <w:tcBorders>
                    <w:tl2br w:val="nil"/>
                    <w:tr2bl w:val="nil"/>
                  </w:tcBorders>
                  <w:vAlign w:val="center"/>
                </w:tcPr>
                <w:p w14:paraId="029A6F4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1.本项目不占用耕地，项目建设不会对区域农业生产造成影响。</w:t>
                  </w:r>
                </w:p>
                <w:p w14:paraId="1F37DCB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2.本项林地占用已取得云南省林地审核同意书（云林许准（曲）〔2025〕272号），光伏方阵等临时工程不占用林地。项目按林草部门要求编制了《使用林草地植被保护方案》满足林光互补模式需求。</w:t>
                  </w:r>
                </w:p>
                <w:p w14:paraId="6572138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3.本项目光伏支架距地2.5m高于灌木高度1m以上。</w:t>
                  </w:r>
                </w:p>
                <w:p w14:paraId="51337B5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4.项目已编制了水土保持方案，施工阶段已设计了相应的水土保持措施，可保证项目建成后灌木覆盖度不低于建设前水平。</w:t>
                  </w:r>
                </w:p>
                <w:p w14:paraId="2E9B6E9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5.本项目光伏方阵不占用草原，仅涉及其他草地。</w:t>
                  </w:r>
                </w:p>
              </w:tc>
              <w:tc>
                <w:tcPr>
                  <w:tcW w:w="506" w:type="pct"/>
                  <w:tcBorders>
                    <w:tl2br w:val="nil"/>
                    <w:tr2bl w:val="nil"/>
                  </w:tcBorders>
                  <w:vAlign w:val="center"/>
                </w:tcPr>
                <w:p w14:paraId="194E6DD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E5988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304" w:type="pct"/>
                  <w:tcBorders>
                    <w:tl2br w:val="nil"/>
                    <w:tr2bl w:val="nil"/>
                  </w:tcBorders>
                  <w:vAlign w:val="center"/>
                </w:tcPr>
                <w:p w14:paraId="33D14EB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4</w:t>
                  </w:r>
                </w:p>
              </w:tc>
              <w:tc>
                <w:tcPr>
                  <w:tcW w:w="2726" w:type="pct"/>
                  <w:tcBorders>
                    <w:tl2br w:val="nil"/>
                    <w:tr2bl w:val="nil"/>
                  </w:tcBorders>
                  <w:vAlign w:val="center"/>
                </w:tcPr>
                <w:p w14:paraId="6B0414A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配套设施用地管理。光伏发电项目配套设施用地，按建设用地进行管理，依法依规办理建设用地审批手续。其中，涉及占用耕地的，按规定落实占补平衡。符合光伏用地标准，位于方阵内部和四周，直接配套光伏方阵的道路，可按农村道路用地管理，涉及占用耕地的，按规定落实进出平衡。其他道路按建设用地管理。</w:t>
                  </w:r>
                </w:p>
              </w:tc>
              <w:tc>
                <w:tcPr>
                  <w:tcW w:w="1463" w:type="pct"/>
                  <w:tcBorders>
                    <w:tl2br w:val="nil"/>
                    <w:tr2bl w:val="nil"/>
                  </w:tcBorders>
                  <w:vAlign w:val="center"/>
                </w:tcPr>
                <w:p w14:paraId="1BEE595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本项目光伏阵列不占用耕地。施工临时道路不占用耕地。</w:t>
                  </w:r>
                </w:p>
              </w:tc>
              <w:tc>
                <w:tcPr>
                  <w:tcW w:w="506" w:type="pct"/>
                  <w:tcBorders>
                    <w:tl2br w:val="nil"/>
                    <w:tr2bl w:val="nil"/>
                  </w:tcBorders>
                  <w:vAlign w:val="center"/>
                </w:tcPr>
                <w:p w14:paraId="1CA3258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0AC362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304" w:type="pct"/>
                  <w:tcBorders>
                    <w:tl2br w:val="nil"/>
                    <w:tr2bl w:val="nil"/>
                  </w:tcBorders>
                  <w:vAlign w:val="center"/>
                </w:tcPr>
                <w:p w14:paraId="35935B4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5</w:t>
                  </w:r>
                </w:p>
              </w:tc>
              <w:tc>
                <w:tcPr>
                  <w:tcW w:w="2726" w:type="pct"/>
                  <w:tcBorders>
                    <w:tl2br w:val="nil"/>
                    <w:tr2bl w:val="nil"/>
                  </w:tcBorders>
                  <w:vAlign w:val="center"/>
                </w:tcPr>
                <w:p w14:paraId="2918D87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建立用地用林用草联审机制。各地自然资源、林草主管部门要建立项目用地用林用草审查协调联动机制，对于符合国土空间规划和用途管制要求、纳入国土空间规划“一张图”的国家大型光伏基地建设范围项目，在项目立项与论证时，要对项目用地用林用草提出意见与要求，严格执行《光伏发电站工程项目用地控制指标》和光伏电站使用林地有关规定，保障项目用地用林用草合理需求。</w:t>
                  </w:r>
                </w:p>
              </w:tc>
              <w:tc>
                <w:tcPr>
                  <w:tcW w:w="1463" w:type="pct"/>
                  <w:tcBorders>
                    <w:tl2br w:val="nil"/>
                    <w:tr2bl w:val="nil"/>
                  </w:tcBorders>
                  <w:vAlign w:val="center"/>
                </w:tcPr>
                <w:p w14:paraId="67BD1C4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本项目林地和草地审批手续已办理</w:t>
                  </w:r>
                </w:p>
              </w:tc>
              <w:tc>
                <w:tcPr>
                  <w:tcW w:w="506" w:type="pct"/>
                  <w:tcBorders>
                    <w:tl2br w:val="nil"/>
                    <w:tr2bl w:val="nil"/>
                  </w:tcBorders>
                  <w:vAlign w:val="center"/>
                </w:tcPr>
                <w:p w14:paraId="739A93B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bl>
          <w:p w14:paraId="399FE25C">
            <w:pPr>
              <w:keepNext w:val="0"/>
              <w:keepLines w:val="0"/>
              <w:suppressLineNumbers w:val="0"/>
              <w:spacing w:before="0" w:beforeAutospacing="0" w:after="0" w:afterAutospacing="0"/>
              <w:ind w:left="0" w:right="0" w:firstLine="0" w:firstLineChars="0"/>
              <w:rPr>
                <w:rFonts w:hint="default"/>
                <w:color w:val="auto"/>
                <w:highlight w:val="none"/>
              </w:rPr>
            </w:pPr>
          </w:p>
          <w:p w14:paraId="3091952E">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1.5.</w:t>
            </w:r>
            <w:r>
              <w:rPr>
                <w:rFonts w:hint="eastAsia"/>
                <w:color w:val="auto"/>
                <w:highlight w:val="none"/>
                <w:lang w:val="en-US" w:eastAsia="zh-CN"/>
              </w:rPr>
              <w:t>2</w:t>
            </w:r>
            <w:r>
              <w:rPr>
                <w:rFonts w:hint="eastAsia"/>
                <w:color w:val="auto"/>
                <w:highlight w:val="none"/>
              </w:rPr>
              <w:t xml:space="preserve"> 项目与《关于进一步规范光伏复合项目使用林草地有关事项的通知》（云林规〔2021〕5号）相符性分析</w:t>
            </w:r>
          </w:p>
          <w:p w14:paraId="64AF2FA0">
            <w:pPr>
              <w:keepNext w:val="0"/>
              <w:keepLines w:val="0"/>
              <w:suppressLineNumbers w:val="0"/>
              <w:kinsoku w:val="0"/>
              <w:overflowPunct w:val="0"/>
              <w:adjustRightInd w:val="0"/>
              <w:snapToGrid w:val="0"/>
              <w:spacing w:before="0" w:beforeAutospacing="0" w:after="0" w:afterAutospacing="0"/>
              <w:ind w:left="0" w:right="0" w:firstLine="0" w:firstLineChars="0"/>
              <w:jc w:val="center"/>
              <w:rPr>
                <w:rFonts w:hint="default"/>
                <w:b/>
                <w:color w:val="auto"/>
                <w:highlight w:val="none"/>
              </w:rPr>
            </w:pPr>
            <w:r>
              <w:rPr>
                <w:rFonts w:hint="default"/>
                <w:b/>
                <w:color w:val="auto"/>
                <w:highlight w:val="none"/>
              </w:rPr>
              <w:t>表</w:t>
            </w:r>
            <w:r>
              <w:rPr>
                <w:rFonts w:hint="eastAsia"/>
                <w:b/>
                <w:color w:val="auto"/>
                <w:highlight w:val="none"/>
                <w:lang w:val="en-US" w:eastAsia="zh-CN"/>
              </w:rPr>
              <w:t xml:space="preserve">1.5-2 </w:t>
            </w:r>
            <w:r>
              <w:rPr>
                <w:rFonts w:hint="default"/>
                <w:b/>
                <w:color w:val="auto"/>
                <w:highlight w:val="none"/>
              </w:rPr>
              <w:t>与《关于进一步规范光伏复合项目使用林草地有关事项的通知》符合性分析一览表</w:t>
            </w:r>
          </w:p>
          <w:tbl>
            <w:tblPr>
              <w:tblStyle w:val="10"/>
              <w:tblW w:w="471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6630"/>
              <w:gridCol w:w="3559"/>
              <w:gridCol w:w="1230"/>
            </w:tblGrid>
            <w:tr w14:paraId="72600A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304" w:type="pct"/>
                  <w:tcBorders>
                    <w:tl2br w:val="nil"/>
                    <w:tr2bl w:val="nil"/>
                  </w:tcBorders>
                  <w:vAlign w:val="center"/>
                </w:tcPr>
                <w:p w14:paraId="3AE8CB3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序号</w:t>
                  </w:r>
                </w:p>
              </w:tc>
              <w:tc>
                <w:tcPr>
                  <w:tcW w:w="2726" w:type="pct"/>
                  <w:tcBorders>
                    <w:tl2br w:val="nil"/>
                    <w:tr2bl w:val="nil"/>
                  </w:tcBorders>
                  <w:vAlign w:val="center"/>
                </w:tcPr>
                <w:p w14:paraId="516A230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要求（摘录）</w:t>
                  </w:r>
                </w:p>
              </w:tc>
              <w:tc>
                <w:tcPr>
                  <w:tcW w:w="1463" w:type="pct"/>
                  <w:tcBorders>
                    <w:tl2br w:val="nil"/>
                    <w:tr2bl w:val="nil"/>
                  </w:tcBorders>
                  <w:vAlign w:val="center"/>
                </w:tcPr>
                <w:p w14:paraId="217A5C4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项目情况</w:t>
                  </w:r>
                </w:p>
              </w:tc>
              <w:tc>
                <w:tcPr>
                  <w:tcW w:w="506" w:type="pct"/>
                  <w:tcBorders>
                    <w:tl2br w:val="nil"/>
                    <w:tr2bl w:val="nil"/>
                  </w:tcBorders>
                  <w:vAlign w:val="center"/>
                </w:tcPr>
                <w:p w14:paraId="67E90AC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符合性</w:t>
                  </w:r>
                </w:p>
              </w:tc>
            </w:tr>
            <w:tr w14:paraId="09C60F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vAlign w:val="center"/>
                </w:tcPr>
                <w:p w14:paraId="3E1A2EC1">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1</w:t>
                  </w:r>
                </w:p>
              </w:tc>
              <w:tc>
                <w:tcPr>
                  <w:tcW w:w="2726" w:type="pct"/>
                  <w:tcBorders>
                    <w:tl2br w:val="nil"/>
                    <w:tr2bl w:val="nil"/>
                  </w:tcBorders>
                  <w:vAlign w:val="center"/>
                </w:tcPr>
                <w:p w14:paraId="7DDADD3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光伏复合项目禁止在国家公园、自然保护区、森林公园、风景名胜区、草原公园等各类自然保护地，世界自然遗产地，野生动物重要栖息地，珍稀濒危和极小种群野生植物重要原生境，天然林保护重点区域、基本草原以及生态保护红线内建设。</w:t>
                  </w:r>
                </w:p>
              </w:tc>
              <w:tc>
                <w:tcPr>
                  <w:tcW w:w="1463" w:type="pct"/>
                  <w:tcBorders>
                    <w:tl2br w:val="nil"/>
                    <w:tr2bl w:val="nil"/>
                  </w:tcBorders>
                  <w:vAlign w:val="center"/>
                </w:tcPr>
                <w:p w14:paraId="6DA5B3B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eastAsia"/>
                      <w:color w:val="auto"/>
                      <w:sz w:val="21"/>
                      <w:szCs w:val="21"/>
                      <w:highlight w:val="none"/>
                      <w:lang w:eastAsia="zh-CN"/>
                    </w:rPr>
                  </w:pPr>
                  <w:r>
                    <w:rPr>
                      <w:rFonts w:hint="eastAsia"/>
                      <w:color w:val="auto"/>
                      <w:sz w:val="21"/>
                      <w:szCs w:val="21"/>
                      <w:highlight w:val="none"/>
                    </w:rPr>
                    <w:t>本项目</w:t>
                  </w:r>
                  <w:r>
                    <w:rPr>
                      <w:rFonts w:hint="eastAsia"/>
                      <w:color w:val="auto"/>
                      <w:sz w:val="21"/>
                      <w:szCs w:val="21"/>
                      <w:highlight w:val="none"/>
                      <w:lang w:val="en-US" w:eastAsia="zh-CN"/>
                    </w:rPr>
                    <w:t>不占用</w:t>
                  </w:r>
                  <w:r>
                    <w:rPr>
                      <w:rFonts w:hint="default"/>
                      <w:color w:val="auto"/>
                      <w:sz w:val="21"/>
                      <w:szCs w:val="21"/>
                      <w:highlight w:val="none"/>
                    </w:rPr>
                    <w:t>国家公园、自然保护区、森林公园、风景名胜区、草原公园等各类自然保护地</w:t>
                  </w:r>
                  <w:r>
                    <w:rPr>
                      <w:rFonts w:hint="eastAsia"/>
                      <w:color w:val="auto"/>
                      <w:sz w:val="21"/>
                      <w:szCs w:val="21"/>
                      <w:highlight w:val="none"/>
                      <w:lang w:eastAsia="zh-CN"/>
                    </w:rPr>
                    <w:t>、</w:t>
                  </w:r>
                  <w:r>
                    <w:rPr>
                      <w:rFonts w:hint="default"/>
                      <w:color w:val="auto"/>
                      <w:sz w:val="21"/>
                      <w:szCs w:val="21"/>
                      <w:highlight w:val="none"/>
                    </w:rPr>
                    <w:t>世界自然遗产地，野生动物重要栖息地，珍稀濒危和极小种群野生植物重要原生境，天然林保护重点区域、基本草原以及生态保护红线</w:t>
                  </w:r>
                  <w:r>
                    <w:rPr>
                      <w:rFonts w:hint="eastAsia"/>
                      <w:color w:val="auto"/>
                      <w:sz w:val="21"/>
                      <w:szCs w:val="21"/>
                      <w:highlight w:val="none"/>
                      <w:lang w:eastAsia="zh-CN"/>
                    </w:rPr>
                    <w:t>。</w:t>
                  </w:r>
                </w:p>
                <w:p w14:paraId="20DFAAA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color w:val="auto"/>
                      <w:sz w:val="21"/>
                      <w:szCs w:val="21"/>
                      <w:highlight w:val="none"/>
                      <w:lang w:val="en-US" w:eastAsia="zh-CN"/>
                    </w:rPr>
                  </w:pPr>
                  <w:r>
                    <w:rPr>
                      <w:rFonts w:hint="eastAsia"/>
                      <w:color w:val="auto"/>
                      <w:sz w:val="21"/>
                      <w:szCs w:val="21"/>
                      <w:highlight w:val="none"/>
                      <w:lang w:val="en-US" w:eastAsia="zh-CN"/>
                    </w:rPr>
                    <w:t>项目仅架空线路跨越生态保护红线区域，属于无害化通过。</w:t>
                  </w:r>
                </w:p>
              </w:tc>
              <w:tc>
                <w:tcPr>
                  <w:tcW w:w="506" w:type="pct"/>
                  <w:tcBorders>
                    <w:tl2br w:val="nil"/>
                    <w:tr2bl w:val="nil"/>
                  </w:tcBorders>
                  <w:vAlign w:val="center"/>
                </w:tcPr>
                <w:p w14:paraId="6AC14A7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323C87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04" w:type="pct"/>
                  <w:tcBorders>
                    <w:tl2br w:val="nil"/>
                    <w:tr2bl w:val="nil"/>
                  </w:tcBorders>
                  <w:vAlign w:val="center"/>
                </w:tcPr>
                <w:p w14:paraId="41EBAA4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2</w:t>
                  </w:r>
                </w:p>
              </w:tc>
              <w:tc>
                <w:tcPr>
                  <w:tcW w:w="2726" w:type="pct"/>
                  <w:tcBorders>
                    <w:tl2br w:val="nil"/>
                    <w:tr2bl w:val="nil"/>
                  </w:tcBorders>
                  <w:vAlign w:val="center"/>
                </w:tcPr>
                <w:p w14:paraId="31C516C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光伏复合项目的生产区（包括升压站、配电室、控制室、新建进场道路、新建场内检修道路、集电线路塔基等）、生活区（包括办公、住宿、食堂、活动场所、仓库等附属设施），禁止使用天然乔木林地；施工期临时设置的弃渣场、取土场、砂石场、堆料场、拌合站、工棚、临时施工道路等，禁止使用乔木林地；电池组件阵列禁止使用有林地、疏林地、未成林造林地、采伐迹地、火烧迹地，以及年降雨量400毫米以下区域覆盖度高于30%的灌木林地和年降雨量400毫米以上区域覆盖度高于50%的灌木林地。</w:t>
                  </w:r>
                </w:p>
              </w:tc>
              <w:tc>
                <w:tcPr>
                  <w:tcW w:w="1463" w:type="pct"/>
                  <w:tcBorders>
                    <w:tl2br w:val="nil"/>
                    <w:tr2bl w:val="nil"/>
                  </w:tcBorders>
                  <w:vAlign w:val="center"/>
                </w:tcPr>
                <w:p w14:paraId="428F343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default"/>
                      <w:color w:val="auto"/>
                      <w:sz w:val="21"/>
                      <w:szCs w:val="21"/>
                      <w:highlight w:val="none"/>
                      <w:vertAlign w:val="baseline"/>
                      <w:lang w:val="en-US" w:eastAsia="zh-CN"/>
                    </w:rPr>
                  </w:pPr>
                  <w:r>
                    <w:rPr>
                      <w:rFonts w:hint="eastAsia"/>
                      <w:color w:val="auto"/>
                      <w:sz w:val="21"/>
                      <w:szCs w:val="21"/>
                      <w:highlight w:val="none"/>
                      <w:lang w:val="en-US" w:eastAsia="zh-CN"/>
                    </w:rPr>
                    <w:t>1.根据项目《使用林地可行性报告》（云南绘山绘水林业规划设计有限公司，云林许准（曲）〔2025〕210号），本项目林地使用面积0.6056hm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，均为永久占地，光伏阵列等临时用地均为非林地。</w:t>
                  </w:r>
                </w:p>
                <w:p w14:paraId="377D800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both"/>
                    <w:rPr>
                      <w:rFonts w:hint="eastAsia"/>
                      <w:color w:val="auto"/>
                      <w:sz w:val="21"/>
                      <w:szCs w:val="21"/>
                      <w:highlight w:val="none"/>
                      <w:lang w:val="en-US" w:eastAsia="zh-CN"/>
                    </w:rPr>
                  </w:pPr>
                  <w:r>
                    <w:rPr>
                      <w:rFonts w:hint="eastAsia"/>
                      <w:color w:val="auto"/>
                      <w:sz w:val="21"/>
                      <w:szCs w:val="21"/>
                      <w:highlight w:val="none"/>
                      <w:lang w:val="en-US" w:eastAsia="zh-CN"/>
                    </w:rPr>
                    <w:t>永久占地中占用乔木林地0.1144hm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，灌木林地0.4912hm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w:t>
                  </w:r>
                  <w:r>
                    <w:rPr>
                      <w:rFonts w:hint="eastAsia"/>
                      <w:color w:val="auto"/>
                      <w:sz w:val="21"/>
                      <w:szCs w:val="21"/>
                      <w:highlight w:val="none"/>
                      <w:lang w:val="en-US" w:eastAsia="zh-CN"/>
                    </w:rPr>
                    <w:t>本项目建设不在会泽县城市规划区范围内，不涉及自然保护区、森林公园、湿地公园和风景名胜区等重点生态区域，不涉及生态公益林地，不涉及天然林。</w:t>
                  </w:r>
                </w:p>
                <w:p w14:paraId="55CAD9B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color w:val="auto"/>
                      <w:sz w:val="21"/>
                      <w:szCs w:val="21"/>
                      <w:highlight w:val="none"/>
                      <w:lang w:val="en-US" w:eastAsia="zh-CN"/>
                    </w:rPr>
                  </w:pPr>
                  <w:r>
                    <w:rPr>
                      <w:rFonts w:hint="eastAsia"/>
                      <w:color w:val="auto"/>
                      <w:sz w:val="21"/>
                      <w:szCs w:val="21"/>
                      <w:highlight w:val="none"/>
                      <w:lang w:val="en-US" w:eastAsia="zh-CN"/>
                    </w:rPr>
                    <w:t>2.本项目不在乔木林地内设置施工临时工程。集电线路塔基施工采用人工施工，材料通过人抬马驮送入，不修建施工道路。</w:t>
                  </w:r>
                </w:p>
                <w:p w14:paraId="1B3D5FD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eastAsia="仿宋"/>
                      <w:color w:val="auto"/>
                      <w:sz w:val="21"/>
                      <w:szCs w:val="21"/>
                      <w:highlight w:val="none"/>
                      <w:lang w:val="en-US" w:eastAsia="zh-CN"/>
                    </w:rPr>
                  </w:pPr>
                  <w:r>
                    <w:rPr>
                      <w:rFonts w:hint="eastAsia"/>
                      <w:color w:val="auto"/>
                      <w:sz w:val="21"/>
                      <w:szCs w:val="21"/>
                      <w:highlight w:val="none"/>
                      <w:lang w:val="en-US" w:eastAsia="zh-CN"/>
                    </w:rPr>
                    <w:t>3.项目林地占用已取得云南省林地审核同意书（云林许准（曲）〔2025〕272号），光伏阵列选址范围均为非林地。</w:t>
                  </w:r>
                </w:p>
              </w:tc>
              <w:tc>
                <w:tcPr>
                  <w:tcW w:w="506" w:type="pct"/>
                  <w:tcBorders>
                    <w:tl2br w:val="nil"/>
                    <w:tr2bl w:val="nil"/>
                  </w:tcBorders>
                  <w:vAlign w:val="center"/>
                </w:tcPr>
                <w:p w14:paraId="0CD7205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75FAA6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64" w:hRule="atLeast"/>
                <w:jc w:val="center"/>
              </w:trPr>
              <w:tc>
                <w:tcPr>
                  <w:tcW w:w="304" w:type="pct"/>
                  <w:tcBorders>
                    <w:tl2br w:val="nil"/>
                    <w:tr2bl w:val="nil"/>
                  </w:tcBorders>
                  <w:vAlign w:val="center"/>
                </w:tcPr>
                <w:p w14:paraId="14C7F43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3</w:t>
                  </w:r>
                </w:p>
              </w:tc>
              <w:tc>
                <w:tcPr>
                  <w:tcW w:w="2726" w:type="pct"/>
                  <w:tcBorders>
                    <w:tl2br w:val="nil"/>
                    <w:tr2bl w:val="nil"/>
                  </w:tcBorders>
                  <w:vAlign w:val="center"/>
                </w:tcPr>
                <w:p w14:paraId="3FE407A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用地性质。光伏复合项目生产区（包括升压站、配电室、控制室、集电线路塔基等）、生活区（包括办公、住宿、食堂、活动场所、仓库等附属设施）、电池组件阵列区箱变、新建进场道路、新建场内检修道路，应当办理占用林地手续；施工期临时设置的弃渣场、取土场、砂石场、堆料场、拌合站、工棚、地埋电缆槽以及临时施工道路应当办理临时占用林地手续。电池组件阵列使用林地由项目业主单位与林权权利人签订书面协议，通过租赁、作价入股等流转方式使用林地，在用地报批阶段明确用地红线范围，待光伏电站设施占用林地经审核同意后方可开展建设，不再办理使用林地许可手续。</w:t>
                  </w:r>
                </w:p>
              </w:tc>
              <w:tc>
                <w:tcPr>
                  <w:tcW w:w="1463" w:type="pct"/>
                  <w:tcBorders>
                    <w:tl2br w:val="nil"/>
                    <w:tr2bl w:val="nil"/>
                  </w:tcBorders>
                  <w:vAlign w:val="center"/>
                </w:tcPr>
                <w:p w14:paraId="4B100BF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1.本项目生产区已办理已取得云南省林地审核同意书（云林许准（曲）〔2025〕272号）。</w:t>
                  </w:r>
                </w:p>
                <w:p w14:paraId="1ABF2835">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2.项目尚未开工，未办理</w:t>
                  </w:r>
                  <w:r>
                    <w:rPr>
                      <w:rFonts w:hint="default"/>
                      <w:color w:val="auto"/>
                      <w:sz w:val="21"/>
                      <w:szCs w:val="21"/>
                      <w:highlight w:val="none"/>
                    </w:rPr>
                    <w:t>临时占用林地手续</w:t>
                  </w:r>
                  <w:r>
                    <w:rPr>
                      <w:rFonts w:hint="eastAsia"/>
                      <w:color w:val="auto"/>
                      <w:sz w:val="21"/>
                      <w:szCs w:val="21"/>
                      <w:highlight w:val="none"/>
                      <w:lang w:eastAsia="zh-CN"/>
                    </w:rPr>
                    <w:t>。</w:t>
                  </w:r>
                  <w:r>
                    <w:rPr>
                      <w:rFonts w:hint="eastAsia"/>
                      <w:color w:val="auto"/>
                      <w:sz w:val="21"/>
                      <w:szCs w:val="21"/>
                      <w:highlight w:val="none"/>
                      <w:lang w:val="en-US" w:eastAsia="zh-CN"/>
                    </w:rPr>
                    <w:t>环评已要求建设单位在开工前按要求办理临时占用林地手续</w:t>
                  </w:r>
                </w:p>
              </w:tc>
              <w:tc>
                <w:tcPr>
                  <w:tcW w:w="506" w:type="pct"/>
                  <w:tcBorders>
                    <w:tl2br w:val="nil"/>
                    <w:tr2bl w:val="nil"/>
                  </w:tcBorders>
                  <w:vAlign w:val="center"/>
                </w:tcPr>
                <w:p w14:paraId="58C6D9E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73F68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304" w:type="pct"/>
                  <w:tcBorders>
                    <w:tl2br w:val="nil"/>
                    <w:tr2bl w:val="nil"/>
                  </w:tcBorders>
                  <w:vAlign w:val="center"/>
                </w:tcPr>
                <w:p w14:paraId="0AF462E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4</w:t>
                  </w:r>
                </w:p>
              </w:tc>
              <w:tc>
                <w:tcPr>
                  <w:tcW w:w="2726" w:type="pct"/>
                  <w:tcBorders>
                    <w:tl2br w:val="nil"/>
                    <w:tr2bl w:val="nil"/>
                  </w:tcBorders>
                  <w:vAlign w:val="center"/>
                </w:tcPr>
                <w:p w14:paraId="5EF5E6A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建设标准。电池组件阵列区在设计方面应当尽可能节约集约使用林地，光伏板最低沿与地面距离不得低于2.5m，电池组件阵列各排、列的布置间距应当符合《光伏电站设计规范》（GB 50797-2012）或《光伏发电站设计规范》（GB 50797-20XX）相关规定；场内检修道路设计应当符合《光伏发电站设计规范》（GB 50797-2012）以及《光伏发电工程施工组织设计规范》（GB/T 50795-2012）的相关要求。光伏复合项目电池组件阵列用地涉及林地以外农用地的，建设标准应严格按照《云南省自然资源厅 云南省能源局关于进一步支持光伏扶贫和规范光伏发电产业用地的通知》（云自然资〔2019〕196号）要求执行。</w:t>
                  </w:r>
                </w:p>
              </w:tc>
              <w:tc>
                <w:tcPr>
                  <w:tcW w:w="1463" w:type="pct"/>
                  <w:tcBorders>
                    <w:tl2br w:val="nil"/>
                    <w:tr2bl w:val="nil"/>
                  </w:tcBorders>
                  <w:vAlign w:val="center"/>
                </w:tcPr>
                <w:p w14:paraId="1ABC9E3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1.本项目光伏板最低沿与地面距离为2.5m。电池组件阵列各排、列的布置间距应当符合《光伏电站设计规范》（GB 50797-2012）。</w:t>
                  </w:r>
                </w:p>
                <w:p w14:paraId="261989A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eastAsia="zh-CN"/>
                    </w:rPr>
                  </w:pPr>
                  <w:r>
                    <w:rPr>
                      <w:rFonts w:hint="eastAsia"/>
                      <w:color w:val="auto"/>
                      <w:sz w:val="21"/>
                      <w:szCs w:val="21"/>
                      <w:highlight w:val="none"/>
                      <w:lang w:val="en-US" w:eastAsia="zh-CN"/>
                    </w:rPr>
                    <w:t>2.</w:t>
                  </w:r>
                  <w:r>
                    <w:rPr>
                      <w:rFonts w:hint="eastAsia"/>
                      <w:color w:val="auto"/>
                      <w:sz w:val="21"/>
                      <w:szCs w:val="21"/>
                      <w:highlight w:val="none"/>
                    </w:rPr>
                    <w:t>项目已取得云南省林地审核同意书</w:t>
                  </w:r>
                  <w:r>
                    <w:rPr>
                      <w:rFonts w:hint="eastAsia"/>
                      <w:color w:val="auto"/>
                      <w:sz w:val="21"/>
                      <w:szCs w:val="21"/>
                      <w:highlight w:val="none"/>
                      <w:lang w:val="en-US" w:eastAsia="zh-CN"/>
                    </w:rPr>
                    <w:t>（云林许准（曲）〔2025〕272号）</w:t>
                  </w:r>
                  <w:r>
                    <w:rPr>
                      <w:rFonts w:hint="eastAsia"/>
                      <w:color w:val="auto"/>
                      <w:sz w:val="21"/>
                      <w:szCs w:val="21"/>
                      <w:highlight w:val="none"/>
                      <w:lang w:eastAsia="zh-CN"/>
                    </w:rPr>
                    <w:t>。</w:t>
                  </w:r>
                </w:p>
                <w:p w14:paraId="664058CE">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eastAsia="仿宋"/>
                      <w:color w:val="auto"/>
                      <w:sz w:val="21"/>
                      <w:szCs w:val="21"/>
                      <w:highlight w:val="none"/>
                      <w:lang w:val="en-US" w:eastAsia="zh-CN"/>
                    </w:rPr>
                  </w:pPr>
                  <w:r>
                    <w:rPr>
                      <w:rFonts w:hint="eastAsia"/>
                      <w:color w:val="auto"/>
                      <w:sz w:val="21"/>
                      <w:szCs w:val="21"/>
                      <w:highlight w:val="none"/>
                      <w:lang w:val="en-US" w:eastAsia="zh-CN"/>
                    </w:rPr>
                    <w:t>3.本项目光伏立柱间距为4.2m，行间距为6.5m，符合</w:t>
                  </w:r>
                  <w:r>
                    <w:rPr>
                      <w:rFonts w:hint="default"/>
                      <w:color w:val="auto"/>
                      <w:sz w:val="21"/>
                      <w:szCs w:val="21"/>
                      <w:highlight w:val="none"/>
                    </w:rPr>
                    <w:t>〔2019〕196号</w:t>
                  </w:r>
                  <w:r>
                    <w:rPr>
                      <w:rFonts w:hint="eastAsia"/>
                      <w:color w:val="auto"/>
                      <w:sz w:val="21"/>
                      <w:szCs w:val="21"/>
                      <w:highlight w:val="none"/>
                      <w:lang w:val="en-US" w:eastAsia="zh-CN"/>
                    </w:rPr>
                    <w:t>文件要求</w:t>
                  </w:r>
                </w:p>
              </w:tc>
              <w:tc>
                <w:tcPr>
                  <w:tcW w:w="506" w:type="pct"/>
                  <w:tcBorders>
                    <w:tl2br w:val="nil"/>
                    <w:tr2bl w:val="nil"/>
                  </w:tcBorders>
                  <w:vAlign w:val="center"/>
                </w:tcPr>
                <w:p w14:paraId="0F3F30A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D34A5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6" w:hRule="atLeast"/>
                <w:jc w:val="center"/>
              </w:trPr>
              <w:tc>
                <w:tcPr>
                  <w:tcW w:w="304" w:type="pct"/>
                  <w:tcBorders>
                    <w:tl2br w:val="nil"/>
                    <w:tr2bl w:val="nil"/>
                  </w:tcBorders>
                  <w:vAlign w:val="center"/>
                </w:tcPr>
                <w:p w14:paraId="35DC38B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5</w:t>
                  </w:r>
                </w:p>
              </w:tc>
              <w:tc>
                <w:tcPr>
                  <w:tcW w:w="2726" w:type="pct"/>
                  <w:tcBorders>
                    <w:tl2br w:val="nil"/>
                    <w:tr2bl w:val="nil"/>
                  </w:tcBorders>
                  <w:vAlign w:val="center"/>
                </w:tcPr>
                <w:p w14:paraId="45F80D8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植被保护。光伏复合项目在满足正常运营的同时，须保证电池组件阵列下方不得改变林草地用途，不得裸露地表、硬化或作其他用途</w:t>
                  </w:r>
                  <w:r>
                    <w:rPr>
                      <w:rFonts w:hint="eastAsia"/>
                      <w:color w:val="auto"/>
                      <w:sz w:val="21"/>
                      <w:szCs w:val="21"/>
                      <w:highlight w:val="none"/>
                    </w:rPr>
                    <w:t>。</w:t>
                  </w:r>
                </w:p>
                <w:p w14:paraId="0FDFCCE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光伏复合项目施工期要切实做好项目区原生植被的保护，最大程度减少对植被的破坏。施工车辆、设备、人员进场后应尽量不破坏原有土层和地表植物，地埋电缆槽、临时弃渣场等确需对地表进行开挖的，施工单位应当严格按照设计范围进行施工，施工结束后立即开展植被恢复工作，县级林草主管部门对恢复情况进行检查验收。电池组件阵列区内林地上涉及散生木的，应当优化设计、尽量避让，在满足光伏电站正常建设运营的同时，尽可能减少对散生木的采伐。涉及古树名木的，一律避让。</w:t>
                  </w:r>
                </w:p>
              </w:tc>
              <w:tc>
                <w:tcPr>
                  <w:tcW w:w="1463" w:type="pct"/>
                  <w:tcBorders>
                    <w:tl2br w:val="nil"/>
                    <w:tr2bl w:val="nil"/>
                  </w:tcBorders>
                  <w:vAlign w:val="center"/>
                </w:tcPr>
                <w:p w14:paraId="06C8256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eastAsia="zh-CN"/>
                    </w:rPr>
                  </w:pPr>
                  <w:r>
                    <w:rPr>
                      <w:rFonts w:hint="eastAsia"/>
                      <w:color w:val="auto"/>
                      <w:sz w:val="21"/>
                      <w:szCs w:val="21"/>
                      <w:highlight w:val="none"/>
                      <w:lang w:val="en-US" w:eastAsia="zh-CN"/>
                    </w:rPr>
                    <w:t>1.</w:t>
                  </w:r>
                  <w:r>
                    <w:rPr>
                      <w:rFonts w:hint="eastAsia"/>
                      <w:color w:val="auto"/>
                      <w:sz w:val="21"/>
                      <w:szCs w:val="21"/>
                      <w:highlight w:val="none"/>
                    </w:rPr>
                    <w:t>项目不会改变光伏板下方土地功能</w:t>
                  </w:r>
                  <w:r>
                    <w:rPr>
                      <w:rFonts w:hint="eastAsia"/>
                      <w:color w:val="auto"/>
                      <w:sz w:val="21"/>
                      <w:szCs w:val="21"/>
                      <w:highlight w:val="none"/>
                      <w:lang w:eastAsia="zh-CN"/>
                    </w:rPr>
                    <w:t>。</w:t>
                  </w:r>
                </w:p>
                <w:p w14:paraId="3726730F">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2.本项目施工设计已最大程度减少对原生植被的破坏，尽可能利用现有道路和现状牧道，不开台施工，减少临时工程数量。</w:t>
                  </w:r>
                </w:p>
                <w:p w14:paraId="4D4E531D">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3.本项目已按当地林草部门要求编制了《使用林草地植被保护方案》，项目施工期间同步进行植被恢复工作。</w:t>
                  </w:r>
                </w:p>
                <w:p w14:paraId="61A23987">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4.本项目选址范围内不涉及古树名木。</w:t>
                  </w:r>
                </w:p>
              </w:tc>
              <w:tc>
                <w:tcPr>
                  <w:tcW w:w="506" w:type="pct"/>
                  <w:tcBorders>
                    <w:tl2br w:val="nil"/>
                    <w:tr2bl w:val="nil"/>
                  </w:tcBorders>
                  <w:vAlign w:val="center"/>
                </w:tcPr>
                <w:p w14:paraId="78B87F3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591852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04" w:type="pct"/>
                  <w:tcBorders>
                    <w:tl2br w:val="nil"/>
                    <w:tr2bl w:val="nil"/>
                  </w:tcBorders>
                  <w:vAlign w:val="center"/>
                </w:tcPr>
                <w:p w14:paraId="61586FB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6</w:t>
                  </w:r>
                </w:p>
              </w:tc>
              <w:tc>
                <w:tcPr>
                  <w:tcW w:w="2726" w:type="pct"/>
                  <w:tcBorders>
                    <w:tl2br w:val="nil"/>
                    <w:tr2bl w:val="nil"/>
                  </w:tcBorders>
                  <w:vAlign w:val="center"/>
                </w:tcPr>
                <w:p w14:paraId="3583182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eastAsia="仿宋"/>
                      <w:color w:val="auto"/>
                      <w:sz w:val="21"/>
                      <w:szCs w:val="21"/>
                      <w:highlight w:val="none"/>
                      <w:lang w:eastAsia="zh-CN"/>
                    </w:rPr>
                  </w:pPr>
                  <w:r>
                    <w:rPr>
                      <w:rFonts w:hint="default"/>
                      <w:color w:val="auto"/>
                      <w:sz w:val="21"/>
                      <w:szCs w:val="21"/>
                      <w:highlight w:val="none"/>
                    </w:rPr>
                    <w:t>光伏复合项目运营期要采取多种综合措施，确保项目区原生植被正常生长。施工前项目业主单位应当对项目区植被情况以图文或影像方式进行记录，申报办理许可手续时，将记录材料提交县级林草主管部门存档。运营期电池组件阵列下方原有植被盖度达到30%以上，且具备自然恢复条件的，以自然恢复植被为主，不采取开挖补种、更替树种、除草等人工干预措施；原有植被盖度达到20%以上30%以下，且具备自然恢复条件的，采取补植补种修复植被；原有植被盖度低于20%的，采取人工种草等措施改良植被及土壤条件，防止水土流失和土壤侵蚀。项目区内未设计建设的空地区域，不得破坏原有植被和损毁地表，项目业主单位可在不影响光伏复合项目运营安全的前提下，科学制定绿化方案，适度补植补种乡土树种、草种</w:t>
                  </w:r>
                  <w:r>
                    <w:rPr>
                      <w:rFonts w:hint="eastAsia"/>
                      <w:color w:val="auto"/>
                      <w:sz w:val="21"/>
                      <w:szCs w:val="21"/>
                      <w:highlight w:val="none"/>
                      <w:lang w:eastAsia="zh-CN"/>
                    </w:rPr>
                    <w:t>……</w:t>
                  </w:r>
                </w:p>
              </w:tc>
              <w:tc>
                <w:tcPr>
                  <w:tcW w:w="1463" w:type="pct"/>
                  <w:tcBorders>
                    <w:tl2br w:val="nil"/>
                    <w:tr2bl w:val="nil"/>
                  </w:tcBorders>
                  <w:vAlign w:val="center"/>
                </w:tcPr>
                <w:p w14:paraId="3BA8CA9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1.环评已要求建设单位在施工过程中对区域植被情况进行记录。</w:t>
                  </w:r>
                </w:p>
                <w:p w14:paraId="7F5E97D6">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2.光伏板下方植被覆盖度达到30%以上，主要为灌草丛，自然恢复时间较长。本项目已按当地林草部门要求编制了《使用林草地植被保护方案》，通过人工补种本土植被等干预措施，尽快完成植被恢复。</w:t>
                  </w:r>
                </w:p>
              </w:tc>
              <w:tc>
                <w:tcPr>
                  <w:tcW w:w="506" w:type="pct"/>
                  <w:tcBorders>
                    <w:tl2br w:val="nil"/>
                    <w:tr2bl w:val="nil"/>
                  </w:tcBorders>
                  <w:vAlign w:val="center"/>
                </w:tcPr>
                <w:p w14:paraId="41622E9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bl>
          <w:p w14:paraId="5B78CB96">
            <w:pPr>
              <w:keepNext w:val="0"/>
              <w:keepLines w:val="0"/>
              <w:suppressLineNumbers w:val="0"/>
              <w:spacing w:before="0" w:beforeAutospacing="0" w:after="0" w:afterAutospacing="0"/>
              <w:ind w:left="0" w:right="0" w:firstLine="0" w:firstLineChars="0"/>
              <w:rPr>
                <w:rFonts w:hint="eastAsia"/>
                <w:color w:val="auto"/>
                <w:highlight w:val="none"/>
              </w:rPr>
            </w:pPr>
            <w:r>
              <w:rPr>
                <w:rFonts w:hint="eastAsia"/>
                <w:color w:val="auto"/>
                <w:highlight w:val="none"/>
              </w:rPr>
              <w:t>1.5.</w:t>
            </w:r>
            <w:r>
              <w:rPr>
                <w:rFonts w:hint="eastAsia"/>
                <w:color w:val="auto"/>
                <w:highlight w:val="none"/>
                <w:lang w:val="en-US" w:eastAsia="zh-CN"/>
              </w:rPr>
              <w:t>3</w:t>
            </w:r>
            <w:r>
              <w:rPr>
                <w:rFonts w:hint="eastAsia"/>
                <w:color w:val="auto"/>
                <w:highlight w:val="none"/>
              </w:rPr>
              <w:t xml:space="preserve"> 项目与《云南省发展和改革委员会关于加强光伏资源开发建设有关工作的通知》（云发改能源〔2023〕785号）相符性分析</w:t>
            </w:r>
          </w:p>
          <w:p w14:paraId="15D813F3">
            <w:pPr>
              <w:keepNext w:val="0"/>
              <w:keepLines w:val="0"/>
              <w:suppressLineNumbers w:val="0"/>
              <w:spacing w:before="0" w:beforeAutospacing="0" w:after="0" w:afterAutospacing="0"/>
              <w:ind w:left="0" w:right="0" w:firstLine="0" w:firstLineChars="0"/>
              <w:rPr>
                <w:rFonts w:hint="default"/>
                <w:color w:val="auto"/>
                <w:highlight w:val="none"/>
              </w:rPr>
            </w:pPr>
          </w:p>
          <w:p w14:paraId="3DFB9B31">
            <w:pPr>
              <w:keepNext w:val="0"/>
              <w:keepLines w:val="0"/>
              <w:suppressLineNumbers w:val="0"/>
              <w:kinsoku w:val="0"/>
              <w:overflowPunct w:val="0"/>
              <w:adjustRightInd w:val="0"/>
              <w:snapToGrid w:val="0"/>
              <w:spacing w:before="0" w:beforeAutospacing="0" w:after="0" w:afterAutospacing="0"/>
              <w:ind w:left="0" w:right="0" w:firstLine="0" w:firstLineChars="0"/>
              <w:jc w:val="center"/>
              <w:rPr>
                <w:rFonts w:hint="default"/>
                <w:b/>
                <w:color w:val="auto"/>
                <w:highlight w:val="none"/>
              </w:rPr>
            </w:pPr>
            <w:r>
              <w:rPr>
                <w:rFonts w:hint="default"/>
                <w:b/>
                <w:color w:val="auto"/>
                <w:sz w:val="21"/>
                <w:szCs w:val="21"/>
                <w:highlight w:val="none"/>
              </w:rPr>
              <w:t>表</w:t>
            </w:r>
            <w:r>
              <w:rPr>
                <w:rFonts w:hint="eastAsia"/>
                <w:b/>
                <w:color w:val="auto"/>
                <w:sz w:val="21"/>
                <w:szCs w:val="21"/>
                <w:highlight w:val="none"/>
                <w:lang w:val="en-US" w:eastAsia="zh-CN"/>
              </w:rPr>
              <w:t>1.5-3</w:t>
            </w:r>
            <w:r>
              <w:rPr>
                <w:rFonts w:hint="eastAsia"/>
                <w:b/>
                <w:color w:val="auto"/>
                <w:sz w:val="21"/>
                <w:szCs w:val="21"/>
                <w:highlight w:val="none"/>
              </w:rPr>
              <w:t xml:space="preserve"> </w:t>
            </w:r>
            <w:r>
              <w:rPr>
                <w:rFonts w:hint="default"/>
                <w:b/>
                <w:color w:val="auto"/>
                <w:sz w:val="21"/>
                <w:szCs w:val="21"/>
                <w:highlight w:val="none"/>
              </w:rPr>
              <w:t>与《云南省发展和改革委员会关于加强光伏资源开发建设有关工作的通知》符合性分析一览表</w:t>
            </w:r>
          </w:p>
          <w:tbl>
            <w:tblPr>
              <w:tblStyle w:val="10"/>
              <w:tblW w:w="471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6631"/>
              <w:gridCol w:w="3559"/>
              <w:gridCol w:w="1232"/>
            </w:tblGrid>
            <w:tr w14:paraId="4DFD47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304" w:type="pct"/>
                  <w:tcBorders>
                    <w:tl2br w:val="nil"/>
                    <w:tr2bl w:val="nil"/>
                  </w:tcBorders>
                  <w:vAlign w:val="center"/>
                </w:tcPr>
                <w:p w14:paraId="15286930">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序号</w:t>
                  </w:r>
                </w:p>
              </w:tc>
              <w:tc>
                <w:tcPr>
                  <w:tcW w:w="2726" w:type="pct"/>
                  <w:tcBorders>
                    <w:tl2br w:val="nil"/>
                    <w:tr2bl w:val="nil"/>
                  </w:tcBorders>
                  <w:vAlign w:val="center"/>
                </w:tcPr>
                <w:p w14:paraId="0EB88B78">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要求（摘录）</w:t>
                  </w:r>
                </w:p>
              </w:tc>
              <w:tc>
                <w:tcPr>
                  <w:tcW w:w="1463" w:type="pct"/>
                  <w:tcBorders>
                    <w:tl2br w:val="nil"/>
                    <w:tr2bl w:val="nil"/>
                  </w:tcBorders>
                  <w:vAlign w:val="center"/>
                </w:tcPr>
                <w:p w14:paraId="005D2552">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项目情况</w:t>
                  </w:r>
                </w:p>
              </w:tc>
              <w:tc>
                <w:tcPr>
                  <w:tcW w:w="506" w:type="pct"/>
                  <w:tcBorders>
                    <w:tl2br w:val="nil"/>
                    <w:tr2bl w:val="nil"/>
                  </w:tcBorders>
                  <w:vAlign w:val="center"/>
                </w:tcPr>
                <w:p w14:paraId="3766D64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b/>
                      <w:bCs/>
                      <w:color w:val="auto"/>
                      <w:sz w:val="21"/>
                      <w:szCs w:val="21"/>
                      <w:highlight w:val="none"/>
                    </w:rPr>
                    <w:t>符合性</w:t>
                  </w:r>
                </w:p>
              </w:tc>
            </w:tr>
            <w:tr w14:paraId="3CBCB9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vAlign w:val="center"/>
                </w:tcPr>
                <w:p w14:paraId="2C58AC1B">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1</w:t>
                  </w:r>
                </w:p>
              </w:tc>
              <w:tc>
                <w:tcPr>
                  <w:tcW w:w="2726" w:type="pct"/>
                  <w:tcBorders>
                    <w:tl2br w:val="nil"/>
                    <w:tr2bl w:val="nil"/>
                  </w:tcBorders>
                  <w:vAlign w:val="center"/>
                </w:tcPr>
                <w:p w14:paraId="7D4E41F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default"/>
                      <w:color w:val="auto"/>
                      <w:sz w:val="21"/>
                      <w:szCs w:val="21"/>
                      <w:highlight w:val="none"/>
                    </w:rPr>
                    <w:t>开展资源系统排查。统筹考虑生态环境敏感因素及项目的可行性，扣除生态保护红线、耕地（含永久基本农田）、城镇开发边界、天然林、采矿权、耕地林地后备资源、坡度大于40度等区域，鼓励利用采矿沉陷区、尾矿库以及“四荒地”等未利用地，优化现有全省光伏资源分布“一张图”。各州、市按照光伏资源分布“一张图”，统筹协调做好辖区内的光伏资源排查、规划优化调整等技术性工作，加强对企业的指导，未在“一张图”范围内的光伏项目，一律不得纳入各级政府规划、开展前期准备工作。（各州、市人民政府，省自然资源厅、省林草局、省能源局、省发展改革委）</w:t>
                  </w:r>
                </w:p>
              </w:tc>
              <w:tc>
                <w:tcPr>
                  <w:tcW w:w="1463" w:type="pct"/>
                  <w:tcBorders>
                    <w:tl2br w:val="nil"/>
                    <w:tr2bl w:val="nil"/>
                  </w:tcBorders>
                  <w:vAlign w:val="center"/>
                </w:tcPr>
                <w:p w14:paraId="7F8735C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default"/>
                      <w:color w:val="auto"/>
                      <w:sz w:val="21"/>
                      <w:szCs w:val="21"/>
                      <w:highlight w:val="none"/>
                    </w:rPr>
                  </w:pPr>
                  <w:r>
                    <w:rPr>
                      <w:rFonts w:hint="eastAsia"/>
                      <w:color w:val="auto"/>
                      <w:sz w:val="21"/>
                      <w:szCs w:val="21"/>
                      <w:highlight w:val="none"/>
                    </w:rPr>
                    <w:t>本项目选址不</w:t>
                  </w:r>
                  <w:r>
                    <w:rPr>
                      <w:rFonts w:hint="eastAsia"/>
                      <w:color w:val="auto"/>
                      <w:sz w:val="21"/>
                      <w:szCs w:val="21"/>
                      <w:highlight w:val="none"/>
                      <w:lang w:val="en-US" w:eastAsia="zh-CN"/>
                    </w:rPr>
                    <w:t>占用</w:t>
                  </w:r>
                  <w:r>
                    <w:rPr>
                      <w:rFonts w:hint="eastAsia"/>
                      <w:color w:val="auto"/>
                      <w:sz w:val="21"/>
                      <w:szCs w:val="21"/>
                      <w:highlight w:val="none"/>
                    </w:rPr>
                    <w:t>生态保护红线、现状耕地、永久基本农田、城镇开发边界、天然林、采矿权、耕地林地后备资源、坡度大于40度等区域。</w:t>
                  </w:r>
                </w:p>
              </w:tc>
              <w:tc>
                <w:tcPr>
                  <w:tcW w:w="506" w:type="pct"/>
                  <w:tcBorders>
                    <w:tl2br w:val="nil"/>
                    <w:tr2bl w:val="nil"/>
                  </w:tcBorders>
                  <w:vAlign w:val="center"/>
                </w:tcPr>
                <w:p w14:paraId="6E22AC33">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相符</w:t>
                  </w:r>
                </w:p>
              </w:tc>
            </w:tr>
            <w:tr w14:paraId="091D78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vAlign w:val="center"/>
                </w:tcPr>
                <w:p w14:paraId="7A5EED24">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eastAsia="仿宋"/>
                      <w:color w:val="auto"/>
                      <w:sz w:val="21"/>
                      <w:szCs w:val="21"/>
                      <w:highlight w:val="none"/>
                      <w:lang w:val="en-US" w:eastAsia="zh-CN"/>
                    </w:rPr>
                  </w:pPr>
                  <w:r>
                    <w:rPr>
                      <w:rFonts w:hint="eastAsia"/>
                      <w:color w:val="auto"/>
                      <w:sz w:val="21"/>
                      <w:szCs w:val="21"/>
                      <w:highlight w:val="none"/>
                      <w:lang w:val="en-US" w:eastAsia="zh-CN"/>
                    </w:rPr>
                    <w:t>2</w:t>
                  </w:r>
                </w:p>
              </w:tc>
              <w:tc>
                <w:tcPr>
                  <w:tcW w:w="2726" w:type="pct"/>
                  <w:tcBorders>
                    <w:tl2br w:val="nil"/>
                    <w:tr2bl w:val="nil"/>
                  </w:tcBorders>
                  <w:vAlign w:val="center"/>
                </w:tcPr>
                <w:p w14:paraId="238953FA">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rPr>
                      <w:rFonts w:hint="default"/>
                      <w:color w:val="auto"/>
                      <w:sz w:val="21"/>
                      <w:szCs w:val="21"/>
                      <w:highlight w:val="none"/>
                    </w:rPr>
                  </w:pPr>
                  <w:r>
                    <w:rPr>
                      <w:rFonts w:hint="eastAsia"/>
                      <w:color w:val="auto"/>
                      <w:sz w:val="21"/>
                      <w:szCs w:val="21"/>
                      <w:highlight w:val="none"/>
                    </w:rPr>
                    <w:t>贯通规划及审批环节。强化项目的前期踏勘选址论证，要素保障部门要优化用林用地现场查验流程，从项目规划环节提前介入，为开展项目前期工作的企业提供必要图斑等数据支持，并对初步谋划的项目及规划成果，作叠图分析等必要的技术查验。（各州、市人民政府，省自然资源厅、省林草局）</w:t>
                  </w:r>
                </w:p>
              </w:tc>
              <w:tc>
                <w:tcPr>
                  <w:tcW w:w="1463" w:type="pct"/>
                  <w:tcBorders>
                    <w:tl2br w:val="nil"/>
                    <w:tr2bl w:val="nil"/>
                  </w:tcBorders>
                  <w:vAlign w:val="center"/>
                </w:tcPr>
                <w:p w14:paraId="7D2945CC">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left"/>
                    <w:rPr>
                      <w:rFonts w:hint="eastAsia" w:eastAsia="仿宋"/>
                      <w:color w:val="auto"/>
                      <w:sz w:val="21"/>
                      <w:szCs w:val="21"/>
                      <w:highlight w:val="none"/>
                      <w:lang w:val="en-US" w:eastAsia="zh-CN"/>
                    </w:rPr>
                  </w:pPr>
                  <w:r>
                    <w:rPr>
                      <w:rFonts w:hint="eastAsia"/>
                      <w:color w:val="auto"/>
                      <w:sz w:val="21"/>
                      <w:szCs w:val="21"/>
                      <w:highlight w:val="none"/>
                      <w:lang w:val="en-US" w:eastAsia="zh-CN"/>
                    </w:rPr>
                    <w:t>项目林地占用已取得云南省林地审核同意书（云林许准（曲）〔2025〕272号）</w:t>
                  </w:r>
                  <w:r>
                    <w:rPr>
                      <w:rFonts w:hint="eastAsia"/>
                      <w:color w:val="auto"/>
                      <w:sz w:val="21"/>
                      <w:szCs w:val="21"/>
                      <w:highlight w:val="none"/>
                      <w:lang w:eastAsia="zh-CN"/>
                    </w:rPr>
                    <w:t>。</w:t>
                  </w:r>
                </w:p>
              </w:tc>
              <w:tc>
                <w:tcPr>
                  <w:tcW w:w="506" w:type="pct"/>
                  <w:tcBorders>
                    <w:tl2br w:val="nil"/>
                    <w:tr2bl w:val="nil"/>
                  </w:tcBorders>
                  <w:vAlign w:val="center"/>
                </w:tcPr>
                <w:p w14:paraId="41715D29">
                  <w:pPr>
                    <w:keepNext w:val="0"/>
                    <w:keepLines w:val="0"/>
                    <w:suppressLineNumbers w:val="0"/>
                    <w:kinsoku w:val="0"/>
                    <w:overflowPunct w:val="0"/>
                    <w:adjustRightInd w:val="0"/>
                    <w:snapToGrid w:val="0"/>
                    <w:spacing w:before="0" w:beforeAutospacing="0" w:after="0" w:afterAutospacing="0" w:line="240" w:lineRule="auto"/>
                    <w:ind w:left="0" w:right="0" w:firstLine="0" w:firstLineChars="0"/>
                    <w:jc w:val="center"/>
                    <w:rPr>
                      <w:rFonts w:hint="eastAsia"/>
                      <w:color w:val="auto"/>
                      <w:sz w:val="21"/>
                      <w:szCs w:val="21"/>
                      <w:highlight w:val="none"/>
                    </w:rPr>
                  </w:pPr>
                </w:p>
              </w:tc>
            </w:tr>
          </w:tbl>
          <w:p w14:paraId="46FC335B">
            <w:pPr>
              <w:keepNext w:val="0"/>
              <w:keepLines w:val="0"/>
              <w:suppressLineNumbers w:val="0"/>
              <w:spacing w:before="0" w:beforeAutospacing="0" w:after="0" w:afterAutospacing="0"/>
              <w:ind w:left="0" w:right="0" w:firstLine="480"/>
              <w:rPr>
                <w:rFonts w:hint="default"/>
                <w:color w:val="auto"/>
                <w:highlight w:val="none"/>
              </w:rPr>
            </w:pPr>
          </w:p>
          <w:p w14:paraId="7ADEEE2D">
            <w:pPr>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1.5.4 项目与《中华人民共和国长江保护法》相符性分析</w:t>
            </w:r>
          </w:p>
          <w:p w14:paraId="19D45650">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default"/>
                <w:color w:val="auto"/>
                <w:highlight w:val="none"/>
              </w:rPr>
              <w:t>项目与《中华人民共和国长江保护法》符合性见表</w:t>
            </w:r>
            <w:r>
              <w:rPr>
                <w:rFonts w:hint="eastAsia"/>
                <w:color w:val="auto"/>
                <w:highlight w:val="none"/>
                <w:lang w:val="en-US" w:eastAsia="zh-CN"/>
              </w:rPr>
              <w:t>1.5-4</w:t>
            </w:r>
          </w:p>
          <w:p w14:paraId="212DFBA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1"/>
                <w:szCs w:val="21"/>
                <w:highlight w:val="none"/>
              </w:rPr>
              <w:t>表</w:t>
            </w:r>
            <w:r>
              <w:rPr>
                <w:rFonts w:hint="eastAsia" w:cs="Times New Roman"/>
                <w:b/>
                <w:color w:val="auto"/>
                <w:sz w:val="21"/>
                <w:szCs w:val="21"/>
                <w:highlight w:val="none"/>
                <w:lang w:val="en-US" w:eastAsia="zh-CN"/>
              </w:rPr>
              <w:t xml:space="preserve">1.5-4 </w:t>
            </w:r>
            <w:r>
              <w:rPr>
                <w:rFonts w:hint="default" w:ascii="Times New Roman" w:hAnsi="Times New Roman" w:cs="Times New Roman"/>
                <w:b/>
                <w:color w:val="auto"/>
                <w:sz w:val="21"/>
                <w:szCs w:val="21"/>
                <w:highlight w:val="none"/>
              </w:rPr>
              <w:t>与</w:t>
            </w:r>
            <w:r>
              <w:rPr>
                <w:rFonts w:hint="eastAsia" w:cs="Times New Roman"/>
                <w:b/>
                <w:color w:val="auto"/>
                <w:sz w:val="21"/>
                <w:szCs w:val="21"/>
                <w:highlight w:val="none"/>
                <w:lang w:eastAsia="zh-CN"/>
              </w:rPr>
              <w:t>《中华人民共和国长江保护法》</w:t>
            </w:r>
            <w:r>
              <w:rPr>
                <w:rFonts w:hint="default" w:ascii="Times New Roman" w:hAnsi="Times New Roman" w:cs="Times New Roman"/>
                <w:b/>
                <w:color w:val="auto"/>
                <w:sz w:val="21"/>
                <w:szCs w:val="21"/>
                <w:highlight w:val="none"/>
              </w:rPr>
              <w:t>符合性分析一览表</w:t>
            </w:r>
          </w:p>
          <w:tbl>
            <w:tblPr>
              <w:tblStyle w:val="10"/>
              <w:tblW w:w="471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6631"/>
              <w:gridCol w:w="3559"/>
              <w:gridCol w:w="1232"/>
            </w:tblGrid>
            <w:tr w14:paraId="719D46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304" w:type="pct"/>
                  <w:tcBorders>
                    <w:tl2br w:val="nil"/>
                    <w:tr2bl w:val="nil"/>
                  </w:tcBorders>
                  <w:noWrap w:val="0"/>
                  <w:vAlign w:val="center"/>
                </w:tcPr>
                <w:p w14:paraId="36B4CA1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序号</w:t>
                  </w:r>
                </w:p>
              </w:tc>
              <w:tc>
                <w:tcPr>
                  <w:tcW w:w="2726" w:type="pct"/>
                  <w:tcBorders>
                    <w:tl2br w:val="nil"/>
                    <w:tr2bl w:val="nil"/>
                  </w:tcBorders>
                  <w:noWrap w:val="0"/>
                  <w:vAlign w:val="center"/>
                </w:tcPr>
                <w:p w14:paraId="6184997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要求（摘录）</w:t>
                  </w:r>
                </w:p>
              </w:tc>
              <w:tc>
                <w:tcPr>
                  <w:tcW w:w="1463" w:type="pct"/>
                  <w:tcBorders>
                    <w:tl2br w:val="nil"/>
                    <w:tr2bl w:val="nil"/>
                  </w:tcBorders>
                  <w:noWrap w:val="0"/>
                  <w:vAlign w:val="center"/>
                </w:tcPr>
                <w:p w14:paraId="27CC812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506" w:type="pct"/>
                  <w:tcBorders>
                    <w:tl2br w:val="nil"/>
                    <w:tr2bl w:val="nil"/>
                  </w:tcBorders>
                  <w:noWrap w:val="0"/>
                  <w:vAlign w:val="center"/>
                </w:tcPr>
                <w:p w14:paraId="0B259CC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符合性</w:t>
                  </w:r>
                </w:p>
              </w:tc>
            </w:tr>
            <w:tr w14:paraId="3E8CAB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304" w:type="pct"/>
                  <w:tcBorders>
                    <w:tl2br w:val="nil"/>
                    <w:tr2bl w:val="nil"/>
                  </w:tcBorders>
                  <w:noWrap w:val="0"/>
                  <w:vAlign w:val="center"/>
                </w:tcPr>
                <w:p w14:paraId="511938C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1</w:t>
                  </w:r>
                </w:p>
              </w:tc>
              <w:tc>
                <w:tcPr>
                  <w:tcW w:w="2726" w:type="pct"/>
                  <w:tcBorders>
                    <w:tl2br w:val="nil"/>
                    <w:tr2bl w:val="nil"/>
                  </w:tcBorders>
                  <w:noWrap w:val="0"/>
                  <w:vAlign w:val="center"/>
                </w:tcPr>
                <w:p w14:paraId="4675EFD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家对长江流域河湖岸线实施特殊管制。国家长江流域协调机制统筹协调国务院自然资源、水行政、生态环境、住房和城乡建设、农业农村、交通运输、林业和草原等部门和长江流域省级人民政府划定河湖岸线保护范围，制定河湖岸线保护规划，严格控制岸线开发建设，促进岸线合理高效利用。</w:t>
                  </w:r>
                </w:p>
                <w:p w14:paraId="72792C9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禁止在长江干支流岸线一公里范围内新建、扩建化工园区和化工项目。</w:t>
                  </w:r>
                </w:p>
                <w:p w14:paraId="4E64EA48">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禁止在长江干流岸线三公里范围内和重要支流岸线一公里范围内新建、改建、扩建尾矿库；但是以提升安全、生态环境保护水平为目的的改建除外</w:t>
                  </w:r>
                </w:p>
              </w:tc>
              <w:tc>
                <w:tcPr>
                  <w:tcW w:w="1463" w:type="pct"/>
                  <w:tcBorders>
                    <w:tl2br w:val="nil"/>
                    <w:tr2bl w:val="nil"/>
                  </w:tcBorders>
                  <w:noWrap w:val="0"/>
                  <w:vAlign w:val="center"/>
                </w:tcPr>
                <w:p w14:paraId="4C672A8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cs="Times New Roman"/>
                      <w:color w:val="auto"/>
                      <w:spacing w:val="-2"/>
                      <w:sz w:val="21"/>
                      <w:szCs w:val="21"/>
                      <w:highlight w:val="none"/>
                    </w:rPr>
                    <w:t>项目</w:t>
                  </w:r>
                  <w:r>
                    <w:rPr>
                      <w:rFonts w:hint="eastAsia" w:ascii="Times New Roman" w:hAnsi="Times New Roman" w:cs="Times New Roman"/>
                      <w:color w:val="auto"/>
                      <w:spacing w:val="-2"/>
                      <w:sz w:val="21"/>
                      <w:szCs w:val="21"/>
                      <w:highlight w:val="none"/>
                      <w:lang w:val="en-US" w:eastAsia="zh-CN"/>
                    </w:rPr>
                    <w:t>不涉及长江干支流三公里范围，不属于化工项目和化工园区。不属于尾矿库项目</w:t>
                  </w:r>
                </w:p>
              </w:tc>
              <w:tc>
                <w:tcPr>
                  <w:tcW w:w="506" w:type="pct"/>
                  <w:tcBorders>
                    <w:tl2br w:val="nil"/>
                    <w:tr2bl w:val="nil"/>
                  </w:tcBorders>
                  <w:noWrap w:val="0"/>
                  <w:vAlign w:val="center"/>
                </w:tcPr>
                <w:p w14:paraId="00019589">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不涉及</w:t>
                  </w:r>
                </w:p>
              </w:tc>
            </w:tr>
            <w:tr w14:paraId="0E04C7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jc w:val="center"/>
              </w:trPr>
              <w:tc>
                <w:tcPr>
                  <w:tcW w:w="304" w:type="pct"/>
                  <w:tcBorders>
                    <w:tl2br w:val="nil"/>
                    <w:tr2bl w:val="nil"/>
                  </w:tcBorders>
                  <w:noWrap w:val="0"/>
                  <w:vAlign w:val="center"/>
                </w:tcPr>
                <w:p w14:paraId="6047EEE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2726" w:type="pct"/>
                  <w:tcBorders>
                    <w:tl2br w:val="nil"/>
                    <w:tr2bl w:val="nil"/>
                  </w:tcBorders>
                  <w:noWrap w:val="0"/>
                  <w:vAlign w:val="center"/>
                </w:tcPr>
                <w:p w14:paraId="5CD27DA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国务院</w:t>
                  </w:r>
                  <w:r>
                    <w:rPr>
                      <w:rFonts w:hint="default" w:ascii="Times New Roman" w:hAnsi="Times New Roman" w:cs="Times New Roman"/>
                      <w:color w:val="auto"/>
                      <w:sz w:val="21"/>
                      <w:szCs w:val="21"/>
                      <w:highlight w:val="none"/>
                    </w:rPr>
                    <w:t>交通运输主管部门会同国务院自然资源、水行政、生态环境、农业农村、林业和草原主管部门在长江流域水生生物重要栖息地科学划定禁止航行区域和限制航行区域。</w:t>
                  </w:r>
                </w:p>
                <w:p w14:paraId="7A39B5F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船舶在划定的禁止航行区域内航行。因国家发展战略和国计民生需要，在水生生物重要栖息地禁止航行区域内航行的，应当由国务院交通运输主管部门商国务院农业农村主管部门同意，并应当采取必要措施，减少对重要水生生物的干扰。</w:t>
                  </w:r>
                </w:p>
                <w:p w14:paraId="51F1E3D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严格限制在长江流域生态保护红线、自然保护地、水生生物重要栖息地水域实施航道整治工程；确需整治的，应当经科学论证，并依法办理相关手续。</w:t>
                  </w:r>
                </w:p>
              </w:tc>
              <w:tc>
                <w:tcPr>
                  <w:tcW w:w="1463" w:type="pct"/>
                  <w:tcBorders>
                    <w:tl2br w:val="nil"/>
                    <w:tr2bl w:val="nil"/>
                  </w:tcBorders>
                  <w:noWrap w:val="0"/>
                  <w:vAlign w:val="center"/>
                </w:tcPr>
                <w:p w14:paraId="70D29AD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default" w:ascii="Times New Roman" w:hAnsi="Times New Roman" w:cs="Times New Roman"/>
                      <w:color w:val="auto"/>
                      <w:spacing w:val="-2"/>
                      <w:sz w:val="21"/>
                      <w:szCs w:val="21"/>
                      <w:highlight w:val="none"/>
                    </w:rPr>
                    <w:t>项目不涉及</w:t>
                  </w:r>
                  <w:r>
                    <w:rPr>
                      <w:rFonts w:hint="eastAsia" w:ascii="Times New Roman" w:hAnsi="Times New Roman" w:cs="Times New Roman"/>
                      <w:color w:val="auto"/>
                      <w:spacing w:val="-2"/>
                      <w:sz w:val="21"/>
                      <w:szCs w:val="21"/>
                      <w:highlight w:val="none"/>
                      <w:lang w:val="en-US" w:eastAsia="zh-CN"/>
                    </w:rPr>
                    <w:t>航行河道</w:t>
                  </w:r>
                </w:p>
              </w:tc>
              <w:tc>
                <w:tcPr>
                  <w:tcW w:w="506" w:type="pct"/>
                  <w:tcBorders>
                    <w:tl2br w:val="nil"/>
                    <w:tr2bl w:val="nil"/>
                  </w:tcBorders>
                  <w:noWrap w:val="0"/>
                  <w:vAlign w:val="center"/>
                </w:tcPr>
                <w:p w14:paraId="2F6277F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不涉及</w:t>
                  </w:r>
                </w:p>
              </w:tc>
            </w:tr>
            <w:tr w14:paraId="5C36E8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304" w:type="pct"/>
                  <w:tcBorders>
                    <w:tl2br w:val="nil"/>
                    <w:tr2bl w:val="nil"/>
                  </w:tcBorders>
                  <w:noWrap w:val="0"/>
                  <w:vAlign w:val="center"/>
                </w:tcPr>
                <w:p w14:paraId="2307202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2726" w:type="pct"/>
                  <w:tcBorders>
                    <w:tl2br w:val="nil"/>
                    <w:tr2bl w:val="nil"/>
                  </w:tcBorders>
                  <w:noWrap w:val="0"/>
                  <w:vAlign w:val="center"/>
                </w:tcPr>
                <w:p w14:paraId="77729B1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禁止在长江流域开放水域养殖、投放外来物种或者其他非本地物种种质资源。</w:t>
                  </w:r>
                </w:p>
              </w:tc>
              <w:tc>
                <w:tcPr>
                  <w:tcW w:w="1463" w:type="pct"/>
                  <w:tcBorders>
                    <w:tl2br w:val="nil"/>
                    <w:tr2bl w:val="nil"/>
                  </w:tcBorders>
                  <w:noWrap w:val="0"/>
                  <w:vAlign w:val="center"/>
                </w:tcPr>
                <w:p w14:paraId="3637C1D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项目不涉及水生生态影响，不进行种质资源投放</w:t>
                  </w:r>
                </w:p>
              </w:tc>
              <w:tc>
                <w:tcPr>
                  <w:tcW w:w="506" w:type="pct"/>
                  <w:tcBorders>
                    <w:tl2br w:val="nil"/>
                    <w:tr2bl w:val="nil"/>
                  </w:tcBorders>
                  <w:noWrap w:val="0"/>
                  <w:vAlign w:val="center"/>
                </w:tcPr>
                <w:p w14:paraId="4DAFEB3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不涉及</w:t>
                  </w:r>
                </w:p>
              </w:tc>
            </w:tr>
            <w:tr w14:paraId="1CBF7A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304" w:type="pct"/>
                  <w:tcBorders>
                    <w:tl2br w:val="nil"/>
                    <w:tr2bl w:val="nil"/>
                  </w:tcBorders>
                  <w:noWrap w:val="0"/>
                  <w:vAlign w:val="center"/>
                </w:tcPr>
                <w:p w14:paraId="40CA656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2726" w:type="pct"/>
                  <w:tcBorders>
                    <w:tl2br w:val="nil"/>
                    <w:tr2bl w:val="nil"/>
                  </w:tcBorders>
                  <w:noWrap w:val="0"/>
                  <w:vAlign w:val="center"/>
                </w:tcPr>
                <w:p w14:paraId="216FB19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禁止在长江流域河湖管理范围内倾倒、填埋、堆放、弃置、处理固体废物。长江流域县级以上地方人民政府应当加强对固体废物非法转移和倾倒的联防联控。</w:t>
                  </w:r>
                </w:p>
              </w:tc>
              <w:tc>
                <w:tcPr>
                  <w:tcW w:w="1463" w:type="pct"/>
                  <w:tcBorders>
                    <w:tl2br w:val="nil"/>
                    <w:tr2bl w:val="nil"/>
                  </w:tcBorders>
                  <w:noWrap w:val="0"/>
                  <w:vAlign w:val="center"/>
                </w:tcPr>
                <w:p w14:paraId="2B52C97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本项目不涉及长江流域河湖管理范围</w:t>
                  </w:r>
                </w:p>
              </w:tc>
              <w:tc>
                <w:tcPr>
                  <w:tcW w:w="506" w:type="pct"/>
                  <w:tcBorders>
                    <w:tl2br w:val="nil"/>
                    <w:tr2bl w:val="nil"/>
                  </w:tcBorders>
                  <w:noWrap w:val="0"/>
                  <w:vAlign w:val="center"/>
                </w:tcPr>
                <w:p w14:paraId="28AB1A7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不涉及</w:t>
                  </w:r>
                </w:p>
              </w:tc>
            </w:tr>
            <w:tr w14:paraId="6D7F33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304" w:type="pct"/>
                  <w:tcBorders>
                    <w:tl2br w:val="nil"/>
                    <w:tr2bl w:val="nil"/>
                  </w:tcBorders>
                  <w:noWrap w:val="0"/>
                  <w:vAlign w:val="center"/>
                </w:tcPr>
                <w:p w14:paraId="3B49CF6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2726" w:type="pct"/>
                  <w:tcBorders>
                    <w:tl2br w:val="nil"/>
                    <w:tr2bl w:val="nil"/>
                  </w:tcBorders>
                  <w:noWrap w:val="0"/>
                  <w:vAlign w:val="center"/>
                </w:tcPr>
                <w:p w14:paraId="69472292">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国家长江流域协调机制统筹协调国务院自然资源、水行政、生态环境、住房和城乡建设、农业农村、交通运输、林业和草原等部门和长江流域省级人民政府制定长江流域河湖岸线修复规范，确定岸线修复指标。</w:t>
                  </w:r>
                </w:p>
                <w:p w14:paraId="7D6B1B9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江流域县级以上地方人民政府按照长江流域河湖岸线保护规划、修复规范和指标要求，制定并组织实施河湖岸线修复计划，保障自然岸线比例，恢复河湖岸线生态功能。</w:t>
                  </w:r>
                </w:p>
                <w:p w14:paraId="2BE5BF2E">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禁止违法利用、占用长江流域河湖岸线</w:t>
                  </w:r>
                </w:p>
              </w:tc>
              <w:tc>
                <w:tcPr>
                  <w:tcW w:w="1463" w:type="pct"/>
                  <w:tcBorders>
                    <w:tl2br w:val="nil"/>
                    <w:tr2bl w:val="nil"/>
                  </w:tcBorders>
                  <w:noWrap w:val="0"/>
                  <w:vAlign w:val="center"/>
                </w:tcPr>
                <w:p w14:paraId="313B357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本项目不涉及长江流域河湖岸线</w:t>
                  </w:r>
                </w:p>
              </w:tc>
              <w:tc>
                <w:tcPr>
                  <w:tcW w:w="506" w:type="pct"/>
                  <w:tcBorders>
                    <w:tl2br w:val="nil"/>
                    <w:tr2bl w:val="nil"/>
                  </w:tcBorders>
                  <w:noWrap w:val="0"/>
                  <w:vAlign w:val="center"/>
                </w:tcPr>
                <w:p w14:paraId="1C9DC20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不涉及</w:t>
                  </w:r>
                </w:p>
              </w:tc>
            </w:tr>
            <w:tr w14:paraId="3B8A30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11" w:hRule="atLeast"/>
                <w:jc w:val="center"/>
              </w:trPr>
              <w:tc>
                <w:tcPr>
                  <w:tcW w:w="304" w:type="pct"/>
                  <w:tcBorders>
                    <w:tl2br w:val="nil"/>
                    <w:tr2bl w:val="nil"/>
                  </w:tcBorders>
                  <w:noWrap w:val="0"/>
                  <w:vAlign w:val="center"/>
                </w:tcPr>
                <w:p w14:paraId="246479D7">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2726" w:type="pct"/>
                  <w:tcBorders>
                    <w:tl2br w:val="nil"/>
                    <w:tr2bl w:val="nil"/>
                  </w:tcBorders>
                  <w:noWrap w:val="0"/>
                  <w:vAlign w:val="center"/>
                </w:tcPr>
                <w:p w14:paraId="76CEE04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长江流域水土流失重点预防区和重点治理区的县级以上地方人民政府应当采取措施，防治水土流失。生态保护红线范围内的水土流失地块，以自然恢复为主，按照规定有计划地实施退耕还林还草还湿；划入自然保护地核心保护区的永久基本农田，依法有序退出并予以补划。</w:t>
                  </w:r>
                </w:p>
                <w:p w14:paraId="10484B4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禁止在长江流域水土流失严重、生态脆弱的区域开展可能造成水土流失的生产建设活动。确因国家发展战略和国计民生需要建设的，应当经科学论证，并依法办理审批手续。</w:t>
                  </w:r>
                </w:p>
                <w:p w14:paraId="17EAA07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长江流域县级以上地方人民政府应当对石漠化的土地因地制宜采取综合治理措施，修复生态系统，防止土地石漠化蔓延。</w:t>
                  </w:r>
                </w:p>
              </w:tc>
              <w:tc>
                <w:tcPr>
                  <w:tcW w:w="1463" w:type="pct"/>
                  <w:tcBorders>
                    <w:tl2br w:val="nil"/>
                    <w:tr2bl w:val="nil"/>
                  </w:tcBorders>
                  <w:noWrap w:val="0"/>
                  <w:vAlign w:val="center"/>
                </w:tcPr>
                <w:p w14:paraId="7FAA6BD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本项目不涉及</w:t>
                  </w:r>
                  <w:r>
                    <w:rPr>
                      <w:rFonts w:hint="default" w:ascii="Times New Roman" w:hAnsi="Times New Roman" w:cs="Times New Roman"/>
                      <w:color w:val="auto"/>
                      <w:spacing w:val="-2"/>
                      <w:sz w:val="21"/>
                      <w:szCs w:val="21"/>
                      <w:highlight w:val="none"/>
                    </w:rPr>
                    <w:t>水土流失重点预防区和重点治理区</w:t>
                  </w:r>
                  <w:r>
                    <w:rPr>
                      <w:rFonts w:hint="eastAsia" w:ascii="Times New Roman" w:hAnsi="Times New Roman" w:cs="Times New Roman"/>
                      <w:color w:val="auto"/>
                      <w:spacing w:val="-2"/>
                      <w:sz w:val="21"/>
                      <w:szCs w:val="21"/>
                      <w:highlight w:val="none"/>
                      <w:lang w:eastAsia="zh-CN"/>
                    </w:rPr>
                    <w:t>，</w:t>
                  </w:r>
                  <w:r>
                    <w:rPr>
                      <w:rFonts w:hint="eastAsia" w:ascii="Times New Roman" w:hAnsi="Times New Roman" w:cs="Times New Roman"/>
                      <w:color w:val="auto"/>
                      <w:spacing w:val="-2"/>
                      <w:sz w:val="21"/>
                      <w:szCs w:val="21"/>
                      <w:highlight w:val="none"/>
                      <w:lang w:val="en-US" w:eastAsia="zh-CN"/>
                    </w:rPr>
                    <w:t>项目</w:t>
                  </w:r>
                  <w:r>
                    <w:rPr>
                      <w:rFonts w:hint="eastAsia" w:ascii="Times New Roman" w:hAnsi="Times New Roman" w:cs="Times New Roman"/>
                      <w:color w:val="auto"/>
                      <w:sz w:val="21"/>
                      <w:szCs w:val="21"/>
                      <w:highlight w:val="none"/>
                      <w:lang w:val="en-US" w:eastAsia="zh-CN"/>
                    </w:rPr>
                    <w:t>水土保持方案已编制</w:t>
                  </w:r>
                </w:p>
              </w:tc>
              <w:tc>
                <w:tcPr>
                  <w:tcW w:w="506" w:type="pct"/>
                  <w:tcBorders>
                    <w:tl2br w:val="nil"/>
                    <w:tr2bl w:val="nil"/>
                  </w:tcBorders>
                  <w:noWrap w:val="0"/>
                  <w:vAlign w:val="center"/>
                </w:tcPr>
                <w:p w14:paraId="520F01D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14:paraId="0A448DD1">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b/>
                <w:bCs/>
                <w:color w:val="auto"/>
                <w:szCs w:val="32"/>
                <w:highlight w:val="none"/>
              </w:rPr>
              <w:t>1.</w:t>
            </w:r>
            <w:r>
              <w:rPr>
                <w:rFonts w:hint="eastAsia"/>
                <w:b/>
                <w:bCs/>
                <w:color w:val="auto"/>
                <w:szCs w:val="32"/>
                <w:highlight w:val="none"/>
                <w:lang w:val="en-US" w:eastAsia="zh-CN"/>
              </w:rPr>
              <w:t>6</w:t>
            </w:r>
            <w:r>
              <w:rPr>
                <w:rFonts w:hint="eastAsia"/>
                <w:b/>
                <w:bCs/>
                <w:color w:val="auto"/>
                <w:szCs w:val="32"/>
                <w:highlight w:val="none"/>
              </w:rPr>
              <w:t xml:space="preserve"> 小结</w:t>
            </w:r>
          </w:p>
          <w:p w14:paraId="4423A319">
            <w:pPr>
              <w:keepNext w:val="0"/>
              <w:keepLines w:val="0"/>
              <w:pageBreakBefore w:val="0"/>
              <w:widowControl w:val="0"/>
              <w:suppressLineNumbers w:val="0"/>
              <w:kinsoku/>
              <w:wordWrap/>
              <w:overflowPunct/>
              <w:topLinePunct w:val="0"/>
              <w:autoSpaceDE/>
              <w:autoSpaceDN/>
              <w:bidi w:val="0"/>
              <w:adjustRightInd/>
              <w:snapToGrid w:val="0"/>
              <w:spacing w:before="157" w:beforeLines="5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eastAsia"/>
                <w:color w:val="auto"/>
                <w:highlight w:val="none"/>
              </w:rPr>
              <w:t>经分析，本项目符合产业政策；符合</w:t>
            </w:r>
            <w:r>
              <w:rPr>
                <w:rFonts w:hint="eastAsia"/>
                <w:color w:val="auto"/>
                <w:highlight w:val="none"/>
                <w:lang w:eastAsia="zh-CN"/>
              </w:rPr>
              <w:t>《曲靖市生态环境分区管控动态更新方案（2023年）》</w:t>
            </w:r>
            <w:r>
              <w:rPr>
                <w:rFonts w:hint="eastAsia"/>
                <w:color w:val="auto"/>
                <w:highlight w:val="none"/>
              </w:rPr>
              <w:t>相应管控要求</w:t>
            </w:r>
            <w:r>
              <w:rPr>
                <w:rFonts w:hint="eastAsia"/>
                <w:color w:val="auto"/>
                <w:highlight w:val="none"/>
                <w:lang w:eastAsia="zh-CN"/>
              </w:rPr>
              <w:t>；</w:t>
            </w:r>
            <w:r>
              <w:rPr>
                <w:rFonts w:hint="eastAsia"/>
                <w:color w:val="auto"/>
                <w:highlight w:val="none"/>
                <w:lang w:val="en-US" w:eastAsia="zh-CN"/>
              </w:rPr>
              <w:t>符合环评〔2016〕150号、环规财〔2018〕86号、国务院公报〔2019〕32号、自然资发〔2022〕142号、云自然资﹝2023﹞98号等生态保护红线相关政策</w:t>
            </w:r>
            <w:r>
              <w:rPr>
                <w:rFonts w:hint="eastAsia"/>
                <w:color w:val="auto"/>
                <w:highlight w:val="none"/>
              </w:rPr>
              <w:t>；符合《</w:t>
            </w:r>
            <w:r>
              <w:rPr>
                <w:rFonts w:hint="eastAsia"/>
                <w:color w:val="auto"/>
                <w:highlight w:val="none"/>
                <w:lang w:eastAsia="zh-CN"/>
              </w:rPr>
              <w:t>云南省主体功能区规划</w:t>
            </w:r>
            <w:r>
              <w:rPr>
                <w:rFonts w:hint="eastAsia"/>
                <w:color w:val="auto"/>
                <w:highlight w:val="none"/>
              </w:rPr>
              <w:t>》、《云南省生态功能区划》、《</w:t>
            </w:r>
            <w:r>
              <w:rPr>
                <w:rFonts w:hint="eastAsia"/>
                <w:color w:val="auto"/>
                <w:highlight w:val="none"/>
                <w:lang w:eastAsia="zh-CN"/>
              </w:rPr>
              <w:t>曲靖市</w:t>
            </w:r>
            <w:r>
              <w:rPr>
                <w:rFonts w:hint="eastAsia"/>
                <w:color w:val="auto"/>
                <w:highlight w:val="none"/>
              </w:rPr>
              <w:t>生态环境保护“十四五”规划》和《云南省生物多样性保护战略与行动计划（2024—2030年）》等相关环境保护规划；符合《云南省生物多样性保护条例》、《云南省生态环境保护条例》、《输变电建设项目环境保护技术要求》</w:t>
            </w:r>
            <w:r>
              <w:rPr>
                <w:rFonts w:hint="eastAsia"/>
                <w:color w:val="auto"/>
                <w:highlight w:val="none"/>
                <w:lang w:eastAsia="zh-CN"/>
              </w:rPr>
              <w:t>、</w:t>
            </w:r>
            <w:r>
              <w:rPr>
                <w:rFonts w:hint="eastAsia"/>
                <w:color w:val="auto"/>
                <w:highlight w:val="none"/>
                <w:lang w:val="en-US" w:eastAsia="zh-CN"/>
              </w:rPr>
              <w:t>《云南省牛栏江保护条例》</w:t>
            </w:r>
            <w:r>
              <w:rPr>
                <w:rFonts w:hint="eastAsia"/>
                <w:color w:val="auto"/>
                <w:highlight w:val="none"/>
              </w:rPr>
              <w:t>；自然资办发〔2023〕12号、云林规〔2021〕5号、云发改能源〔2023〕785号，《中华人民共和国长江保护法》等相关环境保护法规。</w:t>
            </w:r>
          </w:p>
          <w:p w14:paraId="6F3664CC">
            <w:pPr>
              <w:keepNext w:val="0"/>
              <w:keepLines w:val="0"/>
              <w:suppressLineNumbers w:val="0"/>
              <w:spacing w:before="0" w:beforeAutospacing="0" w:after="0" w:afterAutospacing="0"/>
              <w:ind w:left="0" w:right="0"/>
              <w:rPr>
                <w:rFonts w:hint="default" w:ascii="Times New Roman" w:hAnsi="Times New Roman" w:eastAsia="仿宋" w:cs="Times New Roman"/>
                <w:color w:val="auto"/>
                <w:highlight w:val="none"/>
                <w:lang w:val="en-US" w:eastAsia="zh-CN"/>
              </w:rPr>
            </w:pPr>
          </w:p>
        </w:tc>
      </w:tr>
    </w:tbl>
    <w:p w14:paraId="3B66E4E2">
      <w:pPr>
        <w:spacing w:line="360" w:lineRule="auto"/>
        <w:outlineLvl w:val="0"/>
        <w:rPr>
          <w:rFonts w:hint="default" w:ascii="Times New Roman" w:hAnsi="Times New Roman" w:eastAsia="仿宋" w:cs="Times New Roman"/>
          <w:color w:val="auto"/>
          <w:sz w:val="30"/>
          <w:highlight w:val="none"/>
        </w:rPr>
        <w:sectPr>
          <w:pgSz w:w="16838" w:h="11906" w:orient="landscape"/>
          <w:pgMar w:top="1797" w:right="1440" w:bottom="1797" w:left="1440" w:header="851" w:footer="1077" w:gutter="0"/>
          <w:pgBorders>
            <w:top w:val="none" w:sz="0" w:space="0"/>
            <w:left w:val="none" w:sz="0" w:space="0"/>
            <w:bottom w:val="none" w:sz="0" w:space="0"/>
            <w:right w:val="none" w:sz="0" w:space="0"/>
          </w:pgBorders>
          <w:pgNumType w:fmt="decimal"/>
          <w:cols w:space="720" w:num="1"/>
          <w:docGrid w:linePitch="312" w:charSpace="0"/>
        </w:sectPr>
      </w:pPr>
    </w:p>
    <w:p w14:paraId="6AD6B007">
      <w:pPr>
        <w:jc w:val="center"/>
        <w:outlineLvl w:val="0"/>
        <w:rPr>
          <w:rFonts w:hint="default" w:ascii="Times New Roman" w:hAnsi="Times New Roman" w:eastAsia="仿宋" w:cs="Times New Roman"/>
          <w:snapToGrid w:val="0"/>
          <w:color w:val="auto"/>
          <w:sz w:val="30"/>
          <w:szCs w:val="30"/>
          <w:highlight w:val="none"/>
        </w:rPr>
      </w:pPr>
      <w:bookmarkStart w:id="2" w:name="_Toc14019"/>
      <w:r>
        <w:rPr>
          <w:rFonts w:hint="default" w:ascii="Times New Roman" w:hAnsi="Times New Roman" w:eastAsia="仿宋" w:cs="Times New Roman"/>
          <w:snapToGrid w:val="0"/>
          <w:color w:val="auto"/>
          <w:sz w:val="30"/>
          <w:szCs w:val="30"/>
          <w:highlight w:val="none"/>
        </w:rPr>
        <w:t>二、建设内容</w:t>
      </w:r>
      <w:bookmarkEnd w:id="2"/>
    </w:p>
    <w:tbl>
      <w:tblPr>
        <w:tblStyle w:val="10"/>
        <w:tblW w:w="571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4"/>
        <w:gridCol w:w="8980"/>
      </w:tblGrid>
      <w:tr w14:paraId="47D04C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87" w:type="pct"/>
            <w:noWrap w:val="0"/>
            <w:vAlign w:val="center"/>
          </w:tcPr>
          <w:p w14:paraId="38209CB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地理位置</w:t>
            </w:r>
          </w:p>
        </w:tc>
        <w:tc>
          <w:tcPr>
            <w:tcW w:w="4612" w:type="pct"/>
            <w:noWrap w:val="0"/>
            <w:vAlign w:val="center"/>
          </w:tcPr>
          <w:p w14:paraId="6CF441E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迤车镇中寨村委会竹子箐光伏项目（复合型光伏发电项目）场址位于云南省曲靖市会泽县迤车镇、</w:t>
            </w:r>
            <w:r>
              <w:rPr>
                <w:rFonts w:hint="default" w:ascii="Times New Roman" w:hAnsi="Times New Roman" w:eastAsia="仿宋" w:cs="Times New Roman"/>
                <w:color w:val="auto"/>
                <w:sz w:val="24"/>
                <w:szCs w:val="21"/>
                <w:highlight w:val="none"/>
                <w:u w:val="none"/>
                <w:lang w:val="en-US" w:eastAsia="zh-CN"/>
              </w:rPr>
              <w:t>马路乡、纸厂乡</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项目各地块场址中心地理坐标如下：</w:t>
            </w:r>
          </w:p>
          <w:p w14:paraId="23B0E7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rPr>
              <w:t>升压站中心坐标</w:t>
            </w:r>
            <w:r>
              <w:rPr>
                <w:rFonts w:hint="default" w:ascii="Times New Roman" w:hAnsi="Times New Roman" w:eastAsia="仿宋" w:cs="Times New Roman"/>
                <w:color w:val="auto"/>
                <w:highlight w:val="none"/>
                <w:lang w:eastAsia="zh-CN"/>
              </w:rPr>
              <w:t>：</w:t>
            </w:r>
            <w:r>
              <w:rPr>
                <w:rFonts w:hint="default" w:ascii="Times New Roman" w:hAnsi="Times New Roman" w:eastAsia="仿宋" w:cs="Times New Roman"/>
                <w:color w:val="auto"/>
                <w:highlight w:val="none"/>
              </w:rPr>
              <w:t>东经</w:t>
            </w:r>
            <w:r>
              <w:rPr>
                <w:rFonts w:hint="default" w:ascii="Times New Roman" w:hAnsi="Times New Roman" w:eastAsia="仿宋" w:cs="Times New Roman"/>
                <w:color w:val="auto"/>
                <w:highlight w:val="none"/>
                <w:lang w:val="en-US" w:eastAsia="zh-CN"/>
              </w:rPr>
              <w:t>103</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33</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2</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568</w:t>
            </w:r>
            <w:r>
              <w:rPr>
                <w:rFonts w:hint="default" w:ascii="Times New Roman" w:hAnsi="Times New Roman" w:eastAsia="仿宋" w:cs="Times New Roman"/>
                <w:color w:val="auto"/>
                <w:highlight w:val="none"/>
              </w:rPr>
              <w:t>″，北纬2</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53</w:t>
            </w:r>
            <w:r>
              <w:rPr>
                <w:rFonts w:hint="default" w:ascii="Times New Roman" w:hAnsi="Times New Roman" w:eastAsia="仿宋" w:cs="Times New Roman"/>
                <w:color w:val="auto"/>
                <w:highlight w:val="none"/>
              </w:rPr>
              <w:t>′5</w:t>
            </w:r>
            <w:r>
              <w:rPr>
                <w:rFonts w:hint="default" w:ascii="Times New Roman" w:hAnsi="Times New Roman" w:eastAsia="仿宋" w:cs="Times New Roman"/>
                <w:color w:val="auto"/>
                <w:highlight w:val="none"/>
                <w:lang w:val="en-US" w:eastAsia="zh-CN"/>
              </w:rPr>
              <w:t>8</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313</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eastAsia="zh-CN"/>
              </w:rPr>
              <w:t>；</w:t>
            </w:r>
          </w:p>
          <w:p w14:paraId="1348BF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highlight w:val="none"/>
                <w:lang w:val="en-US" w:eastAsia="zh-CN"/>
              </w:rPr>
              <w:t>光伏区：东经103°30′8.729″~103°39′0.308″，北纬26°49′35.181″~26°59′17.840″</w:t>
            </w:r>
            <w:r>
              <w:rPr>
                <w:rFonts w:hint="default" w:ascii="Times New Roman" w:hAnsi="Times New Roman" w:eastAsia="仿宋" w:cs="Times New Roman"/>
                <w:color w:val="auto"/>
                <w:highlight w:val="none"/>
                <w:lang w:eastAsia="zh-CN"/>
              </w:rPr>
              <w:t>。</w:t>
            </w:r>
            <w:r>
              <w:rPr>
                <w:rFonts w:hint="default" w:ascii="Times New Roman" w:hAnsi="Times New Roman" w:eastAsia="仿宋" w:cs="Times New Roman"/>
                <w:color w:val="auto"/>
                <w:kern w:val="0"/>
                <w:sz w:val="24"/>
                <w:highlight w:val="none"/>
              </w:rPr>
              <w:t>海拔高程在1</w:t>
            </w:r>
            <w:r>
              <w:rPr>
                <w:rFonts w:hint="default" w:ascii="Times New Roman" w:hAnsi="Times New Roman" w:eastAsia="仿宋" w:cs="Times New Roman"/>
                <w:color w:val="auto"/>
                <w:kern w:val="0"/>
                <w:sz w:val="24"/>
                <w:highlight w:val="none"/>
                <w:lang w:val="en-US" w:eastAsia="zh-CN"/>
              </w:rPr>
              <w:t>740</w:t>
            </w:r>
            <w:r>
              <w:rPr>
                <w:rFonts w:hint="default" w:ascii="Times New Roman" w:hAnsi="Times New Roman" w:eastAsia="仿宋" w:cs="Times New Roman"/>
                <w:color w:val="auto"/>
                <w:kern w:val="0"/>
                <w:sz w:val="24"/>
                <w:highlight w:val="none"/>
              </w:rPr>
              <w:t>m～</w:t>
            </w:r>
            <w:r>
              <w:rPr>
                <w:rFonts w:hint="default" w:ascii="Times New Roman" w:hAnsi="Times New Roman" w:eastAsia="仿宋" w:cs="Times New Roman"/>
                <w:color w:val="auto"/>
                <w:highlight w:val="none"/>
              </w:rPr>
              <w:t>2</w:t>
            </w:r>
            <w:r>
              <w:rPr>
                <w:rFonts w:hint="default" w:ascii="Times New Roman" w:hAnsi="Times New Roman" w:eastAsia="仿宋" w:cs="Times New Roman"/>
                <w:color w:val="auto"/>
                <w:highlight w:val="none"/>
                <w:lang w:val="en-US" w:eastAsia="zh-CN"/>
              </w:rPr>
              <w:t>290</w:t>
            </w:r>
            <w:r>
              <w:rPr>
                <w:rFonts w:hint="default" w:ascii="Times New Roman" w:hAnsi="Times New Roman" w:eastAsia="仿宋" w:cs="Times New Roman"/>
                <w:color w:val="auto"/>
                <w:kern w:val="0"/>
                <w:sz w:val="24"/>
                <w:highlight w:val="none"/>
              </w:rPr>
              <w:t>m之间</w:t>
            </w:r>
            <w:r>
              <w:rPr>
                <w:rFonts w:hint="default" w:ascii="Times New Roman" w:hAnsi="Times New Roman" w:eastAsia="仿宋" w:cs="Times New Roman"/>
                <w:color w:val="auto"/>
                <w:kern w:val="0"/>
                <w:sz w:val="24"/>
                <w:highlight w:val="none"/>
                <w:lang w:eastAsia="zh-CN"/>
              </w:rPr>
              <w:t>，</w:t>
            </w:r>
            <w:r>
              <w:rPr>
                <w:rFonts w:hint="default" w:ascii="Times New Roman" w:hAnsi="Times New Roman" w:eastAsia="仿宋" w:cs="Times New Roman"/>
                <w:color w:val="auto"/>
                <w:sz w:val="24"/>
                <w:szCs w:val="24"/>
                <w:highlight w:val="none"/>
                <w:lang w:eastAsia="zh-CN"/>
              </w:rPr>
              <w:t>项目区地理位置图详见附图1。</w:t>
            </w:r>
          </w:p>
        </w:tc>
      </w:tr>
      <w:tr w14:paraId="661A3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87" w:type="pct"/>
            <w:noWrap w:val="0"/>
            <w:vAlign w:val="center"/>
          </w:tcPr>
          <w:p w14:paraId="0D52E59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项目组成及规模</w:t>
            </w:r>
          </w:p>
        </w:tc>
        <w:tc>
          <w:tcPr>
            <w:tcW w:w="4612" w:type="pct"/>
            <w:noWrap w:val="0"/>
            <w:vAlign w:val="center"/>
          </w:tcPr>
          <w:p w14:paraId="724F94F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val="0"/>
                <w:color w:val="auto"/>
                <w:sz w:val="24"/>
                <w:szCs w:val="24"/>
                <w:highlight w:val="none"/>
                <w:lang w:val="en-US" w:eastAsia="zh-CN"/>
              </w:rPr>
            </w:pPr>
            <w:r>
              <w:rPr>
                <w:rFonts w:hint="eastAsia" w:cs="Times New Roman"/>
                <w:b/>
                <w:bCs w:val="0"/>
                <w:color w:val="auto"/>
                <w:sz w:val="24"/>
                <w:szCs w:val="24"/>
                <w:highlight w:val="none"/>
                <w:lang w:val="en-US" w:eastAsia="zh-CN"/>
              </w:rPr>
              <w:t xml:space="preserve">2.1 </w:t>
            </w:r>
            <w:r>
              <w:rPr>
                <w:rFonts w:hint="default" w:ascii="Times New Roman" w:hAnsi="Times New Roman" w:eastAsia="仿宋" w:cs="Times New Roman"/>
                <w:b/>
                <w:bCs w:val="0"/>
                <w:color w:val="auto"/>
                <w:sz w:val="24"/>
                <w:szCs w:val="24"/>
                <w:highlight w:val="none"/>
                <w:lang w:val="en-US" w:eastAsia="zh-CN"/>
              </w:rPr>
              <w:t>原项目审批情况</w:t>
            </w:r>
          </w:p>
          <w:p w14:paraId="38680E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2022年11月，建设单位会泽华电道成清洁能源开发有限公司委托中国电建集团贵阳勘测设计研究院有限公司编制了《迤车镇中寨村委会竹子箐光伏项目（复合型光伏发电项目）环境影响报告表》，并于2022年12月21日取得《曲靖市生态环境局关于迤车镇中寨村委会竹子箐光伏项目（复合型光伏发电项目）环境影响报告表的批复》（曲环审</w:t>
            </w:r>
            <w:r>
              <w:rPr>
                <w:rFonts w:hint="eastAsia" w:cs="Times New Roman"/>
                <w:b w:val="0"/>
                <w:bCs/>
                <w:color w:val="auto"/>
                <w:sz w:val="24"/>
                <w:szCs w:val="24"/>
                <w:highlight w:val="none"/>
                <w:lang w:val="en-US" w:eastAsia="zh-CN"/>
              </w:rPr>
              <w:t>〔2022〕71号</w:t>
            </w:r>
            <w:r>
              <w:rPr>
                <w:rFonts w:hint="default" w:ascii="Times New Roman" w:hAnsi="Times New Roman" w:eastAsia="仿宋" w:cs="Times New Roman"/>
                <w:b w:val="0"/>
                <w:bCs/>
                <w:color w:val="auto"/>
                <w:sz w:val="24"/>
                <w:szCs w:val="24"/>
                <w:highlight w:val="none"/>
                <w:lang w:val="en-US" w:eastAsia="zh-CN"/>
              </w:rPr>
              <w:t>）。</w:t>
            </w:r>
          </w:p>
          <w:p w14:paraId="5FE42266">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val="0"/>
                <w:color w:val="auto"/>
                <w:sz w:val="24"/>
                <w:highlight w:val="none"/>
                <w:lang w:val="en-US" w:eastAsia="zh-CN"/>
              </w:rPr>
            </w:pPr>
            <w:r>
              <w:rPr>
                <w:rFonts w:hint="eastAsia" w:cs="Times New Roman"/>
                <w:b/>
                <w:bCs w:val="0"/>
                <w:color w:val="auto"/>
                <w:sz w:val="24"/>
                <w:highlight w:val="none"/>
                <w:lang w:val="en-US" w:eastAsia="zh-CN"/>
              </w:rPr>
              <w:t xml:space="preserve">2.2 </w:t>
            </w:r>
            <w:r>
              <w:rPr>
                <w:rFonts w:hint="default" w:ascii="Times New Roman" w:hAnsi="Times New Roman" w:eastAsia="仿宋" w:cs="Times New Roman"/>
                <w:b/>
                <w:bCs w:val="0"/>
                <w:color w:val="auto"/>
                <w:sz w:val="24"/>
                <w:highlight w:val="none"/>
                <w:lang w:val="en-US" w:eastAsia="zh-CN"/>
              </w:rPr>
              <w:t>重大变动情况</w:t>
            </w:r>
          </w:p>
          <w:p w14:paraId="4519F43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根据《中华人民共和国环境影响评价法》（2018年12月29日修订）第二十四条：“建设项目的环境影响评价文件经批准后，建设项目的性质、规模、地点、采用的生产工艺或者防治污染、防止生态破坏的措施发生重大变动的，建设单位应当重新报批建设项目的环境影响评价文件。”</w:t>
            </w:r>
          </w:p>
          <w:p w14:paraId="221804C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rPr>
                <w:rFonts w:hint="default"/>
                <w:color w:val="auto"/>
                <w:highlight w:val="none"/>
              </w:rPr>
            </w:pPr>
            <w:r>
              <w:rPr>
                <w:rFonts w:hint="default" w:ascii="Times New Roman" w:hAnsi="Times New Roman" w:eastAsia="仿宋" w:cs="Times New Roman"/>
                <w:b w:val="0"/>
                <w:bCs/>
                <w:color w:val="auto"/>
                <w:sz w:val="24"/>
                <w:szCs w:val="24"/>
                <w:highlight w:val="none"/>
                <w:lang w:val="en-US" w:eastAsia="zh-CN"/>
              </w:rPr>
              <w:t>相较于2022年环评阶段，本项目设计方案变更后内容包括：220kv升压站向西南方向位移1050米，项目整体新增用地</w:t>
            </w:r>
            <w:r>
              <w:rPr>
                <w:rFonts w:hint="eastAsia" w:cs="Times New Roman"/>
                <w:b w:val="0"/>
                <w:bCs/>
                <w:color w:val="auto"/>
                <w:sz w:val="24"/>
                <w:szCs w:val="24"/>
                <w:highlight w:val="none"/>
                <w:lang w:val="en-US" w:eastAsia="zh-CN"/>
              </w:rPr>
              <w:t>141.89</w:t>
            </w:r>
            <w:r>
              <w:rPr>
                <w:rFonts w:hint="default" w:ascii="Times New Roman" w:hAnsi="Times New Roman" w:eastAsia="仿宋" w:cs="Times New Roman"/>
                <w:b w:val="0"/>
                <w:bCs/>
                <w:color w:val="auto"/>
                <w:sz w:val="24"/>
                <w:szCs w:val="24"/>
                <w:highlight w:val="none"/>
                <w:lang w:val="en-US" w:eastAsia="zh-CN"/>
              </w:rPr>
              <w:t>hm</w:t>
            </w:r>
            <w:r>
              <w:rPr>
                <w:rFonts w:hint="default" w:ascii="Times New Roman" w:hAnsi="Times New Roman" w:eastAsia="仿宋" w:cs="Times New Roman"/>
                <w:b w:val="0"/>
                <w:bCs/>
                <w:color w:val="auto"/>
                <w:sz w:val="24"/>
                <w:szCs w:val="24"/>
                <w:highlight w:val="none"/>
                <w:vertAlign w:val="superscript"/>
                <w:lang w:val="en-US" w:eastAsia="zh-CN"/>
              </w:rPr>
              <w:t>2</w:t>
            </w:r>
            <w:r>
              <w:rPr>
                <w:rFonts w:hint="default" w:ascii="Times New Roman" w:hAnsi="Times New Roman" w:eastAsia="仿宋" w:cs="Times New Roman"/>
                <w:b w:val="0"/>
                <w:bCs/>
                <w:color w:val="auto"/>
                <w:sz w:val="24"/>
                <w:szCs w:val="24"/>
                <w:highlight w:val="none"/>
                <w:lang w:val="en-US" w:eastAsia="zh-CN"/>
              </w:rPr>
              <w:t>，取消用地</w:t>
            </w:r>
            <w:r>
              <w:rPr>
                <w:rFonts w:hint="eastAsia" w:cs="Times New Roman"/>
                <w:b w:val="0"/>
                <w:bCs/>
                <w:color w:val="auto"/>
                <w:sz w:val="24"/>
                <w:szCs w:val="24"/>
                <w:highlight w:val="none"/>
                <w:lang w:val="en-US" w:eastAsia="zh-CN"/>
              </w:rPr>
              <w:t>154.09</w:t>
            </w:r>
            <w:r>
              <w:rPr>
                <w:rFonts w:hint="default" w:ascii="Times New Roman" w:hAnsi="Times New Roman" w:eastAsia="仿宋" w:cs="Times New Roman"/>
                <w:b w:val="0"/>
                <w:bCs/>
                <w:color w:val="auto"/>
                <w:sz w:val="24"/>
                <w:szCs w:val="24"/>
                <w:highlight w:val="none"/>
                <w:lang w:val="en-US" w:eastAsia="zh-CN"/>
              </w:rPr>
              <w:t>hm</w:t>
            </w:r>
            <w:r>
              <w:rPr>
                <w:rFonts w:hint="default" w:ascii="Times New Roman" w:hAnsi="Times New Roman" w:eastAsia="仿宋" w:cs="Times New Roman"/>
                <w:b w:val="0"/>
                <w:bCs/>
                <w:color w:val="auto"/>
                <w:sz w:val="24"/>
                <w:szCs w:val="24"/>
                <w:highlight w:val="none"/>
                <w:vertAlign w:val="superscript"/>
                <w:lang w:val="en-US" w:eastAsia="zh-CN"/>
              </w:rPr>
              <w:t>2</w:t>
            </w:r>
            <w:r>
              <w:rPr>
                <w:rFonts w:hint="default" w:ascii="Times New Roman" w:hAnsi="Times New Roman" w:eastAsia="仿宋" w:cs="Times New Roman"/>
                <w:b w:val="0"/>
                <w:bCs/>
                <w:color w:val="auto"/>
                <w:sz w:val="24"/>
                <w:szCs w:val="24"/>
                <w:highlight w:val="none"/>
                <w:lang w:val="en-US" w:eastAsia="zh-CN"/>
              </w:rPr>
              <w:t>，集电线路增加201%，声环境及大气环境保护目标增加</w:t>
            </w:r>
            <w:r>
              <w:rPr>
                <w:rFonts w:hint="eastAsia" w:cs="Times New Roman"/>
                <w:b w:val="0"/>
                <w:bCs/>
                <w:color w:val="auto"/>
                <w:sz w:val="24"/>
                <w:szCs w:val="24"/>
                <w:highlight w:val="none"/>
                <w:lang w:val="en-US" w:eastAsia="zh-CN"/>
              </w:rPr>
              <w:t>47</w:t>
            </w:r>
            <w:r>
              <w:rPr>
                <w:rFonts w:hint="default" w:ascii="Times New Roman" w:hAnsi="Times New Roman" w:eastAsia="仿宋" w:cs="Times New Roman"/>
                <w:b w:val="0"/>
                <w:bCs/>
                <w:color w:val="auto"/>
                <w:sz w:val="24"/>
                <w:szCs w:val="24"/>
                <w:highlight w:val="none"/>
                <w:lang w:val="en-US" w:eastAsia="zh-CN"/>
              </w:rPr>
              <w:t>%。根据环境保护部办公厅关于印发&lt;输变电建设项目重大变动清单（试行）&gt;》（环办辐射</w:t>
            </w:r>
            <w:r>
              <w:rPr>
                <w:rFonts w:hint="eastAsia" w:cs="Times New Roman"/>
                <w:b w:val="0"/>
                <w:bCs/>
                <w:color w:val="auto"/>
                <w:sz w:val="24"/>
                <w:szCs w:val="24"/>
                <w:highlight w:val="none"/>
                <w:lang w:val="en-US" w:eastAsia="zh-CN"/>
              </w:rPr>
              <w:t>〔2016〕84号</w:t>
            </w:r>
            <w:r>
              <w:rPr>
                <w:rFonts w:hint="default" w:ascii="Times New Roman" w:hAnsi="Times New Roman" w:eastAsia="仿宋" w:cs="Times New Roman"/>
                <w:b w:val="0"/>
                <w:bCs/>
                <w:color w:val="auto"/>
                <w:sz w:val="24"/>
                <w:szCs w:val="24"/>
                <w:highlight w:val="none"/>
                <w:lang w:val="en-US" w:eastAsia="zh-CN"/>
              </w:rPr>
              <w:t>）需要重新报批环境影响评价文件。</w:t>
            </w:r>
          </w:p>
          <w:p w14:paraId="322A6FD0">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default"/>
                <w:color w:val="auto"/>
                <w:highlight w:val="none"/>
                <w:lang w:val="en-US" w:eastAsia="zh-CN"/>
              </w:rPr>
              <w:t>表</w:t>
            </w:r>
            <w:r>
              <w:rPr>
                <w:rFonts w:hint="eastAsia"/>
                <w:color w:val="auto"/>
                <w:highlight w:val="none"/>
                <w:lang w:val="en-US" w:eastAsia="zh-CN"/>
              </w:rPr>
              <w:t xml:space="preserve">2.2-1 </w:t>
            </w:r>
            <w:r>
              <w:rPr>
                <w:rFonts w:hint="default"/>
                <w:color w:val="auto"/>
                <w:highlight w:val="none"/>
                <w:lang w:val="en-US" w:eastAsia="zh-CN"/>
              </w:rPr>
              <w:t>项目与输变电建设项目重大变动清单对比分析</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2294"/>
              <w:gridCol w:w="1949"/>
              <w:gridCol w:w="1826"/>
              <w:gridCol w:w="798"/>
              <w:gridCol w:w="1460"/>
            </w:tblGrid>
            <w:tr w14:paraId="47D2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305B4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序号</w:t>
                  </w:r>
                </w:p>
              </w:tc>
              <w:tc>
                <w:tcPr>
                  <w:tcW w:w="1311" w:type="pct"/>
                  <w:noWrap w:val="0"/>
                  <w:vAlign w:val="center"/>
                </w:tcPr>
                <w:p w14:paraId="574A30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变动清单</w:t>
                  </w:r>
                </w:p>
              </w:tc>
              <w:tc>
                <w:tcPr>
                  <w:tcW w:w="1113" w:type="pct"/>
                  <w:noWrap w:val="0"/>
                  <w:vAlign w:val="center"/>
                </w:tcPr>
                <w:p w14:paraId="112DB9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环评</w:t>
                  </w:r>
                  <w:r>
                    <w:rPr>
                      <w:rFonts w:hint="eastAsia"/>
                      <w:color w:val="auto"/>
                      <w:sz w:val="21"/>
                      <w:szCs w:val="21"/>
                      <w:highlight w:val="none"/>
                      <w:lang w:val="en-US" w:eastAsia="zh-CN"/>
                    </w:rPr>
                    <w:t>情况</w:t>
                  </w:r>
                </w:p>
              </w:tc>
              <w:tc>
                <w:tcPr>
                  <w:tcW w:w="1043" w:type="pct"/>
                  <w:noWrap w:val="0"/>
                  <w:vAlign w:val="center"/>
                </w:tcPr>
                <w:p w14:paraId="4FDC00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实际</w:t>
                  </w:r>
                  <w:r>
                    <w:rPr>
                      <w:rFonts w:hint="eastAsia"/>
                      <w:color w:val="auto"/>
                      <w:sz w:val="21"/>
                      <w:szCs w:val="21"/>
                      <w:highlight w:val="none"/>
                      <w:lang w:val="en-US" w:eastAsia="zh-CN"/>
                    </w:rPr>
                    <w:t>情况</w:t>
                  </w:r>
                </w:p>
              </w:tc>
              <w:tc>
                <w:tcPr>
                  <w:tcW w:w="456" w:type="pct"/>
                  <w:noWrap w:val="0"/>
                  <w:vAlign w:val="center"/>
                </w:tcPr>
                <w:p w14:paraId="0B286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是否属于重大变更</w:t>
                  </w:r>
                </w:p>
              </w:tc>
              <w:tc>
                <w:tcPr>
                  <w:tcW w:w="834" w:type="pct"/>
                  <w:noWrap w:val="0"/>
                  <w:vAlign w:val="center"/>
                </w:tcPr>
                <w:p w14:paraId="0CE88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不利环境影响变化情况</w:t>
                  </w:r>
                </w:p>
              </w:tc>
            </w:tr>
            <w:tr w14:paraId="1F75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241" w:type="pct"/>
                  <w:noWrap w:val="0"/>
                  <w:vAlign w:val="center"/>
                </w:tcPr>
                <w:p w14:paraId="22ADE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w:t>
                  </w:r>
                </w:p>
              </w:tc>
              <w:tc>
                <w:tcPr>
                  <w:tcW w:w="1311" w:type="pct"/>
                  <w:noWrap w:val="0"/>
                  <w:vAlign w:val="center"/>
                </w:tcPr>
                <w:p w14:paraId="7879A7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电压等级升高。</w:t>
                  </w:r>
                </w:p>
              </w:tc>
              <w:tc>
                <w:tcPr>
                  <w:tcW w:w="1113" w:type="pct"/>
                  <w:noWrap w:val="0"/>
                  <w:vAlign w:val="center"/>
                </w:tcPr>
                <w:p w14:paraId="0B96B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220kV</w:t>
                  </w:r>
                </w:p>
              </w:tc>
              <w:tc>
                <w:tcPr>
                  <w:tcW w:w="1043" w:type="pct"/>
                  <w:noWrap w:val="0"/>
                  <w:vAlign w:val="center"/>
                </w:tcPr>
                <w:p w14:paraId="462D3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与环评一致</w:t>
                  </w:r>
                </w:p>
              </w:tc>
              <w:tc>
                <w:tcPr>
                  <w:tcW w:w="456" w:type="pct"/>
                  <w:noWrap w:val="0"/>
                  <w:vAlign w:val="center"/>
                </w:tcPr>
                <w:p w14:paraId="7180E9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否</w:t>
                  </w:r>
                </w:p>
              </w:tc>
              <w:tc>
                <w:tcPr>
                  <w:tcW w:w="834" w:type="pct"/>
                  <w:noWrap w:val="0"/>
                  <w:vAlign w:val="center"/>
                </w:tcPr>
                <w:p w14:paraId="67143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未新增</w:t>
                  </w:r>
                  <w:r>
                    <w:rPr>
                      <w:rFonts w:hint="eastAsia"/>
                      <w:color w:val="auto"/>
                      <w:sz w:val="21"/>
                      <w:szCs w:val="21"/>
                      <w:highlight w:val="none"/>
                    </w:rPr>
                    <w:t>不利环境影响</w:t>
                  </w:r>
                </w:p>
              </w:tc>
            </w:tr>
            <w:tr w14:paraId="2AA1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35E37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2</w:t>
                  </w:r>
                </w:p>
              </w:tc>
              <w:tc>
                <w:tcPr>
                  <w:tcW w:w="1311" w:type="pct"/>
                  <w:noWrap w:val="0"/>
                  <w:vAlign w:val="center"/>
                </w:tcPr>
                <w:p w14:paraId="22FC5A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主变压器、换流变压器、高压电抗器等主要设备总数量增加超过原数量的30%。</w:t>
                  </w:r>
                </w:p>
              </w:tc>
              <w:tc>
                <w:tcPr>
                  <w:tcW w:w="1113" w:type="pct"/>
                  <w:noWrap w:val="0"/>
                  <w:vAlign w:val="center"/>
                </w:tcPr>
                <w:p w14:paraId="700380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3台150MVA主变</w:t>
                  </w:r>
                </w:p>
              </w:tc>
              <w:tc>
                <w:tcPr>
                  <w:tcW w:w="1043" w:type="pct"/>
                  <w:noWrap w:val="0"/>
                  <w:vAlign w:val="center"/>
                </w:tcPr>
                <w:p w14:paraId="24146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1台230MVA主变和1台210MVA主变</w:t>
                  </w:r>
                </w:p>
              </w:tc>
              <w:tc>
                <w:tcPr>
                  <w:tcW w:w="456" w:type="pct"/>
                  <w:noWrap w:val="0"/>
                  <w:vAlign w:val="center"/>
                </w:tcPr>
                <w:p w14:paraId="433213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否</w:t>
                  </w:r>
                </w:p>
              </w:tc>
              <w:tc>
                <w:tcPr>
                  <w:tcW w:w="834" w:type="pct"/>
                  <w:noWrap w:val="0"/>
                  <w:vAlign w:val="center"/>
                </w:tcPr>
                <w:p w14:paraId="0BBA9E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电磁环境影响降低</w:t>
                  </w:r>
                </w:p>
              </w:tc>
            </w:tr>
            <w:tr w14:paraId="01F6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7598D4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3</w:t>
                  </w:r>
                </w:p>
              </w:tc>
              <w:tc>
                <w:tcPr>
                  <w:tcW w:w="1311" w:type="pct"/>
                  <w:noWrap w:val="0"/>
                  <w:vAlign w:val="center"/>
                </w:tcPr>
                <w:p w14:paraId="367AF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输电线路路径长度增加超过原路径长度的30%。</w:t>
                  </w:r>
                </w:p>
              </w:tc>
              <w:tc>
                <w:tcPr>
                  <w:tcW w:w="1113" w:type="pct"/>
                  <w:noWrap w:val="0"/>
                  <w:vAlign w:val="center"/>
                </w:tcPr>
                <w:p w14:paraId="57D433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集电线路总长40km，其中直埋敷设长度12km、架空长度28km</w:t>
                  </w:r>
                </w:p>
              </w:tc>
              <w:tc>
                <w:tcPr>
                  <w:tcW w:w="1043" w:type="pct"/>
                  <w:noWrap w:val="0"/>
                  <w:vAlign w:val="center"/>
                </w:tcPr>
                <w:p w14:paraId="763CB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线路总长120.34km，其中直埋敷设长度22km、架空长度98.34km，增加201%</w:t>
                  </w:r>
                </w:p>
              </w:tc>
              <w:tc>
                <w:tcPr>
                  <w:tcW w:w="456" w:type="pct"/>
                  <w:noWrap w:val="0"/>
                  <w:vAlign w:val="center"/>
                </w:tcPr>
                <w:p w14:paraId="79522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lang w:val="en-US" w:eastAsia="zh-CN"/>
                    </w:rPr>
                    <w:t>是</w:t>
                  </w:r>
                </w:p>
              </w:tc>
              <w:tc>
                <w:tcPr>
                  <w:tcW w:w="834" w:type="pct"/>
                  <w:noWrap w:val="0"/>
                  <w:vAlign w:val="center"/>
                </w:tcPr>
                <w:p w14:paraId="272EC1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增加施工期生态环境不利影响，完成植被恢复后环境影响可控</w:t>
                  </w:r>
                </w:p>
              </w:tc>
            </w:tr>
            <w:tr w14:paraId="7EAE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5AC7B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4</w:t>
                  </w:r>
                </w:p>
              </w:tc>
              <w:tc>
                <w:tcPr>
                  <w:tcW w:w="1311" w:type="pct"/>
                  <w:noWrap w:val="0"/>
                  <w:vAlign w:val="center"/>
                </w:tcPr>
                <w:p w14:paraId="3CE89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变电站、换流站、开关站、串补站站址位移超过500米。</w:t>
                  </w:r>
                </w:p>
              </w:tc>
              <w:tc>
                <w:tcPr>
                  <w:tcW w:w="1113" w:type="pct"/>
                  <w:noWrap w:val="0"/>
                  <w:vAlign w:val="center"/>
                </w:tcPr>
                <w:p w14:paraId="13512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升压站中心坐标东经</w:t>
                  </w:r>
                  <w:r>
                    <w:rPr>
                      <w:rFonts w:hint="eastAsia"/>
                      <w:color w:val="auto"/>
                      <w:sz w:val="21"/>
                      <w:szCs w:val="21"/>
                      <w:highlight w:val="none"/>
                      <w:lang w:val="en-US" w:eastAsia="zh-CN"/>
                    </w:rPr>
                    <w:t>103°33'20.6024"，北纬26°54'35.8572"</w:t>
                  </w:r>
                </w:p>
              </w:tc>
              <w:tc>
                <w:tcPr>
                  <w:tcW w:w="1043" w:type="pct"/>
                  <w:noWrap w:val="0"/>
                  <w:vAlign w:val="center"/>
                </w:tcPr>
                <w:p w14:paraId="2B4055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升压站中心坐标：东经103°33′2.568″，北纬26°53′58.313″</w:t>
                  </w:r>
                </w:p>
                <w:p w14:paraId="4AC30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升压站站址向西南方向位移约1050米，</w:t>
                  </w:r>
                </w:p>
              </w:tc>
              <w:tc>
                <w:tcPr>
                  <w:tcW w:w="456" w:type="pct"/>
                  <w:noWrap w:val="0"/>
                  <w:vAlign w:val="center"/>
                </w:tcPr>
                <w:p w14:paraId="370D0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是</w:t>
                  </w:r>
                </w:p>
              </w:tc>
              <w:tc>
                <w:tcPr>
                  <w:tcW w:w="834" w:type="pct"/>
                  <w:noWrap w:val="0"/>
                  <w:vAlign w:val="center"/>
                </w:tcPr>
                <w:p w14:paraId="5C36EA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影响范围变化</w:t>
                  </w:r>
                </w:p>
              </w:tc>
            </w:tr>
            <w:tr w14:paraId="7E3A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241" w:type="pct"/>
                  <w:noWrap w:val="0"/>
                  <w:vAlign w:val="center"/>
                </w:tcPr>
                <w:p w14:paraId="12D4C0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5</w:t>
                  </w:r>
                </w:p>
              </w:tc>
              <w:tc>
                <w:tcPr>
                  <w:tcW w:w="1311" w:type="pct"/>
                  <w:noWrap w:val="0"/>
                  <w:vAlign w:val="center"/>
                </w:tcPr>
                <w:p w14:paraId="4EA6C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输电线路横向位移超出500米的累计长度超过原路径长度的30%。</w:t>
                  </w:r>
                </w:p>
              </w:tc>
              <w:tc>
                <w:tcPr>
                  <w:tcW w:w="1113" w:type="pct"/>
                  <w:noWrap w:val="0"/>
                  <w:vAlign w:val="center"/>
                </w:tcPr>
                <w:p w14:paraId="58452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1043" w:type="pct"/>
                  <w:noWrap w:val="0"/>
                  <w:vAlign w:val="center"/>
                </w:tcPr>
                <w:p w14:paraId="3443E2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456" w:type="pct"/>
                  <w:noWrap w:val="0"/>
                  <w:vAlign w:val="center"/>
                </w:tcPr>
                <w:p w14:paraId="3FEA5C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w:t>
                  </w:r>
                </w:p>
              </w:tc>
              <w:tc>
                <w:tcPr>
                  <w:tcW w:w="834" w:type="pct"/>
                  <w:noWrap w:val="0"/>
                  <w:vAlign w:val="center"/>
                </w:tcPr>
                <w:p w14:paraId="3298F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r>
            <w:tr w14:paraId="4E7C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6C909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6</w:t>
                  </w:r>
                </w:p>
              </w:tc>
              <w:tc>
                <w:tcPr>
                  <w:tcW w:w="1311" w:type="pct"/>
                  <w:noWrap w:val="0"/>
                  <w:vAlign w:val="center"/>
                </w:tcPr>
                <w:p w14:paraId="4BF25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因输变电工程路径、站址等发生变化，导致进入新的自然保护区、风景名胜区、饮用水水源保护区等生态敏感区。</w:t>
                  </w:r>
                </w:p>
              </w:tc>
              <w:tc>
                <w:tcPr>
                  <w:tcW w:w="1113" w:type="pct"/>
                  <w:noWrap w:val="0"/>
                  <w:vAlign w:val="center"/>
                </w:tcPr>
                <w:p w14:paraId="126A01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项目</w:t>
                  </w:r>
                  <w:r>
                    <w:rPr>
                      <w:rFonts w:hint="default"/>
                      <w:color w:val="auto"/>
                      <w:sz w:val="21"/>
                      <w:szCs w:val="21"/>
                      <w:highlight w:val="none"/>
                      <w:lang w:val="en-US" w:eastAsia="zh-CN"/>
                    </w:rPr>
                    <w:t>不涉及</w:t>
                  </w:r>
                  <w:r>
                    <w:rPr>
                      <w:rFonts w:hint="default"/>
                      <w:color w:val="auto"/>
                      <w:sz w:val="21"/>
                      <w:szCs w:val="21"/>
                      <w:highlight w:val="none"/>
                    </w:rPr>
                    <w:t>自然保护区、风景名胜区、饮用水水源保护区等生态敏感区。</w:t>
                  </w:r>
                </w:p>
              </w:tc>
              <w:tc>
                <w:tcPr>
                  <w:tcW w:w="1043" w:type="pct"/>
                  <w:noWrap w:val="0"/>
                  <w:vAlign w:val="center"/>
                </w:tcPr>
                <w:p w14:paraId="7A40D9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与环评一致</w:t>
                  </w:r>
                </w:p>
              </w:tc>
              <w:tc>
                <w:tcPr>
                  <w:tcW w:w="456" w:type="pct"/>
                  <w:noWrap w:val="0"/>
                  <w:vAlign w:val="center"/>
                </w:tcPr>
                <w:p w14:paraId="62F99A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否</w:t>
                  </w:r>
                </w:p>
              </w:tc>
              <w:tc>
                <w:tcPr>
                  <w:tcW w:w="834" w:type="pct"/>
                  <w:noWrap w:val="0"/>
                  <w:vAlign w:val="center"/>
                </w:tcPr>
                <w:p w14:paraId="5F3C3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未新增</w:t>
                  </w:r>
                  <w:r>
                    <w:rPr>
                      <w:rFonts w:hint="eastAsia"/>
                      <w:color w:val="auto"/>
                      <w:sz w:val="21"/>
                      <w:szCs w:val="21"/>
                      <w:highlight w:val="none"/>
                    </w:rPr>
                    <w:t>不利环境影响</w:t>
                  </w:r>
                </w:p>
              </w:tc>
            </w:tr>
            <w:tr w14:paraId="57BF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22A99A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7</w:t>
                  </w:r>
                </w:p>
              </w:tc>
              <w:tc>
                <w:tcPr>
                  <w:tcW w:w="1311" w:type="pct"/>
                  <w:noWrap w:val="0"/>
                  <w:vAlign w:val="center"/>
                </w:tcPr>
                <w:p w14:paraId="1B5D9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因输变电工程路径、站址等发生变化，导致新增的电磁和声环境敏感目标超过原数量的30%。</w:t>
                  </w:r>
                </w:p>
              </w:tc>
              <w:tc>
                <w:tcPr>
                  <w:tcW w:w="1949" w:type="dxa"/>
                  <w:noWrap w:val="0"/>
                  <w:vAlign w:val="center"/>
                </w:tcPr>
                <w:p w14:paraId="219DF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声环境敏感点</w:t>
                  </w:r>
                  <w:r>
                    <w:rPr>
                      <w:rFonts w:hint="eastAsia"/>
                      <w:color w:val="auto"/>
                      <w:sz w:val="21"/>
                      <w:szCs w:val="21"/>
                      <w:highlight w:val="none"/>
                    </w:rPr>
                    <w:t>17个</w:t>
                  </w:r>
                  <w:r>
                    <w:rPr>
                      <w:rFonts w:hint="eastAsia"/>
                      <w:color w:val="auto"/>
                      <w:sz w:val="21"/>
                      <w:szCs w:val="21"/>
                      <w:highlight w:val="none"/>
                      <w:lang w:eastAsia="zh-CN"/>
                    </w:rPr>
                    <w:t>，</w:t>
                  </w:r>
                  <w:r>
                    <w:rPr>
                      <w:rFonts w:hint="eastAsia"/>
                      <w:color w:val="auto"/>
                      <w:sz w:val="21"/>
                      <w:szCs w:val="21"/>
                      <w:highlight w:val="none"/>
                      <w:lang w:val="en-US" w:eastAsia="zh-CN"/>
                    </w:rPr>
                    <w:t>电磁环境敏感点0个</w:t>
                  </w:r>
                </w:p>
              </w:tc>
              <w:tc>
                <w:tcPr>
                  <w:tcW w:w="1826" w:type="dxa"/>
                  <w:noWrap w:val="0"/>
                  <w:vAlign w:val="center"/>
                </w:tcPr>
                <w:p w14:paraId="4F5E75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lang w:val="en-US"/>
                    </w:rPr>
                  </w:pPr>
                  <w:r>
                    <w:rPr>
                      <w:rFonts w:hint="eastAsia"/>
                      <w:color w:val="auto"/>
                      <w:sz w:val="21"/>
                      <w:szCs w:val="21"/>
                      <w:highlight w:val="none"/>
                    </w:rPr>
                    <w:t>声环境敏感点</w:t>
                  </w:r>
                  <w:r>
                    <w:rPr>
                      <w:rFonts w:hint="eastAsia"/>
                      <w:color w:val="auto"/>
                      <w:sz w:val="21"/>
                      <w:szCs w:val="21"/>
                      <w:highlight w:val="none"/>
                      <w:lang w:val="en-US" w:eastAsia="zh-CN"/>
                    </w:rPr>
                    <w:t>25</w:t>
                  </w:r>
                  <w:r>
                    <w:rPr>
                      <w:rFonts w:hint="eastAsia"/>
                      <w:color w:val="auto"/>
                      <w:sz w:val="21"/>
                      <w:szCs w:val="21"/>
                      <w:highlight w:val="none"/>
                    </w:rPr>
                    <w:t>个，增加</w:t>
                  </w:r>
                  <w:r>
                    <w:rPr>
                      <w:rFonts w:hint="eastAsia"/>
                      <w:color w:val="auto"/>
                      <w:sz w:val="21"/>
                      <w:szCs w:val="21"/>
                      <w:highlight w:val="none"/>
                      <w:lang w:val="en-US" w:eastAsia="zh-CN"/>
                    </w:rPr>
                    <w:t>47</w:t>
                  </w:r>
                  <w:r>
                    <w:rPr>
                      <w:rFonts w:hint="eastAsia"/>
                      <w:color w:val="auto"/>
                      <w:sz w:val="21"/>
                      <w:szCs w:val="21"/>
                      <w:highlight w:val="none"/>
                    </w:rPr>
                    <w:t>%</w:t>
                  </w:r>
                  <w:r>
                    <w:rPr>
                      <w:rFonts w:hint="eastAsia"/>
                      <w:color w:val="auto"/>
                      <w:sz w:val="21"/>
                      <w:szCs w:val="21"/>
                      <w:highlight w:val="none"/>
                      <w:lang w:eastAsia="zh-CN"/>
                    </w:rPr>
                    <w:t>；</w:t>
                  </w:r>
                  <w:r>
                    <w:rPr>
                      <w:rFonts w:hint="eastAsia"/>
                      <w:color w:val="auto"/>
                      <w:sz w:val="21"/>
                      <w:szCs w:val="21"/>
                      <w:highlight w:val="none"/>
                      <w:lang w:val="en-US" w:eastAsia="zh-CN"/>
                    </w:rPr>
                    <w:t>电磁环境敏感点0个不变。</w:t>
                  </w:r>
                </w:p>
              </w:tc>
              <w:tc>
                <w:tcPr>
                  <w:tcW w:w="456" w:type="pct"/>
                  <w:noWrap w:val="0"/>
                  <w:vAlign w:val="center"/>
                </w:tcPr>
                <w:p w14:paraId="40CD8C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eastAsia"/>
                      <w:color w:val="auto"/>
                      <w:sz w:val="21"/>
                      <w:szCs w:val="21"/>
                      <w:highlight w:val="none"/>
                      <w:lang w:val="en-US" w:eastAsia="zh-CN"/>
                    </w:rPr>
                    <w:t>是</w:t>
                  </w:r>
                </w:p>
              </w:tc>
              <w:tc>
                <w:tcPr>
                  <w:tcW w:w="834" w:type="pct"/>
                  <w:noWrap w:val="0"/>
                  <w:vAlign w:val="center"/>
                </w:tcPr>
                <w:p w14:paraId="3E4124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受施工影响居民增多</w:t>
                  </w:r>
                </w:p>
              </w:tc>
            </w:tr>
            <w:tr w14:paraId="2C5B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2CCEF1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8</w:t>
                  </w:r>
                </w:p>
              </w:tc>
              <w:tc>
                <w:tcPr>
                  <w:tcW w:w="1311" w:type="pct"/>
                  <w:noWrap w:val="0"/>
                  <w:vAlign w:val="center"/>
                </w:tcPr>
                <w:p w14:paraId="2E376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变电站由户内布置变为户外布置。</w:t>
                  </w:r>
                </w:p>
              </w:tc>
              <w:tc>
                <w:tcPr>
                  <w:tcW w:w="1113" w:type="pct"/>
                  <w:noWrap w:val="0"/>
                  <w:vAlign w:val="center"/>
                </w:tcPr>
                <w:p w14:paraId="66D40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1043" w:type="pct"/>
                  <w:noWrap w:val="0"/>
                  <w:vAlign w:val="center"/>
                </w:tcPr>
                <w:p w14:paraId="185915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456" w:type="pct"/>
                  <w:noWrap w:val="0"/>
                  <w:vAlign w:val="center"/>
                </w:tcPr>
                <w:p w14:paraId="01EF10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w:t>
                  </w:r>
                </w:p>
              </w:tc>
              <w:tc>
                <w:tcPr>
                  <w:tcW w:w="834" w:type="pct"/>
                  <w:noWrap w:val="0"/>
                  <w:vAlign w:val="center"/>
                </w:tcPr>
                <w:p w14:paraId="05EB76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r>
            <w:tr w14:paraId="0562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613A0F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9</w:t>
                  </w:r>
                </w:p>
              </w:tc>
              <w:tc>
                <w:tcPr>
                  <w:tcW w:w="1311" w:type="pct"/>
                  <w:noWrap w:val="0"/>
                  <w:vAlign w:val="center"/>
                </w:tcPr>
                <w:p w14:paraId="50189D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输电线路由地下电缆改为架空线路。</w:t>
                  </w:r>
                </w:p>
              </w:tc>
              <w:tc>
                <w:tcPr>
                  <w:tcW w:w="1113" w:type="pct"/>
                  <w:noWrap w:val="0"/>
                  <w:vAlign w:val="center"/>
                </w:tcPr>
                <w:p w14:paraId="499183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rPr>
                    <w:t>项目</w:t>
                  </w:r>
                  <w:r>
                    <w:rPr>
                      <w:rFonts w:hint="default"/>
                      <w:color w:val="auto"/>
                      <w:sz w:val="21"/>
                      <w:szCs w:val="21"/>
                      <w:highlight w:val="none"/>
                      <w:lang w:val="en-US" w:eastAsia="zh-CN"/>
                    </w:rPr>
                    <w:t>集电</w:t>
                  </w:r>
                  <w:r>
                    <w:rPr>
                      <w:rFonts w:hint="default"/>
                      <w:color w:val="auto"/>
                      <w:sz w:val="21"/>
                      <w:szCs w:val="21"/>
                      <w:highlight w:val="none"/>
                    </w:rPr>
                    <w:t>线路</w:t>
                  </w:r>
                  <w:r>
                    <w:rPr>
                      <w:rFonts w:hint="default"/>
                      <w:color w:val="auto"/>
                      <w:sz w:val="21"/>
                      <w:szCs w:val="21"/>
                      <w:highlight w:val="none"/>
                      <w:lang w:val="en-US" w:eastAsia="zh-CN"/>
                    </w:rPr>
                    <w:t>为直埋电缆与</w:t>
                  </w:r>
                  <w:r>
                    <w:rPr>
                      <w:rFonts w:hint="default"/>
                      <w:color w:val="auto"/>
                      <w:sz w:val="21"/>
                      <w:szCs w:val="21"/>
                      <w:highlight w:val="none"/>
                    </w:rPr>
                    <w:t>架空线路</w:t>
                  </w:r>
                </w:p>
              </w:tc>
              <w:tc>
                <w:tcPr>
                  <w:tcW w:w="1043" w:type="pct"/>
                  <w:noWrap w:val="0"/>
                  <w:vAlign w:val="center"/>
                </w:tcPr>
                <w:p w14:paraId="7AED10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与环评一致</w:t>
                  </w:r>
                </w:p>
              </w:tc>
              <w:tc>
                <w:tcPr>
                  <w:tcW w:w="456" w:type="pct"/>
                  <w:noWrap w:val="0"/>
                  <w:vAlign w:val="center"/>
                </w:tcPr>
                <w:p w14:paraId="3BF913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否</w:t>
                  </w:r>
                </w:p>
              </w:tc>
              <w:tc>
                <w:tcPr>
                  <w:tcW w:w="834" w:type="pct"/>
                  <w:noWrap w:val="0"/>
                  <w:vAlign w:val="center"/>
                </w:tcPr>
                <w:p w14:paraId="63292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未新增</w:t>
                  </w:r>
                  <w:r>
                    <w:rPr>
                      <w:rFonts w:hint="eastAsia"/>
                      <w:color w:val="auto"/>
                      <w:sz w:val="21"/>
                      <w:szCs w:val="21"/>
                      <w:highlight w:val="none"/>
                    </w:rPr>
                    <w:t>不利环境影响</w:t>
                  </w:r>
                </w:p>
              </w:tc>
            </w:tr>
            <w:tr w14:paraId="35A2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1" w:type="pct"/>
                  <w:noWrap w:val="0"/>
                  <w:vAlign w:val="center"/>
                </w:tcPr>
                <w:p w14:paraId="1279E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10</w:t>
                  </w:r>
                </w:p>
              </w:tc>
              <w:tc>
                <w:tcPr>
                  <w:tcW w:w="1311" w:type="pct"/>
                  <w:noWrap w:val="0"/>
                  <w:vAlign w:val="center"/>
                </w:tcPr>
                <w:p w14:paraId="20292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rPr>
                    <w:t>输电线路同塔多回架设改为多条线路架设累计长度超过原路径长度的30%。</w:t>
                  </w:r>
                </w:p>
              </w:tc>
              <w:tc>
                <w:tcPr>
                  <w:tcW w:w="1113" w:type="pct"/>
                  <w:noWrap w:val="0"/>
                  <w:vAlign w:val="center"/>
                </w:tcPr>
                <w:p w14:paraId="1FDD4E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1043" w:type="pct"/>
                  <w:noWrap w:val="0"/>
                  <w:vAlign w:val="center"/>
                </w:tcPr>
                <w:p w14:paraId="7E8BCE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不涉及</w:t>
                  </w:r>
                </w:p>
              </w:tc>
              <w:tc>
                <w:tcPr>
                  <w:tcW w:w="456" w:type="pct"/>
                  <w:noWrap w:val="0"/>
                  <w:vAlign w:val="center"/>
                </w:tcPr>
                <w:p w14:paraId="242ADE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w:t>
                  </w:r>
                </w:p>
              </w:tc>
              <w:tc>
                <w:tcPr>
                  <w:tcW w:w="834" w:type="pct"/>
                  <w:noWrap w:val="0"/>
                  <w:vAlign w:val="center"/>
                </w:tcPr>
                <w:p w14:paraId="71300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w:t>
                  </w:r>
                </w:p>
              </w:tc>
            </w:tr>
          </w:tbl>
          <w:p w14:paraId="10E017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rPr>
                <w:rFonts w:hint="default"/>
                <w:color w:val="auto"/>
                <w:highlight w:val="none"/>
                <w:lang w:val="en-US" w:eastAsia="zh-CN"/>
              </w:rPr>
            </w:pPr>
          </w:p>
          <w:p w14:paraId="73658694">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val="0"/>
                <w:color w:val="auto"/>
                <w:sz w:val="24"/>
                <w:highlight w:val="none"/>
                <w:lang w:val="en-US" w:eastAsia="zh-CN"/>
              </w:rPr>
            </w:pPr>
            <w:r>
              <w:rPr>
                <w:rFonts w:hint="eastAsia" w:cs="Times New Roman"/>
                <w:b/>
                <w:bCs w:val="0"/>
                <w:color w:val="auto"/>
                <w:sz w:val="24"/>
                <w:highlight w:val="none"/>
                <w:lang w:val="en-US" w:eastAsia="zh-CN"/>
              </w:rPr>
              <w:t xml:space="preserve">2.3 </w:t>
            </w:r>
            <w:r>
              <w:rPr>
                <w:rFonts w:hint="default" w:ascii="Times New Roman" w:hAnsi="Times New Roman" w:eastAsia="仿宋" w:cs="Times New Roman"/>
                <w:b/>
                <w:bCs w:val="0"/>
                <w:color w:val="auto"/>
                <w:sz w:val="24"/>
                <w:highlight w:val="none"/>
                <w:lang w:val="en-US" w:eastAsia="zh-CN"/>
              </w:rPr>
              <w:t>变更项目工程概况</w:t>
            </w:r>
          </w:p>
          <w:p w14:paraId="474D6756">
            <w:pPr>
              <w:keepNext w:val="0"/>
              <w:keepLines w:val="0"/>
              <w:suppressLineNumbers w:val="0"/>
              <w:spacing w:before="0" w:beforeAutospacing="0" w:after="0" w:afterAutospacing="0"/>
              <w:ind w:left="0" w:right="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（一）工程主要技术经济指标</w:t>
            </w:r>
          </w:p>
          <w:p w14:paraId="5BF56565">
            <w:pPr>
              <w:keepNext w:val="0"/>
              <w:keepLines w:val="0"/>
              <w:suppressLineNumbers w:val="0"/>
              <w:spacing w:before="0" w:beforeAutospacing="0" w:after="0" w:afterAutospacing="0"/>
              <w:ind w:left="0" w:right="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1）项目名称：迤车镇中寨村委会竹子箐光伏项目（复合型光伏发电项目）</w:t>
            </w:r>
            <w:r>
              <w:rPr>
                <w:rFonts w:hint="default" w:ascii="Times New Roman" w:hAnsi="Times New Roman" w:eastAsia="仿宋" w:cs="Times New Roman"/>
                <w:color w:val="auto"/>
                <w:sz w:val="24"/>
                <w:szCs w:val="24"/>
                <w:highlight w:val="none"/>
                <w:lang w:eastAsia="zh-CN"/>
              </w:rPr>
              <w:t>（重新报批）</w:t>
            </w:r>
          </w:p>
          <w:p w14:paraId="060859C2">
            <w:pPr>
              <w:keepNext w:val="0"/>
              <w:keepLines w:val="0"/>
              <w:suppressLineNumbers w:val="0"/>
              <w:spacing w:before="0" w:beforeAutospacing="0" w:after="0" w:afterAutospacing="0"/>
              <w:ind w:left="0" w:right="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2）建设单位：会泽华电道成清洁能源开发有限公司</w:t>
            </w:r>
          </w:p>
          <w:p w14:paraId="74C27A17">
            <w:pPr>
              <w:keepNext w:val="0"/>
              <w:keepLines w:val="0"/>
              <w:suppressLineNumbers w:val="0"/>
              <w:spacing w:before="0" w:beforeAutospacing="0" w:after="0" w:afterAutospacing="0"/>
              <w:ind w:left="0" w:right="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3）建设地点：云南省曲靖市会泽县</w:t>
            </w:r>
            <w:r>
              <w:rPr>
                <w:rFonts w:hint="default" w:ascii="Times New Roman" w:hAnsi="Times New Roman" w:eastAsia="仿宋" w:cs="Times New Roman"/>
                <w:color w:val="auto"/>
                <w:sz w:val="24"/>
                <w:szCs w:val="21"/>
                <w:highlight w:val="none"/>
                <w:u w:val="none"/>
                <w:lang w:val="en-US" w:eastAsia="zh-CN"/>
              </w:rPr>
              <w:t>迤车镇、马路乡、纸厂乡</w:t>
            </w:r>
          </w:p>
          <w:p w14:paraId="2F6E0FAE">
            <w:pPr>
              <w:keepNext w:val="0"/>
              <w:keepLines w:val="0"/>
              <w:suppressLineNumbers w:val="0"/>
              <w:spacing w:before="78" w:beforeLines="0" w:beforeAutospacing="0" w:after="0" w:afterAutospacing="0" w:line="350" w:lineRule="auto"/>
              <w:ind w:left="3" w:right="0" w:firstLine="480" w:firstLineChars="200"/>
              <w:jc w:val="both"/>
              <w:rPr>
                <w:rFonts w:hint="default" w:ascii="Times New Roman" w:hAnsi="Times New Roman" w:eastAsia="仿宋" w:cs="Times New Roman"/>
                <w:color w:val="auto"/>
                <w:kern w:val="0"/>
                <w:sz w:val="24"/>
                <w:highlight w:val="none"/>
                <w:lang w:val="en-US" w:eastAsia="zh-CN"/>
              </w:rPr>
            </w:pPr>
            <w:r>
              <w:rPr>
                <w:rFonts w:hint="default" w:ascii="Times New Roman" w:hAnsi="Times New Roman" w:eastAsia="仿宋" w:cs="Times New Roman"/>
                <w:color w:val="auto"/>
                <w:kern w:val="2"/>
                <w:sz w:val="24"/>
                <w:szCs w:val="24"/>
                <w:highlight w:val="none"/>
                <w:lang w:val="en-US" w:eastAsia="zh-CN" w:bidi="ar-SA"/>
              </w:rPr>
              <w:t>4）项目变更后工程内容及规模：</w:t>
            </w:r>
            <w:r>
              <w:rPr>
                <w:rFonts w:hint="default" w:ascii="Times New Roman" w:hAnsi="Times New Roman" w:eastAsia="仿宋" w:cs="Times New Roman"/>
                <w:color w:val="auto"/>
                <w:kern w:val="0"/>
                <w:sz w:val="24"/>
                <w:highlight w:val="none"/>
                <w:lang w:val="en-US" w:eastAsia="zh-CN"/>
              </w:rPr>
              <w:t>共布设37个光伏阵列共52个发电子单元，总装机规模为交流侧148MW、直流侧176.18MWp，建设升压站1座，站内设置1台</w:t>
            </w:r>
            <w:r>
              <w:rPr>
                <w:rFonts w:hint="default" w:ascii="Times New Roman" w:hAnsi="Times New Roman" w:eastAsia="仿宋" w:cs="Times New Roman"/>
                <w:color w:val="auto"/>
                <w:spacing w:val="0"/>
                <w:w w:val="100"/>
                <w:kern w:val="0"/>
                <w:sz w:val="24"/>
                <w:szCs w:val="24"/>
                <w:highlight w:val="none"/>
                <w:lang w:val="en-US" w:eastAsia="zh-CN"/>
              </w:rPr>
              <w:t>230MVA</w:t>
            </w:r>
            <w:r>
              <w:rPr>
                <w:rFonts w:hint="default" w:ascii="Times New Roman" w:hAnsi="Times New Roman" w:eastAsia="仿宋" w:cs="Times New Roman"/>
                <w:color w:val="auto"/>
                <w:kern w:val="0"/>
                <w:sz w:val="24"/>
                <w:highlight w:val="none"/>
                <w:lang w:val="en-US" w:eastAsia="zh-CN"/>
              </w:rPr>
              <w:t>主变和1台</w:t>
            </w:r>
            <w:r>
              <w:rPr>
                <w:rFonts w:hint="default" w:ascii="Times New Roman" w:hAnsi="Times New Roman" w:eastAsia="仿宋" w:cs="Times New Roman"/>
                <w:color w:val="auto"/>
                <w:spacing w:val="0"/>
                <w:w w:val="100"/>
                <w:kern w:val="0"/>
                <w:sz w:val="24"/>
                <w:szCs w:val="24"/>
                <w:highlight w:val="none"/>
                <w:lang w:val="en-US" w:eastAsia="zh-CN"/>
              </w:rPr>
              <w:t>210MVA</w:t>
            </w:r>
            <w:r>
              <w:rPr>
                <w:rFonts w:hint="default" w:ascii="Times New Roman" w:hAnsi="Times New Roman" w:eastAsia="仿宋" w:cs="Times New Roman"/>
                <w:color w:val="auto"/>
                <w:kern w:val="0"/>
                <w:sz w:val="24"/>
                <w:highlight w:val="none"/>
                <w:lang w:val="en-US" w:eastAsia="zh-CN"/>
              </w:rPr>
              <w:t>主变。光伏阵列产生的电能通过6回35kV集电线路接至220kV升压站，集电线路采用电缆直埋敷设+架空形式（线路总长120.34km，其中直埋敷设长度22km、单回架空线路51.34km、双回架空线路47km）。升压站配套建设生活污水处理设施、事故油池、危废暂存间等环保工程。</w:t>
            </w:r>
          </w:p>
          <w:p w14:paraId="50CA3CCE">
            <w:pPr>
              <w:keepNext w:val="0"/>
              <w:keepLines w:val="0"/>
              <w:suppressLineNumbers w:val="0"/>
              <w:spacing w:before="78" w:beforeLines="0" w:beforeAutospacing="0" w:after="0" w:afterAutospacing="0" w:line="350" w:lineRule="auto"/>
              <w:ind w:left="3" w:right="0" w:firstLine="480" w:firstLineChars="200"/>
              <w:jc w:val="both"/>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5）工程总工期：</w:t>
            </w:r>
            <w:r>
              <w:rPr>
                <w:rFonts w:hint="default" w:ascii="Times New Roman" w:hAnsi="Times New Roman" w:eastAsia="仿宋" w:cs="Times New Roman"/>
                <w:color w:val="auto"/>
                <w:sz w:val="24"/>
                <w:szCs w:val="24"/>
                <w:highlight w:val="none"/>
                <w:lang w:val="en-US" w:eastAsia="zh-CN"/>
              </w:rPr>
              <w:t>8个月</w:t>
            </w:r>
          </w:p>
          <w:p w14:paraId="51250966">
            <w:pPr>
              <w:keepNext w:val="0"/>
              <w:keepLines w:val="0"/>
              <w:suppressLineNumbers w:val="0"/>
              <w:spacing w:before="0" w:beforeAutospacing="0" w:after="0" w:afterAutospacing="0"/>
              <w:ind w:left="0" w:right="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6）工程总投资：</w:t>
            </w:r>
            <w:r>
              <w:rPr>
                <w:rFonts w:hint="eastAsia" w:cs="Times New Roman"/>
                <w:color w:val="auto"/>
                <w:kern w:val="2"/>
                <w:sz w:val="24"/>
                <w:szCs w:val="24"/>
                <w:highlight w:val="none"/>
                <w:lang w:val="en-US" w:eastAsia="zh-CN" w:bidi="ar-SA"/>
              </w:rPr>
              <w:t>61795</w:t>
            </w:r>
            <w:r>
              <w:rPr>
                <w:rFonts w:hint="default" w:ascii="Times New Roman" w:hAnsi="Times New Roman" w:eastAsia="仿宋" w:cs="Times New Roman"/>
                <w:color w:val="auto"/>
                <w:kern w:val="2"/>
                <w:sz w:val="24"/>
                <w:szCs w:val="24"/>
                <w:highlight w:val="none"/>
                <w:lang w:val="en-US" w:eastAsia="zh-CN" w:bidi="ar-SA"/>
              </w:rPr>
              <w:t>万元。其中环保投资222.5万元，占总投资的</w:t>
            </w:r>
            <w:r>
              <w:rPr>
                <w:rFonts w:hint="eastAsia" w:cs="Times New Roman"/>
                <w:color w:val="auto"/>
                <w:kern w:val="2"/>
                <w:sz w:val="24"/>
                <w:szCs w:val="24"/>
                <w:highlight w:val="none"/>
                <w:lang w:val="en-US" w:eastAsia="zh-CN" w:bidi="ar-SA"/>
              </w:rPr>
              <w:t>0.36</w:t>
            </w:r>
            <w:r>
              <w:rPr>
                <w:rFonts w:hint="default" w:ascii="Times New Roman" w:hAnsi="Times New Roman" w:eastAsia="仿宋" w:cs="Times New Roman"/>
                <w:color w:val="auto"/>
                <w:kern w:val="2"/>
                <w:sz w:val="24"/>
                <w:szCs w:val="24"/>
                <w:highlight w:val="none"/>
                <w:lang w:val="en-US" w:eastAsia="zh-CN" w:bidi="ar-SA"/>
              </w:rPr>
              <w:t>%。</w:t>
            </w:r>
          </w:p>
          <w:p w14:paraId="3470FE3A">
            <w:pPr>
              <w:keepNext w:val="0"/>
              <w:keepLines w:val="0"/>
              <w:suppressLineNumbers w:val="0"/>
              <w:spacing w:before="0" w:beforeAutospacing="0" w:after="0" w:afterAutospacing="0"/>
              <w:ind w:left="0" w:right="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（二）项目变更情况</w:t>
            </w:r>
          </w:p>
          <w:p w14:paraId="7899B4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color w:val="auto"/>
                <w:kern w:val="2"/>
                <w:sz w:val="24"/>
                <w:szCs w:val="24"/>
                <w:highlight w:val="none"/>
                <w:lang w:val="en-US" w:eastAsia="zh-CN" w:bidi="ar-SA"/>
              </w:rPr>
              <w:t>1）项目基本情况变更概述</w:t>
            </w:r>
          </w:p>
          <w:p w14:paraId="5992267F">
            <w:pPr>
              <w:keepNext w:val="0"/>
              <w:keepLines w:val="0"/>
              <w:widowControl w:val="0"/>
              <w:suppressLineNumbers w:val="0"/>
              <w:spacing w:before="0" w:beforeAutospacing="0" w:after="0" w:afterAutospacing="0" w:line="360" w:lineRule="auto"/>
              <w:ind w:left="0" w:leftChars="0" w:right="0" w:firstLine="0" w:firstLineChars="0"/>
              <w:jc w:val="center"/>
              <w:rPr>
                <w:rFonts w:hint="default" w:ascii="Times New Roman" w:hAnsi="Times New Roman" w:eastAsia="仿宋" w:cs="Times New Roman"/>
                <w:b/>
                <w:bCs/>
                <w:color w:val="auto"/>
                <w:kern w:val="2"/>
                <w:sz w:val="21"/>
                <w:szCs w:val="21"/>
                <w:highlight w:val="none"/>
                <w:lang w:val="en-US" w:eastAsia="zh-CN" w:bidi="ar-SA"/>
              </w:rPr>
            </w:pPr>
            <w:r>
              <w:rPr>
                <w:rFonts w:hint="default" w:ascii="Times New Roman" w:hAnsi="Times New Roman" w:eastAsia="仿宋" w:cs="Times New Roman"/>
                <w:b/>
                <w:bCs/>
                <w:color w:val="auto"/>
                <w:kern w:val="2"/>
                <w:sz w:val="21"/>
                <w:szCs w:val="21"/>
                <w:highlight w:val="none"/>
                <w:lang w:val="en-US" w:eastAsia="zh-CN" w:bidi="ar-SA"/>
              </w:rPr>
              <w:t>表</w:t>
            </w:r>
            <w:r>
              <w:rPr>
                <w:rFonts w:hint="eastAsia" w:cs="Times New Roman"/>
                <w:b/>
                <w:bCs/>
                <w:color w:val="auto"/>
                <w:kern w:val="2"/>
                <w:sz w:val="21"/>
                <w:szCs w:val="21"/>
                <w:highlight w:val="none"/>
                <w:lang w:val="en-US" w:eastAsia="zh-CN" w:bidi="ar-SA"/>
              </w:rPr>
              <w:t>2.3-1</w:t>
            </w:r>
            <w:r>
              <w:rPr>
                <w:rFonts w:hint="default" w:ascii="Times New Roman" w:hAnsi="Times New Roman" w:eastAsia="仿宋" w:cs="Times New Roman"/>
                <w:b/>
                <w:bCs/>
                <w:color w:val="auto"/>
                <w:kern w:val="2"/>
                <w:sz w:val="21"/>
                <w:szCs w:val="21"/>
                <w:highlight w:val="none"/>
                <w:lang w:val="en-US" w:eastAsia="zh-CN" w:bidi="ar-SA"/>
              </w:rPr>
              <w:t xml:space="preserve"> 项目变更情况一览表</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2859"/>
              <w:gridCol w:w="2703"/>
              <w:gridCol w:w="2001"/>
            </w:tblGrid>
            <w:tr w14:paraId="0036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noWrap w:val="0"/>
                  <w:vAlign w:val="center"/>
                </w:tcPr>
                <w:p w14:paraId="3D1748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kern w:val="2"/>
                      <w:sz w:val="21"/>
                      <w:szCs w:val="21"/>
                      <w:highlight w:val="none"/>
                      <w:vertAlign w:val="baseline"/>
                      <w:lang w:val="en-US" w:eastAsia="zh-CN" w:bidi="ar-SA"/>
                    </w:rPr>
                  </w:pPr>
                  <w:r>
                    <w:rPr>
                      <w:rFonts w:hint="default" w:ascii="Times New Roman" w:hAnsi="Times New Roman" w:eastAsia="仿宋" w:cs="Times New Roman"/>
                      <w:b/>
                      <w:bCs/>
                      <w:color w:val="auto"/>
                      <w:kern w:val="2"/>
                      <w:sz w:val="21"/>
                      <w:szCs w:val="21"/>
                      <w:highlight w:val="none"/>
                      <w:vertAlign w:val="baseline"/>
                      <w:lang w:val="en-US" w:eastAsia="zh-CN" w:bidi="ar-SA"/>
                    </w:rPr>
                    <w:t>内容</w:t>
                  </w:r>
                </w:p>
              </w:tc>
              <w:tc>
                <w:tcPr>
                  <w:tcW w:w="1633" w:type="pct"/>
                  <w:noWrap w:val="0"/>
                  <w:vAlign w:val="center"/>
                </w:tcPr>
                <w:p w14:paraId="27A287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kern w:val="2"/>
                      <w:sz w:val="21"/>
                      <w:szCs w:val="21"/>
                      <w:highlight w:val="none"/>
                      <w:vertAlign w:val="baseline"/>
                      <w:lang w:val="en-US" w:eastAsia="zh-CN" w:bidi="ar-SA"/>
                    </w:rPr>
                  </w:pPr>
                  <w:r>
                    <w:rPr>
                      <w:rFonts w:hint="default" w:ascii="Times New Roman" w:hAnsi="Times New Roman" w:eastAsia="仿宋" w:cs="Times New Roman"/>
                      <w:b/>
                      <w:bCs/>
                      <w:color w:val="auto"/>
                      <w:kern w:val="2"/>
                      <w:sz w:val="21"/>
                      <w:szCs w:val="21"/>
                      <w:highlight w:val="none"/>
                      <w:vertAlign w:val="baseline"/>
                      <w:lang w:val="en-US" w:eastAsia="zh-CN" w:bidi="ar-SA"/>
                    </w:rPr>
                    <w:t>变更前</w:t>
                  </w:r>
                </w:p>
              </w:tc>
              <w:tc>
                <w:tcPr>
                  <w:tcW w:w="1544" w:type="pct"/>
                  <w:noWrap w:val="0"/>
                  <w:vAlign w:val="center"/>
                </w:tcPr>
                <w:p w14:paraId="4FA8A9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kern w:val="2"/>
                      <w:sz w:val="21"/>
                      <w:szCs w:val="21"/>
                      <w:highlight w:val="none"/>
                      <w:vertAlign w:val="baseline"/>
                      <w:lang w:val="en-US" w:eastAsia="zh-CN" w:bidi="ar-SA"/>
                    </w:rPr>
                  </w:pPr>
                  <w:r>
                    <w:rPr>
                      <w:rFonts w:hint="default" w:ascii="Times New Roman" w:hAnsi="Times New Roman" w:eastAsia="仿宋" w:cs="Times New Roman"/>
                      <w:b/>
                      <w:bCs/>
                      <w:color w:val="auto"/>
                      <w:kern w:val="2"/>
                      <w:sz w:val="21"/>
                      <w:szCs w:val="21"/>
                      <w:highlight w:val="none"/>
                      <w:vertAlign w:val="baseline"/>
                      <w:lang w:val="en-US" w:eastAsia="zh-CN" w:bidi="ar-SA"/>
                    </w:rPr>
                    <w:t>变更后</w:t>
                  </w:r>
                </w:p>
              </w:tc>
              <w:tc>
                <w:tcPr>
                  <w:tcW w:w="1143" w:type="pct"/>
                  <w:noWrap w:val="0"/>
                  <w:vAlign w:val="center"/>
                </w:tcPr>
                <w:p w14:paraId="50A080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kern w:val="2"/>
                      <w:sz w:val="21"/>
                      <w:szCs w:val="21"/>
                      <w:highlight w:val="none"/>
                      <w:vertAlign w:val="baseline"/>
                      <w:lang w:val="en-US" w:eastAsia="zh-CN" w:bidi="ar-SA"/>
                    </w:rPr>
                  </w:pPr>
                  <w:r>
                    <w:rPr>
                      <w:rFonts w:hint="default" w:ascii="Times New Roman" w:hAnsi="Times New Roman" w:eastAsia="仿宋" w:cs="Times New Roman"/>
                      <w:b/>
                      <w:bCs/>
                      <w:color w:val="auto"/>
                      <w:kern w:val="2"/>
                      <w:sz w:val="21"/>
                      <w:szCs w:val="21"/>
                      <w:highlight w:val="none"/>
                      <w:vertAlign w:val="baseline"/>
                      <w:lang w:val="en-US" w:eastAsia="zh-CN" w:bidi="ar-SA"/>
                    </w:rPr>
                    <w:t>变更情况说明</w:t>
                  </w:r>
                </w:p>
              </w:tc>
            </w:tr>
            <w:tr w14:paraId="0810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noWrap w:val="0"/>
                  <w:vAlign w:val="center"/>
                </w:tcPr>
                <w:p w14:paraId="3BD0B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建设单位</w:t>
                  </w:r>
                </w:p>
              </w:tc>
              <w:tc>
                <w:tcPr>
                  <w:tcW w:w="1633" w:type="pct"/>
                  <w:noWrap w:val="0"/>
                  <w:vAlign w:val="center"/>
                </w:tcPr>
                <w:p w14:paraId="5BBEEE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lang w:val="en-US" w:eastAsia="zh-CN" w:bidi="ar-SA"/>
                    </w:rPr>
                    <w:t>会泽华电道成清洁能源开发有限公司</w:t>
                  </w:r>
                </w:p>
              </w:tc>
              <w:tc>
                <w:tcPr>
                  <w:tcW w:w="1544" w:type="pct"/>
                  <w:noWrap w:val="0"/>
                  <w:vAlign w:val="center"/>
                </w:tcPr>
                <w:p w14:paraId="0BBA7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lang w:val="en-US" w:eastAsia="zh-CN" w:bidi="ar-SA"/>
                    </w:rPr>
                    <w:t>会泽华电道成清洁能源开发有限公司</w:t>
                  </w:r>
                </w:p>
              </w:tc>
              <w:tc>
                <w:tcPr>
                  <w:tcW w:w="1143" w:type="pct"/>
                  <w:noWrap w:val="0"/>
                  <w:vAlign w:val="center"/>
                </w:tcPr>
                <w:p w14:paraId="02C0AE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w:t>
                  </w:r>
                </w:p>
              </w:tc>
            </w:tr>
            <w:tr w14:paraId="7B94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noWrap w:val="0"/>
                  <w:vAlign w:val="center"/>
                </w:tcPr>
                <w:p w14:paraId="4B6400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建设性质</w:t>
                  </w:r>
                </w:p>
              </w:tc>
              <w:tc>
                <w:tcPr>
                  <w:tcW w:w="1633" w:type="pct"/>
                  <w:noWrap w:val="0"/>
                  <w:vAlign w:val="center"/>
                </w:tcPr>
                <w:p w14:paraId="5D55F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新建</w:t>
                  </w:r>
                </w:p>
              </w:tc>
              <w:tc>
                <w:tcPr>
                  <w:tcW w:w="1544" w:type="pct"/>
                  <w:noWrap w:val="0"/>
                  <w:vAlign w:val="center"/>
                </w:tcPr>
                <w:p w14:paraId="695C82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新建</w:t>
                  </w:r>
                </w:p>
              </w:tc>
              <w:tc>
                <w:tcPr>
                  <w:tcW w:w="1143" w:type="pct"/>
                  <w:noWrap w:val="0"/>
                  <w:vAlign w:val="center"/>
                </w:tcPr>
                <w:p w14:paraId="2F03E2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w:t>
                  </w:r>
                </w:p>
              </w:tc>
            </w:tr>
            <w:tr w14:paraId="7BA1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noWrap w:val="0"/>
                  <w:vAlign w:val="center"/>
                </w:tcPr>
                <w:p w14:paraId="4273C3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建设地点</w:t>
                  </w:r>
                </w:p>
              </w:tc>
              <w:tc>
                <w:tcPr>
                  <w:tcW w:w="1633" w:type="pct"/>
                  <w:noWrap w:val="0"/>
                  <w:vAlign w:val="center"/>
                </w:tcPr>
                <w:p w14:paraId="04A16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云南省曲靖市会泽县迤车镇中寨村委会竹子箐</w:t>
                  </w:r>
                </w:p>
                <w:p w14:paraId="7BFDD9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中心坐标E103.5721°，N26.8609°</w:t>
                  </w:r>
                </w:p>
              </w:tc>
              <w:tc>
                <w:tcPr>
                  <w:tcW w:w="1544" w:type="pct"/>
                  <w:noWrap w:val="0"/>
                  <w:vAlign w:val="center"/>
                </w:tcPr>
                <w:p w14:paraId="1947FF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云南省曲靖市会泽县迤车镇、马路乡、纸厂乡</w:t>
                  </w:r>
                </w:p>
                <w:p w14:paraId="294C4C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中心坐标E103.5552°，N26.8853°</w:t>
                  </w:r>
                </w:p>
              </w:tc>
              <w:tc>
                <w:tcPr>
                  <w:tcW w:w="1143" w:type="pct"/>
                  <w:noWrap w:val="0"/>
                  <w:vAlign w:val="center"/>
                </w:tcPr>
                <w:p w14:paraId="40FF47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选址</w:t>
                  </w:r>
                  <w:r>
                    <w:rPr>
                      <w:rFonts w:hint="eastAsia" w:cs="Times New Roman"/>
                      <w:color w:val="auto"/>
                      <w:kern w:val="2"/>
                      <w:sz w:val="21"/>
                      <w:szCs w:val="21"/>
                      <w:highlight w:val="none"/>
                      <w:vertAlign w:val="baseline"/>
                      <w:lang w:val="en-US" w:eastAsia="zh-CN" w:bidi="ar-SA"/>
                    </w:rPr>
                    <w:t>行政区</w:t>
                  </w:r>
                  <w:r>
                    <w:rPr>
                      <w:rFonts w:hint="default" w:ascii="Times New Roman" w:hAnsi="Times New Roman" w:eastAsia="仿宋" w:cs="Times New Roman"/>
                      <w:color w:val="auto"/>
                      <w:kern w:val="2"/>
                      <w:sz w:val="21"/>
                      <w:szCs w:val="21"/>
                      <w:highlight w:val="none"/>
                      <w:vertAlign w:val="baseline"/>
                      <w:lang w:val="en-US" w:eastAsia="zh-CN" w:bidi="ar-SA"/>
                    </w:rPr>
                    <w:t>范围变化</w:t>
                  </w:r>
                </w:p>
              </w:tc>
            </w:tr>
            <w:tr w14:paraId="48A5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noWrap w:val="0"/>
                  <w:vAlign w:val="center"/>
                </w:tcPr>
                <w:p w14:paraId="638C8A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用地规模</w:t>
                  </w:r>
                </w:p>
              </w:tc>
              <w:tc>
                <w:tcPr>
                  <w:tcW w:w="1633" w:type="pct"/>
                  <w:noWrap w:val="0"/>
                  <w:vAlign w:val="center"/>
                </w:tcPr>
                <w:p w14:paraId="10E6DA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226.73hm</w:t>
                  </w:r>
                  <w:r>
                    <w:rPr>
                      <w:rFonts w:hint="default" w:ascii="Times New Roman" w:hAnsi="Times New Roman" w:eastAsia="仿宋" w:cs="Times New Roman"/>
                      <w:color w:val="auto"/>
                      <w:kern w:val="2"/>
                      <w:sz w:val="21"/>
                      <w:szCs w:val="21"/>
                      <w:highlight w:val="none"/>
                      <w:vertAlign w:val="superscript"/>
                      <w:lang w:val="en-US" w:eastAsia="zh-CN" w:bidi="ar-SA"/>
                    </w:rPr>
                    <w:t>2</w:t>
                  </w:r>
                </w:p>
              </w:tc>
              <w:tc>
                <w:tcPr>
                  <w:tcW w:w="1544" w:type="pct"/>
                  <w:noWrap w:val="0"/>
                  <w:vAlign w:val="center"/>
                </w:tcPr>
                <w:p w14:paraId="08154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203.14</w:t>
                  </w:r>
                  <w:r>
                    <w:rPr>
                      <w:rFonts w:hint="default" w:ascii="Times New Roman" w:hAnsi="Times New Roman" w:eastAsia="仿宋" w:cs="Times New Roman"/>
                      <w:color w:val="auto"/>
                      <w:kern w:val="2"/>
                      <w:sz w:val="21"/>
                      <w:szCs w:val="21"/>
                      <w:highlight w:val="none"/>
                      <w:vertAlign w:val="baseline"/>
                      <w:lang w:val="en-US" w:eastAsia="zh-CN" w:bidi="ar-SA"/>
                    </w:rPr>
                    <w:t>hm</w:t>
                  </w:r>
                  <w:r>
                    <w:rPr>
                      <w:rFonts w:hint="default" w:ascii="Times New Roman" w:hAnsi="Times New Roman" w:eastAsia="仿宋" w:cs="Times New Roman"/>
                      <w:color w:val="auto"/>
                      <w:kern w:val="2"/>
                      <w:sz w:val="21"/>
                      <w:szCs w:val="21"/>
                      <w:highlight w:val="none"/>
                      <w:vertAlign w:val="superscript"/>
                      <w:lang w:val="en-US" w:eastAsia="zh-CN" w:bidi="ar-SA"/>
                    </w:rPr>
                    <w:t>2</w:t>
                  </w:r>
                </w:p>
              </w:tc>
              <w:tc>
                <w:tcPr>
                  <w:tcW w:w="1143" w:type="pct"/>
                  <w:noWrap w:val="0"/>
                  <w:vAlign w:val="center"/>
                </w:tcPr>
                <w:p w14:paraId="6560F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减少</w:t>
                  </w:r>
                  <w:r>
                    <w:rPr>
                      <w:rFonts w:hint="eastAsia" w:cs="Times New Roman"/>
                      <w:color w:val="auto"/>
                      <w:kern w:val="2"/>
                      <w:sz w:val="21"/>
                      <w:szCs w:val="21"/>
                      <w:highlight w:val="none"/>
                      <w:vertAlign w:val="baseline"/>
                      <w:lang w:val="en-US" w:eastAsia="zh-CN" w:bidi="ar-SA"/>
                    </w:rPr>
                    <w:t>23.59</w:t>
                  </w:r>
                  <w:r>
                    <w:rPr>
                      <w:rFonts w:hint="default" w:ascii="Times New Roman" w:hAnsi="Times New Roman" w:eastAsia="仿宋" w:cs="Times New Roman"/>
                      <w:color w:val="auto"/>
                      <w:kern w:val="2"/>
                      <w:sz w:val="21"/>
                      <w:szCs w:val="21"/>
                      <w:highlight w:val="none"/>
                      <w:vertAlign w:val="baseline"/>
                      <w:lang w:val="en-US" w:eastAsia="zh-CN" w:bidi="ar-SA"/>
                    </w:rPr>
                    <w:t>hm</w:t>
                  </w:r>
                  <w:r>
                    <w:rPr>
                      <w:rFonts w:hint="default" w:ascii="Times New Roman" w:hAnsi="Times New Roman" w:eastAsia="仿宋" w:cs="Times New Roman"/>
                      <w:color w:val="auto"/>
                      <w:kern w:val="2"/>
                      <w:sz w:val="21"/>
                      <w:szCs w:val="21"/>
                      <w:highlight w:val="none"/>
                      <w:vertAlign w:val="superscript"/>
                      <w:lang w:val="en-US" w:eastAsia="zh-CN" w:bidi="ar-SA"/>
                    </w:rPr>
                    <w:t>2</w:t>
                  </w:r>
                </w:p>
              </w:tc>
            </w:tr>
            <w:tr w14:paraId="5D82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678" w:type="pct"/>
                  <w:vMerge w:val="restart"/>
                  <w:noWrap w:val="0"/>
                  <w:vAlign w:val="center"/>
                </w:tcPr>
                <w:p w14:paraId="159E7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建设规模</w:t>
                  </w:r>
                </w:p>
              </w:tc>
              <w:tc>
                <w:tcPr>
                  <w:tcW w:w="1633" w:type="pct"/>
                  <w:noWrap w:val="0"/>
                  <w:vAlign w:val="center"/>
                </w:tcPr>
                <w:p w14:paraId="18B0AD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共布设48个光伏阵列，总装机规模为交流侧148MW</w:t>
                  </w:r>
                  <w:r>
                    <w:rPr>
                      <w:rFonts w:hint="eastAsia" w:cs="Times New Roman"/>
                      <w:color w:val="auto"/>
                      <w:kern w:val="2"/>
                      <w:sz w:val="21"/>
                      <w:szCs w:val="21"/>
                      <w:highlight w:val="none"/>
                      <w:vertAlign w:val="baseline"/>
                      <w:lang w:val="en-US" w:eastAsia="zh-CN" w:bidi="ar-SA"/>
                    </w:rPr>
                    <w:t>ac</w:t>
                  </w:r>
                  <w:r>
                    <w:rPr>
                      <w:rFonts w:hint="default" w:ascii="Times New Roman" w:hAnsi="Times New Roman" w:eastAsia="仿宋" w:cs="Times New Roman"/>
                      <w:color w:val="auto"/>
                      <w:kern w:val="2"/>
                      <w:sz w:val="21"/>
                      <w:szCs w:val="21"/>
                      <w:highlight w:val="none"/>
                      <w:vertAlign w:val="baseline"/>
                      <w:lang w:val="en-US" w:eastAsia="zh-CN" w:bidi="ar-SA"/>
                    </w:rPr>
                    <w:t>、直流侧176.18MWp</w:t>
                  </w:r>
                </w:p>
              </w:tc>
              <w:tc>
                <w:tcPr>
                  <w:tcW w:w="1544" w:type="pct"/>
                  <w:noWrap w:val="0"/>
                  <w:vAlign w:val="center"/>
                </w:tcPr>
                <w:p w14:paraId="09D98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共布设37个光伏阵列共52个发电子单元，总装机规模为交流侧148MW</w:t>
                  </w:r>
                  <w:r>
                    <w:rPr>
                      <w:rFonts w:hint="eastAsia" w:cs="Times New Roman"/>
                      <w:color w:val="auto"/>
                      <w:kern w:val="2"/>
                      <w:sz w:val="21"/>
                      <w:szCs w:val="21"/>
                      <w:highlight w:val="none"/>
                      <w:vertAlign w:val="baseline"/>
                      <w:lang w:val="en-US" w:eastAsia="zh-CN" w:bidi="ar-SA"/>
                    </w:rPr>
                    <w:t>ac</w:t>
                  </w:r>
                  <w:r>
                    <w:rPr>
                      <w:rFonts w:hint="default" w:ascii="Times New Roman" w:hAnsi="Times New Roman" w:eastAsia="仿宋" w:cs="Times New Roman"/>
                      <w:color w:val="auto"/>
                      <w:kern w:val="2"/>
                      <w:sz w:val="21"/>
                      <w:szCs w:val="21"/>
                      <w:highlight w:val="none"/>
                      <w:vertAlign w:val="baseline"/>
                      <w:lang w:val="en-US" w:eastAsia="zh-CN" w:bidi="ar-SA"/>
                    </w:rPr>
                    <w:t>、直流侧176.18MWp。</w:t>
                  </w:r>
                </w:p>
              </w:tc>
              <w:tc>
                <w:tcPr>
                  <w:tcW w:w="1143" w:type="pct"/>
                  <w:noWrap w:val="0"/>
                  <w:vAlign w:val="center"/>
                </w:tcPr>
                <w:p w14:paraId="0A5133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总规模不变，</w:t>
                  </w:r>
                  <w:r>
                    <w:rPr>
                      <w:rFonts w:hint="eastAsia" w:cs="Times New Roman"/>
                      <w:color w:val="auto"/>
                      <w:kern w:val="2"/>
                      <w:sz w:val="21"/>
                      <w:szCs w:val="21"/>
                      <w:highlight w:val="none"/>
                      <w:vertAlign w:val="baseline"/>
                      <w:lang w:val="en-US" w:eastAsia="zh-CN" w:bidi="ar-SA"/>
                    </w:rPr>
                    <w:t>光伏方阵减少9个，</w:t>
                  </w:r>
                  <w:r>
                    <w:rPr>
                      <w:rFonts w:hint="default" w:ascii="Times New Roman" w:hAnsi="Times New Roman" w:eastAsia="仿宋" w:cs="Times New Roman"/>
                      <w:color w:val="auto"/>
                      <w:kern w:val="2"/>
                      <w:sz w:val="21"/>
                      <w:szCs w:val="21"/>
                      <w:highlight w:val="none"/>
                      <w:vertAlign w:val="baseline"/>
                      <w:lang w:val="en-US" w:eastAsia="zh-CN" w:bidi="ar-SA"/>
                    </w:rPr>
                    <w:t>光伏发电子单元增加4个，光伏组件规模发生变动</w:t>
                  </w:r>
                  <w:r>
                    <w:rPr>
                      <w:rFonts w:hint="eastAsia" w:cs="Times New Roman"/>
                      <w:color w:val="auto"/>
                      <w:kern w:val="2"/>
                      <w:sz w:val="21"/>
                      <w:szCs w:val="21"/>
                      <w:highlight w:val="none"/>
                      <w:vertAlign w:val="baseline"/>
                      <w:lang w:val="en-US" w:eastAsia="zh-CN" w:bidi="ar-SA"/>
                    </w:rPr>
                    <w:t>。</w:t>
                  </w:r>
                </w:p>
              </w:tc>
            </w:tr>
            <w:tr w14:paraId="2EDF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678" w:type="pct"/>
                  <w:vMerge w:val="continue"/>
                  <w:noWrap w:val="0"/>
                  <w:vAlign w:val="center"/>
                </w:tcPr>
                <w:p w14:paraId="024FDC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1633" w:type="pct"/>
                  <w:noWrap w:val="0"/>
                  <w:vAlign w:val="center"/>
                </w:tcPr>
                <w:p w14:paraId="6AE31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建设升压站1座，</w:t>
                  </w:r>
                  <w:r>
                    <w:rPr>
                      <w:rFonts w:hint="default" w:ascii="Times New Roman" w:hAnsi="Times New Roman" w:eastAsia="仿宋" w:cs="Times New Roman"/>
                      <w:color w:val="auto"/>
                      <w:sz w:val="21"/>
                      <w:szCs w:val="21"/>
                      <w:highlight w:val="none"/>
                      <w:lang w:val="en-US" w:eastAsia="zh-CN"/>
                    </w:rPr>
                    <w:t>总占地面积15759m</w:t>
                  </w:r>
                  <w:r>
                    <w:rPr>
                      <w:rFonts w:hint="default" w:ascii="Times New Roman" w:hAnsi="Times New Roman" w:eastAsia="仿宋" w:cs="Times New Roman"/>
                      <w:color w:val="auto"/>
                      <w:sz w:val="21"/>
                      <w:szCs w:val="21"/>
                      <w:highlight w:val="none"/>
                      <w:vertAlign w:val="superscript"/>
                      <w:lang w:val="en-US" w:eastAsia="zh-CN"/>
                    </w:rPr>
                    <w:t>2</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kern w:val="2"/>
                      <w:sz w:val="21"/>
                      <w:szCs w:val="21"/>
                      <w:highlight w:val="none"/>
                      <w:vertAlign w:val="baseline"/>
                      <w:lang w:val="en-US" w:eastAsia="zh-CN" w:bidi="ar-SA"/>
                    </w:rPr>
                    <w:t>升压站内布设3台150MVA的主变压器</w:t>
                  </w:r>
                </w:p>
              </w:tc>
              <w:tc>
                <w:tcPr>
                  <w:tcW w:w="1544" w:type="pct"/>
                  <w:noWrap w:val="0"/>
                  <w:vAlign w:val="center"/>
                </w:tcPr>
                <w:p w14:paraId="03CDC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升压站主变规模440MVA，包括1台230MVA主变和1台210MVA主变。升压站长145m，宽43m，总占地面积6235m</w:t>
                  </w:r>
                  <w:r>
                    <w:rPr>
                      <w:rFonts w:hint="default" w:ascii="Times New Roman" w:hAnsi="Times New Roman" w:eastAsia="仿宋" w:cs="Times New Roman"/>
                      <w:color w:val="auto"/>
                      <w:kern w:val="2"/>
                      <w:sz w:val="21"/>
                      <w:szCs w:val="21"/>
                      <w:highlight w:val="none"/>
                      <w:vertAlign w:val="superscript"/>
                      <w:lang w:val="en-US" w:eastAsia="zh-CN" w:bidi="ar-SA"/>
                    </w:rPr>
                    <w:t>2</w:t>
                  </w:r>
                  <w:r>
                    <w:rPr>
                      <w:rFonts w:hint="default" w:ascii="Times New Roman" w:hAnsi="Times New Roman" w:eastAsia="仿宋" w:cs="Times New Roman"/>
                      <w:color w:val="auto"/>
                      <w:kern w:val="2"/>
                      <w:sz w:val="21"/>
                      <w:szCs w:val="21"/>
                      <w:highlight w:val="none"/>
                      <w:vertAlign w:val="baseline"/>
                      <w:lang w:val="en-US" w:eastAsia="zh-CN" w:bidi="ar-SA"/>
                    </w:rPr>
                    <w:t>。</w:t>
                  </w:r>
                </w:p>
              </w:tc>
              <w:tc>
                <w:tcPr>
                  <w:tcW w:w="1143" w:type="pct"/>
                  <w:noWrap w:val="0"/>
                  <w:vAlign w:val="center"/>
                </w:tcPr>
                <w:p w14:paraId="1644C5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升压站区：建设地址变化，占地面积减小，</w:t>
                  </w:r>
                  <w:r>
                    <w:rPr>
                      <w:rFonts w:hint="eastAsia" w:ascii="Times New Roman" w:hAnsi="Times New Roman" w:cs="Times New Roman"/>
                      <w:color w:val="auto"/>
                      <w:kern w:val="2"/>
                      <w:sz w:val="21"/>
                      <w:szCs w:val="21"/>
                      <w:highlight w:val="none"/>
                      <w:vertAlign w:val="baseline"/>
                      <w:lang w:val="en-US" w:eastAsia="zh-CN" w:bidi="ar-SA"/>
                    </w:rPr>
                    <w:t>主变台数减少，</w:t>
                  </w:r>
                  <w:r>
                    <w:rPr>
                      <w:rFonts w:hint="eastAsia" w:cs="Times New Roman"/>
                      <w:color w:val="auto"/>
                      <w:kern w:val="2"/>
                      <w:sz w:val="21"/>
                      <w:szCs w:val="21"/>
                      <w:highlight w:val="none"/>
                      <w:vertAlign w:val="baseline"/>
                      <w:lang w:val="en-US" w:eastAsia="zh-CN" w:bidi="ar-SA"/>
                    </w:rPr>
                    <w:t>总</w:t>
                  </w:r>
                  <w:r>
                    <w:rPr>
                      <w:rFonts w:hint="eastAsia" w:ascii="Times New Roman" w:hAnsi="Times New Roman" w:cs="Times New Roman"/>
                      <w:color w:val="auto"/>
                      <w:kern w:val="2"/>
                      <w:sz w:val="21"/>
                      <w:szCs w:val="21"/>
                      <w:highlight w:val="none"/>
                      <w:vertAlign w:val="baseline"/>
                      <w:lang w:val="en-US" w:eastAsia="zh-CN" w:bidi="ar-SA"/>
                    </w:rPr>
                    <w:t>容量减少</w:t>
                  </w:r>
                </w:p>
              </w:tc>
            </w:tr>
            <w:tr w14:paraId="12D8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678" w:type="pct"/>
                  <w:vMerge w:val="continue"/>
                  <w:noWrap w:val="0"/>
                  <w:vAlign w:val="center"/>
                </w:tcPr>
                <w:p w14:paraId="3B9F1B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1633" w:type="pct"/>
                  <w:noWrap w:val="0"/>
                  <w:vAlign w:val="center"/>
                </w:tcPr>
                <w:p w14:paraId="063AC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通过6回35kV集电线路将光伏阵列产生的电能接至</w:t>
                  </w:r>
                  <w:r>
                    <w:rPr>
                      <w:rFonts w:hint="eastAsia" w:ascii="Times New Roman" w:hAnsi="Times New Roman" w:cs="Times New Roman"/>
                      <w:color w:val="auto"/>
                      <w:kern w:val="2"/>
                      <w:sz w:val="21"/>
                      <w:szCs w:val="21"/>
                      <w:highlight w:val="none"/>
                      <w:vertAlign w:val="baseline"/>
                      <w:lang w:val="en-US" w:eastAsia="zh-CN" w:bidi="ar-SA"/>
                    </w:rPr>
                    <w:t>22</w:t>
                  </w:r>
                  <w:r>
                    <w:rPr>
                      <w:rFonts w:hint="default" w:ascii="Times New Roman" w:hAnsi="Times New Roman" w:eastAsia="仿宋" w:cs="Times New Roman"/>
                      <w:color w:val="auto"/>
                      <w:kern w:val="2"/>
                      <w:sz w:val="21"/>
                      <w:szCs w:val="21"/>
                      <w:highlight w:val="none"/>
                      <w:vertAlign w:val="baseline"/>
                      <w:lang w:val="en-US" w:eastAsia="zh-CN" w:bidi="ar-SA"/>
                    </w:rPr>
                    <w:t>0kV升压站</w:t>
                  </w:r>
                </w:p>
              </w:tc>
              <w:tc>
                <w:tcPr>
                  <w:tcW w:w="1544" w:type="pct"/>
                  <w:noWrap w:val="0"/>
                  <w:vAlign w:val="center"/>
                </w:tcPr>
                <w:p w14:paraId="3CD39D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通过6回35kV集电线路将光伏阵列产生的电能接至</w:t>
                  </w:r>
                  <w:r>
                    <w:rPr>
                      <w:rFonts w:hint="eastAsia" w:ascii="Times New Roman" w:hAnsi="Times New Roman" w:cs="Times New Roman"/>
                      <w:color w:val="auto"/>
                      <w:kern w:val="2"/>
                      <w:sz w:val="21"/>
                      <w:szCs w:val="21"/>
                      <w:highlight w:val="none"/>
                      <w:vertAlign w:val="baseline"/>
                      <w:lang w:val="en-US" w:eastAsia="zh-CN" w:bidi="ar-SA"/>
                    </w:rPr>
                    <w:t>22</w:t>
                  </w:r>
                  <w:r>
                    <w:rPr>
                      <w:rFonts w:hint="default" w:ascii="Times New Roman" w:hAnsi="Times New Roman" w:eastAsia="仿宋" w:cs="Times New Roman"/>
                      <w:color w:val="auto"/>
                      <w:kern w:val="2"/>
                      <w:sz w:val="21"/>
                      <w:szCs w:val="21"/>
                      <w:highlight w:val="none"/>
                      <w:vertAlign w:val="baseline"/>
                      <w:lang w:val="en-US" w:eastAsia="zh-CN" w:bidi="ar-SA"/>
                    </w:rPr>
                    <w:t>0kV升压站</w:t>
                  </w:r>
                </w:p>
              </w:tc>
              <w:tc>
                <w:tcPr>
                  <w:tcW w:w="1143" w:type="pct"/>
                  <w:noWrap w:val="0"/>
                  <w:vAlign w:val="center"/>
                </w:tcPr>
                <w:p w14:paraId="48B51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无变化</w:t>
                  </w:r>
                </w:p>
              </w:tc>
            </w:tr>
            <w:tr w14:paraId="29E3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678" w:type="pct"/>
                  <w:vMerge w:val="continue"/>
                  <w:noWrap w:val="0"/>
                  <w:vAlign w:val="center"/>
                </w:tcPr>
                <w:p w14:paraId="39B018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p>
              </w:tc>
              <w:tc>
                <w:tcPr>
                  <w:tcW w:w="1633" w:type="pct"/>
                  <w:noWrap w:val="0"/>
                  <w:vAlign w:val="center"/>
                </w:tcPr>
                <w:p w14:paraId="3325F1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集电线路采用电缆直埋敷设+架空形式（线路长40km，其中直埋敷设长度12km、架空长度28km）</w:t>
                  </w:r>
                </w:p>
              </w:tc>
              <w:tc>
                <w:tcPr>
                  <w:tcW w:w="1544" w:type="pct"/>
                  <w:noWrap w:val="0"/>
                  <w:vAlign w:val="center"/>
                </w:tcPr>
                <w:p w14:paraId="08396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集电线路采用电缆直埋敷设+架空形式（线路总长120.34km，其中直埋敷设长度22km、架空长度98.34km）</w:t>
                  </w:r>
                </w:p>
              </w:tc>
              <w:tc>
                <w:tcPr>
                  <w:tcW w:w="1143" w:type="pct"/>
                  <w:noWrap w:val="0"/>
                  <w:vAlign w:val="center"/>
                </w:tcPr>
                <w:p w14:paraId="35767F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lang w:val="en-US" w:eastAsia="zh-CN"/>
                    </w:rPr>
                    <w:t>线路调整</w:t>
                  </w:r>
                  <w:r>
                    <w:rPr>
                      <w:rFonts w:hint="eastAsia" w:cs="Times New Roman"/>
                      <w:color w:val="auto"/>
                      <w:sz w:val="21"/>
                      <w:szCs w:val="21"/>
                      <w:highlight w:val="none"/>
                      <w:lang w:val="en-US" w:eastAsia="zh-CN"/>
                    </w:rPr>
                    <w:t>，线路总长度增加80.35km</w:t>
                  </w:r>
                  <w:r>
                    <w:rPr>
                      <w:rFonts w:hint="default" w:ascii="Times New Roman" w:hAnsi="Times New Roman" w:eastAsia="仿宋" w:cs="Times New Roman"/>
                      <w:color w:val="auto"/>
                      <w:sz w:val="21"/>
                      <w:szCs w:val="21"/>
                      <w:highlight w:val="none"/>
                      <w:lang w:val="en-US" w:eastAsia="zh-CN"/>
                    </w:rPr>
                    <w:t>，地埋电缆增加</w:t>
                  </w:r>
                  <w:r>
                    <w:rPr>
                      <w:rFonts w:hint="eastAsia" w:cs="Times New Roman"/>
                      <w:color w:val="auto"/>
                      <w:sz w:val="21"/>
                      <w:szCs w:val="21"/>
                      <w:highlight w:val="none"/>
                      <w:lang w:val="en-US" w:eastAsia="zh-CN"/>
                    </w:rPr>
                    <w:t>10</w:t>
                  </w:r>
                  <w:r>
                    <w:rPr>
                      <w:rFonts w:hint="default" w:ascii="Times New Roman" w:hAnsi="Times New Roman" w:eastAsia="仿宋" w:cs="Times New Roman"/>
                      <w:color w:val="auto"/>
                      <w:sz w:val="21"/>
                      <w:szCs w:val="21"/>
                      <w:highlight w:val="none"/>
                      <w:lang w:val="en-US" w:eastAsia="zh-CN"/>
                    </w:rPr>
                    <w:t>km，架空线路增加</w:t>
                  </w:r>
                  <w:r>
                    <w:rPr>
                      <w:rFonts w:hint="eastAsia" w:cs="Times New Roman"/>
                      <w:color w:val="auto"/>
                      <w:sz w:val="21"/>
                      <w:szCs w:val="21"/>
                      <w:highlight w:val="none"/>
                      <w:lang w:val="en-US" w:eastAsia="zh-CN"/>
                    </w:rPr>
                    <w:t>70.34</w:t>
                  </w:r>
                  <w:r>
                    <w:rPr>
                      <w:rFonts w:hint="default" w:ascii="Times New Roman" w:hAnsi="Times New Roman" w:eastAsia="仿宋" w:cs="Times New Roman"/>
                      <w:color w:val="auto"/>
                      <w:sz w:val="21"/>
                      <w:szCs w:val="21"/>
                      <w:highlight w:val="none"/>
                      <w:lang w:val="en-US" w:eastAsia="zh-CN"/>
                    </w:rPr>
                    <w:t>km</w:t>
                  </w:r>
                </w:p>
              </w:tc>
            </w:tr>
            <w:tr w14:paraId="3792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noWrap w:val="0"/>
                  <w:vAlign w:val="center"/>
                </w:tcPr>
                <w:p w14:paraId="4225CE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总投资</w:t>
                  </w:r>
                </w:p>
              </w:tc>
              <w:tc>
                <w:tcPr>
                  <w:tcW w:w="1633" w:type="pct"/>
                  <w:noWrap w:val="0"/>
                  <w:vAlign w:val="center"/>
                </w:tcPr>
                <w:p w14:paraId="0AC587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kern w:val="2"/>
                      <w:sz w:val="21"/>
                      <w:szCs w:val="21"/>
                      <w:highlight w:val="none"/>
                      <w:vertAlign w:val="baseline"/>
                      <w:lang w:val="en-US" w:eastAsia="zh-CN" w:bidi="ar-SA"/>
                    </w:rPr>
                    <w:t>90533万元</w:t>
                  </w:r>
                </w:p>
              </w:tc>
              <w:tc>
                <w:tcPr>
                  <w:tcW w:w="1544" w:type="pct"/>
                  <w:noWrap w:val="0"/>
                  <w:vAlign w:val="center"/>
                </w:tcPr>
                <w:p w14:paraId="62D66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61795</w:t>
                  </w:r>
                  <w:r>
                    <w:rPr>
                      <w:rFonts w:hint="default" w:ascii="Times New Roman" w:hAnsi="Times New Roman" w:eastAsia="仿宋" w:cs="Times New Roman"/>
                      <w:color w:val="auto"/>
                      <w:kern w:val="2"/>
                      <w:sz w:val="21"/>
                      <w:szCs w:val="21"/>
                      <w:highlight w:val="none"/>
                      <w:vertAlign w:val="baseline"/>
                      <w:lang w:val="en-US" w:eastAsia="zh-CN" w:bidi="ar-SA"/>
                    </w:rPr>
                    <w:t>万元</w:t>
                  </w:r>
                </w:p>
              </w:tc>
              <w:tc>
                <w:tcPr>
                  <w:tcW w:w="1143" w:type="pct"/>
                  <w:noWrap w:val="0"/>
                  <w:vAlign w:val="center"/>
                </w:tcPr>
                <w:p w14:paraId="686586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建设单位重新进行投资概算</w:t>
                  </w:r>
                </w:p>
              </w:tc>
            </w:tr>
          </w:tbl>
          <w:p w14:paraId="014384C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2）工程组成变更情况说明</w:t>
            </w:r>
          </w:p>
          <w:p w14:paraId="0EC38C77">
            <w:pPr>
              <w:keepNext w:val="0"/>
              <w:keepLines w:val="0"/>
              <w:suppressLineNumbers w:val="0"/>
              <w:spacing w:before="78" w:beforeLines="0" w:beforeAutospacing="0" w:after="0" w:afterAutospacing="0" w:line="350" w:lineRule="auto"/>
              <w:ind w:left="3" w:right="0" w:firstLine="476" w:firstLineChars="200"/>
              <w:jc w:val="both"/>
              <w:rPr>
                <w:rFonts w:hint="default" w:ascii="Times New Roman" w:hAnsi="Times New Roman" w:eastAsia="仿宋" w:cs="Times New Roman"/>
                <w:color w:val="auto"/>
                <w:spacing w:val="-1"/>
                <w:sz w:val="24"/>
                <w:szCs w:val="24"/>
                <w:highlight w:val="none"/>
                <w:lang w:val="en-US" w:eastAsia="zh-CN"/>
              </w:rPr>
            </w:pPr>
            <w:r>
              <w:rPr>
                <w:rFonts w:hint="default" w:ascii="Times New Roman" w:hAnsi="Times New Roman" w:eastAsia="仿宋" w:cs="Times New Roman"/>
                <w:color w:val="auto"/>
                <w:spacing w:val="-1"/>
                <w:sz w:val="24"/>
                <w:szCs w:val="24"/>
                <w:highlight w:val="none"/>
                <w:lang w:val="en-US" w:eastAsia="zh-CN"/>
              </w:rPr>
              <w:t>工程主要由主体工程光伏阵列、逆变器、箱变、集电线路和升压站等，辅助工程、公用工程、临时工程及环保工程组成，详细组成见表</w:t>
            </w:r>
            <w:r>
              <w:rPr>
                <w:rFonts w:hint="eastAsia" w:cs="Times New Roman"/>
                <w:color w:val="auto"/>
                <w:spacing w:val="-1"/>
                <w:sz w:val="24"/>
                <w:szCs w:val="24"/>
                <w:highlight w:val="none"/>
                <w:lang w:val="en-US" w:eastAsia="zh-CN"/>
              </w:rPr>
              <w:t>2.3-2</w:t>
            </w:r>
            <w:r>
              <w:rPr>
                <w:rFonts w:hint="default" w:ascii="Times New Roman" w:hAnsi="Times New Roman" w:eastAsia="仿宋" w:cs="Times New Roman"/>
                <w:color w:val="auto"/>
                <w:spacing w:val="-1"/>
                <w:sz w:val="24"/>
                <w:szCs w:val="24"/>
                <w:highlight w:val="none"/>
                <w:lang w:val="en-US" w:eastAsia="zh-CN"/>
              </w:rPr>
              <w:t>。</w:t>
            </w:r>
          </w:p>
          <w:p w14:paraId="0C8416E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baseline"/>
              <w:rPr>
                <w:rFonts w:hint="default" w:ascii="Times New Roman" w:hAnsi="Times New Roman" w:eastAsia="仿宋" w:cs="Times New Roman"/>
                <w:b/>
                <w:bCs/>
                <w:color w:val="auto"/>
                <w:sz w:val="21"/>
                <w:szCs w:val="21"/>
                <w:highlight w:val="none"/>
                <w:lang w:val="en-US" w:eastAsia="zh-CN"/>
              </w:rPr>
            </w:pPr>
          </w:p>
          <w:p w14:paraId="21638DA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2.3-2</w:t>
            </w:r>
            <w:r>
              <w:rPr>
                <w:rFonts w:hint="default" w:ascii="Times New Roman" w:hAnsi="Times New Roman" w:eastAsia="仿宋" w:cs="Times New Roman"/>
                <w:b/>
                <w:bCs/>
                <w:color w:val="auto"/>
                <w:sz w:val="21"/>
                <w:szCs w:val="21"/>
                <w:highlight w:val="none"/>
                <w:lang w:val="en-US" w:eastAsia="zh-CN"/>
              </w:rPr>
              <w:t xml:space="preserve"> 项目变更组成一览表</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56"/>
              <w:gridCol w:w="2575"/>
              <w:gridCol w:w="3094"/>
              <w:gridCol w:w="1860"/>
            </w:tblGrid>
            <w:tr w14:paraId="6FFE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noWrap w:val="0"/>
                  <w:vAlign w:val="center"/>
                </w:tcPr>
                <w:p w14:paraId="6C50B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类别</w:t>
                  </w:r>
                </w:p>
              </w:tc>
              <w:tc>
                <w:tcPr>
                  <w:tcW w:w="432" w:type="pct"/>
                  <w:noWrap w:val="0"/>
                  <w:vAlign w:val="center"/>
                </w:tcPr>
                <w:p w14:paraId="1A528E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名称</w:t>
                  </w:r>
                </w:p>
              </w:tc>
              <w:tc>
                <w:tcPr>
                  <w:tcW w:w="1471" w:type="pct"/>
                  <w:noWrap w:val="0"/>
                  <w:vAlign w:val="center"/>
                </w:tcPr>
                <w:p w14:paraId="2A4F3D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lang w:eastAsia="zh-CN"/>
                    </w:rPr>
                  </w:pPr>
                  <w:r>
                    <w:rPr>
                      <w:rFonts w:hint="default" w:ascii="Times New Roman" w:hAnsi="Times New Roman" w:eastAsia="仿宋" w:cs="Times New Roman"/>
                      <w:b/>
                      <w:bCs/>
                      <w:color w:val="auto"/>
                      <w:sz w:val="21"/>
                      <w:szCs w:val="21"/>
                      <w:highlight w:val="none"/>
                      <w:lang w:val="en-US" w:eastAsia="zh-CN"/>
                    </w:rPr>
                    <w:t>变更前</w:t>
                  </w:r>
                </w:p>
              </w:tc>
              <w:tc>
                <w:tcPr>
                  <w:tcW w:w="1768" w:type="pct"/>
                  <w:noWrap w:val="0"/>
                  <w:vAlign w:val="center"/>
                </w:tcPr>
                <w:p w14:paraId="60CF7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变更后</w:t>
                  </w:r>
                </w:p>
              </w:tc>
              <w:tc>
                <w:tcPr>
                  <w:tcW w:w="1062" w:type="pct"/>
                  <w:noWrap w:val="0"/>
                  <w:vAlign w:val="center"/>
                </w:tcPr>
                <w:p w14:paraId="5BE298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变更情况</w:t>
                  </w:r>
                </w:p>
              </w:tc>
            </w:tr>
            <w:tr w14:paraId="587F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65" w:type="pct"/>
                  <w:vMerge w:val="restart"/>
                  <w:noWrap w:val="0"/>
                  <w:vAlign w:val="center"/>
                </w:tcPr>
                <w:p w14:paraId="661C08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主体工程</w:t>
                  </w:r>
                </w:p>
              </w:tc>
              <w:tc>
                <w:tcPr>
                  <w:tcW w:w="432" w:type="pct"/>
                  <w:vMerge w:val="restart"/>
                  <w:noWrap w:val="0"/>
                  <w:vAlign w:val="center"/>
                </w:tcPr>
                <w:p w14:paraId="15673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光伏阵列</w:t>
                  </w:r>
                </w:p>
              </w:tc>
              <w:tc>
                <w:tcPr>
                  <w:tcW w:w="1471" w:type="pct"/>
                  <w:vMerge w:val="restart"/>
                  <w:noWrap w:val="0"/>
                  <w:vAlign w:val="center"/>
                </w:tcPr>
                <w:p w14:paraId="52C130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光伏系统拟布置540Wp高效单晶硅双面双玻组件326256块，</w:t>
                  </w:r>
                  <w:r>
                    <w:rPr>
                      <w:rFonts w:hint="eastAsia" w:cs="Times New Roman"/>
                      <w:color w:val="auto"/>
                      <w:sz w:val="21"/>
                      <w:szCs w:val="21"/>
                      <w:highlight w:val="none"/>
                      <w:lang w:val="en-US" w:eastAsia="zh-CN"/>
                    </w:rPr>
                    <w:t>交流侧</w:t>
                  </w:r>
                  <w:r>
                    <w:rPr>
                      <w:rFonts w:hint="default" w:ascii="Times New Roman" w:hAnsi="Times New Roman" w:eastAsia="仿宋" w:cs="Times New Roman"/>
                      <w:color w:val="auto"/>
                      <w:sz w:val="21"/>
                      <w:szCs w:val="21"/>
                      <w:highlight w:val="none"/>
                      <w:lang w:val="en-US" w:eastAsia="zh-CN"/>
                    </w:rPr>
                    <w:t>总装机容量为148MW</w:t>
                  </w:r>
                  <w:r>
                    <w:rPr>
                      <w:rFonts w:hint="eastAsia" w:cs="Times New Roman"/>
                      <w:color w:val="auto"/>
                      <w:sz w:val="21"/>
                      <w:szCs w:val="21"/>
                      <w:highlight w:val="none"/>
                      <w:lang w:val="en-US" w:eastAsia="zh-CN"/>
                    </w:rPr>
                    <w:t>ac</w:t>
                  </w:r>
                  <w:r>
                    <w:rPr>
                      <w:rFonts w:hint="default" w:ascii="Times New Roman" w:hAnsi="Times New Roman" w:eastAsia="仿宋" w:cs="Times New Roman"/>
                      <w:color w:val="auto"/>
                      <w:sz w:val="21"/>
                      <w:szCs w:val="21"/>
                      <w:highlight w:val="none"/>
                      <w:lang w:val="en-US" w:eastAsia="zh-CN"/>
                    </w:rPr>
                    <w:t>。设置46个3.15MW</w:t>
                  </w:r>
                  <w:r>
                    <w:rPr>
                      <w:rFonts w:hint="eastAsia" w:cs="Times New Roman"/>
                      <w:color w:val="auto"/>
                      <w:sz w:val="21"/>
                      <w:szCs w:val="21"/>
                      <w:highlight w:val="none"/>
                      <w:lang w:val="en-US" w:eastAsia="zh-CN"/>
                    </w:rPr>
                    <w:t>子方阵</w:t>
                  </w:r>
                  <w:r>
                    <w:rPr>
                      <w:rFonts w:hint="default" w:ascii="Times New Roman" w:hAnsi="Times New Roman" w:eastAsia="仿宋" w:cs="Times New Roman"/>
                      <w:color w:val="auto"/>
                      <w:sz w:val="21"/>
                      <w:szCs w:val="21"/>
                      <w:highlight w:val="none"/>
                      <w:lang w:val="en-US" w:eastAsia="zh-CN"/>
                    </w:rPr>
                    <w:t>及2个1.6MW</w:t>
                  </w:r>
                  <w:r>
                    <w:rPr>
                      <w:rFonts w:hint="eastAsia" w:cs="Times New Roman"/>
                      <w:color w:val="auto"/>
                      <w:sz w:val="21"/>
                      <w:szCs w:val="21"/>
                      <w:highlight w:val="none"/>
                      <w:lang w:val="en-US" w:eastAsia="zh-CN"/>
                    </w:rPr>
                    <w:t>子方阵，共计48个光伏子方阵。</w:t>
                  </w:r>
                </w:p>
              </w:tc>
              <w:tc>
                <w:tcPr>
                  <w:tcW w:w="1768" w:type="pct"/>
                  <w:noWrap w:val="0"/>
                  <w:vAlign w:val="center"/>
                </w:tcPr>
                <w:p w14:paraId="298BD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光伏系统拟布置620Wp高效单晶硅双面双玻组件283920块，</w:t>
                  </w:r>
                </w:p>
              </w:tc>
              <w:tc>
                <w:tcPr>
                  <w:tcW w:w="1062" w:type="pct"/>
                  <w:noWrap w:val="0"/>
                  <w:vAlign w:val="center"/>
                </w:tcPr>
                <w:p w14:paraId="74EADC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kern w:val="2"/>
                      <w:sz w:val="21"/>
                      <w:szCs w:val="21"/>
                      <w:highlight w:val="none"/>
                      <w:vertAlign w:val="baseline"/>
                      <w:lang w:val="en-US" w:eastAsia="zh-CN" w:bidi="ar-SA"/>
                    </w:rPr>
                    <w:t>调整了组件规格</w:t>
                  </w:r>
                  <w:r>
                    <w:rPr>
                      <w:rFonts w:hint="eastAsia" w:cs="Times New Roman"/>
                      <w:color w:val="auto"/>
                      <w:kern w:val="2"/>
                      <w:sz w:val="21"/>
                      <w:szCs w:val="21"/>
                      <w:highlight w:val="none"/>
                      <w:vertAlign w:val="baseline"/>
                      <w:lang w:val="en-US" w:eastAsia="zh-CN" w:bidi="ar-SA"/>
                    </w:rPr>
                    <w:t>，由540Wp变更为620Wp，组件数量减少42336块</w:t>
                  </w:r>
                </w:p>
              </w:tc>
            </w:tr>
            <w:tr w14:paraId="10E4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65" w:type="pct"/>
                  <w:vMerge w:val="continue"/>
                  <w:noWrap w:val="0"/>
                  <w:vAlign w:val="center"/>
                </w:tcPr>
                <w:p w14:paraId="7B121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432" w:type="pct"/>
                  <w:vMerge w:val="continue"/>
                  <w:noWrap w:val="0"/>
                  <w:vAlign w:val="center"/>
                </w:tcPr>
                <w:p w14:paraId="116794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1471" w:type="pct"/>
                  <w:vMerge w:val="continue"/>
                  <w:noWrap w:val="0"/>
                  <w:vAlign w:val="center"/>
                </w:tcPr>
                <w:p w14:paraId="6F3A13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1768" w:type="pct"/>
                  <w:noWrap w:val="0"/>
                  <w:vAlign w:val="center"/>
                </w:tcPr>
                <w:p w14:paraId="435CE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设置37个光伏方阵</w:t>
                  </w:r>
                  <w:r>
                    <w:rPr>
                      <w:rFonts w:hint="eastAsia"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lang w:val="en-US" w:eastAsia="zh-CN"/>
                    </w:rPr>
                    <w:t>共52个光伏发电子单元</w:t>
                  </w:r>
                  <w:r>
                    <w:rPr>
                      <w:rFonts w:hint="eastAsia" w:cs="Times New Roman"/>
                      <w:color w:val="auto"/>
                      <w:sz w:val="21"/>
                      <w:szCs w:val="21"/>
                      <w:highlight w:val="none"/>
                      <w:lang w:val="en-US" w:eastAsia="zh-CN"/>
                    </w:rPr>
                    <w:t>（子方阵）</w:t>
                  </w:r>
                  <w:r>
                    <w:rPr>
                      <w:rFonts w:hint="default" w:ascii="Times New Roman" w:hAnsi="Times New Roman" w:eastAsia="仿宋" w:cs="Times New Roman"/>
                      <w:color w:val="auto"/>
                      <w:sz w:val="21"/>
                      <w:szCs w:val="21"/>
                      <w:highlight w:val="none"/>
                      <w:lang w:val="en-US" w:eastAsia="zh-CN"/>
                    </w:rPr>
                    <w:t>。包括1个1.28MW子方阵、2个1.6MW子方阵、1个1.92MW子方阵、18个2.24MW子方阵、5个2.56MW子方阵、3个2.88MW子方阵、8个3.2MW子方阵、4个3.52MW子方阵、4个3.84MW子方阵和6个4.16MW子方阵。</w:t>
                  </w:r>
                </w:p>
              </w:tc>
              <w:tc>
                <w:tcPr>
                  <w:tcW w:w="1062" w:type="pct"/>
                  <w:noWrap w:val="0"/>
                  <w:vAlign w:val="center"/>
                </w:tcPr>
                <w:p w14:paraId="6942F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2"/>
                      <w:sz w:val="21"/>
                      <w:szCs w:val="21"/>
                      <w:highlight w:val="none"/>
                      <w:vertAlign w:val="baseline"/>
                      <w:lang w:val="en-US" w:eastAsia="zh-CN" w:bidi="ar-SA"/>
                    </w:rPr>
                    <w:t>调整</w:t>
                  </w:r>
                  <w:r>
                    <w:rPr>
                      <w:rFonts w:hint="default" w:ascii="Times New Roman" w:hAnsi="Times New Roman" w:eastAsia="仿宋" w:cs="Times New Roman"/>
                      <w:color w:val="auto"/>
                      <w:kern w:val="2"/>
                      <w:sz w:val="21"/>
                      <w:szCs w:val="21"/>
                      <w:highlight w:val="none"/>
                      <w:vertAlign w:val="baseline"/>
                      <w:lang w:val="en-US" w:eastAsia="zh-CN" w:bidi="ar-SA"/>
                    </w:rPr>
                    <w:t>发电单元布局和范围</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仿宋" w:cs="Times New Roman"/>
                      <w:color w:val="auto"/>
                      <w:kern w:val="2"/>
                      <w:sz w:val="21"/>
                      <w:szCs w:val="21"/>
                      <w:highlight w:val="none"/>
                      <w:vertAlign w:val="baseline"/>
                      <w:lang w:val="en-US" w:eastAsia="zh-CN" w:bidi="ar-SA"/>
                    </w:rPr>
                    <w:t>发电子单元由48个增加为52个。</w:t>
                  </w:r>
                </w:p>
              </w:tc>
            </w:tr>
            <w:tr w14:paraId="6F15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65" w:type="pct"/>
                  <w:vMerge w:val="continue"/>
                  <w:noWrap w:val="0"/>
                  <w:vAlign w:val="center"/>
                </w:tcPr>
                <w:p w14:paraId="3BE25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p>
              </w:tc>
              <w:tc>
                <w:tcPr>
                  <w:tcW w:w="432" w:type="pct"/>
                  <w:vMerge w:val="continue"/>
                  <w:noWrap w:val="0"/>
                  <w:vAlign w:val="center"/>
                </w:tcPr>
                <w:p w14:paraId="163D0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p>
              </w:tc>
              <w:tc>
                <w:tcPr>
                  <w:tcW w:w="1471" w:type="pct"/>
                  <w:vMerge w:val="continue"/>
                  <w:noWrap w:val="0"/>
                  <w:vAlign w:val="center"/>
                </w:tcPr>
                <w:p w14:paraId="32840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p>
              </w:tc>
              <w:tc>
                <w:tcPr>
                  <w:tcW w:w="1768" w:type="pct"/>
                  <w:noWrap w:val="0"/>
                  <w:vAlign w:val="center"/>
                </w:tcPr>
                <w:p w14:paraId="5BD17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交流侧</w:t>
                  </w:r>
                  <w:r>
                    <w:rPr>
                      <w:rFonts w:hint="default" w:ascii="Times New Roman" w:hAnsi="Times New Roman" w:eastAsia="仿宋" w:cs="Times New Roman"/>
                      <w:color w:val="auto"/>
                      <w:sz w:val="21"/>
                      <w:szCs w:val="21"/>
                      <w:highlight w:val="none"/>
                      <w:lang w:val="en-US" w:eastAsia="zh-CN"/>
                    </w:rPr>
                    <w:t>总装机容量为148MW</w:t>
                  </w:r>
                  <w:r>
                    <w:rPr>
                      <w:rFonts w:hint="eastAsia" w:cs="Times New Roman"/>
                      <w:color w:val="auto"/>
                      <w:sz w:val="21"/>
                      <w:szCs w:val="21"/>
                      <w:highlight w:val="none"/>
                      <w:lang w:val="en-US" w:eastAsia="zh-CN"/>
                    </w:rPr>
                    <w:t>ac</w:t>
                  </w:r>
                  <w:r>
                    <w:rPr>
                      <w:rFonts w:hint="default" w:ascii="Times New Roman" w:hAnsi="Times New Roman" w:eastAsia="仿宋" w:cs="Times New Roman"/>
                      <w:color w:val="auto"/>
                      <w:sz w:val="21"/>
                      <w:szCs w:val="21"/>
                      <w:highlight w:val="none"/>
                      <w:lang w:val="en-US" w:eastAsia="zh-CN"/>
                    </w:rPr>
                    <w:t>。</w:t>
                  </w:r>
                </w:p>
              </w:tc>
              <w:tc>
                <w:tcPr>
                  <w:tcW w:w="1062" w:type="pct"/>
                  <w:noWrap w:val="0"/>
                  <w:vAlign w:val="center"/>
                </w:tcPr>
                <w:p w14:paraId="3AF1E3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无</w:t>
                  </w:r>
                </w:p>
              </w:tc>
            </w:tr>
            <w:tr w14:paraId="145F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265" w:type="pct"/>
                  <w:vMerge w:val="continue"/>
                  <w:noWrap w:val="0"/>
                  <w:vAlign w:val="center"/>
                </w:tcPr>
                <w:p w14:paraId="7E13E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42499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光伏发电系统</w:t>
                  </w:r>
                </w:p>
              </w:tc>
              <w:tc>
                <w:tcPr>
                  <w:tcW w:w="1471" w:type="pct"/>
                  <w:noWrap w:val="0"/>
                  <w:vAlign w:val="center"/>
                </w:tcPr>
                <w:p w14:paraId="5C1C09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每个3.15MW子方阵，由238</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252个光伏组串、14个225kW逆变</w:t>
                  </w:r>
                </w:p>
                <w:p w14:paraId="2AEF6F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器组及1台3150kVA户外箱变组成。每个1.6MW子方阵，由119</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126个光伏组串、7个225kW逆变器组及1台1600kVA户外箱变组成。</w:t>
                  </w:r>
                </w:p>
              </w:tc>
              <w:tc>
                <w:tcPr>
                  <w:tcW w:w="1768" w:type="pct"/>
                  <w:noWrap w:val="0"/>
                  <w:vAlign w:val="center"/>
                </w:tcPr>
                <w:p w14:paraId="20081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设置37个光伏方阵</w:t>
                  </w:r>
                  <w:r>
                    <w:rPr>
                      <w:rFonts w:hint="eastAsia"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lang w:val="en-US" w:eastAsia="zh-CN"/>
                    </w:rPr>
                    <w:t>共52个光伏发电子单元</w:t>
                  </w:r>
                  <w:r>
                    <w:rPr>
                      <w:rFonts w:hint="default" w:ascii="Times New Roman" w:hAnsi="Times New Roman" w:eastAsia="仿宋" w:cs="Times New Roman"/>
                      <w:color w:val="auto"/>
                      <w:kern w:val="2"/>
                      <w:sz w:val="21"/>
                      <w:szCs w:val="21"/>
                      <w:highlight w:val="none"/>
                      <w:vertAlign w:val="baseline"/>
                      <w:lang w:val="en-US" w:eastAsia="zh-CN" w:bidi="ar-SA"/>
                    </w:rPr>
                    <w:t>。每台逆变器接入21</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仿宋" w:cs="Times New Roman"/>
                      <w:color w:val="auto"/>
                      <w:kern w:val="2"/>
                      <w:sz w:val="21"/>
                      <w:szCs w:val="21"/>
                      <w:highlight w:val="none"/>
                      <w:vertAlign w:val="baseline"/>
                      <w:lang w:val="en-US" w:eastAsia="zh-CN" w:bidi="ar-SA"/>
                    </w:rPr>
                    <w:t>2</w:t>
                  </w:r>
                  <w:r>
                    <w:rPr>
                      <w:rFonts w:hint="eastAsia" w:cs="Times New Roman"/>
                      <w:color w:val="auto"/>
                      <w:kern w:val="2"/>
                      <w:sz w:val="21"/>
                      <w:szCs w:val="21"/>
                      <w:highlight w:val="none"/>
                      <w:vertAlign w:val="baseline"/>
                      <w:lang w:val="en-US" w:eastAsia="zh-CN" w:bidi="ar-SA"/>
                    </w:rPr>
                    <w:t>4</w:t>
                  </w:r>
                  <w:r>
                    <w:rPr>
                      <w:rFonts w:hint="default" w:ascii="Times New Roman" w:hAnsi="Times New Roman" w:eastAsia="仿宋" w:cs="Times New Roman"/>
                      <w:color w:val="auto"/>
                      <w:kern w:val="2"/>
                      <w:sz w:val="21"/>
                      <w:szCs w:val="21"/>
                      <w:highlight w:val="none"/>
                      <w:vertAlign w:val="baseline"/>
                      <w:lang w:val="en-US" w:eastAsia="zh-CN" w:bidi="ar-SA"/>
                    </w:rPr>
                    <w:t>个光伏组串，每个光伏发电单元配置</w:t>
                  </w:r>
                  <w:r>
                    <w:rPr>
                      <w:rFonts w:hint="eastAsia" w:cs="Times New Roman"/>
                      <w:color w:val="auto"/>
                      <w:kern w:val="2"/>
                      <w:sz w:val="21"/>
                      <w:szCs w:val="21"/>
                      <w:highlight w:val="none"/>
                      <w:vertAlign w:val="baseline"/>
                      <w:lang w:val="en-US" w:eastAsia="zh-CN" w:bidi="ar-SA"/>
                    </w:rPr>
                    <w:t>3～15</w:t>
                  </w:r>
                  <w:r>
                    <w:rPr>
                      <w:rFonts w:hint="default" w:ascii="Times New Roman" w:hAnsi="Times New Roman" w:eastAsia="仿宋" w:cs="Times New Roman"/>
                      <w:color w:val="auto"/>
                      <w:kern w:val="2"/>
                      <w:sz w:val="21"/>
                      <w:szCs w:val="21"/>
                      <w:highlight w:val="none"/>
                      <w:vertAlign w:val="baseline"/>
                      <w:lang w:val="en-US" w:eastAsia="zh-CN" w:bidi="ar-SA"/>
                    </w:rPr>
                    <w:t>台320kW逆变器，每台逆变器输出的交流电接至箱变低压侧升压至35kV。</w:t>
                  </w:r>
                </w:p>
              </w:tc>
              <w:tc>
                <w:tcPr>
                  <w:tcW w:w="1062" w:type="pct"/>
                  <w:noWrap w:val="0"/>
                  <w:vAlign w:val="center"/>
                </w:tcPr>
                <w:p w14:paraId="1AD608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光伏发电单元调整为52个</w:t>
                  </w:r>
                  <w:r>
                    <w:rPr>
                      <w:rFonts w:hint="eastAsia" w:cs="Times New Roman"/>
                      <w:color w:val="auto"/>
                      <w:sz w:val="21"/>
                      <w:szCs w:val="21"/>
                      <w:highlight w:val="none"/>
                      <w:lang w:val="en-US" w:eastAsia="zh-CN"/>
                    </w:rPr>
                    <w:t>。</w:t>
                  </w:r>
                </w:p>
              </w:tc>
            </w:tr>
            <w:tr w14:paraId="45B5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vMerge w:val="continue"/>
                  <w:noWrap w:val="0"/>
                  <w:vAlign w:val="center"/>
                </w:tcPr>
                <w:p w14:paraId="51363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36C2E2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逆变器</w:t>
                  </w:r>
                </w:p>
              </w:tc>
              <w:tc>
                <w:tcPr>
                  <w:tcW w:w="1471" w:type="pct"/>
                  <w:noWrap w:val="0"/>
                  <w:vAlign w:val="center"/>
                </w:tcPr>
                <w:p w14:paraId="1FD07E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225</w:t>
                  </w:r>
                  <w:r>
                    <w:rPr>
                      <w:rFonts w:hint="default" w:ascii="Times New Roman" w:hAnsi="Times New Roman" w:eastAsia="仿宋" w:cs="Times New Roman"/>
                      <w:color w:val="auto"/>
                      <w:sz w:val="21"/>
                      <w:szCs w:val="21"/>
                      <w:highlight w:val="none"/>
                      <w:lang w:eastAsia="zh-CN"/>
                    </w:rPr>
                    <w:t>kW组串式逆变器，共设置</w:t>
                  </w:r>
                  <w:r>
                    <w:rPr>
                      <w:rFonts w:hint="default" w:ascii="Times New Roman" w:hAnsi="Times New Roman" w:eastAsia="仿宋" w:cs="Times New Roman"/>
                      <w:color w:val="auto"/>
                      <w:sz w:val="21"/>
                      <w:szCs w:val="21"/>
                      <w:highlight w:val="none"/>
                      <w:lang w:val="en-US" w:eastAsia="zh-CN"/>
                    </w:rPr>
                    <w:t>658</w:t>
                  </w:r>
                  <w:r>
                    <w:rPr>
                      <w:rFonts w:hint="default" w:ascii="Times New Roman" w:hAnsi="Times New Roman" w:eastAsia="仿宋" w:cs="Times New Roman"/>
                      <w:color w:val="auto"/>
                      <w:sz w:val="21"/>
                      <w:szCs w:val="21"/>
                      <w:highlight w:val="none"/>
                      <w:lang w:eastAsia="zh-CN"/>
                    </w:rPr>
                    <w:t>台。</w:t>
                  </w:r>
                </w:p>
              </w:tc>
              <w:tc>
                <w:tcPr>
                  <w:tcW w:w="1768" w:type="pct"/>
                  <w:noWrap w:val="0"/>
                  <w:vAlign w:val="center"/>
                </w:tcPr>
                <w:p w14:paraId="595C41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320</w:t>
                  </w:r>
                  <w:r>
                    <w:rPr>
                      <w:rFonts w:hint="default" w:ascii="Times New Roman" w:hAnsi="Times New Roman" w:eastAsia="仿宋" w:cs="Times New Roman"/>
                      <w:color w:val="auto"/>
                      <w:sz w:val="21"/>
                      <w:szCs w:val="21"/>
                      <w:highlight w:val="none"/>
                    </w:rPr>
                    <w:t>kW组串式逆变器，共设置</w:t>
                  </w:r>
                  <w:r>
                    <w:rPr>
                      <w:rFonts w:hint="default" w:ascii="Times New Roman" w:hAnsi="Times New Roman" w:eastAsia="仿宋" w:cs="Times New Roman"/>
                      <w:color w:val="auto"/>
                      <w:sz w:val="21"/>
                      <w:szCs w:val="21"/>
                      <w:highlight w:val="none"/>
                      <w:lang w:val="en-US" w:eastAsia="zh-CN"/>
                    </w:rPr>
                    <w:t>463</w:t>
                  </w:r>
                  <w:r>
                    <w:rPr>
                      <w:rFonts w:hint="default" w:ascii="Times New Roman" w:hAnsi="Times New Roman" w:eastAsia="仿宋" w:cs="Times New Roman"/>
                      <w:color w:val="auto"/>
                      <w:sz w:val="21"/>
                      <w:szCs w:val="21"/>
                      <w:highlight w:val="none"/>
                    </w:rPr>
                    <w:t>台</w:t>
                  </w:r>
                </w:p>
              </w:tc>
              <w:tc>
                <w:tcPr>
                  <w:tcW w:w="1062" w:type="pct"/>
                  <w:noWrap w:val="0"/>
                  <w:vAlign w:val="center"/>
                </w:tcPr>
                <w:p w14:paraId="6A93D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2"/>
                      <w:sz w:val="21"/>
                      <w:szCs w:val="21"/>
                      <w:highlight w:val="none"/>
                      <w:vertAlign w:val="baseline"/>
                      <w:lang w:val="en-US" w:eastAsia="zh-CN" w:bidi="ar-SA"/>
                    </w:rPr>
                    <w:t>因光伏组件减少，逆变器减少195台</w:t>
                  </w:r>
                </w:p>
              </w:tc>
            </w:tr>
            <w:tr w14:paraId="3CAE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vMerge w:val="continue"/>
                  <w:noWrap w:val="0"/>
                  <w:vAlign w:val="center"/>
                </w:tcPr>
                <w:p w14:paraId="64752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1A247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箱式变压器</w:t>
                  </w:r>
                </w:p>
              </w:tc>
              <w:tc>
                <w:tcPr>
                  <w:tcW w:w="1471" w:type="pct"/>
                  <w:noWrap w:val="0"/>
                  <w:vAlign w:val="center"/>
                </w:tcPr>
                <w:p w14:paraId="7E4397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采用35kV箱式变压器48个</w:t>
                  </w:r>
                </w:p>
              </w:tc>
              <w:tc>
                <w:tcPr>
                  <w:tcW w:w="1768" w:type="pct"/>
                  <w:noWrap w:val="0"/>
                  <w:vAlign w:val="center"/>
                </w:tcPr>
                <w:p w14:paraId="1330D7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eastAsia="仿宋"/>
                      <w:color w:val="auto"/>
                      <w:highlight w:val="none"/>
                      <w:lang w:val="en-US" w:eastAsia="zh-CN"/>
                    </w:rPr>
                  </w:pPr>
                  <w:r>
                    <w:rPr>
                      <w:rFonts w:hint="default" w:ascii="Times New Roman" w:hAnsi="Times New Roman" w:eastAsia="仿宋" w:cs="Times New Roman"/>
                      <w:color w:val="auto"/>
                      <w:sz w:val="21"/>
                      <w:szCs w:val="21"/>
                      <w:highlight w:val="none"/>
                      <w:lang w:val="en-US" w:eastAsia="zh-CN"/>
                    </w:rPr>
                    <w:t>采用35kV箱式变压器</w:t>
                  </w:r>
                  <w:r>
                    <w:rPr>
                      <w:rFonts w:hint="eastAsia" w:cs="Times New Roman"/>
                      <w:color w:val="auto"/>
                      <w:sz w:val="21"/>
                      <w:szCs w:val="21"/>
                      <w:highlight w:val="none"/>
                      <w:lang w:val="en-US" w:eastAsia="zh-CN"/>
                    </w:rPr>
                    <w:t>52</w:t>
                  </w:r>
                  <w:r>
                    <w:rPr>
                      <w:rFonts w:hint="default" w:ascii="Times New Roman" w:hAnsi="Times New Roman" w:eastAsia="仿宋" w:cs="Times New Roman"/>
                      <w:color w:val="auto"/>
                      <w:sz w:val="21"/>
                      <w:szCs w:val="21"/>
                      <w:highlight w:val="none"/>
                      <w:lang w:val="en-US" w:eastAsia="zh-CN"/>
                    </w:rPr>
                    <w:t>个</w:t>
                  </w:r>
                  <w:r>
                    <w:rPr>
                      <w:rFonts w:hint="eastAsia" w:cs="Times New Roman"/>
                      <w:color w:val="auto"/>
                      <w:sz w:val="21"/>
                      <w:szCs w:val="21"/>
                      <w:highlight w:val="none"/>
                      <w:lang w:val="en-US" w:eastAsia="zh-CN"/>
                    </w:rPr>
                    <w:t>：其中：1280KVA箱变1台、</w:t>
                  </w:r>
                  <w:r>
                    <w:rPr>
                      <w:rFonts w:hint="eastAsia" w:ascii="Times New Roman" w:hAnsi="Times New Roman" w:cs="Times New Roman"/>
                      <w:color w:val="auto"/>
                      <w:sz w:val="21"/>
                      <w:szCs w:val="21"/>
                      <w:highlight w:val="none"/>
                      <w:lang w:val="en-US" w:eastAsia="zh-CN"/>
                    </w:rPr>
                    <w:t>1600kVA箱变2台、1920kVA箱变1台、2240kVA箱变18台、2560kVA箱变5台、2880kVA箱变3台、3200kVA箱变8台、3520kVA箱变4台、3840kVA箱变4台、4160kVA箱变6台。</w:t>
                  </w:r>
                </w:p>
              </w:tc>
              <w:tc>
                <w:tcPr>
                  <w:tcW w:w="1062" w:type="pct"/>
                  <w:noWrap w:val="0"/>
                  <w:vAlign w:val="center"/>
                </w:tcPr>
                <w:p w14:paraId="3E9B67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2"/>
                      <w:sz w:val="21"/>
                      <w:szCs w:val="21"/>
                      <w:highlight w:val="none"/>
                      <w:vertAlign w:val="baseline"/>
                      <w:lang w:val="en-US" w:eastAsia="zh-CN" w:bidi="ar-SA"/>
                    </w:rPr>
                    <w:t>箱变数量增加4台。</w:t>
                  </w:r>
                </w:p>
              </w:tc>
            </w:tr>
            <w:tr w14:paraId="6655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265" w:type="pct"/>
                  <w:vMerge w:val="continue"/>
                  <w:noWrap w:val="0"/>
                  <w:vAlign w:val="center"/>
                </w:tcPr>
                <w:p w14:paraId="003E8E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restart"/>
                  <w:noWrap w:val="0"/>
                  <w:vAlign w:val="center"/>
                </w:tcPr>
                <w:p w14:paraId="32550A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集电线路</w:t>
                  </w:r>
                </w:p>
              </w:tc>
              <w:tc>
                <w:tcPr>
                  <w:tcW w:w="1471" w:type="pct"/>
                  <w:noWrap w:val="0"/>
                  <w:vAlign w:val="center"/>
                </w:tcPr>
                <w:p w14:paraId="1437D9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本光伏电站升压方式采用箱式变压器升压至35kV再经集电线路送至项目新建的220kV升压站内。</w:t>
                  </w:r>
                </w:p>
                <w:p w14:paraId="4E7187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并网发电单元通过6回35kV集电线路接入220kV刺竹塘升压站的35kV母线侧，经变压器升压至220kV后以220kV线路送出。</w:t>
                  </w:r>
                </w:p>
              </w:tc>
              <w:tc>
                <w:tcPr>
                  <w:tcW w:w="1768" w:type="pct"/>
                  <w:noWrap w:val="0"/>
                  <w:vAlign w:val="center"/>
                </w:tcPr>
                <w:p w14:paraId="7CBF6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本光伏电站升压方式采用箱式变压器升压至35kV再经集电线路送至项目新建的220kV升压站内。</w:t>
                  </w:r>
                </w:p>
                <w:p w14:paraId="244171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采用35kV箱式变压器，</w:t>
                  </w:r>
                  <w:r>
                    <w:rPr>
                      <w:rFonts w:hint="eastAsia" w:cs="Times New Roman"/>
                      <w:color w:val="auto"/>
                      <w:sz w:val="21"/>
                      <w:szCs w:val="21"/>
                      <w:highlight w:val="none"/>
                      <w:lang w:val="en-US" w:eastAsia="zh-CN"/>
                    </w:rPr>
                    <w:t>52</w:t>
                  </w:r>
                  <w:r>
                    <w:rPr>
                      <w:rFonts w:hint="default" w:ascii="Times New Roman" w:hAnsi="Times New Roman" w:eastAsia="仿宋" w:cs="Times New Roman"/>
                      <w:color w:val="auto"/>
                      <w:sz w:val="21"/>
                      <w:szCs w:val="21"/>
                      <w:highlight w:val="none"/>
                      <w:lang w:val="en-US" w:eastAsia="zh-CN"/>
                    </w:rPr>
                    <w:t>个并网发电单元通过6回35kV集电线路接入220kV</w:t>
                  </w:r>
                  <w:r>
                    <w:rPr>
                      <w:rFonts w:hint="eastAsia" w:cs="Times New Roman"/>
                      <w:color w:val="auto"/>
                      <w:sz w:val="21"/>
                      <w:szCs w:val="21"/>
                      <w:highlight w:val="none"/>
                      <w:lang w:val="en-US" w:eastAsia="zh-CN"/>
                    </w:rPr>
                    <w:t>竹子箐</w:t>
                  </w:r>
                  <w:r>
                    <w:rPr>
                      <w:rFonts w:hint="default" w:ascii="Times New Roman" w:hAnsi="Times New Roman" w:eastAsia="仿宋" w:cs="Times New Roman"/>
                      <w:color w:val="auto"/>
                      <w:sz w:val="21"/>
                      <w:szCs w:val="21"/>
                      <w:highlight w:val="none"/>
                      <w:lang w:val="en-US" w:eastAsia="zh-CN"/>
                    </w:rPr>
                    <w:t>升压站的35kV母线侧，经变压器升压至220kV后以220kV线路送出。</w:t>
                  </w:r>
                </w:p>
              </w:tc>
              <w:tc>
                <w:tcPr>
                  <w:tcW w:w="1062" w:type="pct"/>
                  <w:noWrap w:val="0"/>
                  <w:vAlign w:val="center"/>
                </w:tcPr>
                <w:p w14:paraId="13CF1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2"/>
                      <w:sz w:val="21"/>
                      <w:szCs w:val="21"/>
                      <w:highlight w:val="none"/>
                      <w:vertAlign w:val="baseline"/>
                      <w:lang w:val="en-US" w:eastAsia="zh-CN" w:bidi="ar-SA"/>
                    </w:rPr>
                    <w:t>升压站位置变更后，名称变更。</w:t>
                  </w:r>
                </w:p>
              </w:tc>
            </w:tr>
            <w:tr w14:paraId="1D13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265" w:type="pct"/>
                  <w:vMerge w:val="continue"/>
                  <w:noWrap w:val="0"/>
                  <w:vAlign w:val="center"/>
                </w:tcPr>
                <w:p w14:paraId="1E9F70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continue"/>
                  <w:noWrap w:val="0"/>
                  <w:vAlign w:val="center"/>
                </w:tcPr>
                <w:p w14:paraId="5D2CA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471" w:type="pct"/>
                  <w:shd w:val="clear" w:color="auto" w:fill="auto"/>
                  <w:noWrap w:val="0"/>
                  <w:vAlign w:val="center"/>
                </w:tcPr>
                <w:p w14:paraId="5D546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光伏场区内35kV集电线路采用电缆集电线路12km，区域外采用架空线路28km，电缆集电线路采用直埋敷设方式。</w:t>
                  </w:r>
                  <w:r>
                    <w:rPr>
                      <w:rFonts w:hint="default" w:ascii="Times New Roman" w:hAnsi="Times New Roman" w:eastAsia="仿宋" w:cs="Times New Roman"/>
                      <w:color w:val="auto"/>
                      <w:kern w:val="2"/>
                      <w:sz w:val="21"/>
                      <w:szCs w:val="21"/>
                      <w:highlight w:val="none"/>
                      <w:vertAlign w:val="baseline"/>
                      <w:lang w:val="en-US" w:eastAsia="zh-CN" w:bidi="ar-SA"/>
                    </w:rPr>
                    <w:t>共设置6回集电线路，接入220V升压站35kV集电线路柜。</w:t>
                  </w:r>
                </w:p>
              </w:tc>
              <w:tc>
                <w:tcPr>
                  <w:tcW w:w="1768" w:type="pct"/>
                  <w:shd w:val="clear" w:color="auto" w:fill="auto"/>
                  <w:noWrap w:val="0"/>
                  <w:vAlign w:val="center"/>
                </w:tcPr>
                <w:p w14:paraId="454C9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光伏场区内35kV集电线路采用电缆集电线路22km，区域外采用架空线路98.34km，电缆集电线路采用直埋敷设方式。共设置6回集电线路，接入220V升压站35kV集电线路柜。</w:t>
                  </w:r>
                </w:p>
              </w:tc>
              <w:tc>
                <w:tcPr>
                  <w:tcW w:w="1062" w:type="pct"/>
                  <w:shd w:val="clear" w:color="auto" w:fill="auto"/>
                  <w:noWrap w:val="0"/>
                  <w:vAlign w:val="center"/>
                </w:tcPr>
                <w:p w14:paraId="572209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线路调整，地埋电缆增加</w:t>
                  </w:r>
                  <w:r>
                    <w:rPr>
                      <w:rFonts w:hint="eastAsia" w:cs="Times New Roman"/>
                      <w:color w:val="auto"/>
                      <w:sz w:val="21"/>
                      <w:szCs w:val="21"/>
                      <w:highlight w:val="none"/>
                      <w:lang w:val="en-US" w:eastAsia="zh-CN"/>
                    </w:rPr>
                    <w:t>10</w:t>
                  </w:r>
                  <w:r>
                    <w:rPr>
                      <w:rFonts w:hint="default" w:ascii="Times New Roman" w:hAnsi="Times New Roman" w:eastAsia="仿宋" w:cs="Times New Roman"/>
                      <w:color w:val="auto"/>
                      <w:sz w:val="21"/>
                      <w:szCs w:val="21"/>
                      <w:highlight w:val="none"/>
                      <w:lang w:val="en-US" w:eastAsia="zh-CN"/>
                    </w:rPr>
                    <w:t>km，架空线路增加</w:t>
                  </w:r>
                  <w:r>
                    <w:rPr>
                      <w:rFonts w:hint="eastAsia" w:cs="Times New Roman"/>
                      <w:color w:val="auto"/>
                      <w:sz w:val="21"/>
                      <w:szCs w:val="21"/>
                      <w:highlight w:val="none"/>
                      <w:lang w:val="en-US" w:eastAsia="zh-CN"/>
                    </w:rPr>
                    <w:t>70.34</w:t>
                  </w:r>
                  <w:r>
                    <w:rPr>
                      <w:rFonts w:hint="default" w:ascii="Times New Roman" w:hAnsi="Times New Roman" w:eastAsia="仿宋" w:cs="Times New Roman"/>
                      <w:color w:val="auto"/>
                      <w:sz w:val="21"/>
                      <w:szCs w:val="21"/>
                      <w:highlight w:val="none"/>
                      <w:lang w:val="en-US" w:eastAsia="zh-CN"/>
                    </w:rPr>
                    <w:t>km</w:t>
                  </w:r>
                </w:p>
              </w:tc>
            </w:tr>
            <w:tr w14:paraId="5931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265" w:type="pct"/>
                  <w:vMerge w:val="continue"/>
                  <w:noWrap w:val="0"/>
                  <w:vAlign w:val="center"/>
                </w:tcPr>
                <w:p w14:paraId="4F256C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highlight w:val="none"/>
                    </w:rPr>
                  </w:pPr>
                </w:p>
              </w:tc>
              <w:tc>
                <w:tcPr>
                  <w:tcW w:w="432" w:type="pct"/>
                  <w:vMerge w:val="continue"/>
                  <w:noWrap w:val="0"/>
                  <w:vAlign w:val="center"/>
                </w:tcPr>
                <w:p w14:paraId="334D2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highlight w:val="none"/>
                    </w:rPr>
                  </w:pPr>
                </w:p>
              </w:tc>
              <w:tc>
                <w:tcPr>
                  <w:tcW w:w="1471" w:type="pct"/>
                  <w:shd w:val="clear" w:color="auto" w:fill="auto"/>
                  <w:noWrap w:val="0"/>
                  <w:vAlign w:val="center"/>
                </w:tcPr>
                <w:p w14:paraId="1B8092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仿宋"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塔基数量：未说明</w:t>
                  </w:r>
                </w:p>
              </w:tc>
              <w:tc>
                <w:tcPr>
                  <w:tcW w:w="1768" w:type="pct"/>
                  <w:shd w:val="clear" w:color="auto" w:fill="auto"/>
                  <w:noWrap w:val="0"/>
                  <w:vAlign w:val="center"/>
                </w:tcPr>
                <w:p w14:paraId="6E5AC7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塔基数量：245个</w:t>
                  </w:r>
                </w:p>
              </w:tc>
              <w:tc>
                <w:tcPr>
                  <w:tcW w:w="1062" w:type="pct"/>
                  <w:shd w:val="clear" w:color="auto" w:fill="auto"/>
                  <w:noWrap w:val="0"/>
                  <w:vAlign w:val="center"/>
                </w:tcPr>
                <w:p w14:paraId="076BD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塔基数量增加</w:t>
                  </w:r>
                </w:p>
              </w:tc>
            </w:tr>
            <w:tr w14:paraId="114A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trPr>
              <w:tc>
                <w:tcPr>
                  <w:tcW w:w="265" w:type="pct"/>
                  <w:vMerge w:val="continue"/>
                  <w:noWrap w:val="0"/>
                  <w:vAlign w:val="center"/>
                </w:tcPr>
                <w:p w14:paraId="70C5C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restart"/>
                  <w:noWrap w:val="0"/>
                  <w:vAlign w:val="center"/>
                </w:tcPr>
                <w:p w14:paraId="423FE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升压站</w:t>
                  </w:r>
                </w:p>
              </w:tc>
              <w:tc>
                <w:tcPr>
                  <w:tcW w:w="1471" w:type="pct"/>
                  <w:noWrap w:val="0"/>
                  <w:vAlign w:val="center"/>
                </w:tcPr>
                <w:p w14:paraId="598934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升压站规模450MVA（3×150MVA），位于光伏场区西北部。升压站长145m，宽110m，总占地面积15759m</w:t>
                  </w:r>
                  <w:r>
                    <w:rPr>
                      <w:rFonts w:hint="default" w:ascii="Times New Roman" w:hAnsi="Times New Roman" w:eastAsia="仿宋" w:cs="Times New Roman"/>
                      <w:color w:val="auto"/>
                      <w:sz w:val="21"/>
                      <w:szCs w:val="21"/>
                      <w:highlight w:val="none"/>
                      <w:vertAlign w:val="superscript"/>
                      <w:lang w:val="en-US" w:eastAsia="zh-CN"/>
                    </w:rPr>
                    <w:t>2</w:t>
                  </w:r>
                  <w:r>
                    <w:rPr>
                      <w:rFonts w:hint="default" w:ascii="Times New Roman" w:hAnsi="Times New Roman" w:eastAsia="仿宋" w:cs="Times New Roman"/>
                      <w:color w:val="auto"/>
                      <w:sz w:val="21"/>
                      <w:szCs w:val="21"/>
                      <w:highlight w:val="none"/>
                      <w:lang w:val="en-US" w:eastAsia="zh-CN"/>
                    </w:rPr>
                    <w:t>。主要的电气设备有主变、220kVGIS配电装置、35kV配电装置、0.4kV 配电装置、箱式变电站、无功补偿装置等。办公生活区设置综合楼、一体化生活污水处理设备</w:t>
                  </w:r>
                </w:p>
              </w:tc>
              <w:tc>
                <w:tcPr>
                  <w:tcW w:w="1768" w:type="pct"/>
                  <w:noWrap w:val="0"/>
                  <w:vAlign w:val="center"/>
                </w:tcPr>
                <w:p w14:paraId="436E4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升压站主变规模440MVA，</w:t>
                  </w:r>
                  <w:r>
                    <w:rPr>
                      <w:rFonts w:hint="eastAsia" w:cs="Times New Roman"/>
                      <w:color w:val="auto"/>
                      <w:sz w:val="21"/>
                      <w:szCs w:val="21"/>
                      <w:highlight w:val="none"/>
                      <w:lang w:val="en-US" w:eastAsia="zh-CN"/>
                    </w:rPr>
                    <w:t>位于光伏场区中北部。升压站内建设</w:t>
                  </w:r>
                  <w:r>
                    <w:rPr>
                      <w:rFonts w:hint="default" w:ascii="Times New Roman" w:hAnsi="Times New Roman" w:eastAsia="仿宋" w:cs="Times New Roman"/>
                      <w:color w:val="auto"/>
                      <w:sz w:val="21"/>
                      <w:szCs w:val="21"/>
                      <w:highlight w:val="none"/>
                      <w:lang w:val="en-US" w:eastAsia="zh-CN"/>
                    </w:rPr>
                    <w:t>1台230MVA主变和1台210MVA主变。升压站长145m，宽43m，总占地面积6235m</w:t>
                  </w:r>
                  <w:r>
                    <w:rPr>
                      <w:rFonts w:hint="default" w:ascii="Times New Roman" w:hAnsi="Times New Roman" w:eastAsia="仿宋" w:cs="Times New Roman"/>
                      <w:color w:val="auto"/>
                      <w:sz w:val="21"/>
                      <w:szCs w:val="21"/>
                      <w:highlight w:val="none"/>
                      <w:vertAlign w:val="superscript"/>
                      <w:lang w:val="en-US" w:eastAsia="zh-CN"/>
                    </w:rPr>
                    <w:t>2</w:t>
                  </w:r>
                  <w:r>
                    <w:rPr>
                      <w:rFonts w:hint="default" w:ascii="Times New Roman" w:hAnsi="Times New Roman" w:eastAsia="仿宋" w:cs="Times New Roman"/>
                      <w:color w:val="auto"/>
                      <w:sz w:val="21"/>
                      <w:szCs w:val="21"/>
                      <w:highlight w:val="none"/>
                      <w:lang w:val="en-US" w:eastAsia="zh-CN"/>
                    </w:rPr>
                    <w:t>。主要的电气设备有主变、220kVGIS配电装置、35kV配电装置、0.4kV配电装置、箱式变电站、无功补偿装置等。办公生活区设置综合楼、一体化生活污水处理设备</w:t>
                  </w:r>
                </w:p>
              </w:tc>
              <w:tc>
                <w:tcPr>
                  <w:tcW w:w="1062" w:type="pct"/>
                  <w:noWrap w:val="0"/>
                  <w:vAlign w:val="center"/>
                </w:tcPr>
                <w:p w14:paraId="5C77EF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占地面积减少，主变数量减少1台，主变额定容量</w:t>
                  </w:r>
                  <w:r>
                    <w:rPr>
                      <w:rFonts w:hint="eastAsia" w:cs="Times New Roman"/>
                      <w:color w:val="auto"/>
                      <w:sz w:val="21"/>
                      <w:szCs w:val="21"/>
                      <w:highlight w:val="none"/>
                      <w:lang w:val="en-US" w:eastAsia="zh-CN"/>
                    </w:rPr>
                    <w:t>减少</w:t>
                  </w:r>
                  <w:r>
                    <w:rPr>
                      <w:rFonts w:hint="default" w:ascii="Times New Roman" w:hAnsi="Times New Roman" w:eastAsia="仿宋" w:cs="Times New Roman"/>
                      <w:color w:val="auto"/>
                      <w:sz w:val="21"/>
                      <w:szCs w:val="21"/>
                      <w:highlight w:val="none"/>
                      <w:lang w:val="en-US" w:eastAsia="zh-CN"/>
                    </w:rPr>
                    <w:t>10MVA。</w:t>
                  </w:r>
                </w:p>
              </w:tc>
            </w:tr>
            <w:tr w14:paraId="5730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65" w:type="pct"/>
                  <w:vMerge w:val="continue"/>
                  <w:noWrap w:val="0"/>
                  <w:vAlign w:val="center"/>
                </w:tcPr>
                <w:p w14:paraId="532078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highlight w:val="none"/>
                    </w:rPr>
                  </w:pPr>
                </w:p>
              </w:tc>
              <w:tc>
                <w:tcPr>
                  <w:tcW w:w="432" w:type="pct"/>
                  <w:vMerge w:val="continue"/>
                  <w:noWrap w:val="0"/>
                  <w:vAlign w:val="center"/>
                </w:tcPr>
                <w:p w14:paraId="4A55A7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highlight w:val="none"/>
                    </w:rPr>
                  </w:pPr>
                </w:p>
              </w:tc>
              <w:tc>
                <w:tcPr>
                  <w:tcW w:w="1471" w:type="pct"/>
                  <w:noWrap w:val="0"/>
                  <w:vAlign w:val="center"/>
                </w:tcPr>
                <w:p w14:paraId="4742E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color w:val="auto"/>
                      <w:sz w:val="21"/>
                      <w:szCs w:val="21"/>
                      <w:highlight w:val="none"/>
                      <w:lang w:val="en-US" w:eastAsia="zh-CN"/>
                    </w:rPr>
                    <w:t>升压站中心坐标东经</w:t>
                  </w:r>
                  <w:r>
                    <w:rPr>
                      <w:rFonts w:hint="eastAsia"/>
                      <w:color w:val="auto"/>
                      <w:sz w:val="21"/>
                      <w:szCs w:val="21"/>
                      <w:highlight w:val="none"/>
                      <w:lang w:val="en-US" w:eastAsia="zh-CN"/>
                    </w:rPr>
                    <w:t>103°33'20.6024"，北纬26°54'35.8572"</w:t>
                  </w:r>
                </w:p>
              </w:tc>
              <w:tc>
                <w:tcPr>
                  <w:tcW w:w="1768" w:type="pct"/>
                  <w:noWrap w:val="0"/>
                  <w:vAlign w:val="center"/>
                </w:tcPr>
                <w:p w14:paraId="03BCA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olor w:val="auto"/>
                      <w:sz w:val="21"/>
                      <w:szCs w:val="21"/>
                      <w:highlight w:val="none"/>
                      <w:lang w:val="en-US" w:eastAsia="zh-CN"/>
                    </w:rPr>
                    <w:t>升压站中心坐标：东经103°33′2.568″，北纬26°53′58.313″</w:t>
                  </w:r>
                </w:p>
              </w:tc>
              <w:tc>
                <w:tcPr>
                  <w:tcW w:w="1062" w:type="pct"/>
                  <w:noWrap w:val="0"/>
                  <w:vAlign w:val="center"/>
                </w:tcPr>
                <w:p w14:paraId="662CFD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color w:val="auto"/>
                      <w:sz w:val="21"/>
                      <w:szCs w:val="21"/>
                      <w:highlight w:val="none"/>
                      <w:lang w:val="en-US" w:eastAsia="zh-CN"/>
                    </w:rPr>
                    <w:t>升压站站址向西南方向位移约1050米，</w:t>
                  </w:r>
                </w:p>
              </w:tc>
            </w:tr>
            <w:tr w14:paraId="4502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4" w:hRule="atLeast"/>
              </w:trPr>
              <w:tc>
                <w:tcPr>
                  <w:tcW w:w="265" w:type="pct"/>
                  <w:noWrap w:val="0"/>
                  <w:vAlign w:val="center"/>
                </w:tcPr>
                <w:p w14:paraId="3D937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5503BC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接入工程</w:t>
                  </w:r>
                </w:p>
              </w:tc>
              <w:tc>
                <w:tcPr>
                  <w:tcW w:w="1471" w:type="pct"/>
                  <w:noWrap w:val="0"/>
                  <w:vAlign w:val="center"/>
                </w:tcPr>
                <w:p w14:paraId="6CC7D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本项目新建一座220kV刺竹塘升压站，该升压站作为汇集站，除考虑本项目接入外，附近的乜六沟（149MW</w:t>
                  </w:r>
                  <w:r>
                    <w:rPr>
                      <w:rFonts w:hint="eastAsia" w:cs="Times New Roman"/>
                      <w:color w:val="auto"/>
                      <w:sz w:val="21"/>
                      <w:szCs w:val="21"/>
                      <w:highlight w:val="none"/>
                      <w:lang w:val="en-US" w:eastAsia="zh-CN"/>
                    </w:rPr>
                    <w:t>ac</w:t>
                  </w:r>
                  <w:r>
                    <w:rPr>
                      <w:rFonts w:hint="default" w:ascii="Times New Roman" w:hAnsi="Times New Roman" w:eastAsia="仿宋" w:cs="Times New Roman"/>
                      <w:color w:val="auto"/>
                      <w:sz w:val="21"/>
                      <w:szCs w:val="21"/>
                      <w:highlight w:val="none"/>
                      <w:lang w:val="en-US" w:eastAsia="zh-CN"/>
                    </w:rPr>
                    <w:t>）、马路沟（81MW</w:t>
                  </w:r>
                  <w:r>
                    <w:rPr>
                      <w:rFonts w:hint="eastAsia" w:cs="Times New Roman"/>
                      <w:color w:val="auto"/>
                      <w:sz w:val="21"/>
                      <w:szCs w:val="21"/>
                      <w:highlight w:val="none"/>
                      <w:lang w:val="en-US" w:eastAsia="zh-CN"/>
                    </w:rPr>
                    <w:t>ac</w:t>
                  </w:r>
                  <w:r>
                    <w:rPr>
                      <w:rFonts w:hint="default" w:ascii="Times New Roman" w:hAnsi="Times New Roman" w:eastAsia="仿宋" w:cs="Times New Roman"/>
                      <w:color w:val="auto"/>
                      <w:sz w:val="21"/>
                      <w:szCs w:val="21"/>
                      <w:highlight w:val="none"/>
                      <w:lang w:val="en-US" w:eastAsia="zh-CN"/>
                    </w:rPr>
                    <w:t>）光伏电站以及后续将开发的光伏项目均汇集到本升压站送出。（本次评价不含乜六沟、马路沟光伏项目接入系统）。本升压站以1回</w:t>
                  </w:r>
                </w:p>
                <w:p w14:paraId="0BF76D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220kV线路接入500kV乐业汇流站，线路长度约30km（该部分接出线路另行环评手续）。</w:t>
                  </w:r>
                </w:p>
              </w:tc>
              <w:tc>
                <w:tcPr>
                  <w:tcW w:w="1768" w:type="pct"/>
                  <w:noWrap w:val="0"/>
                  <w:vAlign w:val="center"/>
                </w:tcPr>
                <w:p w14:paraId="2E6F6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本项目新建一座220kV</w:t>
                  </w:r>
                  <w:r>
                    <w:rPr>
                      <w:rFonts w:hint="eastAsia" w:cs="Times New Roman"/>
                      <w:color w:val="auto"/>
                      <w:sz w:val="21"/>
                      <w:szCs w:val="21"/>
                      <w:highlight w:val="none"/>
                      <w:lang w:val="en-US" w:eastAsia="zh-CN"/>
                    </w:rPr>
                    <w:t>竹子箐</w:t>
                  </w:r>
                  <w:r>
                    <w:rPr>
                      <w:rFonts w:hint="default" w:ascii="Times New Roman" w:hAnsi="Times New Roman" w:eastAsia="仿宋" w:cs="Times New Roman"/>
                      <w:color w:val="auto"/>
                      <w:sz w:val="21"/>
                      <w:szCs w:val="21"/>
                      <w:highlight w:val="none"/>
                      <w:lang w:val="en-US" w:eastAsia="zh-CN"/>
                    </w:rPr>
                    <w:t>升压站，该升压站作为汇集站，除考虑本项目接入外，附近的乜六沟（149MW</w:t>
                  </w:r>
                  <w:r>
                    <w:rPr>
                      <w:rFonts w:hint="eastAsia" w:cs="Times New Roman"/>
                      <w:color w:val="auto"/>
                      <w:sz w:val="21"/>
                      <w:szCs w:val="21"/>
                      <w:highlight w:val="none"/>
                      <w:lang w:val="en-US" w:eastAsia="zh-CN"/>
                    </w:rPr>
                    <w:t>ac</w:t>
                  </w:r>
                  <w:r>
                    <w:rPr>
                      <w:rFonts w:hint="default" w:ascii="Times New Roman" w:hAnsi="Times New Roman" w:eastAsia="仿宋" w:cs="Times New Roman"/>
                      <w:color w:val="auto"/>
                      <w:sz w:val="21"/>
                      <w:szCs w:val="21"/>
                      <w:highlight w:val="none"/>
                      <w:lang w:val="en-US" w:eastAsia="zh-CN"/>
                    </w:rPr>
                    <w:t>）、马路沟（81MW</w:t>
                  </w:r>
                  <w:r>
                    <w:rPr>
                      <w:rFonts w:hint="eastAsia" w:cs="Times New Roman"/>
                      <w:color w:val="auto"/>
                      <w:sz w:val="21"/>
                      <w:szCs w:val="21"/>
                      <w:highlight w:val="none"/>
                      <w:lang w:val="en-US" w:eastAsia="zh-CN"/>
                    </w:rPr>
                    <w:t>ac</w:t>
                  </w:r>
                  <w:r>
                    <w:rPr>
                      <w:rFonts w:hint="default" w:ascii="Times New Roman" w:hAnsi="Times New Roman" w:eastAsia="仿宋" w:cs="Times New Roman"/>
                      <w:color w:val="auto"/>
                      <w:sz w:val="21"/>
                      <w:szCs w:val="21"/>
                      <w:highlight w:val="none"/>
                      <w:lang w:val="en-US" w:eastAsia="zh-CN"/>
                    </w:rPr>
                    <w:t>）光伏电站以及后续将开发的光伏项目均汇集到本升压站送出。（本次评价不含乜六沟、马路沟光伏项目接入系统）。本升压站以1回</w:t>
                  </w:r>
                </w:p>
                <w:p w14:paraId="43A58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220kV线路接入500kV乐业汇流站，线路长度约30km（该部分接出线路另行环评手续）。</w:t>
                  </w:r>
                </w:p>
              </w:tc>
              <w:tc>
                <w:tcPr>
                  <w:tcW w:w="1062" w:type="pct"/>
                  <w:noWrap w:val="0"/>
                  <w:vAlign w:val="center"/>
                </w:tcPr>
                <w:p w14:paraId="6F0E11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升压站位置调整，更名为竹子箐升压站</w:t>
                  </w:r>
                </w:p>
              </w:tc>
            </w:tr>
            <w:tr w14:paraId="7D3B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9" w:hRule="atLeast"/>
              </w:trPr>
              <w:tc>
                <w:tcPr>
                  <w:tcW w:w="265" w:type="pct"/>
                  <w:vMerge w:val="restart"/>
                  <w:noWrap w:val="0"/>
                  <w:vAlign w:val="center"/>
                </w:tcPr>
                <w:p w14:paraId="50720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公辅工程</w:t>
                  </w:r>
                </w:p>
              </w:tc>
              <w:tc>
                <w:tcPr>
                  <w:tcW w:w="432" w:type="pct"/>
                  <w:noWrap w:val="0"/>
                  <w:vAlign w:val="center"/>
                </w:tcPr>
                <w:p w14:paraId="6FDE94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交通工程</w:t>
                  </w:r>
                </w:p>
              </w:tc>
              <w:tc>
                <w:tcPr>
                  <w:tcW w:w="1471" w:type="pct"/>
                  <w:noWrap w:val="0"/>
                  <w:vAlign w:val="center"/>
                </w:tcPr>
                <w:p w14:paraId="4B1C6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本项目共需建设道路29.48km，其中进站道路300m、场区新建道路9.7km，改造现有道路长19.48km。新建15个16m×16m 的回车场地。进场道路及场内道路标准为路基宽4.5m，路面宽4m，采用泥结碎石路面。升压站进站道路路基宽5.5m，路面宽4.5m，水泥混凝土路面。</w:t>
                  </w:r>
                </w:p>
                <w:p w14:paraId="15E43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eastAsia="zh-CN"/>
                    </w:rPr>
                  </w:pPr>
                </w:p>
              </w:tc>
              <w:tc>
                <w:tcPr>
                  <w:tcW w:w="1768" w:type="pct"/>
                  <w:noWrap w:val="0"/>
                  <w:vAlign w:val="center"/>
                </w:tcPr>
                <w:p w14:paraId="42F5A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本项目共需建设道路</w:t>
                  </w:r>
                  <w:r>
                    <w:rPr>
                      <w:rFonts w:hint="default" w:ascii="Times New Roman" w:hAnsi="Times New Roman" w:eastAsia="仿宋" w:cs="Times New Roman"/>
                      <w:color w:val="auto"/>
                      <w:sz w:val="21"/>
                      <w:szCs w:val="21"/>
                      <w:highlight w:val="none"/>
                      <w:lang w:val="en-US" w:eastAsia="zh-CN"/>
                    </w:rPr>
                    <w:t>36</w:t>
                  </w:r>
                  <w:r>
                    <w:rPr>
                      <w:rFonts w:hint="default" w:ascii="Times New Roman" w:hAnsi="Times New Roman" w:eastAsia="仿宋" w:cs="Times New Roman"/>
                      <w:color w:val="auto"/>
                      <w:sz w:val="21"/>
                      <w:szCs w:val="21"/>
                      <w:highlight w:val="none"/>
                    </w:rPr>
                    <w:t>.48km，其中进站道路</w:t>
                  </w:r>
                  <w:r>
                    <w:rPr>
                      <w:rFonts w:hint="default" w:ascii="Times New Roman" w:hAnsi="Times New Roman" w:eastAsia="仿宋" w:cs="Times New Roman"/>
                      <w:color w:val="auto"/>
                      <w:sz w:val="21"/>
                      <w:szCs w:val="21"/>
                      <w:highlight w:val="none"/>
                      <w:lang w:val="en-US" w:eastAsia="zh-CN"/>
                    </w:rPr>
                    <w:t>4</w:t>
                  </w:r>
                  <w:r>
                    <w:rPr>
                      <w:rFonts w:hint="default" w:ascii="Times New Roman" w:hAnsi="Times New Roman" w:eastAsia="仿宋" w:cs="Times New Roman"/>
                      <w:color w:val="auto"/>
                      <w:sz w:val="21"/>
                      <w:szCs w:val="21"/>
                      <w:highlight w:val="none"/>
                    </w:rPr>
                    <w:t>0m、场区新建道路</w:t>
                  </w:r>
                  <w:r>
                    <w:rPr>
                      <w:rFonts w:hint="default" w:ascii="Times New Roman" w:hAnsi="Times New Roman" w:eastAsia="仿宋" w:cs="Times New Roman"/>
                      <w:color w:val="auto"/>
                      <w:sz w:val="21"/>
                      <w:szCs w:val="21"/>
                      <w:highlight w:val="none"/>
                      <w:lang w:val="en-US" w:eastAsia="zh-CN"/>
                    </w:rPr>
                    <w:t>10.8</w:t>
                  </w:r>
                  <w:r>
                    <w:rPr>
                      <w:rFonts w:hint="default" w:ascii="Times New Roman" w:hAnsi="Times New Roman" w:eastAsia="仿宋" w:cs="Times New Roman"/>
                      <w:color w:val="auto"/>
                      <w:sz w:val="21"/>
                      <w:szCs w:val="21"/>
                      <w:highlight w:val="none"/>
                    </w:rPr>
                    <w:t>km，改造现有道路长</w:t>
                  </w:r>
                  <w:r>
                    <w:rPr>
                      <w:rFonts w:hint="default" w:ascii="Times New Roman" w:hAnsi="Times New Roman" w:eastAsia="仿宋" w:cs="Times New Roman"/>
                      <w:color w:val="auto"/>
                      <w:sz w:val="21"/>
                      <w:szCs w:val="21"/>
                      <w:highlight w:val="none"/>
                      <w:lang w:val="en-US" w:eastAsia="zh-CN"/>
                    </w:rPr>
                    <w:t>25.64</w:t>
                  </w:r>
                  <w:r>
                    <w:rPr>
                      <w:rFonts w:hint="default" w:ascii="Times New Roman" w:hAnsi="Times New Roman" w:eastAsia="仿宋" w:cs="Times New Roman"/>
                      <w:color w:val="auto"/>
                      <w:sz w:val="21"/>
                      <w:szCs w:val="21"/>
                      <w:highlight w:val="none"/>
                    </w:rPr>
                    <w:t>km。新建15个16m×16m的回车场地。进场道路及场内道路标准为路基宽4.5m，路面宽4m，采用泥结碎石路面。升压站进站道路路基宽5.5m，路面宽4.5m，水泥混凝土路面。</w:t>
                  </w:r>
                </w:p>
                <w:p w14:paraId="32178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62" w:type="pct"/>
                  <w:noWrap w:val="0"/>
                  <w:vAlign w:val="center"/>
                </w:tcPr>
                <w:p w14:paraId="31F46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eastAsia="zh-CN"/>
                    </w:rPr>
                    <w:t>光伏阵列变更，施工道路工程量增加</w:t>
                  </w:r>
                  <w:r>
                    <w:rPr>
                      <w:rFonts w:hint="eastAsia" w:cs="Times New Roman"/>
                      <w:color w:val="auto"/>
                      <w:sz w:val="21"/>
                      <w:szCs w:val="21"/>
                      <w:highlight w:val="none"/>
                      <w:lang w:val="en-US" w:eastAsia="zh-CN"/>
                    </w:rPr>
                    <w:t>7km。其中进站道路减少260m；厂区新建道路增加1.1km；改造现有道路增加6.16km；</w:t>
                  </w:r>
                </w:p>
              </w:tc>
            </w:tr>
            <w:tr w14:paraId="2D58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65" w:type="pct"/>
                  <w:vMerge w:val="continue"/>
                  <w:noWrap w:val="0"/>
                  <w:vAlign w:val="center"/>
                </w:tcPr>
                <w:p w14:paraId="2ADBFD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69AEBD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供</w:t>
                  </w:r>
                  <w:r>
                    <w:rPr>
                      <w:rFonts w:hint="default" w:ascii="Times New Roman" w:hAnsi="Times New Roman" w:eastAsia="仿宋" w:cs="Times New Roman"/>
                      <w:color w:val="auto"/>
                      <w:sz w:val="21"/>
                      <w:szCs w:val="21"/>
                      <w:highlight w:val="none"/>
                    </w:rPr>
                    <w:t>水</w:t>
                  </w:r>
                </w:p>
              </w:tc>
              <w:tc>
                <w:tcPr>
                  <w:tcW w:w="1471" w:type="pct"/>
                  <w:noWrap w:val="0"/>
                  <w:vAlign w:val="center"/>
                </w:tcPr>
                <w:p w14:paraId="26F7AB8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施工期：</w:t>
                  </w:r>
                  <w:r>
                    <w:rPr>
                      <w:rFonts w:hint="default" w:ascii="Times New Roman" w:hAnsi="Times New Roman" w:eastAsia="仿宋" w:cs="Times New Roman"/>
                      <w:color w:val="auto"/>
                      <w:kern w:val="0"/>
                      <w:sz w:val="21"/>
                      <w:szCs w:val="21"/>
                      <w:highlight w:val="none"/>
                    </w:rPr>
                    <w:t>采用水罐车从附近村庄上取水。</w:t>
                  </w:r>
                </w:p>
                <w:p w14:paraId="08DC81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运营期：</w:t>
                  </w:r>
                  <w:r>
                    <w:rPr>
                      <w:rFonts w:hint="default" w:ascii="Times New Roman" w:hAnsi="Times New Roman" w:eastAsia="仿宋" w:cs="Times New Roman"/>
                      <w:color w:val="auto"/>
                      <w:kern w:val="0"/>
                      <w:sz w:val="21"/>
                      <w:szCs w:val="21"/>
                      <w:highlight w:val="none"/>
                    </w:rPr>
                    <w:t>从场址</w:t>
                  </w:r>
                  <w:r>
                    <w:rPr>
                      <w:rFonts w:hint="default" w:ascii="Times New Roman" w:hAnsi="Times New Roman" w:eastAsia="仿宋" w:cs="Times New Roman"/>
                      <w:color w:val="auto"/>
                      <w:kern w:val="0"/>
                      <w:sz w:val="21"/>
                      <w:szCs w:val="21"/>
                      <w:highlight w:val="none"/>
                      <w:lang w:eastAsia="zh-CN"/>
                    </w:rPr>
                    <w:t>周边已有</w:t>
                  </w:r>
                  <w:r>
                    <w:rPr>
                      <w:rFonts w:hint="default" w:ascii="Times New Roman" w:hAnsi="Times New Roman" w:eastAsia="仿宋" w:cs="Times New Roman"/>
                      <w:color w:val="auto"/>
                      <w:kern w:val="0"/>
                      <w:sz w:val="21"/>
                      <w:szCs w:val="21"/>
                      <w:highlight w:val="none"/>
                    </w:rPr>
                    <w:t>的</w:t>
                  </w:r>
                  <w:r>
                    <w:rPr>
                      <w:rFonts w:hint="default" w:ascii="Times New Roman" w:hAnsi="Times New Roman" w:eastAsia="仿宋" w:cs="Times New Roman"/>
                      <w:color w:val="auto"/>
                      <w:kern w:val="0"/>
                      <w:sz w:val="21"/>
                      <w:szCs w:val="21"/>
                      <w:highlight w:val="none"/>
                      <w:lang w:eastAsia="zh-CN"/>
                    </w:rPr>
                    <w:t>供水管网接入站区内</w:t>
                  </w:r>
                  <w:r>
                    <w:rPr>
                      <w:rFonts w:hint="default" w:ascii="Times New Roman" w:hAnsi="Times New Roman" w:eastAsia="仿宋" w:cs="Times New Roman"/>
                      <w:color w:val="auto"/>
                      <w:kern w:val="0"/>
                      <w:sz w:val="21"/>
                      <w:szCs w:val="21"/>
                      <w:highlight w:val="none"/>
                      <w:lang w:val="en-US" w:eastAsia="zh-CN"/>
                    </w:rPr>
                    <w:t>4m</w:t>
                  </w:r>
                  <w:r>
                    <w:rPr>
                      <w:rFonts w:hint="default" w:ascii="Times New Roman" w:hAnsi="Times New Roman" w:eastAsia="仿宋" w:cs="Times New Roman"/>
                      <w:color w:val="auto"/>
                      <w:kern w:val="0"/>
                      <w:sz w:val="21"/>
                      <w:szCs w:val="21"/>
                      <w:highlight w:val="none"/>
                      <w:vertAlign w:val="superscript"/>
                      <w:lang w:val="en-US" w:eastAsia="zh-CN"/>
                    </w:rPr>
                    <w:t>3</w:t>
                  </w:r>
                  <w:r>
                    <w:rPr>
                      <w:rFonts w:hint="default" w:ascii="Times New Roman" w:hAnsi="Times New Roman" w:eastAsia="仿宋" w:cs="Times New Roman"/>
                      <w:color w:val="auto"/>
                      <w:kern w:val="0"/>
                      <w:sz w:val="21"/>
                      <w:szCs w:val="21"/>
                      <w:highlight w:val="none"/>
                      <w:vertAlign w:val="baseline"/>
                      <w:lang w:val="en-US" w:eastAsia="zh-CN"/>
                    </w:rPr>
                    <w:t>生活水箱</w:t>
                  </w:r>
                  <w:r>
                    <w:rPr>
                      <w:rFonts w:hint="default" w:ascii="Times New Roman" w:hAnsi="Times New Roman" w:eastAsia="仿宋" w:cs="Times New Roman"/>
                      <w:color w:val="auto"/>
                      <w:sz w:val="21"/>
                      <w:szCs w:val="21"/>
                      <w:highlight w:val="none"/>
                    </w:rPr>
                    <w:t>。</w:t>
                  </w:r>
                </w:p>
              </w:tc>
              <w:tc>
                <w:tcPr>
                  <w:tcW w:w="1768" w:type="pct"/>
                  <w:noWrap w:val="0"/>
                  <w:vAlign w:val="center"/>
                </w:tcPr>
                <w:p w14:paraId="4A4819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施工期：采用水罐车从附近村庄上取水。</w:t>
                  </w:r>
                </w:p>
                <w:p w14:paraId="365B2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运营期：</w:t>
                  </w:r>
                  <w:r>
                    <w:rPr>
                      <w:rFonts w:hint="eastAsia" w:cs="Times New Roman"/>
                      <w:color w:val="auto"/>
                      <w:sz w:val="21"/>
                      <w:szCs w:val="21"/>
                      <w:highlight w:val="none"/>
                      <w:lang w:val="en-US" w:eastAsia="zh-CN"/>
                    </w:rPr>
                    <w:t>升压站用水</w:t>
                  </w:r>
                  <w:r>
                    <w:rPr>
                      <w:rFonts w:hint="default" w:ascii="Times New Roman" w:hAnsi="Times New Roman" w:eastAsia="仿宋" w:cs="Times New Roman"/>
                      <w:color w:val="auto"/>
                      <w:sz w:val="21"/>
                      <w:szCs w:val="21"/>
                      <w:highlight w:val="none"/>
                    </w:rPr>
                    <w:t>从场址</w:t>
                  </w:r>
                  <w:r>
                    <w:rPr>
                      <w:rFonts w:hint="default" w:ascii="Times New Roman" w:hAnsi="Times New Roman" w:eastAsia="仿宋" w:cs="Times New Roman"/>
                      <w:color w:val="auto"/>
                      <w:sz w:val="21"/>
                      <w:szCs w:val="21"/>
                      <w:highlight w:val="none"/>
                      <w:lang w:eastAsia="zh-CN"/>
                    </w:rPr>
                    <w:t>周边已有</w:t>
                  </w:r>
                  <w:r>
                    <w:rPr>
                      <w:rFonts w:hint="default" w:ascii="Times New Roman" w:hAnsi="Times New Roman" w:eastAsia="仿宋" w:cs="Times New Roman"/>
                      <w:color w:val="auto"/>
                      <w:sz w:val="21"/>
                      <w:szCs w:val="21"/>
                      <w:highlight w:val="none"/>
                    </w:rPr>
                    <w:t>的</w:t>
                  </w:r>
                  <w:r>
                    <w:rPr>
                      <w:rFonts w:hint="default" w:ascii="Times New Roman" w:hAnsi="Times New Roman" w:eastAsia="仿宋" w:cs="Times New Roman"/>
                      <w:color w:val="auto"/>
                      <w:sz w:val="21"/>
                      <w:szCs w:val="21"/>
                      <w:highlight w:val="none"/>
                      <w:lang w:eastAsia="zh-CN"/>
                    </w:rPr>
                    <w:t>供水</w:t>
                  </w:r>
                  <w:r>
                    <w:rPr>
                      <w:rFonts w:hint="default" w:ascii="Times New Roman" w:hAnsi="Times New Roman" w:eastAsia="仿宋" w:cs="Times New Roman"/>
                      <w:color w:val="auto"/>
                      <w:sz w:val="21"/>
                      <w:szCs w:val="21"/>
                      <w:highlight w:val="none"/>
                      <w:lang w:val="en-US" w:eastAsia="zh-CN"/>
                    </w:rPr>
                    <w:t>设施引</w:t>
                  </w:r>
                  <w:r>
                    <w:rPr>
                      <w:rFonts w:hint="default" w:ascii="Times New Roman" w:hAnsi="Times New Roman" w:eastAsia="仿宋" w:cs="Times New Roman"/>
                      <w:color w:val="auto"/>
                      <w:sz w:val="21"/>
                      <w:szCs w:val="21"/>
                      <w:highlight w:val="none"/>
                      <w:lang w:eastAsia="zh-CN"/>
                    </w:rPr>
                    <w:t>入站区内</w:t>
                  </w:r>
                  <w:r>
                    <w:rPr>
                      <w:rFonts w:hint="default" w:ascii="Times New Roman" w:hAnsi="Times New Roman" w:eastAsia="仿宋" w:cs="Times New Roman"/>
                      <w:color w:val="auto"/>
                      <w:sz w:val="21"/>
                      <w:szCs w:val="21"/>
                      <w:highlight w:val="none"/>
                      <w:lang w:val="en-US" w:eastAsia="zh-CN"/>
                    </w:rPr>
                    <w:t>4m</w:t>
                  </w:r>
                  <w:r>
                    <w:rPr>
                      <w:rFonts w:hint="default" w:ascii="Times New Roman" w:hAnsi="Times New Roman" w:eastAsia="仿宋" w:cs="Times New Roman"/>
                      <w:color w:val="auto"/>
                      <w:sz w:val="21"/>
                      <w:szCs w:val="21"/>
                      <w:highlight w:val="none"/>
                      <w:vertAlign w:val="superscript"/>
                      <w:lang w:val="en-US" w:eastAsia="zh-CN"/>
                    </w:rPr>
                    <w:t>3</w:t>
                  </w:r>
                  <w:r>
                    <w:rPr>
                      <w:rFonts w:hint="default" w:ascii="Times New Roman" w:hAnsi="Times New Roman" w:eastAsia="仿宋" w:cs="Times New Roman"/>
                      <w:color w:val="auto"/>
                      <w:sz w:val="21"/>
                      <w:szCs w:val="21"/>
                      <w:highlight w:val="none"/>
                      <w:lang w:val="en-US" w:eastAsia="zh-CN"/>
                    </w:rPr>
                    <w:t>生活水箱</w:t>
                  </w:r>
                  <w:r>
                    <w:rPr>
                      <w:rFonts w:hint="default" w:ascii="Times New Roman" w:hAnsi="Times New Roman" w:eastAsia="仿宋" w:cs="Times New Roman"/>
                      <w:color w:val="auto"/>
                      <w:sz w:val="21"/>
                      <w:szCs w:val="21"/>
                      <w:highlight w:val="none"/>
                    </w:rPr>
                    <w:t>。</w:t>
                  </w:r>
                </w:p>
                <w:p w14:paraId="3D617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光伏阵区清洗用水采用水罐车从附近村庄取水</w:t>
                  </w:r>
                </w:p>
              </w:tc>
              <w:tc>
                <w:tcPr>
                  <w:tcW w:w="1062" w:type="pct"/>
                  <w:noWrap w:val="0"/>
                  <w:vAlign w:val="center"/>
                </w:tcPr>
                <w:p w14:paraId="340F42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补充方阵清洗用水来源说明</w:t>
                  </w:r>
                </w:p>
              </w:tc>
            </w:tr>
            <w:tr w14:paraId="2C49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65" w:type="pct"/>
                  <w:vMerge w:val="continue"/>
                  <w:noWrap w:val="0"/>
                  <w:vAlign w:val="center"/>
                </w:tcPr>
                <w:p w14:paraId="56CD9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4F11C9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供电</w:t>
                  </w:r>
                </w:p>
              </w:tc>
              <w:tc>
                <w:tcPr>
                  <w:tcW w:w="1471" w:type="pct"/>
                  <w:noWrap w:val="0"/>
                  <w:vAlign w:val="center"/>
                </w:tcPr>
                <w:p w14:paraId="04EDC0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lang w:val="en-US" w:eastAsia="zh-CN"/>
                    </w:rPr>
                    <w:t>施工期：</w:t>
                  </w:r>
                  <w:r>
                    <w:rPr>
                      <w:rFonts w:hint="default" w:ascii="Times New Roman" w:hAnsi="Times New Roman" w:eastAsia="仿宋" w:cs="Times New Roman"/>
                      <w:color w:val="auto"/>
                      <w:kern w:val="0"/>
                      <w:sz w:val="21"/>
                      <w:szCs w:val="21"/>
                      <w:highlight w:val="none"/>
                    </w:rPr>
                    <w:t>从附近已有</w:t>
                  </w:r>
                  <w:r>
                    <w:rPr>
                      <w:rFonts w:hint="default" w:ascii="Times New Roman" w:hAnsi="Times New Roman" w:eastAsia="仿宋" w:cs="Times New Roman"/>
                      <w:color w:val="auto"/>
                      <w:kern w:val="0"/>
                      <w:sz w:val="21"/>
                      <w:szCs w:val="21"/>
                      <w:highlight w:val="none"/>
                      <w:lang w:eastAsia="zh-CN"/>
                    </w:rPr>
                    <w:t>电网</w:t>
                  </w:r>
                  <w:r>
                    <w:rPr>
                      <w:rFonts w:hint="default" w:ascii="Times New Roman" w:hAnsi="Times New Roman" w:eastAsia="仿宋" w:cs="Times New Roman"/>
                      <w:color w:val="auto"/>
                      <w:kern w:val="0"/>
                      <w:sz w:val="21"/>
                      <w:szCs w:val="21"/>
                      <w:highlight w:val="none"/>
                    </w:rPr>
                    <w:t>10kV线路接入。</w:t>
                  </w:r>
                </w:p>
                <w:p w14:paraId="5D7B467D">
                  <w:pPr>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kern w:val="0"/>
                      <w:sz w:val="21"/>
                      <w:szCs w:val="21"/>
                      <w:highlight w:val="none"/>
                      <w:lang w:val="en-US" w:eastAsia="zh-CN"/>
                    </w:rPr>
                    <w:t>运营期：运营期逆变器供电由自身供电，其他用电由附近电网接入。</w:t>
                  </w:r>
                </w:p>
              </w:tc>
              <w:tc>
                <w:tcPr>
                  <w:tcW w:w="1768" w:type="pct"/>
                  <w:noWrap w:val="0"/>
                  <w:vAlign w:val="center"/>
                </w:tcPr>
                <w:p w14:paraId="6F3499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0"/>
                      <w:sz w:val="21"/>
                      <w:szCs w:val="21"/>
                      <w:highlight w:val="none"/>
                      <w:lang w:val="en-US" w:eastAsia="zh-CN"/>
                    </w:rPr>
                  </w:pPr>
                  <w:r>
                    <w:rPr>
                      <w:rFonts w:hint="default" w:ascii="Times New Roman" w:hAnsi="Times New Roman" w:eastAsia="仿宋" w:cs="Times New Roman"/>
                      <w:color w:val="auto"/>
                      <w:kern w:val="0"/>
                      <w:sz w:val="21"/>
                      <w:szCs w:val="21"/>
                      <w:highlight w:val="none"/>
                      <w:lang w:val="en-US" w:eastAsia="zh-CN"/>
                    </w:rPr>
                    <w:t>施工期：从附近已有电网10kV线路接入。</w:t>
                  </w:r>
                </w:p>
                <w:p w14:paraId="05C7B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kern w:val="0"/>
                      <w:sz w:val="21"/>
                      <w:szCs w:val="21"/>
                      <w:highlight w:val="none"/>
                      <w:lang w:val="en-US" w:eastAsia="zh-CN"/>
                    </w:rPr>
                    <w:t>运营期：运营期逆变器供电由自身供电，其他用电由附近电网接入。</w:t>
                  </w:r>
                </w:p>
              </w:tc>
              <w:tc>
                <w:tcPr>
                  <w:tcW w:w="1062" w:type="pct"/>
                  <w:noWrap w:val="0"/>
                  <w:vAlign w:val="center"/>
                </w:tcPr>
                <w:p w14:paraId="5D1E5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无变化</w:t>
                  </w:r>
                </w:p>
              </w:tc>
            </w:tr>
            <w:tr w14:paraId="0DCC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65" w:type="pct"/>
                  <w:vMerge w:val="continue"/>
                  <w:noWrap w:val="0"/>
                  <w:vAlign w:val="center"/>
                </w:tcPr>
                <w:p w14:paraId="2938A5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restart"/>
                  <w:noWrap w:val="0"/>
                  <w:vAlign w:val="center"/>
                </w:tcPr>
                <w:p w14:paraId="6CBBF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施工临建设施</w:t>
                  </w:r>
                </w:p>
              </w:tc>
              <w:tc>
                <w:tcPr>
                  <w:tcW w:w="1471" w:type="pct"/>
                  <w:vMerge w:val="restart"/>
                  <w:noWrap w:val="0"/>
                  <w:vAlign w:val="center"/>
                </w:tcPr>
                <w:p w14:paraId="0E76DE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1"/>
                      <w:szCs w:val="21"/>
                      <w:highlight w:val="none"/>
                    </w:rPr>
                    <w:t>混凝土拌和系统、临时生活区（租用民房）、临时办公区（租用民房）、露天机械停放场（无机械修配）、综合仓库和砂石堆场，各设置1处。不考虑现场新建业主营地、施工营地以及机械修配间等</w:t>
                  </w:r>
                </w:p>
              </w:tc>
              <w:tc>
                <w:tcPr>
                  <w:tcW w:w="1768" w:type="pct"/>
                  <w:noWrap w:val="0"/>
                  <w:vAlign w:val="center"/>
                </w:tcPr>
                <w:p w14:paraId="2EF32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临时生活区（租用民房）、临时办公区（租用民房）。</w:t>
                  </w:r>
                </w:p>
              </w:tc>
              <w:tc>
                <w:tcPr>
                  <w:tcW w:w="1062" w:type="pct"/>
                  <w:vMerge w:val="restart"/>
                  <w:noWrap w:val="0"/>
                  <w:vAlign w:val="center"/>
                </w:tcPr>
                <w:p w14:paraId="39D1F4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施工临时场地位置随光伏方阵位置变化</w:t>
                  </w:r>
                </w:p>
              </w:tc>
            </w:tr>
            <w:tr w14:paraId="4C97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5" w:type="pct"/>
                  <w:vMerge w:val="continue"/>
                  <w:noWrap w:val="0"/>
                  <w:vAlign w:val="center"/>
                </w:tcPr>
                <w:p w14:paraId="1EAE9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432" w:type="pct"/>
                  <w:vMerge w:val="continue"/>
                  <w:noWrap w:val="0"/>
                  <w:vAlign w:val="center"/>
                </w:tcPr>
                <w:p w14:paraId="6C2EDE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471" w:type="pct"/>
                  <w:vMerge w:val="continue"/>
                  <w:noWrap w:val="0"/>
                  <w:vAlign w:val="center"/>
                </w:tcPr>
                <w:p w14:paraId="782AA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768" w:type="pct"/>
                  <w:noWrap w:val="0"/>
                  <w:vAlign w:val="center"/>
                </w:tcPr>
                <w:p w14:paraId="6D14C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施工营地分两类：</w:t>
                  </w:r>
                </w:p>
                <w:p w14:paraId="258333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施工营地1：露天机械停放场（无机械修配）、混凝土拌和系统、综合仓库和砂石堆场结合光伏阵列位置就近布置</w:t>
                  </w:r>
                  <w:r>
                    <w:rPr>
                      <w:rFonts w:hint="eastAsia" w:cs="Times New Roman"/>
                      <w:color w:val="auto"/>
                      <w:sz w:val="21"/>
                      <w:szCs w:val="21"/>
                      <w:highlight w:val="none"/>
                      <w:lang w:val="en-US" w:eastAsia="zh-CN"/>
                    </w:rPr>
                    <w:t>，仅布置在光伏方阵用地范围内。</w:t>
                  </w:r>
                </w:p>
                <w:p w14:paraId="1729C1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施工营地2：露天机械停放场（无机械修配）、混凝土拌和系统、综合仓库、钢筋加工</w:t>
                  </w:r>
                  <w:r>
                    <w:rPr>
                      <w:rFonts w:hint="eastAsia" w:cs="Times New Roman"/>
                      <w:color w:val="auto"/>
                      <w:sz w:val="21"/>
                      <w:szCs w:val="21"/>
                      <w:highlight w:val="none"/>
                      <w:lang w:val="en-US" w:eastAsia="zh-CN"/>
                    </w:rPr>
                    <w:t>，仅布置在光伏方阵用地范围内。</w:t>
                  </w:r>
                </w:p>
              </w:tc>
              <w:tc>
                <w:tcPr>
                  <w:tcW w:w="1062" w:type="pct"/>
                  <w:vMerge w:val="continue"/>
                  <w:noWrap w:val="0"/>
                  <w:vAlign w:val="center"/>
                </w:tcPr>
                <w:p w14:paraId="23F7D0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p>
              </w:tc>
            </w:tr>
            <w:tr w14:paraId="1E41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5" w:type="pct"/>
                  <w:vMerge w:val="continue"/>
                  <w:noWrap w:val="0"/>
                  <w:vAlign w:val="center"/>
                </w:tcPr>
                <w:p w14:paraId="60DAC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432" w:type="pct"/>
                  <w:vMerge w:val="continue"/>
                  <w:noWrap w:val="0"/>
                  <w:vAlign w:val="center"/>
                </w:tcPr>
                <w:p w14:paraId="4A7EA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1471" w:type="pct"/>
                  <w:vMerge w:val="continue"/>
                  <w:noWrap w:val="0"/>
                  <w:vAlign w:val="center"/>
                </w:tcPr>
                <w:p w14:paraId="52340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1768" w:type="pct"/>
                  <w:noWrap w:val="0"/>
                  <w:vAlign w:val="center"/>
                </w:tcPr>
                <w:p w14:paraId="205AC2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不设置牵张场、临时跨越场和塔基施工营地。</w:t>
                  </w:r>
                  <w:r>
                    <w:rPr>
                      <w:rFonts w:hint="default" w:ascii="Times New Roman" w:hAnsi="Times New Roman" w:eastAsia="仿宋" w:cs="Times New Roman"/>
                      <w:color w:val="auto"/>
                      <w:sz w:val="21"/>
                      <w:szCs w:val="21"/>
                      <w:highlight w:val="none"/>
                      <w:lang w:val="en-US" w:eastAsia="zh-CN"/>
                    </w:rPr>
                    <w:t>牵张设备在塔基附近道路上临时布置，不额外占地</w:t>
                  </w:r>
                  <w:r>
                    <w:rPr>
                      <w:rFonts w:hint="eastAsia" w:ascii="Times New Roman" w:hAnsi="Times New Roman" w:eastAsia="仿宋" w:cs="Times New Roman"/>
                      <w:color w:val="auto"/>
                      <w:sz w:val="21"/>
                      <w:szCs w:val="21"/>
                      <w:highlight w:val="none"/>
                      <w:lang w:val="en-US" w:eastAsia="zh-CN"/>
                    </w:rPr>
                    <w:t>。</w:t>
                  </w:r>
                </w:p>
              </w:tc>
              <w:tc>
                <w:tcPr>
                  <w:tcW w:w="1062" w:type="pct"/>
                  <w:vMerge w:val="continue"/>
                  <w:noWrap w:val="0"/>
                  <w:vAlign w:val="center"/>
                </w:tcPr>
                <w:p w14:paraId="6F52B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p>
              </w:tc>
            </w:tr>
            <w:tr w14:paraId="5366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5" w:type="pct"/>
                  <w:vMerge w:val="continue"/>
                  <w:noWrap w:val="0"/>
                  <w:vAlign w:val="center"/>
                </w:tcPr>
                <w:p w14:paraId="17EFA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432" w:type="pct"/>
                  <w:vMerge w:val="continue"/>
                  <w:noWrap w:val="0"/>
                  <w:vAlign w:val="center"/>
                </w:tcPr>
                <w:p w14:paraId="0386F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1471" w:type="pct"/>
                  <w:vMerge w:val="continue"/>
                  <w:noWrap w:val="0"/>
                  <w:vAlign w:val="center"/>
                </w:tcPr>
                <w:p w14:paraId="7F1254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1768" w:type="pct"/>
                  <w:noWrap w:val="0"/>
                  <w:vAlign w:val="center"/>
                </w:tcPr>
                <w:p w14:paraId="65029D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项目区占地范围内设置21个表土堆场，不设置弃渣场</w:t>
                  </w:r>
                </w:p>
              </w:tc>
              <w:tc>
                <w:tcPr>
                  <w:tcW w:w="1062" w:type="pct"/>
                  <w:vMerge w:val="continue"/>
                  <w:noWrap w:val="0"/>
                  <w:vAlign w:val="center"/>
                </w:tcPr>
                <w:p w14:paraId="6C4A3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p>
              </w:tc>
            </w:tr>
            <w:tr w14:paraId="1618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5" w:type="pct"/>
                  <w:vMerge w:val="restart"/>
                  <w:tcBorders>
                    <w:top w:val="single" w:color="auto" w:sz="4" w:space="0"/>
                    <w:left w:val="single" w:color="auto" w:sz="4" w:space="0"/>
                    <w:right w:val="single" w:color="auto" w:sz="4" w:space="0"/>
                  </w:tcBorders>
                  <w:noWrap w:val="0"/>
                  <w:vAlign w:val="center"/>
                </w:tcPr>
                <w:p w14:paraId="35E6D4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环保工程</w:t>
                  </w:r>
                </w:p>
              </w:tc>
              <w:tc>
                <w:tcPr>
                  <w:tcW w:w="432" w:type="pct"/>
                  <w:tcBorders>
                    <w:left w:val="single" w:color="auto" w:sz="4" w:space="0"/>
                  </w:tcBorders>
                  <w:noWrap w:val="0"/>
                  <w:vAlign w:val="center"/>
                </w:tcPr>
                <w:p w14:paraId="6BC9D9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绿化工程</w:t>
                  </w:r>
                </w:p>
              </w:tc>
              <w:tc>
                <w:tcPr>
                  <w:tcW w:w="1471" w:type="pct"/>
                  <w:noWrap w:val="0"/>
                  <w:vAlign w:val="center"/>
                </w:tcPr>
                <w:p w14:paraId="48993A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升压站办公生活区绿化面积为</w:t>
                  </w:r>
                  <w:r>
                    <w:rPr>
                      <w:rFonts w:hint="default" w:ascii="Times New Roman" w:hAnsi="Times New Roman" w:eastAsia="仿宋" w:cs="Times New Roman"/>
                      <w:color w:val="auto"/>
                      <w:sz w:val="21"/>
                      <w:szCs w:val="21"/>
                      <w:highlight w:val="none"/>
                      <w:lang w:val="en-US" w:eastAsia="zh-CN"/>
                    </w:rPr>
                    <w:t>600</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2</w:t>
                  </w:r>
                </w:p>
              </w:tc>
              <w:tc>
                <w:tcPr>
                  <w:tcW w:w="1768" w:type="pct"/>
                  <w:noWrap w:val="0"/>
                  <w:vAlign w:val="center"/>
                </w:tcPr>
                <w:p w14:paraId="68312A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升压站绿化面积为</w:t>
                  </w:r>
                  <w:r>
                    <w:rPr>
                      <w:rFonts w:hint="default" w:ascii="Times New Roman" w:hAnsi="Times New Roman" w:eastAsia="仿宋" w:cs="Times New Roman"/>
                      <w:color w:val="auto"/>
                      <w:sz w:val="21"/>
                      <w:szCs w:val="21"/>
                      <w:highlight w:val="none"/>
                      <w:lang w:val="en-US" w:eastAsia="zh-CN"/>
                    </w:rPr>
                    <w:t>800</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2</w:t>
                  </w:r>
                </w:p>
              </w:tc>
              <w:tc>
                <w:tcPr>
                  <w:tcW w:w="1062" w:type="pct"/>
                  <w:noWrap w:val="0"/>
                  <w:vAlign w:val="center"/>
                </w:tcPr>
                <w:p w14:paraId="2741D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增加200m</w:t>
                  </w:r>
                  <w:r>
                    <w:rPr>
                      <w:rFonts w:hint="default" w:ascii="Times New Roman" w:hAnsi="Times New Roman" w:eastAsia="仿宋" w:cs="Times New Roman"/>
                      <w:color w:val="auto"/>
                      <w:sz w:val="21"/>
                      <w:szCs w:val="21"/>
                      <w:highlight w:val="none"/>
                      <w:vertAlign w:val="superscript"/>
                      <w:lang w:val="en-US" w:eastAsia="zh-CN"/>
                    </w:rPr>
                    <w:t>2</w:t>
                  </w:r>
                </w:p>
              </w:tc>
            </w:tr>
            <w:tr w14:paraId="00ED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trPr>
              <w:tc>
                <w:tcPr>
                  <w:tcW w:w="265" w:type="pct"/>
                  <w:vMerge w:val="continue"/>
                  <w:tcBorders>
                    <w:left w:val="single" w:color="auto" w:sz="4" w:space="0"/>
                    <w:right w:val="single" w:color="auto" w:sz="4" w:space="0"/>
                  </w:tcBorders>
                  <w:noWrap w:val="0"/>
                  <w:vAlign w:val="center"/>
                </w:tcPr>
                <w:p w14:paraId="73D6CB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restart"/>
                  <w:tcBorders>
                    <w:left w:val="single" w:color="auto" w:sz="4" w:space="0"/>
                  </w:tcBorders>
                  <w:noWrap w:val="0"/>
                  <w:vAlign w:val="center"/>
                </w:tcPr>
                <w:p w14:paraId="0A0A06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污水处理</w:t>
                  </w:r>
                </w:p>
              </w:tc>
              <w:tc>
                <w:tcPr>
                  <w:tcW w:w="1471" w:type="pct"/>
                  <w:noWrap w:val="0"/>
                  <w:vAlign w:val="center"/>
                </w:tcPr>
                <w:p w14:paraId="6E5BF6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1个1m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的隔油池</w:t>
                  </w:r>
                </w:p>
              </w:tc>
              <w:tc>
                <w:tcPr>
                  <w:tcW w:w="1768" w:type="pct"/>
                  <w:noWrap w:val="0"/>
                  <w:vAlign w:val="center"/>
                </w:tcPr>
                <w:p w14:paraId="0E34E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1个</w:t>
                  </w:r>
                  <w:r>
                    <w:rPr>
                      <w:rFonts w:hint="default" w:ascii="Times New Roman" w:hAnsi="Times New Roman" w:eastAsia="仿宋" w:cs="Times New Roman"/>
                      <w:color w:val="auto"/>
                      <w:sz w:val="21"/>
                      <w:szCs w:val="21"/>
                      <w:highlight w:val="none"/>
                      <w:lang w:val="en-US" w:eastAsia="zh-CN"/>
                    </w:rPr>
                    <w:t>0.5</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的隔油池</w:t>
                  </w:r>
                </w:p>
              </w:tc>
              <w:tc>
                <w:tcPr>
                  <w:tcW w:w="1062" w:type="pct"/>
                  <w:noWrap w:val="0"/>
                  <w:vAlign w:val="center"/>
                </w:tcPr>
                <w:p w14:paraId="202001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superscript"/>
                      <w:lang w:val="en-US" w:eastAsia="zh-CN"/>
                    </w:rPr>
                  </w:pPr>
                  <w:r>
                    <w:rPr>
                      <w:rFonts w:hint="eastAsia" w:cs="Times New Roman"/>
                      <w:color w:val="auto"/>
                      <w:sz w:val="21"/>
                      <w:szCs w:val="21"/>
                      <w:highlight w:val="none"/>
                      <w:lang w:val="en-US" w:eastAsia="zh-CN"/>
                    </w:rPr>
                    <w:t>隔油池减小0.5m</w:t>
                  </w:r>
                  <w:r>
                    <w:rPr>
                      <w:rFonts w:hint="eastAsia" w:cs="Times New Roman"/>
                      <w:color w:val="auto"/>
                      <w:sz w:val="21"/>
                      <w:szCs w:val="21"/>
                      <w:highlight w:val="none"/>
                      <w:vertAlign w:val="superscript"/>
                      <w:lang w:val="en-US" w:eastAsia="zh-CN"/>
                    </w:rPr>
                    <w:t>3</w:t>
                  </w:r>
                </w:p>
              </w:tc>
            </w:tr>
            <w:tr w14:paraId="11B9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trPr>
              <w:tc>
                <w:tcPr>
                  <w:tcW w:w="265" w:type="pct"/>
                  <w:vMerge w:val="continue"/>
                  <w:tcBorders>
                    <w:left w:val="single" w:color="auto" w:sz="4" w:space="0"/>
                    <w:right w:val="single" w:color="auto" w:sz="4" w:space="0"/>
                  </w:tcBorders>
                  <w:noWrap w:val="0"/>
                  <w:vAlign w:val="center"/>
                </w:tcPr>
                <w:p w14:paraId="730387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432" w:type="pct"/>
                  <w:vMerge w:val="continue"/>
                  <w:tcBorders>
                    <w:left w:val="single" w:color="auto" w:sz="4" w:space="0"/>
                  </w:tcBorders>
                  <w:noWrap w:val="0"/>
                  <w:vAlign w:val="center"/>
                </w:tcPr>
                <w:p w14:paraId="55489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471" w:type="pct"/>
                  <w:noWrap w:val="0"/>
                  <w:vAlign w:val="center"/>
                </w:tcPr>
                <w:p w14:paraId="4552F8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1个1m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的化粪池</w:t>
                  </w:r>
                </w:p>
              </w:tc>
              <w:tc>
                <w:tcPr>
                  <w:tcW w:w="1768" w:type="pct"/>
                  <w:noWrap w:val="0"/>
                  <w:vAlign w:val="center"/>
                </w:tcPr>
                <w:p w14:paraId="1C571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1个</w:t>
                  </w:r>
                  <w:r>
                    <w:rPr>
                      <w:rFonts w:hint="default" w:ascii="Times New Roman" w:hAnsi="Times New Roman" w:eastAsia="仿宋" w:cs="Times New Roman"/>
                      <w:color w:val="auto"/>
                      <w:sz w:val="21"/>
                      <w:szCs w:val="21"/>
                      <w:highlight w:val="none"/>
                      <w:lang w:val="en-US" w:eastAsia="zh-CN"/>
                    </w:rPr>
                    <w:t>3</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的化粪池</w:t>
                  </w:r>
                </w:p>
              </w:tc>
              <w:tc>
                <w:tcPr>
                  <w:tcW w:w="1062" w:type="pct"/>
                  <w:noWrap w:val="0"/>
                  <w:vAlign w:val="center"/>
                </w:tcPr>
                <w:p w14:paraId="651F8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eastAsia" w:cs="Times New Roman"/>
                      <w:color w:val="auto"/>
                      <w:sz w:val="21"/>
                      <w:szCs w:val="21"/>
                      <w:highlight w:val="none"/>
                      <w:lang w:val="en-US" w:eastAsia="zh-CN"/>
                    </w:rPr>
                    <w:t>化粪池增加2m</w:t>
                  </w:r>
                  <w:r>
                    <w:rPr>
                      <w:rFonts w:hint="eastAsia" w:cs="Times New Roman"/>
                      <w:color w:val="auto"/>
                      <w:sz w:val="21"/>
                      <w:szCs w:val="21"/>
                      <w:highlight w:val="none"/>
                      <w:vertAlign w:val="superscript"/>
                      <w:lang w:val="en-US" w:eastAsia="zh-CN"/>
                    </w:rPr>
                    <w:t>3</w:t>
                  </w:r>
                </w:p>
              </w:tc>
            </w:tr>
            <w:tr w14:paraId="5F60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1" w:hRule="atLeast"/>
              </w:trPr>
              <w:tc>
                <w:tcPr>
                  <w:tcW w:w="265" w:type="pct"/>
                  <w:vMerge w:val="continue"/>
                  <w:tcBorders>
                    <w:left w:val="single" w:color="auto" w:sz="4" w:space="0"/>
                    <w:right w:val="single" w:color="auto" w:sz="4" w:space="0"/>
                  </w:tcBorders>
                  <w:noWrap w:val="0"/>
                  <w:vAlign w:val="center"/>
                </w:tcPr>
                <w:p w14:paraId="5D020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continue"/>
                  <w:tcBorders>
                    <w:left w:val="single" w:color="auto" w:sz="4" w:space="0"/>
                  </w:tcBorders>
                  <w:noWrap w:val="0"/>
                  <w:vAlign w:val="center"/>
                </w:tcPr>
                <w:p w14:paraId="50D74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471" w:type="pct"/>
                  <w:noWrap w:val="0"/>
                  <w:vAlign w:val="center"/>
                </w:tcPr>
                <w:p w14:paraId="567D2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w:t>
                  </w:r>
                  <w:r>
                    <w:rPr>
                      <w:rFonts w:hint="default" w:ascii="Times New Roman" w:hAnsi="Times New Roman" w:eastAsia="仿宋" w:cs="Times New Roman"/>
                      <w:color w:val="auto"/>
                      <w:sz w:val="21"/>
                      <w:szCs w:val="21"/>
                      <w:highlight w:val="none"/>
                      <w:lang w:eastAsia="zh-CN"/>
                    </w:rPr>
                    <w:t>综合楼东侧</w:t>
                  </w:r>
                  <w:r>
                    <w:rPr>
                      <w:rFonts w:hint="default" w:ascii="Times New Roman" w:hAnsi="Times New Roman" w:eastAsia="仿宋" w:cs="Times New Roman"/>
                      <w:color w:val="auto"/>
                      <w:sz w:val="21"/>
                      <w:szCs w:val="21"/>
                      <w:highlight w:val="none"/>
                    </w:rPr>
                    <w:t>设置1座处理规模为</w:t>
                  </w:r>
                  <w:r>
                    <w:rPr>
                      <w:rFonts w:hint="default" w:ascii="Times New Roman" w:hAnsi="Times New Roman" w:eastAsia="仿宋" w:cs="Times New Roman"/>
                      <w:color w:val="auto"/>
                      <w:sz w:val="21"/>
                      <w:szCs w:val="21"/>
                      <w:highlight w:val="none"/>
                      <w:lang w:val="en-US" w:eastAsia="zh-CN"/>
                    </w:rPr>
                    <w:t>3</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/d的一体化污水处理设施，建议采用MBR处理工艺</w:t>
                  </w:r>
                </w:p>
              </w:tc>
              <w:tc>
                <w:tcPr>
                  <w:tcW w:w="1768" w:type="pct"/>
                  <w:noWrap w:val="0"/>
                  <w:vAlign w:val="center"/>
                </w:tcPr>
                <w:p w14:paraId="1AD344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升压站</w:t>
                  </w:r>
                  <w:r>
                    <w:rPr>
                      <w:rFonts w:hint="default" w:ascii="Times New Roman" w:hAnsi="Times New Roman" w:eastAsia="仿宋" w:cs="Times New Roman"/>
                      <w:color w:val="auto"/>
                      <w:sz w:val="21"/>
                      <w:szCs w:val="21"/>
                      <w:highlight w:val="none"/>
                      <w:lang w:eastAsia="zh-CN"/>
                    </w:rPr>
                    <w:t>综合楼东</w:t>
                  </w:r>
                  <w:r>
                    <w:rPr>
                      <w:rFonts w:hint="default" w:ascii="Times New Roman" w:hAnsi="Times New Roman" w:eastAsia="仿宋" w:cs="Times New Roman"/>
                      <w:color w:val="auto"/>
                      <w:sz w:val="21"/>
                      <w:szCs w:val="21"/>
                      <w:highlight w:val="none"/>
                      <w:lang w:val="en-US" w:eastAsia="zh-CN"/>
                    </w:rPr>
                    <w:t>南</w:t>
                  </w:r>
                  <w:r>
                    <w:rPr>
                      <w:rFonts w:hint="default" w:ascii="Times New Roman" w:hAnsi="Times New Roman" w:eastAsia="仿宋" w:cs="Times New Roman"/>
                      <w:color w:val="auto"/>
                      <w:sz w:val="21"/>
                      <w:szCs w:val="21"/>
                      <w:highlight w:val="none"/>
                      <w:lang w:eastAsia="zh-CN"/>
                    </w:rPr>
                    <w:t>侧</w:t>
                  </w:r>
                  <w:r>
                    <w:rPr>
                      <w:rFonts w:hint="default" w:ascii="Times New Roman" w:hAnsi="Times New Roman" w:eastAsia="仿宋" w:cs="Times New Roman"/>
                      <w:color w:val="auto"/>
                      <w:sz w:val="21"/>
                      <w:szCs w:val="21"/>
                      <w:highlight w:val="none"/>
                    </w:rPr>
                    <w:t>设置1座处理规模为</w:t>
                  </w:r>
                  <w:r>
                    <w:rPr>
                      <w:rFonts w:hint="default" w:ascii="Times New Roman" w:hAnsi="Times New Roman" w:eastAsia="仿宋" w:cs="Times New Roman"/>
                      <w:color w:val="auto"/>
                      <w:sz w:val="21"/>
                      <w:szCs w:val="21"/>
                      <w:highlight w:val="none"/>
                      <w:lang w:val="en-US" w:eastAsia="zh-CN"/>
                    </w:rPr>
                    <w:t>1</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/d的一体化污水处理设施，采用MBR处理工艺</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lang w:val="en-US" w:eastAsia="zh-CN"/>
                    </w:rPr>
                    <w:t>1个8m</w:t>
                  </w:r>
                  <w:r>
                    <w:rPr>
                      <w:rFonts w:hint="default" w:ascii="Times New Roman" w:hAnsi="Times New Roman" w:eastAsia="仿宋" w:cs="Times New Roman"/>
                      <w:color w:val="auto"/>
                      <w:sz w:val="21"/>
                      <w:szCs w:val="21"/>
                      <w:highlight w:val="none"/>
                      <w:vertAlign w:val="superscript"/>
                      <w:lang w:val="en-US" w:eastAsia="zh-CN"/>
                    </w:rPr>
                    <w:t>3</w:t>
                  </w:r>
                  <w:r>
                    <w:rPr>
                      <w:rFonts w:hint="default" w:ascii="Times New Roman" w:hAnsi="Times New Roman" w:eastAsia="仿宋" w:cs="Times New Roman"/>
                      <w:color w:val="auto"/>
                      <w:sz w:val="21"/>
                      <w:szCs w:val="21"/>
                      <w:highlight w:val="none"/>
                      <w:lang w:val="en-US" w:eastAsia="zh-CN"/>
                    </w:rPr>
                    <w:t>的回用水暂存池</w:t>
                  </w:r>
                </w:p>
              </w:tc>
              <w:tc>
                <w:tcPr>
                  <w:tcW w:w="1062" w:type="pct"/>
                  <w:noWrap w:val="0"/>
                  <w:vAlign w:val="center"/>
                </w:tcPr>
                <w:p w14:paraId="5A9F5D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一体化污水处理设施</w:t>
                  </w:r>
                  <w:r>
                    <w:rPr>
                      <w:rFonts w:hint="default" w:ascii="Times New Roman" w:hAnsi="Times New Roman" w:eastAsia="仿宋" w:cs="Times New Roman"/>
                      <w:color w:val="auto"/>
                      <w:sz w:val="21"/>
                      <w:szCs w:val="21"/>
                      <w:highlight w:val="none"/>
                      <w:lang w:val="en-US" w:eastAsia="zh-CN"/>
                    </w:rPr>
                    <w:t>规模减小</w:t>
                  </w:r>
                </w:p>
              </w:tc>
            </w:tr>
            <w:tr w14:paraId="32B1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65" w:type="pct"/>
                  <w:vMerge w:val="continue"/>
                  <w:tcBorders>
                    <w:left w:val="single" w:color="auto" w:sz="4" w:space="0"/>
                    <w:right w:val="single" w:color="auto" w:sz="4" w:space="0"/>
                  </w:tcBorders>
                  <w:noWrap w:val="0"/>
                  <w:vAlign w:val="center"/>
                </w:tcPr>
                <w:p w14:paraId="162A8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32" w:type="pct"/>
                  <w:vMerge w:val="continue"/>
                  <w:tcBorders>
                    <w:left w:val="single" w:color="auto" w:sz="4" w:space="0"/>
                  </w:tcBorders>
                  <w:noWrap w:val="0"/>
                  <w:vAlign w:val="center"/>
                </w:tcPr>
                <w:p w14:paraId="54ABE9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471" w:type="pct"/>
                  <w:noWrap w:val="0"/>
                  <w:vAlign w:val="center"/>
                </w:tcPr>
                <w:p w14:paraId="168A9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清洗废水直接用于板下植物浇洒不外排</w:t>
                  </w:r>
                </w:p>
              </w:tc>
              <w:tc>
                <w:tcPr>
                  <w:tcW w:w="1768" w:type="pct"/>
                  <w:noWrap w:val="0"/>
                  <w:vAlign w:val="center"/>
                </w:tcPr>
                <w:p w14:paraId="7B23C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清洗废水直接用于板下植物浇洒不外排</w:t>
                  </w:r>
                </w:p>
              </w:tc>
              <w:tc>
                <w:tcPr>
                  <w:tcW w:w="1062" w:type="pct"/>
                  <w:noWrap w:val="0"/>
                  <w:vAlign w:val="center"/>
                </w:tcPr>
                <w:p w14:paraId="0B6E30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无变化</w:t>
                  </w:r>
                </w:p>
              </w:tc>
            </w:tr>
            <w:tr w14:paraId="43FA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65" w:type="pct"/>
                  <w:vMerge w:val="continue"/>
                  <w:tcBorders>
                    <w:left w:val="single" w:color="auto" w:sz="4" w:space="0"/>
                    <w:right w:val="single" w:color="auto" w:sz="4" w:space="0"/>
                  </w:tcBorders>
                  <w:noWrap w:val="0"/>
                  <w:vAlign w:val="center"/>
                </w:tcPr>
                <w:p w14:paraId="27E9F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rPr>
                  </w:pPr>
                </w:p>
              </w:tc>
              <w:tc>
                <w:tcPr>
                  <w:tcW w:w="432" w:type="pct"/>
                  <w:noWrap w:val="0"/>
                  <w:vAlign w:val="center"/>
                </w:tcPr>
                <w:p w14:paraId="6E14D9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废气处理</w:t>
                  </w:r>
                </w:p>
              </w:tc>
              <w:tc>
                <w:tcPr>
                  <w:tcW w:w="1471" w:type="pct"/>
                  <w:noWrap w:val="0"/>
                  <w:vAlign w:val="center"/>
                </w:tcPr>
                <w:p w14:paraId="77EEB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eastAsia="zh-CN"/>
                    </w:rPr>
                    <w:t>抽油烟机</w:t>
                  </w:r>
                  <w:r>
                    <w:rPr>
                      <w:rFonts w:hint="default" w:ascii="Times New Roman" w:hAnsi="Times New Roman" w:eastAsia="仿宋" w:cs="Times New Roman"/>
                      <w:color w:val="auto"/>
                      <w:sz w:val="21"/>
                      <w:szCs w:val="21"/>
                      <w:highlight w:val="none"/>
                    </w:rPr>
                    <w:t>1套</w:t>
                  </w:r>
                </w:p>
              </w:tc>
              <w:tc>
                <w:tcPr>
                  <w:tcW w:w="1768" w:type="pct"/>
                  <w:noWrap w:val="0"/>
                  <w:vAlign w:val="center"/>
                </w:tcPr>
                <w:p w14:paraId="1A954E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eastAsia="zh-CN"/>
                    </w:rPr>
                    <w:t>抽油烟机</w:t>
                  </w:r>
                  <w:r>
                    <w:rPr>
                      <w:rFonts w:hint="default" w:ascii="Times New Roman" w:hAnsi="Times New Roman" w:eastAsia="仿宋" w:cs="Times New Roman"/>
                      <w:color w:val="auto"/>
                      <w:sz w:val="21"/>
                      <w:szCs w:val="21"/>
                      <w:highlight w:val="none"/>
                    </w:rPr>
                    <w:t>1套</w:t>
                  </w:r>
                </w:p>
              </w:tc>
              <w:tc>
                <w:tcPr>
                  <w:tcW w:w="1062" w:type="pct"/>
                  <w:noWrap w:val="0"/>
                  <w:vAlign w:val="center"/>
                </w:tcPr>
                <w:p w14:paraId="6FBEBF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无变化</w:t>
                  </w:r>
                </w:p>
              </w:tc>
            </w:tr>
            <w:tr w14:paraId="62C2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trPr>
              <w:tc>
                <w:tcPr>
                  <w:tcW w:w="265" w:type="pct"/>
                  <w:vMerge w:val="continue"/>
                  <w:tcBorders>
                    <w:left w:val="single" w:color="auto" w:sz="4" w:space="0"/>
                    <w:right w:val="single" w:color="auto" w:sz="4" w:space="0"/>
                  </w:tcBorders>
                  <w:noWrap w:val="0"/>
                  <w:vAlign w:val="center"/>
                </w:tcPr>
                <w:p w14:paraId="5EBDD7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rPr>
                  </w:pPr>
                </w:p>
              </w:tc>
              <w:tc>
                <w:tcPr>
                  <w:tcW w:w="432" w:type="pct"/>
                  <w:vMerge w:val="restart"/>
                  <w:noWrap w:val="0"/>
                  <w:vAlign w:val="center"/>
                </w:tcPr>
                <w:p w14:paraId="15AAD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固体废物</w:t>
                  </w:r>
                </w:p>
              </w:tc>
              <w:tc>
                <w:tcPr>
                  <w:tcW w:w="1471" w:type="pct"/>
                  <w:noWrap w:val="0"/>
                  <w:vAlign w:val="center"/>
                </w:tcPr>
                <w:p w14:paraId="2D744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3个</w:t>
                  </w:r>
                  <w:r>
                    <w:rPr>
                      <w:rFonts w:hint="default" w:ascii="Times New Roman" w:hAnsi="Times New Roman" w:eastAsia="仿宋" w:cs="Times New Roman"/>
                      <w:color w:val="auto"/>
                      <w:sz w:val="21"/>
                      <w:szCs w:val="21"/>
                      <w:highlight w:val="none"/>
                    </w:rPr>
                    <w:t>垃圾桶，分散设置于</w:t>
                  </w:r>
                  <w:r>
                    <w:rPr>
                      <w:rFonts w:hint="default" w:ascii="Times New Roman" w:hAnsi="Times New Roman" w:eastAsia="仿宋" w:cs="Times New Roman"/>
                      <w:color w:val="auto"/>
                      <w:sz w:val="21"/>
                      <w:szCs w:val="21"/>
                      <w:highlight w:val="none"/>
                      <w:lang w:eastAsia="zh-CN"/>
                    </w:rPr>
                    <w:t>站</w:t>
                  </w:r>
                  <w:r>
                    <w:rPr>
                      <w:rFonts w:hint="default" w:ascii="Times New Roman" w:hAnsi="Times New Roman" w:eastAsia="仿宋" w:cs="Times New Roman"/>
                      <w:color w:val="auto"/>
                      <w:sz w:val="21"/>
                      <w:szCs w:val="21"/>
                      <w:highlight w:val="none"/>
                    </w:rPr>
                    <w:t>区</w:t>
                  </w:r>
                  <w:r>
                    <w:rPr>
                      <w:rFonts w:hint="default" w:ascii="Times New Roman" w:hAnsi="Times New Roman" w:eastAsia="仿宋" w:cs="Times New Roman"/>
                      <w:color w:val="auto"/>
                      <w:sz w:val="21"/>
                      <w:szCs w:val="21"/>
                      <w:highlight w:val="none"/>
                      <w:lang w:eastAsia="zh-CN"/>
                    </w:rPr>
                    <w:t>综合楼</w:t>
                  </w:r>
                </w:p>
              </w:tc>
              <w:tc>
                <w:tcPr>
                  <w:tcW w:w="1768" w:type="pct"/>
                  <w:noWrap w:val="0"/>
                  <w:vAlign w:val="center"/>
                </w:tcPr>
                <w:p w14:paraId="34BE1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若干垃圾桶，分散设置于</w:t>
                  </w:r>
                  <w:r>
                    <w:rPr>
                      <w:rFonts w:hint="default" w:ascii="Times New Roman" w:hAnsi="Times New Roman" w:eastAsia="仿宋" w:cs="Times New Roman"/>
                      <w:color w:val="auto"/>
                      <w:sz w:val="21"/>
                      <w:szCs w:val="21"/>
                      <w:highlight w:val="none"/>
                      <w:lang w:eastAsia="zh-CN"/>
                    </w:rPr>
                    <w:t>站</w:t>
                  </w:r>
                  <w:r>
                    <w:rPr>
                      <w:rFonts w:hint="default" w:ascii="Times New Roman" w:hAnsi="Times New Roman" w:eastAsia="仿宋" w:cs="Times New Roman"/>
                      <w:color w:val="auto"/>
                      <w:sz w:val="21"/>
                      <w:szCs w:val="21"/>
                      <w:highlight w:val="none"/>
                    </w:rPr>
                    <w:t>区</w:t>
                  </w:r>
                  <w:r>
                    <w:rPr>
                      <w:rFonts w:hint="default" w:ascii="Times New Roman" w:hAnsi="Times New Roman" w:eastAsia="仿宋" w:cs="Times New Roman"/>
                      <w:color w:val="auto"/>
                      <w:sz w:val="21"/>
                      <w:szCs w:val="21"/>
                      <w:highlight w:val="none"/>
                      <w:lang w:eastAsia="zh-CN"/>
                    </w:rPr>
                    <w:t>综合楼</w:t>
                  </w:r>
                </w:p>
              </w:tc>
              <w:tc>
                <w:tcPr>
                  <w:tcW w:w="1062" w:type="pct"/>
                  <w:noWrap w:val="0"/>
                  <w:vAlign w:val="center"/>
                </w:tcPr>
                <w:p w14:paraId="495A5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垃圾桶增加</w:t>
                  </w:r>
                </w:p>
              </w:tc>
            </w:tr>
            <w:tr w14:paraId="2B37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trPr>
              <w:tc>
                <w:tcPr>
                  <w:tcW w:w="265" w:type="pct"/>
                  <w:vMerge w:val="continue"/>
                  <w:tcBorders>
                    <w:left w:val="single" w:color="auto" w:sz="4" w:space="0"/>
                    <w:right w:val="single" w:color="auto" w:sz="4" w:space="0"/>
                  </w:tcBorders>
                  <w:noWrap w:val="0"/>
                  <w:vAlign w:val="center"/>
                </w:tcPr>
                <w:p w14:paraId="6B2492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432" w:type="pct"/>
                  <w:vMerge w:val="continue"/>
                  <w:noWrap w:val="0"/>
                  <w:vAlign w:val="center"/>
                </w:tcPr>
                <w:p w14:paraId="60A7A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471" w:type="pct"/>
                  <w:noWrap w:val="0"/>
                  <w:vAlign w:val="center"/>
                </w:tcPr>
                <w:p w14:paraId="11E36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升压站区设置1间</w:t>
                  </w:r>
                  <w:r>
                    <w:rPr>
                      <w:rFonts w:hint="default" w:ascii="Times New Roman" w:hAnsi="Times New Roman" w:eastAsia="仿宋" w:cs="Times New Roman"/>
                      <w:color w:val="auto"/>
                      <w:sz w:val="21"/>
                      <w:szCs w:val="21"/>
                      <w:highlight w:val="none"/>
                      <w:lang w:val="en-US" w:eastAsia="zh-CN"/>
                    </w:rPr>
                    <w:t>1</w:t>
                  </w:r>
                  <w:r>
                    <w:rPr>
                      <w:rFonts w:hint="default" w:ascii="Times New Roman" w:hAnsi="Times New Roman" w:eastAsia="仿宋" w:cs="Times New Roman"/>
                      <w:color w:val="auto"/>
                      <w:sz w:val="21"/>
                      <w:szCs w:val="21"/>
                      <w:highlight w:val="none"/>
                    </w:rPr>
                    <w:t>0m</w:t>
                  </w:r>
                  <w:r>
                    <w:rPr>
                      <w:rFonts w:hint="default" w:ascii="Times New Roman" w:hAnsi="Times New Roman" w:eastAsia="仿宋" w:cs="Times New Roman"/>
                      <w:color w:val="auto"/>
                      <w:sz w:val="21"/>
                      <w:szCs w:val="21"/>
                      <w:highlight w:val="none"/>
                      <w:vertAlign w:val="superscript"/>
                    </w:rPr>
                    <w:t>2</w:t>
                  </w:r>
                  <w:r>
                    <w:rPr>
                      <w:rFonts w:hint="default" w:ascii="Times New Roman" w:hAnsi="Times New Roman" w:eastAsia="仿宋" w:cs="Times New Roman"/>
                      <w:color w:val="auto"/>
                      <w:sz w:val="21"/>
                      <w:szCs w:val="21"/>
                      <w:highlight w:val="none"/>
                    </w:rPr>
                    <w:t>危废暂存间</w:t>
                  </w:r>
                </w:p>
              </w:tc>
              <w:tc>
                <w:tcPr>
                  <w:tcW w:w="1768" w:type="pct"/>
                  <w:noWrap w:val="0"/>
                  <w:vAlign w:val="center"/>
                </w:tcPr>
                <w:p w14:paraId="2E724E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升压站区设置1间</w:t>
                  </w:r>
                  <w:r>
                    <w:rPr>
                      <w:rFonts w:hint="default" w:ascii="Times New Roman" w:hAnsi="Times New Roman" w:eastAsia="仿宋" w:cs="Times New Roman"/>
                      <w:color w:val="auto"/>
                      <w:sz w:val="21"/>
                      <w:szCs w:val="21"/>
                      <w:highlight w:val="none"/>
                      <w:lang w:val="en-US" w:eastAsia="zh-CN"/>
                    </w:rPr>
                    <w:t>3</w:t>
                  </w:r>
                  <w:r>
                    <w:rPr>
                      <w:rFonts w:hint="default" w:ascii="Times New Roman" w:hAnsi="Times New Roman" w:eastAsia="仿宋" w:cs="Times New Roman"/>
                      <w:color w:val="auto"/>
                      <w:sz w:val="21"/>
                      <w:szCs w:val="21"/>
                      <w:highlight w:val="none"/>
                    </w:rPr>
                    <w:t>0m</w:t>
                  </w:r>
                  <w:r>
                    <w:rPr>
                      <w:rFonts w:hint="default" w:ascii="Times New Roman" w:hAnsi="Times New Roman" w:eastAsia="仿宋" w:cs="Times New Roman"/>
                      <w:color w:val="auto"/>
                      <w:sz w:val="21"/>
                      <w:szCs w:val="21"/>
                      <w:highlight w:val="none"/>
                      <w:vertAlign w:val="superscript"/>
                    </w:rPr>
                    <w:t>2</w:t>
                  </w:r>
                  <w:r>
                    <w:rPr>
                      <w:rFonts w:hint="default" w:ascii="Times New Roman" w:hAnsi="Times New Roman" w:eastAsia="仿宋" w:cs="Times New Roman"/>
                      <w:color w:val="auto"/>
                      <w:sz w:val="21"/>
                      <w:szCs w:val="21"/>
                      <w:highlight w:val="none"/>
                    </w:rPr>
                    <w:t>危废暂存间</w:t>
                  </w:r>
                  <w:r>
                    <w:rPr>
                      <w:rFonts w:hint="eastAsia" w:cs="Times New Roman"/>
                      <w:color w:val="auto"/>
                      <w:sz w:val="21"/>
                      <w:szCs w:val="21"/>
                      <w:highlight w:val="none"/>
                      <w:lang w:eastAsia="zh-CN"/>
                    </w:rPr>
                    <w:t>，防渗要求：至少2mm厚高密度聚乙烯膜等人工防渗材料（渗透系数不大于10</w:t>
                  </w:r>
                  <w:r>
                    <w:rPr>
                      <w:rFonts w:hint="eastAsia" w:cs="Times New Roman"/>
                      <w:color w:val="auto"/>
                      <w:sz w:val="21"/>
                      <w:szCs w:val="21"/>
                      <w:highlight w:val="none"/>
                      <w:vertAlign w:val="superscript"/>
                      <w:lang w:val="en-US" w:eastAsia="zh-CN"/>
                    </w:rPr>
                    <w:t>-</w:t>
                  </w:r>
                  <w:r>
                    <w:rPr>
                      <w:rFonts w:hint="eastAsia" w:cs="Times New Roman"/>
                      <w:color w:val="auto"/>
                      <w:sz w:val="21"/>
                      <w:szCs w:val="21"/>
                      <w:highlight w:val="none"/>
                      <w:vertAlign w:val="superscript"/>
                      <w:lang w:eastAsia="zh-CN"/>
                    </w:rPr>
                    <w:t>10</w:t>
                  </w:r>
                  <w:r>
                    <w:rPr>
                      <w:rFonts w:hint="eastAsia" w:cs="Times New Roman"/>
                      <w:color w:val="auto"/>
                      <w:sz w:val="21"/>
                      <w:szCs w:val="21"/>
                      <w:highlight w:val="none"/>
                      <w:lang w:eastAsia="zh-CN"/>
                    </w:rPr>
                    <w:t>cm/s）</w:t>
                  </w:r>
                </w:p>
              </w:tc>
              <w:tc>
                <w:tcPr>
                  <w:tcW w:w="1062" w:type="pct"/>
                  <w:noWrap w:val="0"/>
                  <w:vAlign w:val="center"/>
                </w:tcPr>
                <w:p w14:paraId="00F061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rPr>
                    <w:t>危废暂存间</w:t>
                  </w:r>
                  <w:r>
                    <w:rPr>
                      <w:rFonts w:hint="default" w:ascii="Times New Roman" w:hAnsi="Times New Roman" w:eastAsia="仿宋" w:cs="Times New Roman"/>
                      <w:color w:val="auto"/>
                      <w:sz w:val="21"/>
                      <w:szCs w:val="21"/>
                      <w:highlight w:val="none"/>
                      <w:lang w:val="en-US" w:eastAsia="zh-CN"/>
                    </w:rPr>
                    <w:t>面积增加</w:t>
                  </w:r>
                  <w:r>
                    <w:rPr>
                      <w:rFonts w:hint="eastAsia" w:cs="Times New Roman"/>
                      <w:color w:val="auto"/>
                      <w:sz w:val="21"/>
                      <w:szCs w:val="21"/>
                      <w:highlight w:val="none"/>
                      <w:lang w:val="en-US" w:eastAsia="zh-CN"/>
                    </w:rPr>
                    <w:t>20m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w:t>
                  </w:r>
                </w:p>
              </w:tc>
            </w:tr>
            <w:tr w14:paraId="4B86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5" w:type="pct"/>
                  <w:vMerge w:val="continue"/>
                  <w:tcBorders>
                    <w:left w:val="single" w:color="auto" w:sz="4" w:space="0"/>
                    <w:right w:val="single" w:color="auto" w:sz="4" w:space="0"/>
                  </w:tcBorders>
                  <w:noWrap w:val="0"/>
                  <w:vAlign w:val="center"/>
                </w:tcPr>
                <w:p w14:paraId="3E0D9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rPr>
                  </w:pPr>
                </w:p>
              </w:tc>
              <w:tc>
                <w:tcPr>
                  <w:tcW w:w="432" w:type="pct"/>
                  <w:vMerge w:val="restart"/>
                  <w:noWrap w:val="0"/>
                  <w:vAlign w:val="center"/>
                </w:tcPr>
                <w:p w14:paraId="3E7C5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环境风险</w:t>
                  </w:r>
                </w:p>
              </w:tc>
              <w:tc>
                <w:tcPr>
                  <w:tcW w:w="1471" w:type="pct"/>
                  <w:vMerge w:val="restart"/>
                  <w:noWrap w:val="0"/>
                  <w:vAlign w:val="center"/>
                </w:tcPr>
                <w:p w14:paraId="36961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val="en-US" w:eastAsia="zh-CN"/>
                    </w:rPr>
                    <w:t>2个主变事故油池，容积均为40m</w:t>
                  </w:r>
                  <w:r>
                    <w:rPr>
                      <w:rFonts w:hint="default" w:ascii="Times New Roman" w:hAnsi="Times New Roman" w:eastAsia="仿宋" w:cs="Times New Roman"/>
                      <w:color w:val="auto"/>
                      <w:kern w:val="0"/>
                      <w:sz w:val="21"/>
                      <w:szCs w:val="21"/>
                      <w:highlight w:val="none"/>
                      <w:vertAlign w:val="superscript"/>
                      <w:lang w:val="en-US" w:eastAsia="zh-CN"/>
                    </w:rPr>
                    <w:t>3</w:t>
                  </w:r>
                  <w:r>
                    <w:rPr>
                      <w:rFonts w:hint="default" w:ascii="Times New Roman" w:hAnsi="Times New Roman" w:eastAsia="仿宋" w:cs="Times New Roman"/>
                      <w:color w:val="auto"/>
                      <w:kern w:val="0"/>
                      <w:sz w:val="21"/>
                      <w:szCs w:val="21"/>
                      <w:highlight w:val="none"/>
                      <w:lang w:val="en-US" w:eastAsia="zh-CN"/>
                    </w:rPr>
                    <w:t>，箱变旁设施箱变事故油池，箱变事故油池容积2m</w:t>
                  </w:r>
                  <w:r>
                    <w:rPr>
                      <w:rFonts w:hint="default" w:ascii="Times New Roman" w:hAnsi="Times New Roman" w:eastAsia="仿宋" w:cs="Times New Roman"/>
                      <w:color w:val="auto"/>
                      <w:kern w:val="0"/>
                      <w:sz w:val="21"/>
                      <w:szCs w:val="21"/>
                      <w:highlight w:val="none"/>
                      <w:vertAlign w:val="superscript"/>
                      <w:lang w:val="en-US" w:eastAsia="zh-CN"/>
                    </w:rPr>
                    <w:t>3</w:t>
                  </w:r>
                  <w:r>
                    <w:rPr>
                      <w:rFonts w:hint="default" w:ascii="Times New Roman" w:hAnsi="Times New Roman" w:eastAsia="仿宋" w:cs="Times New Roman"/>
                      <w:color w:val="auto"/>
                      <w:kern w:val="0"/>
                      <w:sz w:val="21"/>
                      <w:szCs w:val="21"/>
                      <w:highlight w:val="none"/>
                      <w:vertAlign w:val="baseline"/>
                      <w:lang w:val="en-US" w:eastAsia="zh-CN"/>
                    </w:rPr>
                    <w:t>（共48个）</w:t>
                  </w:r>
                  <w:r>
                    <w:rPr>
                      <w:rFonts w:hint="default" w:ascii="Times New Roman" w:hAnsi="Times New Roman" w:eastAsia="仿宋" w:cs="Times New Roman"/>
                      <w:color w:val="auto"/>
                      <w:kern w:val="0"/>
                      <w:sz w:val="21"/>
                      <w:szCs w:val="21"/>
                      <w:highlight w:val="none"/>
                      <w:lang w:val="en-US" w:eastAsia="zh-CN"/>
                    </w:rPr>
                    <w:t>。</w:t>
                  </w:r>
                </w:p>
              </w:tc>
              <w:tc>
                <w:tcPr>
                  <w:tcW w:w="1768" w:type="pct"/>
                  <w:noWrap w:val="0"/>
                  <w:vAlign w:val="center"/>
                </w:tcPr>
                <w:p w14:paraId="33B1C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kern w:val="0"/>
                      <w:sz w:val="21"/>
                      <w:szCs w:val="21"/>
                      <w:highlight w:val="none"/>
                      <w:lang w:val="en-US" w:eastAsia="zh-CN"/>
                    </w:rPr>
                    <w:t>1个主变事故油池，容积为85m</w:t>
                  </w:r>
                  <w:r>
                    <w:rPr>
                      <w:rFonts w:hint="default" w:ascii="Times New Roman" w:hAnsi="Times New Roman" w:eastAsia="仿宋" w:cs="Times New Roman"/>
                      <w:color w:val="auto"/>
                      <w:kern w:val="0"/>
                      <w:sz w:val="21"/>
                      <w:szCs w:val="21"/>
                      <w:highlight w:val="none"/>
                      <w:vertAlign w:val="superscript"/>
                      <w:lang w:val="en-US" w:eastAsia="zh-CN"/>
                    </w:rPr>
                    <w:t>3</w:t>
                  </w:r>
                  <w:r>
                    <w:rPr>
                      <w:rFonts w:hint="default" w:ascii="Times New Roman" w:hAnsi="Times New Roman" w:eastAsia="仿宋" w:cs="Times New Roman"/>
                      <w:color w:val="auto"/>
                      <w:kern w:val="0"/>
                      <w:sz w:val="21"/>
                      <w:szCs w:val="21"/>
                      <w:highlight w:val="none"/>
                      <w:lang w:val="en-US" w:eastAsia="zh-CN"/>
                    </w:rPr>
                    <w:t>，箱变旁设施箱变事故油池，箱变事故油池容积2m</w:t>
                  </w:r>
                  <w:r>
                    <w:rPr>
                      <w:rFonts w:hint="default" w:ascii="Times New Roman" w:hAnsi="Times New Roman" w:eastAsia="仿宋" w:cs="Times New Roman"/>
                      <w:color w:val="auto"/>
                      <w:kern w:val="0"/>
                      <w:sz w:val="21"/>
                      <w:szCs w:val="21"/>
                      <w:highlight w:val="none"/>
                      <w:vertAlign w:val="superscript"/>
                      <w:lang w:val="en-US" w:eastAsia="zh-CN"/>
                    </w:rPr>
                    <w:t>3</w:t>
                  </w:r>
                  <w:r>
                    <w:rPr>
                      <w:rFonts w:hint="default" w:ascii="Times New Roman" w:hAnsi="Times New Roman" w:eastAsia="仿宋" w:cs="Times New Roman"/>
                      <w:b w:val="0"/>
                      <w:bCs w:val="0"/>
                      <w:color w:val="auto"/>
                      <w:kern w:val="0"/>
                      <w:sz w:val="21"/>
                      <w:szCs w:val="21"/>
                      <w:highlight w:val="none"/>
                      <w:vertAlign w:val="baseline"/>
                      <w:lang w:val="en-US" w:eastAsia="zh-CN"/>
                    </w:rPr>
                    <w:t>（共52个）</w:t>
                  </w:r>
                  <w:r>
                    <w:rPr>
                      <w:rFonts w:hint="default" w:ascii="Times New Roman" w:hAnsi="Times New Roman" w:eastAsia="仿宋" w:cs="Times New Roman"/>
                      <w:color w:val="auto"/>
                      <w:kern w:val="0"/>
                      <w:sz w:val="21"/>
                      <w:szCs w:val="21"/>
                      <w:highlight w:val="none"/>
                      <w:lang w:val="en-US" w:eastAsia="zh-CN"/>
                    </w:rPr>
                    <w:t>。</w:t>
                  </w:r>
                </w:p>
              </w:tc>
              <w:tc>
                <w:tcPr>
                  <w:tcW w:w="1062" w:type="pct"/>
                  <w:vMerge w:val="restart"/>
                  <w:noWrap w:val="0"/>
                  <w:vAlign w:val="center"/>
                </w:tcPr>
                <w:p w14:paraId="5B11C4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eastAsia" w:cs="Times New Roman"/>
                      <w:color w:val="auto"/>
                      <w:sz w:val="21"/>
                      <w:szCs w:val="21"/>
                      <w:highlight w:val="none"/>
                      <w:lang w:val="en-US" w:eastAsia="zh-CN"/>
                    </w:rPr>
                    <w:t>箱变</w:t>
                  </w:r>
                  <w:r>
                    <w:rPr>
                      <w:rFonts w:hint="default" w:ascii="Times New Roman" w:hAnsi="Times New Roman" w:eastAsia="仿宋" w:cs="Times New Roman"/>
                      <w:color w:val="auto"/>
                      <w:sz w:val="21"/>
                      <w:szCs w:val="21"/>
                      <w:highlight w:val="none"/>
                      <w:lang w:val="en-US" w:eastAsia="zh-CN"/>
                    </w:rPr>
                    <w:t>事故油池数量增加</w:t>
                  </w:r>
                  <w:r>
                    <w:rPr>
                      <w:rFonts w:hint="eastAsia" w:cs="Times New Roman"/>
                      <w:color w:val="auto"/>
                      <w:sz w:val="21"/>
                      <w:szCs w:val="21"/>
                      <w:highlight w:val="none"/>
                      <w:lang w:val="en-US" w:eastAsia="zh-CN"/>
                    </w:rPr>
                    <w:t>4个，主变事故油池容积增加5m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w:t>
                  </w:r>
                </w:p>
              </w:tc>
            </w:tr>
            <w:tr w14:paraId="0465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5" w:type="pct"/>
                  <w:vMerge w:val="continue"/>
                  <w:tcBorders>
                    <w:left w:val="single" w:color="auto" w:sz="4" w:space="0"/>
                    <w:right w:val="single" w:color="auto" w:sz="4" w:space="0"/>
                  </w:tcBorders>
                  <w:noWrap w:val="0"/>
                  <w:vAlign w:val="center"/>
                </w:tcPr>
                <w:p w14:paraId="406E1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432" w:type="pct"/>
                  <w:vMerge w:val="continue"/>
                  <w:noWrap w:val="0"/>
                  <w:vAlign w:val="center"/>
                </w:tcPr>
                <w:p w14:paraId="6F690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1471" w:type="pct"/>
                  <w:vMerge w:val="continue"/>
                  <w:noWrap w:val="0"/>
                  <w:vAlign w:val="center"/>
                </w:tcPr>
                <w:p w14:paraId="6E307E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1768" w:type="pct"/>
                  <w:noWrap w:val="0"/>
                  <w:vAlign w:val="center"/>
                </w:tcPr>
                <w:p w14:paraId="6319D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vertAlign w:val="baseline"/>
                      <w:lang w:val="en-US" w:eastAsia="zh-CN"/>
                    </w:rPr>
                  </w:pPr>
                  <w:r>
                    <w:rPr>
                      <w:rFonts w:hint="eastAsia" w:cs="Times New Roman"/>
                      <w:color w:val="auto"/>
                      <w:kern w:val="0"/>
                      <w:sz w:val="21"/>
                      <w:szCs w:val="21"/>
                      <w:highlight w:val="none"/>
                      <w:lang w:val="en-US" w:eastAsia="zh-CN"/>
                    </w:rPr>
                    <w:t>主变下方设置2个集油坑，容积为20m</w:t>
                  </w:r>
                  <w:r>
                    <w:rPr>
                      <w:rFonts w:hint="eastAsia" w:cs="Times New Roman"/>
                      <w:color w:val="auto"/>
                      <w:kern w:val="0"/>
                      <w:sz w:val="21"/>
                      <w:szCs w:val="21"/>
                      <w:highlight w:val="none"/>
                      <w:vertAlign w:val="superscript"/>
                      <w:lang w:val="en-US" w:eastAsia="zh-CN"/>
                    </w:rPr>
                    <w:t>3</w:t>
                  </w:r>
                  <w:r>
                    <w:rPr>
                      <w:rFonts w:hint="eastAsia" w:cs="Times New Roman"/>
                      <w:color w:val="auto"/>
                      <w:kern w:val="0"/>
                      <w:sz w:val="21"/>
                      <w:szCs w:val="21"/>
                      <w:highlight w:val="none"/>
                      <w:vertAlign w:val="baseline"/>
                      <w:lang w:val="en-US" w:eastAsia="zh-CN"/>
                    </w:rPr>
                    <w:t>/个，集油坑通过集油管道与事故油池连接。设计满足《火力发电厂与变电站设计防火标准》（GB50229-2019）。</w:t>
                  </w:r>
                </w:p>
              </w:tc>
              <w:tc>
                <w:tcPr>
                  <w:tcW w:w="1062" w:type="pct"/>
                  <w:vMerge w:val="continue"/>
                  <w:noWrap w:val="0"/>
                  <w:vAlign w:val="center"/>
                </w:tcPr>
                <w:p w14:paraId="13AC0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lang w:val="en-US" w:eastAsia="zh-CN"/>
                    </w:rPr>
                  </w:pPr>
                </w:p>
              </w:tc>
            </w:tr>
            <w:tr w14:paraId="1B4D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5" w:type="pct"/>
                  <w:vMerge w:val="continue"/>
                  <w:tcBorders>
                    <w:left w:val="single" w:color="auto" w:sz="4" w:space="0"/>
                    <w:right w:val="single" w:color="auto" w:sz="4" w:space="0"/>
                  </w:tcBorders>
                  <w:noWrap w:val="0"/>
                  <w:vAlign w:val="center"/>
                </w:tcPr>
                <w:p w14:paraId="7F4F35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lang w:val="en-US" w:eastAsia="zh-CN"/>
                    </w:rPr>
                  </w:pPr>
                </w:p>
              </w:tc>
              <w:tc>
                <w:tcPr>
                  <w:tcW w:w="432" w:type="pct"/>
                  <w:vMerge w:val="continue"/>
                  <w:noWrap w:val="0"/>
                  <w:vAlign w:val="center"/>
                </w:tcPr>
                <w:p w14:paraId="3B429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lang w:val="en-US" w:eastAsia="zh-CN"/>
                    </w:rPr>
                  </w:pPr>
                </w:p>
              </w:tc>
              <w:tc>
                <w:tcPr>
                  <w:tcW w:w="1471" w:type="pct"/>
                  <w:vMerge w:val="continue"/>
                  <w:noWrap w:val="0"/>
                  <w:vAlign w:val="center"/>
                </w:tcPr>
                <w:p w14:paraId="36183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lang w:val="en-US" w:eastAsia="zh-CN"/>
                    </w:rPr>
                  </w:pPr>
                </w:p>
              </w:tc>
              <w:tc>
                <w:tcPr>
                  <w:tcW w:w="1768" w:type="pct"/>
                  <w:noWrap w:val="0"/>
                  <w:vAlign w:val="center"/>
                </w:tcPr>
                <w:p w14:paraId="0BBB80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 xml:space="preserve">采用抗渗混凝土+水泥基渗透结晶型防水涂料进行防渗。防渗要求执行《环境影响评价技术导则 </w:t>
                  </w:r>
                </w:p>
                <w:p w14:paraId="238AC6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lang w:val="en-US" w:eastAsia="zh-CN"/>
                    </w:rPr>
                  </w:pPr>
                  <w:r>
                    <w:rPr>
                      <w:rFonts w:hint="eastAsia"/>
                      <w:color w:val="auto"/>
                      <w:sz w:val="21"/>
                      <w:szCs w:val="21"/>
                      <w:highlight w:val="none"/>
                      <w:lang w:val="en-US" w:eastAsia="zh-CN"/>
                    </w:rPr>
                    <w:t>地下水环境》中重点防渗区域要求：等效黏土防渗层Mb≥6.0m，K≤1.0×10</w:t>
                  </w:r>
                  <w:r>
                    <w:rPr>
                      <w:rFonts w:hint="eastAsia"/>
                      <w:color w:val="auto"/>
                      <w:sz w:val="21"/>
                      <w:szCs w:val="21"/>
                      <w:highlight w:val="none"/>
                      <w:vertAlign w:val="superscript"/>
                      <w:lang w:val="en-US" w:eastAsia="zh-CN"/>
                    </w:rPr>
                    <w:t>-7</w:t>
                  </w:r>
                  <w:r>
                    <w:rPr>
                      <w:rFonts w:hint="eastAsia"/>
                      <w:color w:val="auto"/>
                      <w:sz w:val="21"/>
                      <w:szCs w:val="21"/>
                      <w:highlight w:val="none"/>
                      <w:vertAlign w:val="baseline"/>
                      <w:lang w:val="en-US" w:eastAsia="zh-CN"/>
                    </w:rPr>
                    <w:t>cm/s</w:t>
                  </w:r>
                </w:p>
              </w:tc>
              <w:tc>
                <w:tcPr>
                  <w:tcW w:w="1062" w:type="pct"/>
                  <w:vMerge w:val="continue"/>
                  <w:noWrap w:val="0"/>
                  <w:vAlign w:val="center"/>
                </w:tcPr>
                <w:p w14:paraId="48C52E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1"/>
                      <w:szCs w:val="21"/>
                      <w:highlight w:val="none"/>
                      <w:lang w:val="en-US" w:eastAsia="zh-CN"/>
                    </w:rPr>
                  </w:pPr>
                </w:p>
              </w:tc>
            </w:tr>
          </w:tbl>
          <w:p w14:paraId="34A1554F">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（三）</w:t>
            </w:r>
            <w:r>
              <w:rPr>
                <w:rFonts w:hint="default"/>
                <w:color w:val="auto"/>
                <w:highlight w:val="none"/>
                <w:lang w:val="en-US" w:eastAsia="zh-CN"/>
              </w:rPr>
              <w:t>光伏发电系统</w:t>
            </w:r>
          </w:p>
          <w:p w14:paraId="5E6D5776">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本项目采用容量为620Wp的单晶硅双面光伏组件283920块。每个光伏组串由   28块光伏组件串联，每台逆变器接入21</w:t>
            </w:r>
            <w:r>
              <w:rPr>
                <w:rFonts w:hint="eastAsia"/>
                <w:color w:val="auto"/>
                <w:highlight w:val="none"/>
                <w:lang w:val="en-US" w:eastAsia="zh-CN"/>
              </w:rPr>
              <w:t>～</w:t>
            </w:r>
            <w:r>
              <w:rPr>
                <w:rFonts w:hint="default"/>
                <w:color w:val="auto"/>
                <w:highlight w:val="none"/>
                <w:lang w:val="en-US" w:eastAsia="zh-CN"/>
              </w:rPr>
              <w:t>24个光伏组串，每个光伏发电单元配置3</w:t>
            </w:r>
            <w:r>
              <w:rPr>
                <w:rFonts w:hint="eastAsia"/>
                <w:color w:val="auto"/>
                <w:highlight w:val="none"/>
                <w:lang w:val="en-US" w:eastAsia="zh-CN"/>
              </w:rPr>
              <w:t>～</w:t>
            </w:r>
            <w:r>
              <w:rPr>
                <w:rFonts w:hint="default"/>
                <w:color w:val="auto"/>
                <w:highlight w:val="none"/>
                <w:lang w:val="en-US" w:eastAsia="zh-CN"/>
              </w:rPr>
              <w:t>15台320kW逆变器，每台320kW逆变器输出的交流电接至箱变低压侧升压至35kV，通过6回35kV集电线路输送至220kV竹子箐升压站</w:t>
            </w:r>
            <w:r>
              <w:rPr>
                <w:rFonts w:hint="eastAsia"/>
                <w:color w:val="auto"/>
                <w:highlight w:val="none"/>
                <w:lang w:val="en-US" w:eastAsia="zh-CN"/>
              </w:rPr>
              <w:t>。</w:t>
            </w:r>
          </w:p>
          <w:p w14:paraId="3D7A8B7E">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1</w:t>
            </w:r>
            <w:r>
              <w:rPr>
                <w:rFonts w:hint="default"/>
                <w:color w:val="auto"/>
                <w:highlight w:val="none"/>
                <w:lang w:val="en-US" w:eastAsia="zh-CN"/>
              </w:rPr>
              <w:t>）光伏阵列支架及基础</w:t>
            </w:r>
          </w:p>
          <w:p w14:paraId="35EF2CD8">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根据项目地形地貌条件、项目地理纬度，光伏支架全部采用固定支架。</w:t>
            </w:r>
            <w:r>
              <w:rPr>
                <w:rFonts w:hint="eastAsia"/>
                <w:color w:val="auto"/>
                <w:highlight w:val="none"/>
                <w:lang w:val="en-US" w:eastAsia="zh-CN"/>
              </w:rPr>
              <w:t>光伏阵列主要布置在山体南坡，部分方阵位于山顶平缓区域，光伏板朝向为南方。通过支架高度调整</w:t>
            </w:r>
            <w:r>
              <w:rPr>
                <w:rFonts w:hint="default"/>
                <w:color w:val="auto"/>
                <w:highlight w:val="none"/>
                <w:lang w:val="en-US" w:eastAsia="zh-CN"/>
              </w:rPr>
              <w:t>固定支架</w:t>
            </w:r>
            <w:r>
              <w:rPr>
                <w:rFonts w:hint="eastAsia"/>
                <w:color w:val="auto"/>
                <w:highlight w:val="none"/>
                <w:lang w:val="en-US" w:eastAsia="zh-CN"/>
              </w:rPr>
              <w:t>倾角，</w:t>
            </w:r>
            <w:r>
              <w:rPr>
                <w:rFonts w:hint="default"/>
                <w:color w:val="auto"/>
                <w:highlight w:val="none"/>
                <w:lang w:val="en-US" w:eastAsia="zh-CN"/>
              </w:rPr>
              <w:t>最佳倾角为25°</w:t>
            </w:r>
            <w:r>
              <w:rPr>
                <w:rFonts w:hint="eastAsia"/>
                <w:color w:val="auto"/>
                <w:highlight w:val="none"/>
                <w:lang w:eastAsia="zh-CN"/>
              </w:rPr>
              <w:t>。</w:t>
            </w:r>
            <w:r>
              <w:rPr>
                <w:rFonts w:hint="default"/>
                <w:color w:val="auto"/>
                <w:highlight w:val="none"/>
                <w:lang w:val="en-US" w:eastAsia="zh-CN"/>
              </w:rPr>
              <w:t>光伏立柱间距为4.2m，行间距为6.5m</w:t>
            </w:r>
            <w:r>
              <w:rPr>
                <w:rFonts w:hint="eastAsia"/>
                <w:color w:val="auto"/>
                <w:highlight w:val="none"/>
                <w:lang w:val="en-US" w:eastAsia="zh-CN"/>
              </w:rPr>
              <w:t>，</w:t>
            </w:r>
            <w:r>
              <w:rPr>
                <w:rFonts w:hint="default"/>
                <w:color w:val="auto"/>
                <w:highlight w:val="none"/>
                <w:lang w:val="en-US" w:eastAsia="zh-CN"/>
              </w:rPr>
              <w:t>支架最低点离地高度2.5m，采用2×14块组件竖向布置，通过直埋电缆连接各个区块。</w:t>
            </w:r>
          </w:p>
          <w:p w14:paraId="6A15B5F3">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2</w:t>
            </w:r>
            <w:r>
              <w:rPr>
                <w:rFonts w:hint="default"/>
                <w:color w:val="auto"/>
                <w:highlight w:val="none"/>
                <w:lang w:val="en-US" w:eastAsia="zh-CN"/>
              </w:rPr>
              <w:t>）组件清洗</w:t>
            </w:r>
          </w:p>
          <w:p w14:paraId="0D1A91EC">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光伏组件均为露天摆放，表面的清洗可分为定期清洗和不定期清洗。</w:t>
            </w:r>
          </w:p>
          <w:p w14:paraId="5460C44A">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定期清洗一般每年进行两次，制定清洗路线。清洗时间安排在日出前或日落后。</w:t>
            </w:r>
          </w:p>
          <w:p w14:paraId="49527036">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不定期清洗分为恶劣气候后的清洗和季节性清洗。日常维护主要是每日巡视检查电池组件的清洁程度。不符合要求的应及时清洗，确保</w:t>
            </w:r>
            <w:r>
              <w:rPr>
                <w:rFonts w:hint="eastAsia"/>
                <w:color w:val="auto"/>
                <w:highlight w:val="none"/>
                <w:lang w:val="en-US" w:eastAsia="zh-CN"/>
              </w:rPr>
              <w:t>电池</w:t>
            </w:r>
            <w:r>
              <w:rPr>
                <w:rFonts w:hint="default"/>
                <w:color w:val="auto"/>
                <w:highlight w:val="none"/>
                <w:lang w:val="en-US" w:eastAsia="zh-CN"/>
              </w:rPr>
              <w:t>组件的清洁。由于并网光伏电站工程占地面积较大且场区地形复杂，不利于机械清洗，故本光伏电站工程的清洗方式考虑采用人工清洗。</w:t>
            </w:r>
          </w:p>
          <w:p w14:paraId="189F438B">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考虑到本工程特点和当地气象条件，本工程拟利用清洗水车为主，即将清洗水车和维护人员配合，利用车载水箱、水泵及水管对光伏组件表面进行清洗。首先车载水箱将水运至光伏阵列附近，然后人工利用软管对光伏组件进行冲洗。</w:t>
            </w:r>
          </w:p>
          <w:p w14:paraId="6504070F">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由于本地区冬季寒冷，且易发生凝冻，所以冬季不考虑水洗</w:t>
            </w:r>
            <w:r>
              <w:rPr>
                <w:rFonts w:hint="eastAsia"/>
                <w:color w:val="auto"/>
                <w:highlight w:val="none"/>
                <w:lang w:val="en-US" w:eastAsia="zh-CN"/>
              </w:rPr>
              <w:t>，仅在春、秋干旱季节进行清洗</w:t>
            </w:r>
            <w:r>
              <w:rPr>
                <w:rFonts w:hint="default"/>
                <w:color w:val="auto"/>
                <w:highlight w:val="none"/>
                <w:lang w:val="en-US" w:eastAsia="zh-CN"/>
              </w:rPr>
              <w:t>。</w:t>
            </w:r>
          </w:p>
          <w:p w14:paraId="09F11B38">
            <w:pPr>
              <w:keepNext w:val="0"/>
              <w:keepLines w:val="0"/>
              <w:suppressLineNumbers w:val="0"/>
              <w:bidi w:val="0"/>
              <w:spacing w:before="0" w:beforeAutospacing="0" w:after="0" w:afterAutospacing="0"/>
              <w:ind w:left="0" w:right="0"/>
              <w:rPr>
                <w:rFonts w:hint="default"/>
                <w:color w:val="auto"/>
                <w:highlight w:val="none"/>
                <w:lang w:eastAsia="zh-CN"/>
              </w:rPr>
            </w:pPr>
            <w:r>
              <w:rPr>
                <w:rFonts w:hint="default"/>
                <w:color w:val="auto"/>
                <w:highlight w:val="none"/>
                <w:lang w:eastAsia="zh-CN"/>
              </w:rPr>
              <w:t>（</w:t>
            </w:r>
            <w:r>
              <w:rPr>
                <w:rFonts w:hint="eastAsia"/>
                <w:color w:val="auto"/>
                <w:highlight w:val="none"/>
                <w:lang w:val="en-US" w:eastAsia="zh-CN"/>
              </w:rPr>
              <w:t>3</w:t>
            </w:r>
            <w:r>
              <w:rPr>
                <w:rFonts w:hint="default"/>
                <w:color w:val="auto"/>
                <w:highlight w:val="none"/>
                <w:lang w:eastAsia="zh-CN"/>
              </w:rPr>
              <w:t>）光伏方阵设计</w:t>
            </w:r>
          </w:p>
          <w:p w14:paraId="39106C90">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①子方阵设计</w:t>
            </w:r>
          </w:p>
          <w:p w14:paraId="65AE0240">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本工程装机规模为</w:t>
            </w:r>
            <w:r>
              <w:rPr>
                <w:rFonts w:hint="eastAsia"/>
                <w:color w:val="auto"/>
                <w:highlight w:val="none"/>
                <w:lang w:val="en-US" w:eastAsia="zh-CN"/>
              </w:rPr>
              <w:t>交流侧148MWac、直流侧176.18MWp</w:t>
            </w:r>
            <w:r>
              <w:rPr>
                <w:rFonts w:hint="default"/>
                <w:color w:val="auto"/>
                <w:highlight w:val="none"/>
              </w:rPr>
              <w:t>，主要设备采用</w:t>
            </w:r>
            <w:r>
              <w:rPr>
                <w:rFonts w:hint="default"/>
                <w:color w:val="auto"/>
                <w:highlight w:val="none"/>
                <w:lang w:val="en-US" w:eastAsia="zh-CN"/>
              </w:rPr>
              <w:t>62</w:t>
            </w:r>
            <w:r>
              <w:rPr>
                <w:rFonts w:hint="default"/>
                <w:color w:val="auto"/>
                <w:highlight w:val="none"/>
              </w:rPr>
              <w:t>0Wp单晶硅光伏组件、组串式逆变器。本项目地处山地，考虑场址地形地貌特点，共设</w:t>
            </w:r>
            <w:r>
              <w:rPr>
                <w:rFonts w:hint="default"/>
                <w:color w:val="auto"/>
                <w:highlight w:val="none"/>
                <w:lang w:val="en-US" w:eastAsia="zh-CN"/>
              </w:rPr>
              <w:t>283920</w:t>
            </w:r>
            <w:r>
              <w:rPr>
                <w:rFonts w:hint="default"/>
                <w:color w:val="auto"/>
                <w:highlight w:val="none"/>
              </w:rPr>
              <w:t>块组件。每个太阳能电池子方阵由太阳能电池组串、逆变设备及升压设备构成。</w:t>
            </w:r>
          </w:p>
          <w:p w14:paraId="3B98AC5A">
            <w:pPr>
              <w:keepNext w:val="0"/>
              <w:keepLines w:val="0"/>
              <w:suppressLineNumbers w:val="0"/>
              <w:bidi w:val="0"/>
              <w:spacing w:before="0" w:beforeAutospacing="0" w:after="0" w:afterAutospacing="0"/>
              <w:ind w:left="0" w:right="0"/>
              <w:rPr>
                <w:rFonts w:hint="default"/>
                <w:color w:val="auto"/>
                <w:highlight w:val="none"/>
                <w:lang w:val="en-US" w:eastAsia="en-US"/>
              </w:rPr>
            </w:pPr>
            <w:r>
              <w:rPr>
                <w:rFonts w:hint="default"/>
                <w:color w:val="auto"/>
                <w:highlight w:val="none"/>
                <w:lang w:val="en-US" w:eastAsia="zh-CN"/>
              </w:rPr>
              <w:t>项目共布设37个光伏阵列共52</w:t>
            </w:r>
            <w:r>
              <w:rPr>
                <w:rFonts w:hint="eastAsia"/>
                <w:color w:val="auto"/>
                <w:highlight w:val="none"/>
                <w:lang w:val="en-US" w:eastAsia="zh-CN"/>
              </w:rPr>
              <w:t>个</w:t>
            </w:r>
            <w:r>
              <w:rPr>
                <w:rFonts w:hint="default"/>
                <w:color w:val="auto"/>
                <w:highlight w:val="none"/>
                <w:lang w:val="en-US" w:eastAsia="zh-CN"/>
              </w:rPr>
              <w:t>光伏发电子单元（子方阵），包括1个1.28MW子方阵、2个1.6MW子方阵、1个1.92MW子方阵、18个2.24MW子方阵、5个2.56MW子方阵、3个2.88MW子方阵、8个3.2MW子方阵、4个3.52MW子方阵、4个3.84MW子方阵和6个4.16MW子方阵。</w:t>
            </w:r>
          </w:p>
          <w:p w14:paraId="69FD4074">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②光伏组串设计</w:t>
            </w:r>
          </w:p>
          <w:p w14:paraId="1328A3A0">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每个光伏组串安装于一套光伏支架上，支架与支架间的横向间距最少为0.5m，纵向净间距至少为2m。</w:t>
            </w:r>
          </w:p>
          <w:p w14:paraId="387082D3">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③光伏组串单元设计</w:t>
            </w:r>
          </w:p>
          <w:p w14:paraId="57A792E3">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将1组光伏组串（每串2</w:t>
            </w:r>
            <w:r>
              <w:rPr>
                <w:rFonts w:hint="default"/>
                <w:color w:val="auto"/>
                <w:highlight w:val="none"/>
                <w:lang w:val="en-US" w:eastAsia="zh-CN"/>
              </w:rPr>
              <w:t>8</w:t>
            </w:r>
            <w:r>
              <w:rPr>
                <w:rFonts w:hint="default"/>
                <w:color w:val="auto"/>
                <w:highlight w:val="none"/>
              </w:rPr>
              <w:t>块组件）的每块组件竖向放置，排成2行1</w:t>
            </w:r>
            <w:r>
              <w:rPr>
                <w:rFonts w:hint="default"/>
                <w:color w:val="auto"/>
                <w:highlight w:val="none"/>
                <w:lang w:val="en-US" w:eastAsia="zh-CN"/>
              </w:rPr>
              <w:t>4</w:t>
            </w:r>
            <w:r>
              <w:rPr>
                <w:rFonts w:hint="default"/>
                <w:color w:val="auto"/>
                <w:highlight w:val="none"/>
              </w:rPr>
              <w:t>列，为减少风压，组件与组件之间留有2cm空隙。</w:t>
            </w:r>
          </w:p>
          <w:p w14:paraId="3A7FD71B">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④光伏支架距离及高度</w:t>
            </w:r>
          </w:p>
          <w:p w14:paraId="7F081568">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支架最低点离地高度2.5m，采用2×1</w:t>
            </w:r>
            <w:r>
              <w:rPr>
                <w:rFonts w:hint="default"/>
                <w:color w:val="auto"/>
                <w:highlight w:val="none"/>
                <w:lang w:val="en-US" w:eastAsia="zh-CN"/>
              </w:rPr>
              <w:t>4</w:t>
            </w:r>
            <w:r>
              <w:rPr>
                <w:rFonts w:hint="default"/>
                <w:color w:val="auto"/>
                <w:highlight w:val="none"/>
              </w:rPr>
              <w:t>块组件竖向布置，通过直埋+架空电缆连接各个区块。</w:t>
            </w:r>
          </w:p>
          <w:p w14:paraId="47239009">
            <w:pPr>
              <w:keepNext w:val="0"/>
              <w:keepLines w:val="0"/>
              <w:suppressLineNumbers w:val="0"/>
              <w:bidi w:val="0"/>
              <w:spacing w:before="0" w:beforeAutospacing="0" w:after="0" w:afterAutospacing="0"/>
              <w:ind w:left="0" w:right="0"/>
              <w:rPr>
                <w:rFonts w:hint="default"/>
                <w:color w:val="auto"/>
                <w:highlight w:val="none"/>
                <w:lang w:eastAsia="zh-CN"/>
              </w:rPr>
            </w:pPr>
            <w:r>
              <w:rPr>
                <w:rFonts w:hint="default"/>
                <w:color w:val="auto"/>
                <w:highlight w:val="none"/>
                <w:lang w:eastAsia="zh-CN"/>
              </w:rPr>
              <w:t>（</w:t>
            </w:r>
            <w:r>
              <w:rPr>
                <w:rFonts w:hint="eastAsia"/>
                <w:color w:val="auto"/>
                <w:highlight w:val="none"/>
                <w:lang w:val="en-US" w:eastAsia="zh-CN"/>
              </w:rPr>
              <w:t>4</w:t>
            </w:r>
            <w:r>
              <w:rPr>
                <w:rFonts w:hint="default"/>
                <w:color w:val="auto"/>
                <w:highlight w:val="none"/>
                <w:lang w:eastAsia="zh-CN"/>
              </w:rPr>
              <w:t>）支架基础</w:t>
            </w:r>
          </w:p>
          <w:p w14:paraId="0663EA88">
            <w:pPr>
              <w:keepNext w:val="0"/>
              <w:keepLines w:val="0"/>
              <w:suppressLineNumbers w:val="0"/>
              <w:bidi w:val="0"/>
              <w:spacing w:before="0" w:beforeAutospacing="0" w:after="0" w:afterAutospacing="0"/>
              <w:ind w:left="0" w:right="0"/>
              <w:rPr>
                <w:rFonts w:hint="default"/>
                <w:color w:val="auto"/>
                <w:highlight w:val="none"/>
                <w:lang w:eastAsia="zh-CN"/>
              </w:rPr>
            </w:pPr>
            <w:r>
              <w:rPr>
                <w:rFonts w:hint="default"/>
                <w:color w:val="auto"/>
                <w:highlight w:val="none"/>
                <w:lang w:eastAsia="zh-CN"/>
              </w:rPr>
              <w:t>光伏组件支架采用固定式支架。光伏组件基础采用混凝土灌注桩，直径300mm，桩长约3.5m，外露0.5m，每个组串布置4根单桩。光伏组件支架采用钢支架。光伏组件基座的排列应根据光伏列阵的排列，便于安装、维护并具有抗倾覆、抗滑能力。桩顶高度偏差不应大于5mm，水平度偏差不应大于3mm/m。</w:t>
            </w:r>
          </w:p>
          <w:p w14:paraId="2D03E41E">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lang w:eastAsia="zh-CN"/>
              </w:rPr>
              <w:t>（</w:t>
            </w:r>
            <w:r>
              <w:rPr>
                <w:rFonts w:hint="default"/>
                <w:color w:val="auto"/>
                <w:highlight w:val="none"/>
                <w:lang w:val="en-US" w:eastAsia="zh-CN"/>
              </w:rPr>
              <w:t>5</w:t>
            </w:r>
            <w:r>
              <w:rPr>
                <w:rFonts w:hint="default"/>
                <w:color w:val="auto"/>
                <w:highlight w:val="none"/>
                <w:lang w:eastAsia="zh-CN"/>
              </w:rPr>
              <w:t>）</w:t>
            </w:r>
            <w:r>
              <w:rPr>
                <w:rFonts w:hint="default"/>
                <w:color w:val="auto"/>
                <w:highlight w:val="none"/>
              </w:rPr>
              <w:t>逆变器及箱变</w:t>
            </w:r>
          </w:p>
          <w:p w14:paraId="3DF6B573">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①逆变器</w:t>
            </w:r>
          </w:p>
          <w:p w14:paraId="223FC945">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本工程选择</w:t>
            </w:r>
            <w:r>
              <w:rPr>
                <w:rFonts w:hint="default"/>
                <w:color w:val="auto"/>
                <w:highlight w:val="none"/>
                <w:lang w:val="en-US" w:eastAsia="zh-CN"/>
              </w:rPr>
              <w:t>320</w:t>
            </w:r>
            <w:r>
              <w:rPr>
                <w:rFonts w:hint="default"/>
                <w:color w:val="auto"/>
                <w:highlight w:val="none"/>
              </w:rPr>
              <w:t>kW组串式逆变器，共计</w:t>
            </w:r>
            <w:r>
              <w:rPr>
                <w:rFonts w:hint="default"/>
                <w:color w:val="auto"/>
                <w:highlight w:val="none"/>
                <w:lang w:val="en-US" w:eastAsia="zh-CN"/>
              </w:rPr>
              <w:t>463</w:t>
            </w:r>
            <w:r>
              <w:rPr>
                <w:rFonts w:hint="default"/>
                <w:color w:val="auto"/>
                <w:highlight w:val="none"/>
              </w:rPr>
              <w:t>台，交流总装机容量148MW</w:t>
            </w:r>
            <w:r>
              <w:rPr>
                <w:rFonts w:hint="eastAsia"/>
                <w:color w:val="auto"/>
                <w:highlight w:val="none"/>
                <w:lang w:val="en-US" w:eastAsia="zh-CN"/>
              </w:rPr>
              <w:t>ac</w:t>
            </w:r>
            <w:r>
              <w:rPr>
                <w:rFonts w:hint="default"/>
                <w:color w:val="auto"/>
                <w:highlight w:val="none"/>
              </w:rPr>
              <w:t>，直流交流容配比为1.19</w:t>
            </w:r>
            <w:r>
              <w:rPr>
                <w:rFonts w:hint="default"/>
                <w:color w:val="auto"/>
                <w:highlight w:val="none"/>
                <w:lang w:val="en-US" w:eastAsia="zh-CN"/>
              </w:rPr>
              <w:t>6</w:t>
            </w:r>
            <w:r>
              <w:rPr>
                <w:rFonts w:hint="default"/>
                <w:color w:val="auto"/>
                <w:highlight w:val="none"/>
              </w:rPr>
              <w:t>。</w:t>
            </w:r>
          </w:p>
          <w:p w14:paraId="66DF09CB">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②箱变</w:t>
            </w:r>
          </w:p>
          <w:p w14:paraId="1AAC0A26">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lang w:eastAsia="zh-CN"/>
              </w:rPr>
              <w:t>本项目采用</w:t>
            </w:r>
            <w:r>
              <w:rPr>
                <w:rFonts w:hint="default"/>
                <w:color w:val="auto"/>
                <w:highlight w:val="none"/>
              </w:rPr>
              <w:t>油浸式变压器。箱式变电站采用天然地基，钢筋混凝土筏板式基础，厚300mm，混凝土强度等级为C30，基底设150mm厚的C20素混凝土垫层。</w:t>
            </w:r>
          </w:p>
          <w:p w14:paraId="2D3F83F4">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（6）35kV集电线路</w:t>
            </w:r>
          </w:p>
          <w:p w14:paraId="1CE4B586">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交流容量交流侧148MWac、直流侧176.18MWp，规划52台箱变，汇流成6条集电线路后接入本项目220kV升压站。本项目集电线路采用直埋电缆+架空线路模式，其光伏阵列较为集中的地块内集电线路采用电缆方式连接，地块外通过架空线路方式接至升压站，进入升压站通过电缆形式接至升压站相应开关柜。电缆敷设方式场区内采用直埋敷设，电缆线路路径沿光伏场区进场道路敷设，进升压站电缆沿站内电缆沟敷设。线路</w:t>
            </w:r>
            <w:r>
              <w:rPr>
                <w:rFonts w:hint="eastAsia"/>
                <w:color w:val="auto"/>
                <w:highlight w:val="none"/>
                <w:lang w:val="en-US" w:eastAsia="zh-CN"/>
              </w:rPr>
              <w:t>全长约</w:t>
            </w:r>
            <w:r>
              <w:rPr>
                <w:rFonts w:hint="default"/>
                <w:color w:val="auto"/>
                <w:highlight w:val="none"/>
                <w:lang w:val="en-US" w:eastAsia="zh-CN"/>
              </w:rPr>
              <w:t>120.34km，其中电缆敷设线路22km，架空线路约98.34km。</w:t>
            </w:r>
          </w:p>
          <w:p w14:paraId="2E13A5E1">
            <w:pPr>
              <w:keepNext w:val="0"/>
              <w:keepLines w:val="0"/>
              <w:suppressLineNumbers w:val="0"/>
              <w:bidi w:val="0"/>
              <w:spacing w:before="0" w:beforeAutospacing="0" w:after="0" w:afterAutospacing="0"/>
              <w:ind w:left="0" w:leftChars="0" w:right="0" w:firstLine="0" w:firstLineChars="0"/>
              <w:rPr>
                <w:rFonts w:hint="default"/>
                <w:b/>
                <w:bCs/>
                <w:color w:val="auto"/>
                <w:highlight w:val="none"/>
                <w:lang w:val="en-US" w:eastAsia="zh-CN"/>
              </w:rPr>
            </w:pPr>
            <w:r>
              <w:rPr>
                <w:rFonts w:hint="eastAsia"/>
                <w:b/>
                <w:bCs/>
                <w:color w:val="auto"/>
                <w:highlight w:val="none"/>
                <w:lang w:val="en-US" w:eastAsia="zh-CN"/>
              </w:rPr>
              <w:t>（四）</w:t>
            </w:r>
            <w:r>
              <w:rPr>
                <w:rFonts w:hint="default"/>
                <w:b/>
                <w:bCs/>
                <w:color w:val="auto"/>
                <w:highlight w:val="none"/>
                <w:lang w:val="en-US" w:eastAsia="zh-CN"/>
              </w:rPr>
              <w:t>升压站</w:t>
            </w:r>
          </w:p>
          <w:p w14:paraId="43CE2E2D">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本项目新建1座220kV升压站，升压站</w:t>
            </w:r>
            <w:r>
              <w:rPr>
                <w:rFonts w:hint="default"/>
                <w:color w:val="auto"/>
                <w:highlight w:val="none"/>
                <w:lang w:val="en-US" w:eastAsia="zh-CN"/>
              </w:rPr>
              <w:t>主变</w:t>
            </w:r>
            <w:r>
              <w:rPr>
                <w:rFonts w:hint="default"/>
                <w:color w:val="auto"/>
                <w:highlight w:val="none"/>
              </w:rPr>
              <w:t>规模</w:t>
            </w:r>
            <w:r>
              <w:rPr>
                <w:rFonts w:hint="default"/>
                <w:color w:val="auto"/>
                <w:highlight w:val="none"/>
                <w:lang w:val="en-US" w:eastAsia="zh-CN"/>
              </w:rPr>
              <w:t>44</w:t>
            </w:r>
            <w:r>
              <w:rPr>
                <w:rFonts w:hint="default"/>
                <w:color w:val="auto"/>
                <w:highlight w:val="none"/>
              </w:rPr>
              <w:t>0MVA（</w:t>
            </w:r>
            <w:r>
              <w:rPr>
                <w:rFonts w:hint="default"/>
                <w:color w:val="auto"/>
                <w:highlight w:val="none"/>
                <w:lang w:val="en-US" w:eastAsia="zh-CN"/>
              </w:rPr>
              <w:t>1×230MVA+1×210MVA</w:t>
            </w:r>
            <w:r>
              <w:rPr>
                <w:rFonts w:hint="default"/>
                <w:color w:val="auto"/>
                <w:highlight w:val="none"/>
              </w:rPr>
              <w:t>）。</w:t>
            </w:r>
          </w:p>
          <w:p w14:paraId="4E462EB1">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升压站围墙高2.2m，占地尺寸为145</w:t>
            </w:r>
            <w:r>
              <w:rPr>
                <w:rFonts w:hint="default"/>
                <w:color w:val="auto"/>
                <w:highlight w:val="none"/>
                <w:lang w:val="en-US" w:eastAsia="zh-CN"/>
              </w:rPr>
              <w:t>m</w:t>
            </w:r>
            <w:r>
              <w:rPr>
                <w:rFonts w:hint="default"/>
                <w:color w:val="auto"/>
                <w:highlight w:val="none"/>
              </w:rPr>
              <w:t>×</w:t>
            </w:r>
            <w:r>
              <w:rPr>
                <w:rFonts w:hint="default"/>
                <w:color w:val="auto"/>
                <w:highlight w:val="none"/>
                <w:lang w:val="en-US" w:eastAsia="zh-CN"/>
              </w:rPr>
              <w:t>43m</w:t>
            </w:r>
            <w:r>
              <w:rPr>
                <w:rFonts w:hint="default"/>
                <w:color w:val="auto"/>
                <w:highlight w:val="none"/>
              </w:rPr>
              <w:t>，围墙总长</w:t>
            </w:r>
            <w:r>
              <w:rPr>
                <w:rFonts w:hint="default"/>
                <w:color w:val="auto"/>
                <w:highlight w:val="none"/>
                <w:lang w:val="en-US" w:eastAsia="zh-CN"/>
              </w:rPr>
              <w:t>376</w:t>
            </w:r>
            <w:r>
              <w:rPr>
                <w:rFonts w:hint="default"/>
                <w:color w:val="auto"/>
                <w:highlight w:val="none"/>
              </w:rPr>
              <w:t>m，</w:t>
            </w:r>
            <w:r>
              <w:rPr>
                <w:rFonts w:hint="default"/>
                <w:color w:val="auto"/>
                <w:highlight w:val="none"/>
                <w:lang w:val="en-US" w:eastAsia="zh-CN"/>
              </w:rPr>
              <w:t>围墙内</w:t>
            </w:r>
            <w:r>
              <w:rPr>
                <w:rFonts w:hint="default"/>
                <w:color w:val="auto"/>
                <w:highlight w:val="none"/>
              </w:rPr>
              <w:t>总占地面积</w:t>
            </w:r>
            <w:r>
              <w:rPr>
                <w:rFonts w:hint="default"/>
                <w:color w:val="auto"/>
                <w:highlight w:val="none"/>
                <w:lang w:val="en-US" w:eastAsia="zh-CN"/>
              </w:rPr>
              <w:t>6235m</w:t>
            </w:r>
            <w:r>
              <w:rPr>
                <w:rFonts w:hint="default"/>
                <w:color w:val="auto"/>
                <w:highlight w:val="none"/>
                <w:vertAlign w:val="superscript"/>
                <w:lang w:val="en-US" w:eastAsia="zh-CN"/>
              </w:rPr>
              <w:t>2</w:t>
            </w:r>
            <w:r>
              <w:rPr>
                <w:rFonts w:hint="default"/>
                <w:color w:val="auto"/>
                <w:highlight w:val="none"/>
              </w:rPr>
              <w:t>，四周采用实体砖围墙，大门为电动伸缩大门。升压站分为生产区及办公生活区</w:t>
            </w:r>
            <w:r>
              <w:rPr>
                <w:rFonts w:hint="eastAsia"/>
                <w:color w:val="auto"/>
                <w:highlight w:val="none"/>
                <w:lang w:eastAsia="zh-CN"/>
              </w:rPr>
              <w:t>。</w:t>
            </w:r>
            <w:r>
              <w:rPr>
                <w:rFonts w:hint="default"/>
                <w:color w:val="auto"/>
                <w:highlight w:val="none"/>
              </w:rPr>
              <w:t>生产区内设置有站用变、2台主变、配电室、继保室、主变事故油池和危险废物贮存库；办公生活区设置有办公生活楼、消防一体化设备和污水处理站。</w:t>
            </w:r>
          </w:p>
          <w:p w14:paraId="0154601C">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综合配电楼为1栋1层预制舱式建筑，占地面积为753.8m</w:t>
            </w:r>
            <w:r>
              <w:rPr>
                <w:rFonts w:hint="eastAsia"/>
                <w:color w:val="auto"/>
                <w:highlight w:val="none"/>
                <w:vertAlign w:val="superscript"/>
                <w:lang w:val="en-US" w:eastAsia="zh-CN"/>
              </w:rPr>
              <w:t>2</w:t>
            </w:r>
            <w:r>
              <w:rPr>
                <w:rFonts w:hint="eastAsia"/>
                <w:color w:val="auto"/>
                <w:highlight w:val="none"/>
                <w:lang w:val="en-US" w:eastAsia="zh-CN"/>
              </w:rPr>
              <w:t>，内设继保室、配电室和仓库，主要功能为生产调控；危险废物贮存库，办公综合楼为1栋两层建筑，占地面积300m</w:t>
            </w:r>
            <w:r>
              <w:rPr>
                <w:rFonts w:hint="eastAsia"/>
                <w:color w:val="auto"/>
                <w:highlight w:val="none"/>
                <w:vertAlign w:val="superscript"/>
                <w:lang w:val="en-US" w:eastAsia="zh-CN"/>
              </w:rPr>
              <w:t>2</w:t>
            </w:r>
            <w:r>
              <w:rPr>
                <w:rFonts w:hint="eastAsia"/>
                <w:color w:val="auto"/>
                <w:highlight w:val="none"/>
                <w:lang w:val="en-US" w:eastAsia="zh-CN"/>
              </w:rPr>
              <w:t>，内设置中控室、厨房、餐厅、值班室、办公室等房间，主要功能为办公及员工生活。</w:t>
            </w:r>
          </w:p>
          <w:p w14:paraId="3051DF44">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升压站选址位于山坡处，西高东低，坡度较大。升压站西侧利用山体地面承重主变等大质量设备。东侧则构建架空层，架空层上方设置配电室、继保室、危险废物贮存库、办公区综合楼等小质量建构筑物。架空层下方则设置事故油池、消防一体化平台、污水处理站等池体构筑物。</w:t>
            </w:r>
          </w:p>
          <w:p w14:paraId="7BBC6DF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（五）</w:t>
            </w:r>
            <w:r>
              <w:rPr>
                <w:rFonts w:hint="default" w:ascii="Times New Roman" w:hAnsi="Times New Roman" w:eastAsia="仿宋" w:cs="Times New Roman"/>
                <w:b/>
                <w:bCs/>
                <w:color w:val="auto"/>
                <w:highlight w:val="none"/>
                <w:lang w:val="en-US" w:eastAsia="zh-CN"/>
              </w:rPr>
              <w:t>站内用电</w:t>
            </w:r>
          </w:p>
          <w:p w14:paraId="47962B7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本工程在每台箱变出口均配置1台低压变压器就地供电，满足就地照明、检修等用电。</w:t>
            </w:r>
          </w:p>
          <w:p w14:paraId="2D00268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（六）</w:t>
            </w:r>
            <w:r>
              <w:rPr>
                <w:rFonts w:hint="default" w:ascii="Times New Roman" w:hAnsi="Times New Roman" w:eastAsia="仿宋" w:cs="Times New Roman"/>
                <w:b/>
                <w:bCs/>
                <w:color w:val="auto"/>
                <w:highlight w:val="none"/>
                <w:lang w:val="en-US" w:eastAsia="zh-CN"/>
              </w:rPr>
              <w:t>给水、排水</w:t>
            </w:r>
          </w:p>
          <w:p w14:paraId="597BB91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1、升压站</w:t>
            </w:r>
          </w:p>
          <w:p w14:paraId="5AB4D8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根据可研设计，本阶段暂升压站考虑从附近村庄取水，通过引水系统并净化后，存于一体化消防水箱和一体化生活水箱中供消防、生活取用，保证站区生产生活用水需要。升压站内用水包括生活用水、杂用水和消防用水等。</w:t>
            </w:r>
          </w:p>
          <w:p w14:paraId="323C4C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升压站内日常生活用水考虑在升压站内设置1套一体化生活水箱（4m</w:t>
            </w:r>
            <w:r>
              <w:rPr>
                <w:rFonts w:hint="default" w:ascii="Times New Roman" w:hAnsi="Times New Roman" w:eastAsia="仿宋" w:cs="Times New Roman"/>
                <w:color w:val="auto"/>
                <w:highlight w:val="none"/>
                <w:vertAlign w:val="superscript"/>
                <w:lang w:val="en-US" w:eastAsia="zh-CN"/>
              </w:rPr>
              <w:t>3</w:t>
            </w:r>
            <w:r>
              <w:rPr>
                <w:rFonts w:hint="default" w:ascii="Times New Roman" w:hAnsi="Times New Roman" w:eastAsia="仿宋" w:cs="Times New Roman"/>
                <w:color w:val="auto"/>
                <w:highlight w:val="none"/>
                <w:lang w:val="en-US" w:eastAsia="zh-CN"/>
              </w:rPr>
              <w:t>），生活用水经一体化设备加压送至升压站各用水点。升压站内</w:t>
            </w:r>
            <w:r>
              <w:rPr>
                <w:rFonts w:hint="eastAsia" w:cs="Times New Roman"/>
                <w:color w:val="auto"/>
                <w:highlight w:val="none"/>
                <w:lang w:val="en-US" w:eastAsia="zh-CN"/>
              </w:rPr>
              <w:t>其他用水</w:t>
            </w:r>
            <w:r>
              <w:rPr>
                <w:rFonts w:hint="default" w:ascii="Times New Roman" w:hAnsi="Times New Roman" w:eastAsia="仿宋" w:cs="Times New Roman"/>
                <w:color w:val="auto"/>
                <w:highlight w:val="none"/>
                <w:lang w:val="en-US" w:eastAsia="zh-CN"/>
              </w:rPr>
              <w:t>如洗车用水、道路及绿化浇洒用水不需加压，可直接从引水管道取水。</w:t>
            </w:r>
          </w:p>
          <w:p w14:paraId="2F2AA8B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2、光伏阵列</w:t>
            </w:r>
          </w:p>
          <w:p w14:paraId="7160AB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本工程每年用水清洗2次，太阳能光伏电池板清洗用水按0.5L/m</w:t>
            </w:r>
            <w:r>
              <w:rPr>
                <w:rFonts w:hint="default" w:ascii="Times New Roman" w:hAnsi="Times New Roman" w:eastAsia="仿宋" w:cs="Times New Roman"/>
                <w:color w:val="auto"/>
                <w:highlight w:val="none"/>
                <w:vertAlign w:val="superscript"/>
                <w:lang w:val="en-US" w:eastAsia="zh-CN"/>
              </w:rPr>
              <w:t>2</w:t>
            </w:r>
            <w:r>
              <w:rPr>
                <w:rFonts w:hint="default" w:ascii="Times New Roman" w:hAnsi="Times New Roman" w:eastAsia="仿宋" w:cs="Times New Roman"/>
                <w:color w:val="auto"/>
                <w:highlight w:val="none"/>
                <w:lang w:val="en-US" w:eastAsia="zh-CN"/>
              </w:rPr>
              <w:t>·次计算，每块太阳能光伏电池板面积约为2.70m</w:t>
            </w:r>
            <w:r>
              <w:rPr>
                <w:rFonts w:hint="default" w:ascii="Times New Roman" w:hAnsi="Times New Roman" w:eastAsia="仿宋" w:cs="Times New Roman"/>
                <w:color w:val="auto"/>
                <w:highlight w:val="none"/>
                <w:vertAlign w:val="superscript"/>
                <w:lang w:val="en-US" w:eastAsia="zh-CN"/>
              </w:rPr>
              <w:t>2</w:t>
            </w:r>
            <w:r>
              <w:rPr>
                <w:rFonts w:hint="default" w:ascii="Times New Roman" w:hAnsi="Times New Roman" w:eastAsia="仿宋" w:cs="Times New Roman"/>
                <w:color w:val="auto"/>
                <w:highlight w:val="none"/>
                <w:lang w:val="en-US" w:eastAsia="zh-CN"/>
              </w:rPr>
              <w:t>，每次清洗用水量约为383.</w:t>
            </w:r>
            <w:r>
              <w:rPr>
                <w:rFonts w:hint="eastAsia" w:cs="Times New Roman"/>
                <w:color w:val="auto"/>
                <w:highlight w:val="none"/>
                <w:lang w:val="en-US" w:eastAsia="zh-CN"/>
              </w:rPr>
              <w:t>3</w:t>
            </w:r>
            <w:r>
              <w:rPr>
                <w:rFonts w:hint="default" w:ascii="Times New Roman" w:hAnsi="Times New Roman" w:eastAsia="仿宋" w:cs="Times New Roman"/>
                <w:color w:val="auto"/>
                <w:highlight w:val="none"/>
                <w:lang w:val="en-US" w:eastAsia="zh-CN"/>
              </w:rPr>
              <w:t>m</w:t>
            </w:r>
            <w:r>
              <w:rPr>
                <w:rFonts w:hint="default" w:ascii="Times New Roman" w:hAnsi="Times New Roman" w:eastAsia="仿宋" w:cs="Times New Roman"/>
                <w:color w:val="auto"/>
                <w:highlight w:val="none"/>
                <w:vertAlign w:val="superscript"/>
                <w:lang w:val="en-US" w:eastAsia="zh-CN"/>
              </w:rPr>
              <w:t>3</w:t>
            </w:r>
            <w:r>
              <w:rPr>
                <w:rFonts w:hint="default" w:ascii="Times New Roman" w:hAnsi="Times New Roman" w:eastAsia="仿宋" w:cs="Times New Roman"/>
                <w:color w:val="auto"/>
                <w:highlight w:val="none"/>
                <w:lang w:val="en-US" w:eastAsia="zh-CN"/>
              </w:rPr>
              <w:t>，清洗按照子方阵分批分期进行。清洗用水通过水罐车（平时存放于升压站内）从附近村镇取自来水。</w:t>
            </w:r>
          </w:p>
          <w:p w14:paraId="407129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（七）</w:t>
            </w:r>
            <w:r>
              <w:rPr>
                <w:rFonts w:hint="default" w:ascii="Times New Roman" w:hAnsi="Times New Roman" w:eastAsia="仿宋" w:cs="Times New Roman"/>
                <w:b/>
                <w:bCs/>
                <w:color w:val="auto"/>
                <w:highlight w:val="none"/>
                <w:lang w:val="en-US" w:eastAsia="zh-CN"/>
              </w:rPr>
              <w:t>场内道路</w:t>
            </w:r>
          </w:p>
          <w:p w14:paraId="7F185D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本项目进场道路主要利用项目区周边乡村公路，道路工程主要是利用山区自然道路通过加宽、铺设碎石将其扩建成消防及检修道路，新建、改扩建道路总长36.48km。</w:t>
            </w:r>
          </w:p>
          <w:p w14:paraId="559D28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（八）</w:t>
            </w:r>
            <w:r>
              <w:rPr>
                <w:rFonts w:hint="default" w:ascii="Times New Roman" w:hAnsi="Times New Roman" w:eastAsia="仿宋" w:cs="Times New Roman"/>
                <w:b/>
                <w:bCs/>
                <w:color w:val="auto"/>
                <w:highlight w:val="none"/>
                <w:lang w:val="en-US" w:eastAsia="zh-CN"/>
              </w:rPr>
              <w:t>项目占地</w:t>
            </w:r>
          </w:p>
          <w:p w14:paraId="36799B2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baseline"/>
              <w:rPr>
                <w:rFonts w:hint="default" w:ascii="Times New Roman" w:hAnsi="Times New Roman" w:eastAsia="仿宋" w:cs="Times New Roman"/>
                <w:b/>
                <w:bCs/>
                <w:color w:val="auto"/>
                <w:highlight w:val="none"/>
                <w:lang w:val="en-US" w:eastAsia="zh-CN"/>
              </w:rPr>
            </w:pPr>
            <w:r>
              <w:rPr>
                <w:rFonts w:hint="default" w:ascii="Times New Roman" w:hAnsi="Times New Roman" w:eastAsia="仿宋" w:cs="Times New Roman"/>
                <w:b/>
                <w:bCs/>
                <w:color w:val="auto"/>
                <w:highlight w:val="none"/>
                <w:lang w:val="en-US" w:eastAsia="zh-CN"/>
              </w:rPr>
              <w:t>（1）工程占地</w:t>
            </w:r>
          </w:p>
          <w:p w14:paraId="38E4453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本项目总占地面积为</w:t>
            </w:r>
            <w:r>
              <w:rPr>
                <w:rFonts w:hint="eastAsia" w:cs="Times New Roman"/>
                <w:color w:val="auto"/>
                <w:highlight w:val="none"/>
                <w:lang w:val="en-US" w:eastAsia="zh-CN"/>
              </w:rPr>
              <w:t>203.14</w:t>
            </w:r>
            <w:r>
              <w:rPr>
                <w:rFonts w:hint="default" w:ascii="Times New Roman" w:hAnsi="Times New Roman" w:eastAsia="仿宋" w:cs="Times New Roman"/>
                <w:color w:val="auto"/>
                <w:highlight w:val="none"/>
                <w:lang w:val="en-US" w:eastAsia="zh-CN"/>
              </w:rPr>
              <w:t>hm</w:t>
            </w:r>
            <w:r>
              <w:rPr>
                <w:rFonts w:hint="default" w:ascii="Times New Roman" w:hAnsi="Times New Roman" w:eastAsia="仿宋" w:cs="Times New Roman"/>
                <w:color w:val="auto"/>
                <w:highlight w:val="none"/>
                <w:vertAlign w:val="superscript"/>
                <w:lang w:val="en-US" w:eastAsia="zh-CN"/>
              </w:rPr>
              <w:t>2</w:t>
            </w:r>
            <w:r>
              <w:rPr>
                <w:rFonts w:hint="default" w:ascii="Times New Roman" w:hAnsi="Times New Roman" w:eastAsia="仿宋" w:cs="Times New Roman"/>
                <w:color w:val="auto"/>
                <w:highlight w:val="none"/>
                <w:lang w:val="en-US" w:eastAsia="zh-CN"/>
              </w:rPr>
              <w:t>，其中永久占地3.05hm</w:t>
            </w:r>
            <w:r>
              <w:rPr>
                <w:rFonts w:hint="default" w:ascii="Times New Roman" w:hAnsi="Times New Roman" w:eastAsia="仿宋" w:cs="Times New Roman"/>
                <w:color w:val="auto"/>
                <w:highlight w:val="none"/>
                <w:vertAlign w:val="superscript"/>
                <w:lang w:val="en-US" w:eastAsia="zh-CN"/>
              </w:rPr>
              <w:t>2</w:t>
            </w:r>
            <w:r>
              <w:rPr>
                <w:rFonts w:hint="default" w:ascii="Times New Roman" w:hAnsi="Times New Roman" w:eastAsia="仿宋" w:cs="Times New Roman"/>
                <w:color w:val="auto"/>
                <w:highlight w:val="none"/>
                <w:lang w:val="en-US" w:eastAsia="zh-CN"/>
              </w:rPr>
              <w:t>，临时占地</w:t>
            </w:r>
            <w:r>
              <w:rPr>
                <w:rFonts w:hint="eastAsia" w:cs="Times New Roman"/>
                <w:color w:val="auto"/>
                <w:highlight w:val="none"/>
                <w:lang w:val="en-US" w:eastAsia="zh-CN"/>
              </w:rPr>
              <w:t>200.09</w:t>
            </w:r>
            <w:r>
              <w:rPr>
                <w:rFonts w:hint="default" w:ascii="Times New Roman" w:hAnsi="Times New Roman" w:eastAsia="仿宋" w:cs="Times New Roman"/>
                <w:color w:val="auto"/>
                <w:highlight w:val="none"/>
                <w:lang w:val="en-US" w:eastAsia="zh-CN"/>
              </w:rPr>
              <w:t>hm</w:t>
            </w:r>
            <w:r>
              <w:rPr>
                <w:rFonts w:hint="default" w:ascii="Times New Roman" w:hAnsi="Times New Roman" w:eastAsia="仿宋" w:cs="Times New Roman"/>
                <w:color w:val="auto"/>
                <w:highlight w:val="none"/>
                <w:vertAlign w:val="superscript"/>
                <w:lang w:val="en-US" w:eastAsia="zh-CN"/>
              </w:rPr>
              <w:t>2</w:t>
            </w:r>
            <w:r>
              <w:rPr>
                <w:rFonts w:hint="default" w:ascii="Times New Roman" w:hAnsi="Times New Roman" w:eastAsia="仿宋" w:cs="Times New Roman"/>
                <w:color w:val="auto"/>
                <w:highlight w:val="none"/>
                <w:lang w:val="en-US" w:eastAsia="zh-CN"/>
              </w:rPr>
              <w:t>，具体见表</w:t>
            </w:r>
            <w:r>
              <w:rPr>
                <w:rFonts w:hint="eastAsia" w:cs="Times New Roman"/>
                <w:color w:val="auto"/>
                <w:highlight w:val="none"/>
                <w:lang w:val="en-US" w:eastAsia="zh-CN"/>
              </w:rPr>
              <w:t>2.3-3</w:t>
            </w:r>
            <w:r>
              <w:rPr>
                <w:rFonts w:hint="default" w:ascii="Times New Roman" w:hAnsi="Times New Roman" w:eastAsia="仿宋" w:cs="Times New Roman"/>
                <w:color w:val="auto"/>
                <w:highlight w:val="none"/>
                <w:lang w:val="en-US" w:eastAsia="zh-CN"/>
              </w:rPr>
              <w:t>。本项目土地利用现状详见下表。</w:t>
            </w:r>
          </w:p>
          <w:p w14:paraId="31C6002E">
            <w:pPr>
              <w:keepNext w:val="0"/>
              <w:keepLines w:val="0"/>
              <w:pageBreakBefore w:val="0"/>
              <w:widowControl w:val="0"/>
              <w:suppressLineNumbers w:val="0"/>
              <w:kinsoku/>
              <w:wordWrap/>
              <w:overflowPunct/>
              <w:topLinePunct w:val="0"/>
              <w:autoSpaceDE/>
              <w:autoSpaceDN/>
              <w:bidi w:val="0"/>
              <w:adjustRightInd/>
              <w:snapToGrid w:val="0"/>
              <w:spacing w:before="157" w:beforeLines="50" w:beforeAutospacing="0" w:after="0" w:afterAutospacing="0" w:line="240" w:lineRule="auto"/>
              <w:ind w:left="0" w:right="0" w:firstLine="0" w:firstLineChars="0"/>
              <w:jc w:val="center"/>
              <w:textAlignment w:val="baseline"/>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2.3-3</w:t>
            </w:r>
            <w:r>
              <w:rPr>
                <w:rFonts w:hint="default" w:ascii="Times New Roman" w:hAnsi="Times New Roman" w:eastAsia="仿宋" w:cs="Times New Roman"/>
                <w:b/>
                <w:bCs/>
                <w:color w:val="auto"/>
                <w:sz w:val="21"/>
                <w:szCs w:val="21"/>
                <w:highlight w:val="none"/>
                <w:lang w:val="en-US" w:eastAsia="zh-CN"/>
              </w:rPr>
              <w:t xml:space="preserve">  土地利用现状面积统计表</w:t>
            </w:r>
          </w:p>
          <w:tbl>
            <w:tblPr>
              <w:tblStyle w:val="10"/>
              <w:tblW w:w="4998" w:type="pct"/>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848"/>
              <w:gridCol w:w="989"/>
              <w:gridCol w:w="1017"/>
              <w:gridCol w:w="849"/>
              <w:gridCol w:w="797"/>
              <w:gridCol w:w="560"/>
              <w:gridCol w:w="667"/>
              <w:gridCol w:w="638"/>
              <w:gridCol w:w="629"/>
              <w:gridCol w:w="1050"/>
            </w:tblGrid>
            <w:tr w14:paraId="2CA1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 w:hRule="atLeast"/>
              </w:trPr>
              <w:tc>
                <w:tcPr>
                  <w:tcW w:w="1454" w:type="pct"/>
                  <w:gridSpan w:val="3"/>
                  <w:tcBorders>
                    <w:tl2br w:val="nil"/>
                    <w:tr2bl w:val="nil"/>
                  </w:tcBorders>
                  <w:noWrap w:val="0"/>
                  <w:vAlign w:val="center"/>
                </w:tcPr>
                <w:p w14:paraId="64955B6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项目组成</w:t>
                  </w:r>
                </w:p>
              </w:tc>
              <w:tc>
                <w:tcPr>
                  <w:tcW w:w="581" w:type="pct"/>
                  <w:vMerge w:val="restart"/>
                  <w:tcBorders>
                    <w:tl2br w:val="nil"/>
                    <w:tr2bl w:val="nil"/>
                  </w:tcBorders>
                  <w:noWrap w:val="0"/>
                  <w:vAlign w:val="center"/>
                </w:tcPr>
                <w:p w14:paraId="68F4F54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合计（hm</w:t>
                  </w:r>
                  <w:r>
                    <w:rPr>
                      <w:rFonts w:hint="default" w:ascii="Times New Roman" w:hAnsi="Times New Roman" w:eastAsia="仿宋" w:cs="Times New Roman"/>
                      <w:color w:val="auto"/>
                      <w:sz w:val="21"/>
                      <w:szCs w:val="21"/>
                      <w:highlight w:val="none"/>
                      <w:vertAlign w:val="superscript"/>
                    </w:rPr>
                    <w:t>2</w:t>
                  </w:r>
                  <w:r>
                    <w:rPr>
                      <w:rFonts w:hint="default" w:ascii="Times New Roman" w:hAnsi="Times New Roman" w:eastAsia="仿宋" w:cs="Times New Roman"/>
                      <w:color w:val="auto"/>
                      <w:sz w:val="21"/>
                      <w:szCs w:val="21"/>
                      <w:highlight w:val="none"/>
                    </w:rPr>
                    <w:t>）</w:t>
                  </w:r>
                </w:p>
              </w:tc>
              <w:tc>
                <w:tcPr>
                  <w:tcW w:w="2364" w:type="pct"/>
                  <w:gridSpan w:val="6"/>
                  <w:tcBorders>
                    <w:tl2br w:val="nil"/>
                    <w:tr2bl w:val="nil"/>
                  </w:tcBorders>
                  <w:noWrap w:val="0"/>
                  <w:vAlign w:val="center"/>
                </w:tcPr>
                <w:p w14:paraId="673D53E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占地类型及面积</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hm²</w:t>
                  </w:r>
                  <w:r>
                    <w:rPr>
                      <w:rFonts w:hint="eastAsia" w:cs="Times New Roman"/>
                      <w:color w:val="auto"/>
                      <w:sz w:val="21"/>
                      <w:szCs w:val="21"/>
                      <w:highlight w:val="none"/>
                      <w:lang w:eastAsia="zh-CN"/>
                    </w:rPr>
                    <w:t>）</w:t>
                  </w:r>
                </w:p>
              </w:tc>
              <w:tc>
                <w:tcPr>
                  <w:tcW w:w="600" w:type="pct"/>
                  <w:vMerge w:val="restart"/>
                  <w:tcBorders>
                    <w:tl2br w:val="nil"/>
                    <w:tr2bl w:val="nil"/>
                  </w:tcBorders>
                  <w:noWrap w:val="0"/>
                  <w:vAlign w:val="center"/>
                </w:tcPr>
                <w:p w14:paraId="5FF84CF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占地性质</w:t>
                  </w:r>
                </w:p>
              </w:tc>
            </w:tr>
            <w:tr w14:paraId="3255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405" w:type="pct"/>
                  <w:tcBorders>
                    <w:tl2br w:val="nil"/>
                    <w:tr2bl w:val="nil"/>
                  </w:tcBorders>
                  <w:noWrap w:val="0"/>
                  <w:vAlign w:val="center"/>
                </w:tcPr>
                <w:p w14:paraId="0A9E9E2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一级</w:t>
                  </w:r>
                </w:p>
                <w:p w14:paraId="3EBC4D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分区</w:t>
                  </w:r>
                </w:p>
              </w:tc>
              <w:tc>
                <w:tcPr>
                  <w:tcW w:w="484" w:type="pct"/>
                  <w:tcBorders>
                    <w:tl2br w:val="nil"/>
                    <w:tr2bl w:val="nil"/>
                  </w:tcBorders>
                  <w:noWrap w:val="0"/>
                  <w:vAlign w:val="center"/>
                </w:tcPr>
                <w:p w14:paraId="3622555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二级分区</w:t>
                  </w:r>
                </w:p>
              </w:tc>
              <w:tc>
                <w:tcPr>
                  <w:tcW w:w="563" w:type="pct"/>
                  <w:tcBorders>
                    <w:tl2br w:val="nil"/>
                    <w:tr2bl w:val="nil"/>
                  </w:tcBorders>
                  <w:noWrap w:val="0"/>
                  <w:vAlign w:val="center"/>
                </w:tcPr>
                <w:p w14:paraId="6A46DA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三级分区</w:t>
                  </w:r>
                </w:p>
              </w:tc>
              <w:tc>
                <w:tcPr>
                  <w:tcW w:w="581" w:type="pct"/>
                  <w:vMerge w:val="continue"/>
                  <w:tcBorders>
                    <w:tl2br w:val="nil"/>
                    <w:tr2bl w:val="nil"/>
                  </w:tcBorders>
                  <w:noWrap w:val="0"/>
                  <w:vAlign w:val="center"/>
                </w:tcPr>
                <w:p w14:paraId="6D0744F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5" w:type="pct"/>
                  <w:tcBorders>
                    <w:tl2br w:val="nil"/>
                    <w:tr2bl w:val="nil"/>
                  </w:tcBorders>
                  <w:noWrap w:val="0"/>
                  <w:vAlign w:val="center"/>
                </w:tcPr>
                <w:p w14:paraId="3FC5D3A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灌草丛</w:t>
                  </w:r>
                </w:p>
              </w:tc>
              <w:tc>
                <w:tcPr>
                  <w:tcW w:w="455" w:type="pct"/>
                  <w:tcBorders>
                    <w:tl2br w:val="nil"/>
                    <w:tr2bl w:val="nil"/>
                  </w:tcBorders>
                  <w:noWrap w:val="0"/>
                  <w:vAlign w:val="center"/>
                </w:tcPr>
                <w:p w14:paraId="3B562B0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建设</w:t>
                  </w:r>
                </w:p>
                <w:p w14:paraId="5E47123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用地</w:t>
                  </w:r>
                </w:p>
              </w:tc>
              <w:tc>
                <w:tcPr>
                  <w:tcW w:w="320" w:type="pct"/>
                  <w:tcBorders>
                    <w:tl2br w:val="nil"/>
                    <w:tr2bl w:val="nil"/>
                  </w:tcBorders>
                  <w:noWrap w:val="0"/>
                  <w:vAlign w:val="center"/>
                </w:tcPr>
                <w:p w14:paraId="094B2D7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园地</w:t>
                  </w:r>
                </w:p>
              </w:tc>
              <w:tc>
                <w:tcPr>
                  <w:tcW w:w="381" w:type="pct"/>
                  <w:tcBorders>
                    <w:tl2br w:val="nil"/>
                    <w:tr2bl w:val="nil"/>
                  </w:tcBorders>
                  <w:noWrap w:val="0"/>
                  <w:vAlign w:val="center"/>
                </w:tcPr>
                <w:p w14:paraId="1BE54CB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林地</w:t>
                  </w:r>
                </w:p>
              </w:tc>
              <w:tc>
                <w:tcPr>
                  <w:tcW w:w="364" w:type="pct"/>
                  <w:tcBorders>
                    <w:tl2br w:val="nil"/>
                    <w:tr2bl w:val="nil"/>
                  </w:tcBorders>
                  <w:noWrap w:val="0"/>
                  <w:vAlign w:val="center"/>
                </w:tcPr>
                <w:p w14:paraId="147FD9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草地</w:t>
                  </w:r>
                </w:p>
              </w:tc>
              <w:tc>
                <w:tcPr>
                  <w:tcW w:w="356" w:type="pct"/>
                  <w:tcBorders>
                    <w:tl2br w:val="nil"/>
                    <w:tr2bl w:val="nil"/>
                  </w:tcBorders>
                  <w:noWrap w:val="0"/>
                  <w:vAlign w:val="center"/>
                </w:tcPr>
                <w:p w14:paraId="123449E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eastAsia="zh-CN"/>
                    </w:rPr>
                    <w:t>其他</w:t>
                  </w:r>
                  <w:r>
                    <w:rPr>
                      <w:rFonts w:hint="default" w:ascii="Times New Roman" w:hAnsi="Times New Roman" w:eastAsia="仿宋" w:cs="Times New Roman"/>
                      <w:color w:val="auto"/>
                      <w:sz w:val="21"/>
                      <w:szCs w:val="21"/>
                      <w:highlight w:val="none"/>
                    </w:rPr>
                    <w:t>土地</w:t>
                  </w:r>
                </w:p>
              </w:tc>
              <w:tc>
                <w:tcPr>
                  <w:tcW w:w="600" w:type="pct"/>
                  <w:vMerge w:val="continue"/>
                  <w:tcBorders>
                    <w:tl2br w:val="nil"/>
                    <w:tr2bl w:val="nil"/>
                  </w:tcBorders>
                  <w:noWrap w:val="0"/>
                  <w:vAlign w:val="center"/>
                </w:tcPr>
                <w:p w14:paraId="6869372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1FFE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 w:hRule="atLeast"/>
              </w:trPr>
              <w:tc>
                <w:tcPr>
                  <w:tcW w:w="405" w:type="pct"/>
                  <w:vMerge w:val="restart"/>
                  <w:tcBorders>
                    <w:tl2br w:val="nil"/>
                    <w:tr2bl w:val="nil"/>
                  </w:tcBorders>
                  <w:noWrap w:val="0"/>
                  <w:vAlign w:val="center"/>
                </w:tcPr>
                <w:p w14:paraId="4A20C4A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w:t>
                  </w:r>
                </w:p>
                <w:p w14:paraId="1565CC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场区</w:t>
                  </w:r>
                </w:p>
              </w:tc>
              <w:tc>
                <w:tcPr>
                  <w:tcW w:w="1048" w:type="pct"/>
                  <w:gridSpan w:val="2"/>
                  <w:vMerge w:val="restart"/>
                  <w:tcBorders>
                    <w:tl2br w:val="nil"/>
                    <w:tr2bl w:val="nil"/>
                  </w:tcBorders>
                  <w:noWrap w:val="0"/>
                  <w:vAlign w:val="center"/>
                </w:tcPr>
                <w:p w14:paraId="03D9ADA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光伏阵列区</w:t>
                  </w:r>
                </w:p>
              </w:tc>
              <w:tc>
                <w:tcPr>
                  <w:tcW w:w="1018" w:type="dxa"/>
                  <w:tcBorders>
                    <w:tl2br w:val="nil"/>
                    <w:tr2bl w:val="nil"/>
                  </w:tcBorders>
                  <w:noWrap w:val="0"/>
                  <w:vAlign w:val="center"/>
                </w:tcPr>
                <w:p w14:paraId="522C10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171.14</w:t>
                  </w:r>
                </w:p>
              </w:tc>
              <w:tc>
                <w:tcPr>
                  <w:tcW w:w="849" w:type="dxa"/>
                  <w:tcBorders>
                    <w:tl2br w:val="nil"/>
                    <w:tr2bl w:val="nil"/>
                  </w:tcBorders>
                  <w:noWrap w:val="0"/>
                  <w:vAlign w:val="center"/>
                </w:tcPr>
                <w:p w14:paraId="4B82E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56.44</w:t>
                  </w:r>
                </w:p>
              </w:tc>
              <w:tc>
                <w:tcPr>
                  <w:tcW w:w="797" w:type="dxa"/>
                  <w:tcBorders>
                    <w:tl2br w:val="nil"/>
                    <w:tr2bl w:val="nil"/>
                  </w:tcBorders>
                  <w:noWrap w:val="0"/>
                  <w:vAlign w:val="center"/>
                </w:tcPr>
                <w:p w14:paraId="354FB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5.43</w:t>
                  </w:r>
                </w:p>
              </w:tc>
              <w:tc>
                <w:tcPr>
                  <w:tcW w:w="560" w:type="dxa"/>
                  <w:tcBorders>
                    <w:tl2br w:val="nil"/>
                    <w:tr2bl w:val="nil"/>
                  </w:tcBorders>
                  <w:noWrap w:val="0"/>
                  <w:vAlign w:val="center"/>
                </w:tcPr>
                <w:p w14:paraId="7CF6A8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19.06</w:t>
                  </w:r>
                </w:p>
              </w:tc>
              <w:tc>
                <w:tcPr>
                  <w:tcW w:w="667" w:type="dxa"/>
                  <w:tcBorders>
                    <w:tl2br w:val="nil"/>
                    <w:tr2bl w:val="nil"/>
                  </w:tcBorders>
                  <w:shd w:val="clear" w:color="auto" w:fill="auto"/>
                  <w:noWrap w:val="0"/>
                  <w:vAlign w:val="center"/>
                </w:tcPr>
                <w:p w14:paraId="02926E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eastAsia"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shd w:val="clear" w:color="auto" w:fill="auto"/>
                  <w:noWrap w:val="0"/>
                  <w:vAlign w:val="center"/>
                </w:tcPr>
                <w:p w14:paraId="14904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2.27</w:t>
                  </w:r>
                </w:p>
              </w:tc>
              <w:tc>
                <w:tcPr>
                  <w:tcW w:w="629" w:type="dxa"/>
                  <w:tcBorders>
                    <w:tl2br w:val="nil"/>
                    <w:tr2bl w:val="nil"/>
                  </w:tcBorders>
                  <w:noWrap w:val="0"/>
                  <w:vAlign w:val="bottom"/>
                </w:tcPr>
                <w:p w14:paraId="7285B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74.</w:t>
                  </w:r>
                  <w:r>
                    <w:rPr>
                      <w:rFonts w:hint="eastAsia" w:eastAsia="宋体" w:cs="Times New Roman"/>
                      <w:i w:val="0"/>
                      <w:iCs w:val="0"/>
                      <w:color w:val="auto"/>
                      <w:kern w:val="0"/>
                      <w:sz w:val="21"/>
                      <w:szCs w:val="21"/>
                      <w:highlight w:val="none"/>
                      <w:u w:val="none"/>
                      <w:lang w:val="en-US" w:eastAsia="zh-CN" w:bidi="ar"/>
                    </w:rPr>
                    <w:t>58</w:t>
                  </w:r>
                </w:p>
              </w:tc>
              <w:tc>
                <w:tcPr>
                  <w:tcW w:w="600" w:type="pct"/>
                  <w:tcBorders>
                    <w:tl2br w:val="nil"/>
                    <w:tr2bl w:val="nil"/>
                  </w:tcBorders>
                  <w:noWrap w:val="0"/>
                  <w:vAlign w:val="center"/>
                </w:tcPr>
                <w:p w14:paraId="587516A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6441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 w:hRule="atLeast"/>
              </w:trPr>
              <w:tc>
                <w:tcPr>
                  <w:tcW w:w="405" w:type="pct"/>
                  <w:vMerge w:val="continue"/>
                  <w:tcBorders>
                    <w:tl2br w:val="nil"/>
                    <w:tr2bl w:val="nil"/>
                  </w:tcBorders>
                  <w:noWrap w:val="0"/>
                  <w:vAlign w:val="center"/>
                </w:tcPr>
                <w:p w14:paraId="3E5C8DA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48" w:type="pct"/>
                  <w:gridSpan w:val="2"/>
                  <w:vMerge w:val="continue"/>
                  <w:tcBorders>
                    <w:tl2br w:val="nil"/>
                    <w:tr2bl w:val="nil"/>
                  </w:tcBorders>
                  <w:noWrap w:val="0"/>
                  <w:vAlign w:val="center"/>
                </w:tcPr>
                <w:p w14:paraId="260D5F4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18" w:type="dxa"/>
                  <w:tcBorders>
                    <w:tl2br w:val="nil"/>
                    <w:tr2bl w:val="nil"/>
                  </w:tcBorders>
                  <w:noWrap w:val="0"/>
                  <w:vAlign w:val="center"/>
                </w:tcPr>
                <w:p w14:paraId="25490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2.13</w:t>
                  </w:r>
                </w:p>
              </w:tc>
              <w:tc>
                <w:tcPr>
                  <w:tcW w:w="849" w:type="dxa"/>
                  <w:tcBorders>
                    <w:tl2br w:val="nil"/>
                    <w:tr2bl w:val="nil"/>
                  </w:tcBorders>
                  <w:noWrap w:val="0"/>
                  <w:vAlign w:val="center"/>
                </w:tcPr>
                <w:p w14:paraId="7BE68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0.4</w:t>
                  </w:r>
                </w:p>
              </w:tc>
              <w:tc>
                <w:tcPr>
                  <w:tcW w:w="797" w:type="dxa"/>
                  <w:tcBorders>
                    <w:tl2br w:val="nil"/>
                    <w:tr2bl w:val="nil"/>
                  </w:tcBorders>
                  <w:noWrap w:val="0"/>
                  <w:vAlign w:val="center"/>
                </w:tcPr>
                <w:p w14:paraId="7C426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31F95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260841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548F2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7BAEAC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1.73</w:t>
                  </w:r>
                </w:p>
              </w:tc>
              <w:tc>
                <w:tcPr>
                  <w:tcW w:w="600" w:type="pct"/>
                  <w:tcBorders>
                    <w:tl2br w:val="nil"/>
                    <w:tr2bl w:val="nil"/>
                  </w:tcBorders>
                  <w:noWrap w:val="0"/>
                  <w:vAlign w:val="center"/>
                </w:tcPr>
                <w:p w14:paraId="0A9B50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永久占地</w:t>
                  </w:r>
                </w:p>
              </w:tc>
            </w:tr>
            <w:tr w14:paraId="2A49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405" w:type="pct"/>
                  <w:vMerge w:val="continue"/>
                  <w:tcBorders>
                    <w:tl2br w:val="nil"/>
                    <w:tr2bl w:val="nil"/>
                  </w:tcBorders>
                  <w:noWrap w:val="0"/>
                  <w:vAlign w:val="center"/>
                </w:tcPr>
                <w:p w14:paraId="217999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48" w:type="pct"/>
                  <w:gridSpan w:val="2"/>
                  <w:tcBorders>
                    <w:tl2br w:val="nil"/>
                    <w:tr2bl w:val="nil"/>
                  </w:tcBorders>
                  <w:noWrap w:val="0"/>
                  <w:vAlign w:val="center"/>
                </w:tcPr>
                <w:p w14:paraId="7F9E190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箱变区</w:t>
                  </w:r>
                </w:p>
              </w:tc>
              <w:tc>
                <w:tcPr>
                  <w:tcW w:w="1018" w:type="dxa"/>
                  <w:tcBorders>
                    <w:tl2br w:val="nil"/>
                    <w:tr2bl w:val="nil"/>
                  </w:tcBorders>
                  <w:noWrap w:val="0"/>
                  <w:vAlign w:val="center"/>
                </w:tcPr>
                <w:p w14:paraId="05D18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c>
                <w:tcPr>
                  <w:tcW w:w="849" w:type="dxa"/>
                  <w:tcBorders>
                    <w:tl2br w:val="nil"/>
                    <w:tr2bl w:val="nil"/>
                  </w:tcBorders>
                  <w:noWrap w:val="0"/>
                  <w:vAlign w:val="center"/>
                </w:tcPr>
                <w:p w14:paraId="10060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w:t>
                  </w:r>
                </w:p>
              </w:tc>
              <w:tc>
                <w:tcPr>
                  <w:tcW w:w="797" w:type="dxa"/>
                  <w:tcBorders>
                    <w:tl2br w:val="nil"/>
                    <w:tr2bl w:val="nil"/>
                  </w:tcBorders>
                  <w:noWrap w:val="0"/>
                  <w:vAlign w:val="center"/>
                </w:tcPr>
                <w:p w14:paraId="5A58F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5DC02B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5F026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72FB0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6423D4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w:t>
                  </w:r>
                </w:p>
              </w:tc>
              <w:tc>
                <w:tcPr>
                  <w:tcW w:w="600" w:type="pct"/>
                  <w:tcBorders>
                    <w:tl2br w:val="nil"/>
                    <w:tr2bl w:val="nil"/>
                  </w:tcBorders>
                  <w:noWrap w:val="0"/>
                  <w:vAlign w:val="center"/>
                </w:tcPr>
                <w:p w14:paraId="02127E4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永久占地</w:t>
                  </w:r>
                </w:p>
              </w:tc>
            </w:tr>
            <w:tr w14:paraId="4508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405" w:type="pct"/>
                  <w:vMerge w:val="restart"/>
                  <w:tcBorders>
                    <w:tl2br w:val="nil"/>
                    <w:tr2bl w:val="nil"/>
                  </w:tcBorders>
                  <w:noWrap w:val="0"/>
                  <w:vAlign w:val="center"/>
                </w:tcPr>
                <w:p w14:paraId="76B203B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升压站区</w:t>
                  </w:r>
                </w:p>
              </w:tc>
              <w:tc>
                <w:tcPr>
                  <w:tcW w:w="1048" w:type="pct"/>
                  <w:gridSpan w:val="2"/>
                  <w:tcBorders>
                    <w:tl2br w:val="nil"/>
                    <w:tr2bl w:val="nil"/>
                  </w:tcBorders>
                  <w:noWrap w:val="0"/>
                  <w:vAlign w:val="center"/>
                </w:tcPr>
                <w:p w14:paraId="550352E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建构筑物区</w:t>
                  </w:r>
                </w:p>
              </w:tc>
              <w:tc>
                <w:tcPr>
                  <w:tcW w:w="1018" w:type="dxa"/>
                  <w:tcBorders>
                    <w:tl2br w:val="nil"/>
                    <w:tr2bl w:val="nil"/>
                  </w:tcBorders>
                  <w:noWrap w:val="0"/>
                  <w:vAlign w:val="center"/>
                </w:tcPr>
                <w:p w14:paraId="1D76D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0.39</w:t>
                  </w:r>
                </w:p>
              </w:tc>
              <w:tc>
                <w:tcPr>
                  <w:tcW w:w="849" w:type="dxa"/>
                  <w:tcBorders>
                    <w:tl2br w:val="nil"/>
                    <w:tr2bl w:val="nil"/>
                  </w:tcBorders>
                  <w:noWrap w:val="0"/>
                  <w:vAlign w:val="center"/>
                </w:tcPr>
                <w:p w14:paraId="5DB466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w:t>
                  </w:r>
                </w:p>
              </w:tc>
              <w:tc>
                <w:tcPr>
                  <w:tcW w:w="797" w:type="dxa"/>
                  <w:tcBorders>
                    <w:tl2br w:val="nil"/>
                    <w:tr2bl w:val="nil"/>
                  </w:tcBorders>
                  <w:noWrap w:val="0"/>
                  <w:vAlign w:val="center"/>
                </w:tcPr>
                <w:p w14:paraId="42665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3D58E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6EE20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06D99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18A70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0.33</w:t>
                  </w:r>
                </w:p>
              </w:tc>
              <w:tc>
                <w:tcPr>
                  <w:tcW w:w="600" w:type="pct"/>
                  <w:tcBorders>
                    <w:tl2br w:val="nil"/>
                    <w:tr2bl w:val="nil"/>
                  </w:tcBorders>
                  <w:noWrap w:val="0"/>
                  <w:vAlign w:val="center"/>
                </w:tcPr>
                <w:p w14:paraId="3773B79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永久占地</w:t>
                  </w:r>
                </w:p>
              </w:tc>
            </w:tr>
            <w:tr w14:paraId="251E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trPr>
              <w:tc>
                <w:tcPr>
                  <w:tcW w:w="405" w:type="pct"/>
                  <w:vMerge w:val="continue"/>
                  <w:tcBorders>
                    <w:tl2br w:val="nil"/>
                    <w:tr2bl w:val="nil"/>
                  </w:tcBorders>
                  <w:noWrap w:val="0"/>
                  <w:vAlign w:val="center"/>
                </w:tcPr>
                <w:p w14:paraId="647FFA9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48" w:type="pct"/>
                  <w:gridSpan w:val="2"/>
                  <w:tcBorders>
                    <w:tl2br w:val="nil"/>
                    <w:tr2bl w:val="nil"/>
                  </w:tcBorders>
                  <w:noWrap w:val="0"/>
                  <w:vAlign w:val="center"/>
                </w:tcPr>
                <w:p w14:paraId="34BEC5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道路广场区</w:t>
                  </w:r>
                </w:p>
              </w:tc>
              <w:tc>
                <w:tcPr>
                  <w:tcW w:w="1018" w:type="dxa"/>
                  <w:tcBorders>
                    <w:tl2br w:val="nil"/>
                    <w:tr2bl w:val="nil"/>
                  </w:tcBorders>
                  <w:noWrap w:val="0"/>
                  <w:vAlign w:val="center"/>
                </w:tcPr>
                <w:p w14:paraId="7E773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0.23</w:t>
                  </w:r>
                </w:p>
              </w:tc>
              <w:tc>
                <w:tcPr>
                  <w:tcW w:w="849" w:type="dxa"/>
                  <w:tcBorders>
                    <w:tl2br w:val="nil"/>
                    <w:tr2bl w:val="nil"/>
                  </w:tcBorders>
                  <w:noWrap w:val="0"/>
                  <w:vAlign w:val="center"/>
                </w:tcPr>
                <w:p w14:paraId="2D5C71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w:t>
                  </w:r>
                </w:p>
              </w:tc>
              <w:tc>
                <w:tcPr>
                  <w:tcW w:w="797" w:type="dxa"/>
                  <w:tcBorders>
                    <w:tl2br w:val="nil"/>
                    <w:tr2bl w:val="nil"/>
                  </w:tcBorders>
                  <w:noWrap w:val="0"/>
                  <w:vAlign w:val="center"/>
                </w:tcPr>
                <w:p w14:paraId="28841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58BED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621BB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18A105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53F41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0.17</w:t>
                  </w:r>
                </w:p>
              </w:tc>
              <w:tc>
                <w:tcPr>
                  <w:tcW w:w="600" w:type="pct"/>
                  <w:tcBorders>
                    <w:tl2br w:val="nil"/>
                    <w:tr2bl w:val="nil"/>
                  </w:tcBorders>
                  <w:noWrap w:val="0"/>
                  <w:vAlign w:val="center"/>
                </w:tcPr>
                <w:p w14:paraId="659EB8F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永久占地</w:t>
                  </w:r>
                </w:p>
              </w:tc>
            </w:tr>
            <w:tr w14:paraId="5988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405" w:type="pct"/>
                  <w:vMerge w:val="continue"/>
                  <w:tcBorders>
                    <w:tl2br w:val="nil"/>
                    <w:tr2bl w:val="nil"/>
                  </w:tcBorders>
                  <w:noWrap w:val="0"/>
                  <w:vAlign w:val="center"/>
                </w:tcPr>
                <w:p w14:paraId="4207E9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48" w:type="pct"/>
                  <w:gridSpan w:val="2"/>
                  <w:tcBorders>
                    <w:tl2br w:val="nil"/>
                    <w:tr2bl w:val="nil"/>
                  </w:tcBorders>
                  <w:noWrap w:val="0"/>
                  <w:vAlign w:val="center"/>
                </w:tcPr>
                <w:p w14:paraId="1538D89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绿化工程区</w:t>
                  </w:r>
                </w:p>
              </w:tc>
              <w:tc>
                <w:tcPr>
                  <w:tcW w:w="1018" w:type="dxa"/>
                  <w:tcBorders>
                    <w:tl2br w:val="nil"/>
                    <w:tr2bl w:val="nil"/>
                  </w:tcBorders>
                  <w:noWrap w:val="0"/>
                  <w:vAlign w:val="center"/>
                </w:tcPr>
                <w:p w14:paraId="3A89F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w:t>
                  </w:r>
                </w:p>
              </w:tc>
              <w:tc>
                <w:tcPr>
                  <w:tcW w:w="849" w:type="dxa"/>
                  <w:tcBorders>
                    <w:tl2br w:val="nil"/>
                    <w:tr2bl w:val="nil"/>
                  </w:tcBorders>
                  <w:noWrap w:val="0"/>
                  <w:vAlign w:val="center"/>
                </w:tcPr>
                <w:p w14:paraId="16B862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w:t>
                  </w:r>
                </w:p>
              </w:tc>
              <w:tc>
                <w:tcPr>
                  <w:tcW w:w="797" w:type="dxa"/>
                  <w:tcBorders>
                    <w:tl2br w:val="nil"/>
                    <w:tr2bl w:val="nil"/>
                  </w:tcBorders>
                  <w:noWrap w:val="0"/>
                  <w:vAlign w:val="center"/>
                </w:tcPr>
                <w:p w14:paraId="6F2D47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78E35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4319EB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706878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16BC6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0.06</w:t>
                  </w:r>
                </w:p>
              </w:tc>
              <w:tc>
                <w:tcPr>
                  <w:tcW w:w="600" w:type="pct"/>
                  <w:tcBorders>
                    <w:tl2br w:val="nil"/>
                    <w:tr2bl w:val="nil"/>
                  </w:tcBorders>
                  <w:noWrap w:val="0"/>
                  <w:vAlign w:val="center"/>
                </w:tcPr>
                <w:p w14:paraId="6A4DB62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6E04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405" w:type="pct"/>
                  <w:vMerge w:val="continue"/>
                  <w:tcBorders>
                    <w:tl2br w:val="nil"/>
                    <w:tr2bl w:val="nil"/>
                  </w:tcBorders>
                  <w:noWrap w:val="0"/>
                  <w:vAlign w:val="center"/>
                </w:tcPr>
                <w:p w14:paraId="53CA976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48" w:type="pct"/>
                  <w:gridSpan w:val="2"/>
                  <w:tcBorders>
                    <w:tl2br w:val="nil"/>
                    <w:tr2bl w:val="nil"/>
                  </w:tcBorders>
                  <w:noWrap w:val="0"/>
                  <w:vAlign w:val="center"/>
                </w:tcPr>
                <w:p w14:paraId="5390346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边坡防护区</w:t>
                  </w:r>
                </w:p>
              </w:tc>
              <w:tc>
                <w:tcPr>
                  <w:tcW w:w="1018" w:type="dxa"/>
                  <w:tcBorders>
                    <w:tl2br w:val="nil"/>
                    <w:tr2bl w:val="nil"/>
                  </w:tcBorders>
                  <w:noWrap w:val="0"/>
                  <w:vAlign w:val="center"/>
                </w:tcPr>
                <w:p w14:paraId="4A171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0.62</w:t>
                  </w:r>
                </w:p>
              </w:tc>
              <w:tc>
                <w:tcPr>
                  <w:tcW w:w="849" w:type="dxa"/>
                  <w:tcBorders>
                    <w:tl2br w:val="nil"/>
                    <w:tr2bl w:val="nil"/>
                  </w:tcBorders>
                  <w:noWrap w:val="0"/>
                  <w:vAlign w:val="center"/>
                </w:tcPr>
                <w:p w14:paraId="49B23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0.09</w:t>
                  </w:r>
                </w:p>
              </w:tc>
              <w:tc>
                <w:tcPr>
                  <w:tcW w:w="797" w:type="dxa"/>
                  <w:tcBorders>
                    <w:tl2br w:val="nil"/>
                    <w:tr2bl w:val="nil"/>
                  </w:tcBorders>
                  <w:noWrap w:val="0"/>
                  <w:vAlign w:val="center"/>
                </w:tcPr>
                <w:p w14:paraId="56569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578D5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13F067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6D004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53FEB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0.53</w:t>
                  </w:r>
                </w:p>
              </w:tc>
              <w:tc>
                <w:tcPr>
                  <w:tcW w:w="600" w:type="pct"/>
                  <w:tcBorders>
                    <w:tl2br w:val="nil"/>
                    <w:tr2bl w:val="nil"/>
                  </w:tcBorders>
                  <w:noWrap w:val="0"/>
                  <w:vAlign w:val="center"/>
                </w:tcPr>
                <w:p w14:paraId="2BB61D9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永久占地</w:t>
                  </w:r>
                </w:p>
              </w:tc>
            </w:tr>
            <w:tr w14:paraId="5D9B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05" w:type="pct"/>
                  <w:vMerge w:val="restart"/>
                  <w:tcBorders>
                    <w:tl2br w:val="nil"/>
                    <w:tr2bl w:val="nil"/>
                  </w:tcBorders>
                  <w:noWrap w:val="0"/>
                  <w:vAlign w:val="center"/>
                </w:tcPr>
                <w:p w14:paraId="7D382E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道路</w:t>
                  </w:r>
                </w:p>
                <w:p w14:paraId="6E97D58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工程区</w:t>
                  </w:r>
                </w:p>
              </w:tc>
              <w:tc>
                <w:tcPr>
                  <w:tcW w:w="484" w:type="pct"/>
                  <w:vMerge w:val="restart"/>
                  <w:tcBorders>
                    <w:tl2br w:val="nil"/>
                    <w:tr2bl w:val="nil"/>
                  </w:tcBorders>
                  <w:noWrap w:val="0"/>
                  <w:vAlign w:val="center"/>
                </w:tcPr>
                <w:p w14:paraId="087C604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改扩建道路</w:t>
                  </w:r>
                </w:p>
              </w:tc>
              <w:tc>
                <w:tcPr>
                  <w:tcW w:w="563" w:type="pct"/>
                  <w:tcBorders>
                    <w:tl2br w:val="nil"/>
                    <w:tr2bl w:val="nil"/>
                  </w:tcBorders>
                  <w:noWrap w:val="0"/>
                  <w:vAlign w:val="center"/>
                </w:tcPr>
                <w:p w14:paraId="00E07AF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路基区</w:t>
                  </w:r>
                </w:p>
              </w:tc>
              <w:tc>
                <w:tcPr>
                  <w:tcW w:w="1018" w:type="dxa"/>
                  <w:tcBorders>
                    <w:tl2br w:val="nil"/>
                    <w:tr2bl w:val="nil"/>
                  </w:tcBorders>
                  <w:noWrap w:val="0"/>
                  <w:vAlign w:val="center"/>
                </w:tcPr>
                <w:p w14:paraId="4E126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22.01</w:t>
                  </w:r>
                </w:p>
              </w:tc>
              <w:tc>
                <w:tcPr>
                  <w:tcW w:w="849" w:type="dxa"/>
                  <w:tcBorders>
                    <w:tl2br w:val="nil"/>
                    <w:tr2bl w:val="nil"/>
                  </w:tcBorders>
                  <w:noWrap w:val="0"/>
                  <w:vAlign w:val="center"/>
                </w:tcPr>
                <w:p w14:paraId="0C2B9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6.13</w:t>
                  </w:r>
                </w:p>
              </w:tc>
              <w:tc>
                <w:tcPr>
                  <w:tcW w:w="797" w:type="dxa"/>
                  <w:tcBorders>
                    <w:tl2br w:val="nil"/>
                    <w:tr2bl w:val="nil"/>
                  </w:tcBorders>
                  <w:noWrap w:val="0"/>
                  <w:vAlign w:val="center"/>
                </w:tcPr>
                <w:p w14:paraId="7BEF1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560" w:type="dxa"/>
                  <w:tcBorders>
                    <w:tl2br w:val="nil"/>
                    <w:tr2bl w:val="nil"/>
                  </w:tcBorders>
                  <w:noWrap w:val="0"/>
                  <w:vAlign w:val="center"/>
                </w:tcPr>
                <w:p w14:paraId="7675AA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0.21</w:t>
                  </w:r>
                </w:p>
              </w:tc>
              <w:tc>
                <w:tcPr>
                  <w:tcW w:w="667" w:type="dxa"/>
                  <w:tcBorders>
                    <w:tl2br w:val="nil"/>
                    <w:tr2bl w:val="nil"/>
                  </w:tcBorders>
                  <w:noWrap w:val="0"/>
                  <w:vAlign w:val="center"/>
                </w:tcPr>
                <w:p w14:paraId="2EB2BB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1AAE68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4156F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14.27</w:t>
                  </w:r>
                </w:p>
              </w:tc>
              <w:tc>
                <w:tcPr>
                  <w:tcW w:w="600" w:type="pct"/>
                  <w:tcBorders>
                    <w:tl2br w:val="nil"/>
                    <w:tr2bl w:val="nil"/>
                  </w:tcBorders>
                  <w:noWrap w:val="0"/>
                  <w:vAlign w:val="center"/>
                </w:tcPr>
                <w:p w14:paraId="05FCF03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5361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405" w:type="pct"/>
                  <w:vMerge w:val="continue"/>
                  <w:tcBorders>
                    <w:tl2br w:val="nil"/>
                    <w:tr2bl w:val="nil"/>
                  </w:tcBorders>
                  <w:noWrap w:val="0"/>
                  <w:vAlign w:val="center"/>
                </w:tcPr>
                <w:p w14:paraId="512A341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4" w:type="pct"/>
                  <w:vMerge w:val="continue"/>
                  <w:tcBorders>
                    <w:tl2br w:val="nil"/>
                    <w:tr2bl w:val="nil"/>
                  </w:tcBorders>
                  <w:noWrap w:val="0"/>
                  <w:vAlign w:val="center"/>
                </w:tcPr>
                <w:p w14:paraId="7C983F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63" w:type="pct"/>
                  <w:tcBorders>
                    <w:tl2br w:val="nil"/>
                    <w:tr2bl w:val="nil"/>
                  </w:tcBorders>
                  <w:noWrap w:val="0"/>
                  <w:vAlign w:val="center"/>
                </w:tcPr>
                <w:p w14:paraId="571D7C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边坡区</w:t>
                  </w:r>
                </w:p>
              </w:tc>
              <w:tc>
                <w:tcPr>
                  <w:tcW w:w="1018" w:type="dxa"/>
                  <w:tcBorders>
                    <w:tl2br w:val="nil"/>
                    <w:tr2bl w:val="nil"/>
                  </w:tcBorders>
                  <w:noWrap w:val="0"/>
                  <w:vAlign w:val="center"/>
                </w:tcPr>
                <w:p w14:paraId="3119B9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8.58</w:t>
                  </w:r>
                </w:p>
              </w:tc>
              <w:tc>
                <w:tcPr>
                  <w:tcW w:w="849" w:type="dxa"/>
                  <w:tcBorders>
                    <w:tl2br w:val="nil"/>
                    <w:tr2bl w:val="nil"/>
                  </w:tcBorders>
                  <w:noWrap w:val="0"/>
                  <w:vAlign w:val="center"/>
                </w:tcPr>
                <w:p w14:paraId="11B13A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797" w:type="dxa"/>
                  <w:tcBorders>
                    <w:tl2br w:val="nil"/>
                    <w:tr2bl w:val="nil"/>
                  </w:tcBorders>
                  <w:noWrap w:val="0"/>
                  <w:vAlign w:val="center"/>
                </w:tcPr>
                <w:p w14:paraId="073AC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0.84</w:t>
                  </w:r>
                </w:p>
              </w:tc>
              <w:tc>
                <w:tcPr>
                  <w:tcW w:w="560" w:type="dxa"/>
                  <w:tcBorders>
                    <w:tl2br w:val="nil"/>
                    <w:tr2bl w:val="nil"/>
                  </w:tcBorders>
                  <w:noWrap w:val="0"/>
                  <w:vAlign w:val="center"/>
                </w:tcPr>
                <w:p w14:paraId="574CC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0.63</w:t>
                  </w:r>
                </w:p>
              </w:tc>
              <w:tc>
                <w:tcPr>
                  <w:tcW w:w="667" w:type="dxa"/>
                  <w:tcBorders>
                    <w:tl2br w:val="nil"/>
                    <w:tr2bl w:val="nil"/>
                  </w:tcBorders>
                  <w:noWrap w:val="0"/>
                  <w:vAlign w:val="center"/>
                </w:tcPr>
                <w:p w14:paraId="3F65B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7D5586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0.83</w:t>
                  </w:r>
                </w:p>
              </w:tc>
              <w:tc>
                <w:tcPr>
                  <w:tcW w:w="629" w:type="dxa"/>
                  <w:tcBorders>
                    <w:tl2br w:val="nil"/>
                    <w:tr2bl w:val="nil"/>
                  </w:tcBorders>
                  <w:noWrap w:val="0"/>
                  <w:vAlign w:val="bottom"/>
                </w:tcPr>
                <w:p w14:paraId="58EA39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5.08</w:t>
                  </w:r>
                </w:p>
              </w:tc>
              <w:tc>
                <w:tcPr>
                  <w:tcW w:w="600" w:type="pct"/>
                  <w:tcBorders>
                    <w:tl2br w:val="nil"/>
                    <w:tr2bl w:val="nil"/>
                  </w:tcBorders>
                  <w:noWrap w:val="0"/>
                  <w:vAlign w:val="center"/>
                </w:tcPr>
                <w:p w14:paraId="3ECB5C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447F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405" w:type="pct"/>
                  <w:vMerge w:val="continue"/>
                  <w:tcBorders>
                    <w:tl2br w:val="nil"/>
                    <w:tr2bl w:val="nil"/>
                  </w:tcBorders>
                  <w:noWrap w:val="0"/>
                  <w:vAlign w:val="center"/>
                </w:tcPr>
                <w:p w14:paraId="3AAE7E6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4" w:type="pct"/>
                  <w:vMerge w:val="restart"/>
                  <w:tcBorders>
                    <w:tl2br w:val="nil"/>
                    <w:tr2bl w:val="nil"/>
                  </w:tcBorders>
                  <w:noWrap w:val="0"/>
                  <w:vAlign w:val="center"/>
                </w:tcPr>
                <w:p w14:paraId="22995CE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新建道路</w:t>
                  </w:r>
                </w:p>
              </w:tc>
              <w:tc>
                <w:tcPr>
                  <w:tcW w:w="563" w:type="pct"/>
                  <w:tcBorders>
                    <w:tl2br w:val="nil"/>
                    <w:tr2bl w:val="nil"/>
                  </w:tcBorders>
                  <w:noWrap w:val="0"/>
                  <w:vAlign w:val="center"/>
                </w:tcPr>
                <w:p w14:paraId="20C023E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路基区</w:t>
                  </w:r>
                </w:p>
              </w:tc>
              <w:tc>
                <w:tcPr>
                  <w:tcW w:w="1018" w:type="dxa"/>
                  <w:tcBorders>
                    <w:tl2br w:val="nil"/>
                    <w:tr2bl w:val="nil"/>
                  </w:tcBorders>
                  <w:noWrap w:val="0"/>
                  <w:vAlign w:val="center"/>
                </w:tcPr>
                <w:p w14:paraId="40281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0.94</w:t>
                  </w:r>
                </w:p>
              </w:tc>
              <w:tc>
                <w:tcPr>
                  <w:tcW w:w="849" w:type="dxa"/>
                  <w:tcBorders>
                    <w:tl2br w:val="nil"/>
                    <w:tr2bl w:val="nil"/>
                  </w:tcBorders>
                  <w:noWrap w:val="0"/>
                  <w:vAlign w:val="center"/>
                </w:tcPr>
                <w:p w14:paraId="70E69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0.19</w:t>
                  </w:r>
                </w:p>
              </w:tc>
              <w:tc>
                <w:tcPr>
                  <w:tcW w:w="797" w:type="dxa"/>
                  <w:tcBorders>
                    <w:tl2br w:val="nil"/>
                    <w:tr2bl w:val="nil"/>
                  </w:tcBorders>
                  <w:noWrap w:val="0"/>
                  <w:vAlign w:val="center"/>
                </w:tcPr>
                <w:p w14:paraId="2FD4D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4C36F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07880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0.03</w:t>
                  </w:r>
                </w:p>
              </w:tc>
              <w:tc>
                <w:tcPr>
                  <w:tcW w:w="638" w:type="dxa"/>
                  <w:tcBorders>
                    <w:tl2br w:val="nil"/>
                    <w:tr2bl w:val="nil"/>
                  </w:tcBorders>
                  <w:noWrap w:val="0"/>
                  <w:vAlign w:val="center"/>
                </w:tcPr>
                <w:p w14:paraId="4BEFE0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39861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0.72</w:t>
                  </w:r>
                </w:p>
              </w:tc>
              <w:tc>
                <w:tcPr>
                  <w:tcW w:w="600" w:type="pct"/>
                  <w:tcBorders>
                    <w:tl2br w:val="nil"/>
                    <w:tr2bl w:val="nil"/>
                  </w:tcBorders>
                  <w:noWrap w:val="0"/>
                  <w:vAlign w:val="center"/>
                </w:tcPr>
                <w:p w14:paraId="224695D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0205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405" w:type="pct"/>
                  <w:vMerge w:val="continue"/>
                  <w:tcBorders>
                    <w:tl2br w:val="nil"/>
                    <w:tr2bl w:val="nil"/>
                  </w:tcBorders>
                  <w:noWrap w:val="0"/>
                  <w:vAlign w:val="center"/>
                </w:tcPr>
                <w:p w14:paraId="03ACDE1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4" w:type="pct"/>
                  <w:vMerge w:val="continue"/>
                  <w:tcBorders>
                    <w:tl2br w:val="nil"/>
                    <w:tr2bl w:val="nil"/>
                  </w:tcBorders>
                  <w:noWrap w:val="0"/>
                  <w:vAlign w:val="center"/>
                </w:tcPr>
                <w:p w14:paraId="57B76D9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63" w:type="pct"/>
                  <w:tcBorders>
                    <w:tl2br w:val="nil"/>
                    <w:tr2bl w:val="nil"/>
                  </w:tcBorders>
                  <w:noWrap w:val="0"/>
                  <w:vAlign w:val="center"/>
                </w:tcPr>
                <w:p w14:paraId="6D6CEE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边坡区</w:t>
                  </w:r>
                </w:p>
              </w:tc>
              <w:tc>
                <w:tcPr>
                  <w:tcW w:w="1018" w:type="dxa"/>
                  <w:tcBorders>
                    <w:tl2br w:val="nil"/>
                    <w:tr2bl w:val="nil"/>
                  </w:tcBorders>
                  <w:noWrap w:val="0"/>
                  <w:vAlign w:val="center"/>
                </w:tcPr>
                <w:p w14:paraId="527A48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0.42</w:t>
                  </w:r>
                </w:p>
              </w:tc>
              <w:tc>
                <w:tcPr>
                  <w:tcW w:w="849" w:type="dxa"/>
                  <w:tcBorders>
                    <w:tl2br w:val="nil"/>
                    <w:tr2bl w:val="nil"/>
                  </w:tcBorders>
                  <w:noWrap w:val="0"/>
                  <w:vAlign w:val="center"/>
                </w:tcPr>
                <w:p w14:paraId="661397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0.08</w:t>
                  </w:r>
                </w:p>
              </w:tc>
              <w:tc>
                <w:tcPr>
                  <w:tcW w:w="797" w:type="dxa"/>
                  <w:tcBorders>
                    <w:tl2br w:val="nil"/>
                    <w:tr2bl w:val="nil"/>
                  </w:tcBorders>
                  <w:noWrap w:val="0"/>
                  <w:vAlign w:val="center"/>
                </w:tcPr>
                <w:p w14:paraId="53CB2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0B24C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2CF5C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162F8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2B6C2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0.34</w:t>
                  </w:r>
                </w:p>
              </w:tc>
              <w:tc>
                <w:tcPr>
                  <w:tcW w:w="600" w:type="pct"/>
                  <w:tcBorders>
                    <w:tl2br w:val="nil"/>
                    <w:tr2bl w:val="nil"/>
                  </w:tcBorders>
                  <w:noWrap w:val="0"/>
                  <w:vAlign w:val="center"/>
                </w:tcPr>
                <w:p w14:paraId="4A16484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2BE6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1454" w:type="pct"/>
                  <w:gridSpan w:val="3"/>
                  <w:tcBorders>
                    <w:tl2br w:val="nil"/>
                    <w:tr2bl w:val="nil"/>
                  </w:tcBorders>
                  <w:noWrap w:val="0"/>
                  <w:vAlign w:val="center"/>
                </w:tcPr>
                <w:p w14:paraId="4ACFBBC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施工生产生活区</w:t>
                  </w:r>
                </w:p>
              </w:tc>
              <w:tc>
                <w:tcPr>
                  <w:tcW w:w="1018" w:type="dxa"/>
                  <w:tcBorders>
                    <w:tl2br w:val="nil"/>
                    <w:tr2bl w:val="nil"/>
                  </w:tcBorders>
                  <w:noWrap w:val="0"/>
                  <w:vAlign w:val="center"/>
                </w:tcPr>
                <w:p w14:paraId="0F84FF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849" w:type="dxa"/>
                  <w:tcBorders>
                    <w:tl2br w:val="nil"/>
                    <w:tr2bl w:val="nil"/>
                  </w:tcBorders>
                  <w:noWrap w:val="0"/>
                  <w:vAlign w:val="center"/>
                </w:tcPr>
                <w:p w14:paraId="6BB04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797" w:type="dxa"/>
                  <w:tcBorders>
                    <w:tl2br w:val="nil"/>
                    <w:tr2bl w:val="nil"/>
                  </w:tcBorders>
                  <w:noWrap w:val="0"/>
                  <w:vAlign w:val="center"/>
                </w:tcPr>
                <w:p w14:paraId="4D1F1A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1DAF1C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67" w:type="dxa"/>
                  <w:tcBorders>
                    <w:tl2br w:val="nil"/>
                    <w:tr2bl w:val="nil"/>
                  </w:tcBorders>
                  <w:noWrap w:val="0"/>
                  <w:vAlign w:val="center"/>
                </w:tcPr>
                <w:p w14:paraId="53607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406BC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7A4F6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600" w:type="pct"/>
                  <w:tcBorders>
                    <w:tl2br w:val="nil"/>
                    <w:tr2bl w:val="nil"/>
                  </w:tcBorders>
                  <w:noWrap w:val="0"/>
                  <w:vAlign w:val="center"/>
                </w:tcPr>
                <w:p w14:paraId="2A01A2C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5380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1454" w:type="pct"/>
                  <w:gridSpan w:val="3"/>
                  <w:tcBorders>
                    <w:tl2br w:val="nil"/>
                    <w:tr2bl w:val="nil"/>
                  </w:tcBorders>
                  <w:noWrap w:val="0"/>
                  <w:vAlign w:val="center"/>
                </w:tcPr>
                <w:p w14:paraId="233BAE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表土堆场区</w:t>
                  </w:r>
                </w:p>
              </w:tc>
              <w:tc>
                <w:tcPr>
                  <w:tcW w:w="1018" w:type="dxa"/>
                  <w:tcBorders>
                    <w:tl2br w:val="nil"/>
                    <w:tr2bl w:val="nil"/>
                  </w:tcBorders>
                  <w:noWrap w:val="0"/>
                  <w:vAlign w:val="center"/>
                </w:tcPr>
                <w:p w14:paraId="330A07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0.39</w:t>
                  </w:r>
                </w:p>
              </w:tc>
              <w:tc>
                <w:tcPr>
                  <w:tcW w:w="849" w:type="dxa"/>
                  <w:tcBorders>
                    <w:tl2br w:val="nil"/>
                    <w:tr2bl w:val="nil"/>
                  </w:tcBorders>
                  <w:noWrap w:val="0"/>
                  <w:vAlign w:val="center"/>
                </w:tcPr>
                <w:p w14:paraId="39AFB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w:t>
                  </w:r>
                </w:p>
              </w:tc>
              <w:tc>
                <w:tcPr>
                  <w:tcW w:w="797" w:type="dxa"/>
                  <w:tcBorders>
                    <w:tl2br w:val="nil"/>
                    <w:tr2bl w:val="nil"/>
                  </w:tcBorders>
                  <w:noWrap w:val="0"/>
                  <w:vAlign w:val="center"/>
                </w:tcPr>
                <w:p w14:paraId="03580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2BDE9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0.07</w:t>
                  </w:r>
                </w:p>
              </w:tc>
              <w:tc>
                <w:tcPr>
                  <w:tcW w:w="667" w:type="dxa"/>
                  <w:tcBorders>
                    <w:tl2br w:val="nil"/>
                    <w:tr2bl w:val="nil"/>
                  </w:tcBorders>
                  <w:noWrap w:val="0"/>
                  <w:vAlign w:val="center"/>
                </w:tcPr>
                <w:p w14:paraId="6E358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391F2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754DA1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0.24</w:t>
                  </w:r>
                </w:p>
              </w:tc>
              <w:tc>
                <w:tcPr>
                  <w:tcW w:w="600" w:type="pct"/>
                  <w:tcBorders>
                    <w:tl2br w:val="nil"/>
                    <w:tr2bl w:val="nil"/>
                  </w:tcBorders>
                  <w:noWrap w:val="0"/>
                  <w:vAlign w:val="center"/>
                </w:tcPr>
                <w:p w14:paraId="1E663D9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1440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1454" w:type="pct"/>
                  <w:gridSpan w:val="3"/>
                  <w:tcBorders>
                    <w:tl2br w:val="nil"/>
                    <w:tr2bl w:val="nil"/>
                  </w:tcBorders>
                  <w:noWrap w:val="0"/>
                  <w:vAlign w:val="center"/>
                </w:tcPr>
                <w:p w14:paraId="7E0959C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围栏区</w:t>
                  </w:r>
                </w:p>
              </w:tc>
              <w:tc>
                <w:tcPr>
                  <w:tcW w:w="1018" w:type="dxa"/>
                  <w:tcBorders>
                    <w:tl2br w:val="nil"/>
                    <w:tr2bl w:val="nil"/>
                  </w:tcBorders>
                  <w:noWrap w:val="0"/>
                  <w:vAlign w:val="center"/>
                </w:tcPr>
                <w:p w14:paraId="7D6A4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1.55</w:t>
                  </w:r>
                </w:p>
              </w:tc>
              <w:tc>
                <w:tcPr>
                  <w:tcW w:w="849" w:type="dxa"/>
                  <w:tcBorders>
                    <w:tl2br w:val="nil"/>
                    <w:tr2bl w:val="nil"/>
                  </w:tcBorders>
                  <w:noWrap w:val="0"/>
                  <w:vAlign w:val="center"/>
                </w:tcPr>
                <w:p w14:paraId="578823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797" w:type="dxa"/>
                  <w:tcBorders>
                    <w:tl2br w:val="nil"/>
                    <w:tr2bl w:val="nil"/>
                  </w:tcBorders>
                  <w:noWrap w:val="0"/>
                  <w:vAlign w:val="center"/>
                </w:tcPr>
                <w:p w14:paraId="46586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0.08</w:t>
                  </w:r>
                </w:p>
              </w:tc>
              <w:tc>
                <w:tcPr>
                  <w:tcW w:w="560" w:type="dxa"/>
                  <w:tcBorders>
                    <w:tl2br w:val="nil"/>
                    <w:tr2bl w:val="nil"/>
                  </w:tcBorders>
                  <w:noWrap w:val="0"/>
                  <w:vAlign w:val="center"/>
                </w:tcPr>
                <w:p w14:paraId="35388B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0.52</w:t>
                  </w:r>
                </w:p>
              </w:tc>
              <w:tc>
                <w:tcPr>
                  <w:tcW w:w="667" w:type="dxa"/>
                  <w:tcBorders>
                    <w:tl2br w:val="nil"/>
                    <w:tr2bl w:val="nil"/>
                  </w:tcBorders>
                  <w:noWrap w:val="0"/>
                  <w:vAlign w:val="center"/>
                </w:tcPr>
                <w:p w14:paraId="664AC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4FC05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20A53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0.75</w:t>
                  </w:r>
                </w:p>
              </w:tc>
              <w:tc>
                <w:tcPr>
                  <w:tcW w:w="600" w:type="pct"/>
                  <w:tcBorders>
                    <w:tl2br w:val="nil"/>
                    <w:tr2bl w:val="nil"/>
                  </w:tcBorders>
                  <w:noWrap w:val="0"/>
                  <w:vAlign w:val="center"/>
                </w:tcPr>
                <w:p w14:paraId="570144B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76A0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405" w:type="pct"/>
                  <w:vMerge w:val="restart"/>
                  <w:tcBorders>
                    <w:tl2br w:val="nil"/>
                    <w:tr2bl w:val="nil"/>
                  </w:tcBorders>
                  <w:noWrap w:val="0"/>
                  <w:vAlign w:val="center"/>
                </w:tcPr>
                <w:p w14:paraId="6B9E14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集电</w:t>
                  </w:r>
                </w:p>
                <w:p w14:paraId="4D1395E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线路</w:t>
                  </w:r>
                </w:p>
                <w:p w14:paraId="056426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区</w:t>
                  </w:r>
                </w:p>
              </w:tc>
              <w:tc>
                <w:tcPr>
                  <w:tcW w:w="484" w:type="pct"/>
                  <w:vMerge w:val="restart"/>
                  <w:tcBorders>
                    <w:tl2br w:val="nil"/>
                    <w:tr2bl w:val="nil"/>
                  </w:tcBorders>
                  <w:noWrap w:val="0"/>
                  <w:vAlign w:val="center"/>
                </w:tcPr>
                <w:p w14:paraId="72F4E52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直埋线路区</w:t>
                  </w:r>
                </w:p>
              </w:tc>
              <w:tc>
                <w:tcPr>
                  <w:tcW w:w="563" w:type="pct"/>
                  <w:tcBorders>
                    <w:tl2br w:val="nil"/>
                    <w:tr2bl w:val="nil"/>
                  </w:tcBorders>
                  <w:noWrap w:val="0"/>
                  <w:vAlign w:val="center"/>
                </w:tcPr>
                <w:p w14:paraId="2A2391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电缆沟</w:t>
                  </w:r>
                </w:p>
              </w:tc>
              <w:tc>
                <w:tcPr>
                  <w:tcW w:w="1018" w:type="dxa"/>
                  <w:tcBorders>
                    <w:tl2br w:val="nil"/>
                    <w:tr2bl w:val="nil"/>
                  </w:tcBorders>
                  <w:noWrap w:val="0"/>
                  <w:vAlign w:val="center"/>
                </w:tcPr>
                <w:p w14:paraId="2729B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0.3</w:t>
                  </w:r>
                </w:p>
              </w:tc>
              <w:tc>
                <w:tcPr>
                  <w:tcW w:w="849" w:type="dxa"/>
                  <w:tcBorders>
                    <w:tl2br w:val="nil"/>
                    <w:tr2bl w:val="nil"/>
                  </w:tcBorders>
                  <w:noWrap w:val="0"/>
                  <w:vAlign w:val="center"/>
                </w:tcPr>
                <w:p w14:paraId="3D30AF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0.02</w:t>
                  </w:r>
                </w:p>
              </w:tc>
              <w:tc>
                <w:tcPr>
                  <w:tcW w:w="797" w:type="dxa"/>
                  <w:tcBorders>
                    <w:tl2br w:val="nil"/>
                    <w:tr2bl w:val="nil"/>
                  </w:tcBorders>
                  <w:noWrap w:val="0"/>
                  <w:vAlign w:val="center"/>
                </w:tcPr>
                <w:p w14:paraId="3688F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70D06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w:t>
                  </w:r>
                </w:p>
              </w:tc>
              <w:tc>
                <w:tcPr>
                  <w:tcW w:w="667" w:type="dxa"/>
                  <w:tcBorders>
                    <w:tl2br w:val="nil"/>
                    <w:tr2bl w:val="nil"/>
                  </w:tcBorders>
                  <w:noWrap w:val="0"/>
                  <w:vAlign w:val="center"/>
                </w:tcPr>
                <w:p w14:paraId="37D81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eastAsia="宋体" w:cs="Times New Roman"/>
                      <w:i w:val="0"/>
                      <w:iCs w:val="0"/>
                      <w:color w:val="auto"/>
                      <w:kern w:val="0"/>
                      <w:sz w:val="21"/>
                      <w:szCs w:val="21"/>
                      <w:highlight w:val="none"/>
                      <w:u w:val="none"/>
                      <w:lang w:val="en-US" w:eastAsia="zh-CN" w:bidi="ar"/>
                    </w:rPr>
                    <w:t>0.07</w:t>
                  </w:r>
                </w:p>
              </w:tc>
              <w:tc>
                <w:tcPr>
                  <w:tcW w:w="638" w:type="dxa"/>
                  <w:tcBorders>
                    <w:tl2br w:val="nil"/>
                    <w:tr2bl w:val="nil"/>
                  </w:tcBorders>
                  <w:noWrap w:val="0"/>
                  <w:vAlign w:val="center"/>
                </w:tcPr>
                <w:p w14:paraId="547F3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0.13</w:t>
                  </w:r>
                </w:p>
              </w:tc>
              <w:tc>
                <w:tcPr>
                  <w:tcW w:w="629" w:type="dxa"/>
                  <w:tcBorders>
                    <w:tl2br w:val="nil"/>
                    <w:tr2bl w:val="nil"/>
                  </w:tcBorders>
                  <w:noWrap w:val="0"/>
                  <w:vAlign w:val="bottom"/>
                </w:tcPr>
                <w:p w14:paraId="0B39A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w:t>
                  </w:r>
                  <w:r>
                    <w:rPr>
                      <w:rFonts w:hint="eastAsia" w:eastAsia="宋体" w:cs="Times New Roman"/>
                      <w:i w:val="0"/>
                      <w:iCs w:val="0"/>
                      <w:color w:val="auto"/>
                      <w:kern w:val="0"/>
                      <w:sz w:val="21"/>
                      <w:szCs w:val="21"/>
                      <w:highlight w:val="none"/>
                      <w:u w:val="none"/>
                      <w:lang w:val="en-US" w:eastAsia="zh-CN" w:bidi="ar"/>
                    </w:rPr>
                    <w:t>9</w:t>
                  </w:r>
                </w:p>
              </w:tc>
              <w:tc>
                <w:tcPr>
                  <w:tcW w:w="600" w:type="pct"/>
                  <w:tcBorders>
                    <w:tl2br w:val="nil"/>
                    <w:tr2bl w:val="nil"/>
                  </w:tcBorders>
                  <w:noWrap w:val="0"/>
                  <w:vAlign w:val="center"/>
                </w:tcPr>
                <w:p w14:paraId="60E0B29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6926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trPr>
              <w:tc>
                <w:tcPr>
                  <w:tcW w:w="405" w:type="pct"/>
                  <w:vMerge w:val="continue"/>
                  <w:tcBorders>
                    <w:tl2br w:val="nil"/>
                    <w:tr2bl w:val="nil"/>
                  </w:tcBorders>
                  <w:noWrap w:val="0"/>
                  <w:vAlign w:val="center"/>
                </w:tcPr>
                <w:p w14:paraId="4222508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4" w:type="pct"/>
                  <w:vMerge w:val="continue"/>
                  <w:tcBorders>
                    <w:tl2br w:val="nil"/>
                    <w:tr2bl w:val="nil"/>
                  </w:tcBorders>
                  <w:noWrap w:val="0"/>
                  <w:vAlign w:val="center"/>
                </w:tcPr>
                <w:p w14:paraId="57BC49C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63" w:type="pct"/>
                  <w:tcBorders>
                    <w:tl2br w:val="nil"/>
                    <w:tr2bl w:val="nil"/>
                  </w:tcBorders>
                  <w:noWrap w:val="0"/>
                  <w:vAlign w:val="center"/>
                </w:tcPr>
                <w:p w14:paraId="4687D0B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施工场地</w:t>
                  </w:r>
                </w:p>
              </w:tc>
              <w:tc>
                <w:tcPr>
                  <w:tcW w:w="1018" w:type="dxa"/>
                  <w:tcBorders>
                    <w:tl2br w:val="nil"/>
                    <w:tr2bl w:val="nil"/>
                  </w:tcBorders>
                  <w:noWrap w:val="0"/>
                  <w:vAlign w:val="center"/>
                </w:tcPr>
                <w:p w14:paraId="48B57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1.25</w:t>
                  </w:r>
                </w:p>
              </w:tc>
              <w:tc>
                <w:tcPr>
                  <w:tcW w:w="849" w:type="dxa"/>
                  <w:tcBorders>
                    <w:tl2br w:val="nil"/>
                    <w:tr2bl w:val="nil"/>
                  </w:tcBorders>
                  <w:noWrap w:val="0"/>
                  <w:vAlign w:val="center"/>
                </w:tcPr>
                <w:p w14:paraId="04DCF1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0.13</w:t>
                  </w:r>
                </w:p>
              </w:tc>
              <w:tc>
                <w:tcPr>
                  <w:tcW w:w="797" w:type="dxa"/>
                  <w:tcBorders>
                    <w:tl2br w:val="nil"/>
                    <w:tr2bl w:val="nil"/>
                  </w:tcBorders>
                  <w:noWrap w:val="0"/>
                  <w:vAlign w:val="center"/>
                </w:tcPr>
                <w:p w14:paraId="2A286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6EA77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0.33</w:t>
                  </w:r>
                </w:p>
              </w:tc>
              <w:tc>
                <w:tcPr>
                  <w:tcW w:w="667" w:type="dxa"/>
                  <w:tcBorders>
                    <w:tl2br w:val="nil"/>
                    <w:tr2bl w:val="nil"/>
                  </w:tcBorders>
                  <w:noWrap w:val="0"/>
                  <w:vAlign w:val="center"/>
                </w:tcPr>
                <w:p w14:paraId="37D6A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00003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781E1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0.79</w:t>
                  </w:r>
                </w:p>
              </w:tc>
              <w:tc>
                <w:tcPr>
                  <w:tcW w:w="600" w:type="pct"/>
                  <w:tcBorders>
                    <w:tl2br w:val="nil"/>
                    <w:tr2bl w:val="nil"/>
                  </w:tcBorders>
                  <w:noWrap w:val="0"/>
                  <w:vAlign w:val="center"/>
                </w:tcPr>
                <w:p w14:paraId="581EDDD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0455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405" w:type="pct"/>
                  <w:vMerge w:val="continue"/>
                  <w:tcBorders>
                    <w:tl2br w:val="nil"/>
                    <w:tr2bl w:val="nil"/>
                  </w:tcBorders>
                  <w:noWrap w:val="0"/>
                  <w:vAlign w:val="center"/>
                </w:tcPr>
                <w:p w14:paraId="3EA47E2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4" w:type="pct"/>
                  <w:vMerge w:val="restart"/>
                  <w:tcBorders>
                    <w:tl2br w:val="nil"/>
                    <w:tr2bl w:val="nil"/>
                  </w:tcBorders>
                  <w:noWrap w:val="0"/>
                  <w:vAlign w:val="center"/>
                </w:tcPr>
                <w:p w14:paraId="511404C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架空线路区</w:t>
                  </w:r>
                </w:p>
              </w:tc>
              <w:tc>
                <w:tcPr>
                  <w:tcW w:w="563" w:type="pct"/>
                  <w:tcBorders>
                    <w:tl2br w:val="nil"/>
                    <w:tr2bl w:val="nil"/>
                  </w:tcBorders>
                  <w:noWrap w:val="0"/>
                  <w:vAlign w:val="center"/>
                </w:tcPr>
                <w:p w14:paraId="1C54844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塔基区</w:t>
                  </w:r>
                </w:p>
              </w:tc>
              <w:tc>
                <w:tcPr>
                  <w:tcW w:w="1018" w:type="dxa"/>
                  <w:tcBorders>
                    <w:tl2br w:val="nil"/>
                    <w:tr2bl w:val="nil"/>
                  </w:tcBorders>
                  <w:noWrap w:val="0"/>
                  <w:vAlign w:val="center"/>
                </w:tcPr>
                <w:p w14:paraId="345F4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2.41</w:t>
                  </w:r>
                </w:p>
              </w:tc>
              <w:tc>
                <w:tcPr>
                  <w:tcW w:w="849" w:type="dxa"/>
                  <w:tcBorders>
                    <w:tl2br w:val="nil"/>
                    <w:tr2bl w:val="nil"/>
                  </w:tcBorders>
                  <w:noWrap w:val="0"/>
                  <w:vAlign w:val="center"/>
                </w:tcPr>
                <w:p w14:paraId="752D77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c>
                <w:tcPr>
                  <w:tcW w:w="797" w:type="dxa"/>
                  <w:tcBorders>
                    <w:tl2br w:val="nil"/>
                    <w:tr2bl w:val="nil"/>
                  </w:tcBorders>
                  <w:noWrap w:val="0"/>
                  <w:vAlign w:val="center"/>
                </w:tcPr>
                <w:p w14:paraId="435EC7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589FC0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0.04</w:t>
                  </w:r>
                </w:p>
              </w:tc>
              <w:tc>
                <w:tcPr>
                  <w:tcW w:w="667" w:type="dxa"/>
                  <w:tcBorders>
                    <w:tl2br w:val="nil"/>
                    <w:tr2bl w:val="nil"/>
                  </w:tcBorders>
                  <w:noWrap w:val="0"/>
                  <w:vAlign w:val="center"/>
                </w:tcPr>
                <w:p w14:paraId="36EAB6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0.51</w:t>
                  </w:r>
                </w:p>
              </w:tc>
              <w:tc>
                <w:tcPr>
                  <w:tcW w:w="638" w:type="dxa"/>
                  <w:tcBorders>
                    <w:tl2br w:val="nil"/>
                    <w:tr2bl w:val="nil"/>
                  </w:tcBorders>
                  <w:noWrap w:val="0"/>
                  <w:vAlign w:val="center"/>
                </w:tcPr>
                <w:p w14:paraId="4282F0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1.72</w:t>
                  </w:r>
                </w:p>
              </w:tc>
              <w:tc>
                <w:tcPr>
                  <w:tcW w:w="629" w:type="dxa"/>
                  <w:tcBorders>
                    <w:tl2br w:val="nil"/>
                    <w:tr2bl w:val="nil"/>
                  </w:tcBorders>
                  <w:noWrap w:val="0"/>
                  <w:vAlign w:val="bottom"/>
                </w:tcPr>
                <w:p w14:paraId="61AC66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w:t>
                  </w:r>
                </w:p>
              </w:tc>
              <w:tc>
                <w:tcPr>
                  <w:tcW w:w="600" w:type="pct"/>
                  <w:tcBorders>
                    <w:tl2br w:val="nil"/>
                    <w:tr2bl w:val="nil"/>
                  </w:tcBorders>
                  <w:noWrap w:val="0"/>
                  <w:vAlign w:val="center"/>
                </w:tcPr>
                <w:p w14:paraId="0726328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永久占地</w:t>
                  </w:r>
                </w:p>
              </w:tc>
            </w:tr>
            <w:tr w14:paraId="3105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trPr>
              <w:tc>
                <w:tcPr>
                  <w:tcW w:w="405" w:type="pct"/>
                  <w:vMerge w:val="continue"/>
                  <w:tcBorders>
                    <w:tl2br w:val="nil"/>
                    <w:tr2bl w:val="nil"/>
                  </w:tcBorders>
                  <w:noWrap w:val="0"/>
                  <w:vAlign w:val="center"/>
                </w:tcPr>
                <w:p w14:paraId="3CD83E4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84" w:type="pct"/>
                  <w:vMerge w:val="continue"/>
                  <w:tcBorders>
                    <w:tl2br w:val="nil"/>
                    <w:tr2bl w:val="nil"/>
                  </w:tcBorders>
                  <w:noWrap w:val="0"/>
                  <w:vAlign w:val="center"/>
                </w:tcPr>
                <w:p w14:paraId="43C93C7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63" w:type="pct"/>
                  <w:tcBorders>
                    <w:tl2br w:val="nil"/>
                    <w:tr2bl w:val="nil"/>
                  </w:tcBorders>
                  <w:noWrap w:val="0"/>
                  <w:vAlign w:val="center"/>
                </w:tcPr>
                <w:p w14:paraId="4B1239B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施工场地</w:t>
                  </w:r>
                </w:p>
              </w:tc>
              <w:tc>
                <w:tcPr>
                  <w:tcW w:w="1018" w:type="dxa"/>
                  <w:tcBorders>
                    <w:tl2br w:val="nil"/>
                    <w:tr2bl w:val="nil"/>
                  </w:tcBorders>
                  <w:noWrap w:val="0"/>
                  <w:vAlign w:val="center"/>
                </w:tcPr>
                <w:p w14:paraId="1ED074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2.68</w:t>
                  </w:r>
                </w:p>
              </w:tc>
              <w:tc>
                <w:tcPr>
                  <w:tcW w:w="849" w:type="dxa"/>
                  <w:tcBorders>
                    <w:tl2br w:val="nil"/>
                    <w:tr2bl w:val="nil"/>
                  </w:tcBorders>
                  <w:noWrap w:val="0"/>
                  <w:vAlign w:val="center"/>
                </w:tcPr>
                <w:p w14:paraId="52B8C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0.03</w:t>
                  </w:r>
                </w:p>
              </w:tc>
              <w:tc>
                <w:tcPr>
                  <w:tcW w:w="797" w:type="dxa"/>
                  <w:tcBorders>
                    <w:tl2br w:val="nil"/>
                    <w:tr2bl w:val="nil"/>
                  </w:tcBorders>
                  <w:noWrap w:val="0"/>
                  <w:vAlign w:val="center"/>
                </w:tcPr>
                <w:p w14:paraId="6454D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560" w:type="dxa"/>
                  <w:tcBorders>
                    <w:tl2br w:val="nil"/>
                    <w:tr2bl w:val="nil"/>
                  </w:tcBorders>
                  <w:noWrap w:val="0"/>
                  <w:vAlign w:val="center"/>
                </w:tcPr>
                <w:p w14:paraId="067588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0.03</w:t>
                  </w:r>
                </w:p>
              </w:tc>
              <w:tc>
                <w:tcPr>
                  <w:tcW w:w="667" w:type="dxa"/>
                  <w:tcBorders>
                    <w:tl2br w:val="nil"/>
                    <w:tr2bl w:val="nil"/>
                  </w:tcBorders>
                  <w:noWrap w:val="0"/>
                  <w:vAlign w:val="center"/>
                </w:tcPr>
                <w:p w14:paraId="050CF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38" w:type="dxa"/>
                  <w:tcBorders>
                    <w:tl2br w:val="nil"/>
                    <w:tr2bl w:val="nil"/>
                  </w:tcBorders>
                  <w:noWrap w:val="0"/>
                  <w:vAlign w:val="center"/>
                </w:tcPr>
                <w:p w14:paraId="1BDBB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629" w:type="dxa"/>
                  <w:tcBorders>
                    <w:tl2br w:val="nil"/>
                    <w:tr2bl w:val="nil"/>
                  </w:tcBorders>
                  <w:noWrap w:val="0"/>
                  <w:vAlign w:val="bottom"/>
                </w:tcPr>
                <w:p w14:paraId="5DE51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2.62</w:t>
                  </w:r>
                </w:p>
              </w:tc>
              <w:tc>
                <w:tcPr>
                  <w:tcW w:w="600" w:type="pct"/>
                  <w:tcBorders>
                    <w:tl2br w:val="nil"/>
                    <w:tr2bl w:val="nil"/>
                  </w:tcBorders>
                  <w:noWrap w:val="0"/>
                  <w:vAlign w:val="center"/>
                </w:tcPr>
                <w:p w14:paraId="24D52F9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临时占地</w:t>
                  </w:r>
                </w:p>
              </w:tc>
            </w:tr>
            <w:tr w14:paraId="1FE4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1454" w:type="pct"/>
                  <w:gridSpan w:val="3"/>
                  <w:tcBorders>
                    <w:tl2br w:val="nil"/>
                    <w:tr2bl w:val="nil"/>
                  </w:tcBorders>
                  <w:noWrap w:val="0"/>
                  <w:vAlign w:val="center"/>
                </w:tcPr>
                <w:p w14:paraId="6F48E3B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合计</w:t>
                  </w:r>
                </w:p>
              </w:tc>
              <w:tc>
                <w:tcPr>
                  <w:tcW w:w="1018" w:type="dxa"/>
                  <w:tcBorders>
                    <w:tl2br w:val="nil"/>
                    <w:tr2bl w:val="nil"/>
                  </w:tcBorders>
                  <w:noWrap w:val="0"/>
                  <w:vAlign w:val="center"/>
                </w:tcPr>
                <w:p w14:paraId="404E8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203.14</w:t>
                  </w:r>
                </w:p>
              </w:tc>
              <w:tc>
                <w:tcPr>
                  <w:tcW w:w="849" w:type="dxa"/>
                  <w:tcBorders>
                    <w:tl2br w:val="nil"/>
                    <w:tr2bl w:val="nil"/>
                  </w:tcBorders>
                  <w:noWrap w:val="0"/>
                  <w:vAlign w:val="center"/>
                </w:tcPr>
                <w:p w14:paraId="2F7DF2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65.19</w:t>
                  </w:r>
                </w:p>
              </w:tc>
              <w:tc>
                <w:tcPr>
                  <w:tcW w:w="797" w:type="dxa"/>
                  <w:tcBorders>
                    <w:tl2br w:val="nil"/>
                    <w:tr2bl w:val="nil"/>
                  </w:tcBorders>
                  <w:noWrap w:val="0"/>
                  <w:vAlign w:val="center"/>
                </w:tcPr>
                <w:p w14:paraId="6C6742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7.75</w:t>
                  </w:r>
                </w:p>
              </w:tc>
              <w:tc>
                <w:tcPr>
                  <w:tcW w:w="560" w:type="dxa"/>
                  <w:tcBorders>
                    <w:tl2br w:val="nil"/>
                    <w:tr2bl w:val="nil"/>
                  </w:tcBorders>
                  <w:noWrap w:val="0"/>
                  <w:vAlign w:val="center"/>
                </w:tcPr>
                <w:p w14:paraId="798E7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20.92</w:t>
                  </w:r>
                </w:p>
              </w:tc>
              <w:tc>
                <w:tcPr>
                  <w:tcW w:w="667" w:type="dxa"/>
                  <w:tcBorders>
                    <w:tl2br w:val="nil"/>
                    <w:tr2bl w:val="nil"/>
                  </w:tcBorders>
                  <w:noWrap w:val="0"/>
                  <w:vAlign w:val="center"/>
                </w:tcPr>
                <w:p w14:paraId="2D59C6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0.61</w:t>
                  </w:r>
                </w:p>
              </w:tc>
              <w:tc>
                <w:tcPr>
                  <w:tcW w:w="638" w:type="dxa"/>
                  <w:tcBorders>
                    <w:tl2br w:val="nil"/>
                    <w:tr2bl w:val="nil"/>
                  </w:tcBorders>
                  <w:noWrap w:val="0"/>
                  <w:vAlign w:val="center"/>
                </w:tcPr>
                <w:p w14:paraId="46217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4.95</w:t>
                  </w:r>
                </w:p>
              </w:tc>
              <w:tc>
                <w:tcPr>
                  <w:tcW w:w="629" w:type="dxa"/>
                  <w:tcBorders>
                    <w:tl2br w:val="nil"/>
                    <w:tr2bl w:val="nil"/>
                  </w:tcBorders>
                  <w:noWrap w:val="0"/>
                  <w:vAlign w:val="center"/>
                </w:tcPr>
                <w:p w14:paraId="03F62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103.72</w:t>
                  </w:r>
                </w:p>
              </w:tc>
              <w:tc>
                <w:tcPr>
                  <w:tcW w:w="600" w:type="pct"/>
                  <w:tcBorders>
                    <w:tl2br w:val="nil"/>
                    <w:tr2bl w:val="nil"/>
                  </w:tcBorders>
                  <w:noWrap w:val="0"/>
                  <w:vAlign w:val="center"/>
                </w:tcPr>
                <w:p w14:paraId="182BEFF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bl>
          <w:p w14:paraId="493A8A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baseline"/>
              <w:rPr>
                <w:rFonts w:hint="default" w:ascii="Times New Roman" w:hAnsi="Times New Roman" w:eastAsia="仿宋" w:cs="Times New Roman"/>
                <w:b/>
                <w:bCs/>
                <w:color w:val="auto"/>
                <w:highlight w:val="none"/>
                <w:lang w:val="en-US" w:eastAsia="zh-CN"/>
              </w:rPr>
            </w:pPr>
            <w:r>
              <w:rPr>
                <w:rFonts w:hint="default" w:ascii="Times New Roman" w:hAnsi="Times New Roman" w:eastAsia="仿宋" w:cs="Times New Roman"/>
                <w:b/>
                <w:bCs/>
                <w:color w:val="auto"/>
                <w:highlight w:val="none"/>
                <w:lang w:val="en-US" w:eastAsia="zh-CN"/>
              </w:rPr>
              <w:t>（2）移民安置</w:t>
            </w:r>
          </w:p>
          <w:p w14:paraId="360415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本项目未涉及移民搬迁。</w:t>
            </w:r>
          </w:p>
          <w:p w14:paraId="7EE3F56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 xml:space="preserve">（九） </w:t>
            </w:r>
            <w:r>
              <w:rPr>
                <w:rFonts w:hint="default" w:ascii="Times New Roman" w:hAnsi="Times New Roman" w:eastAsia="仿宋" w:cs="Times New Roman"/>
                <w:b/>
                <w:bCs/>
                <w:color w:val="auto"/>
                <w:highlight w:val="none"/>
                <w:lang w:val="en-US" w:eastAsia="zh-CN"/>
              </w:rPr>
              <w:t>农光互补</w:t>
            </w:r>
          </w:p>
          <w:p w14:paraId="1DF692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光伏区需开展农业种植，以满足云南省光伏复合项目建设要求，由于农业种植部分具体种植、经营、销售等实施方式还不确定，本次不进行评价。待农业种植方案确定后，建设单位依据相关法律法规的要求，另行办理</w:t>
            </w:r>
            <w:r>
              <w:rPr>
                <w:rFonts w:hint="eastAsia" w:cs="Times New Roman"/>
                <w:color w:val="auto"/>
                <w:sz w:val="24"/>
                <w:highlight w:val="none"/>
                <w:lang w:val="en-US" w:eastAsia="zh-CN"/>
              </w:rPr>
              <w:t>审批</w:t>
            </w:r>
            <w:r>
              <w:rPr>
                <w:rFonts w:hint="default" w:ascii="Times New Roman" w:hAnsi="Times New Roman" w:eastAsia="仿宋" w:cs="Times New Roman"/>
                <w:color w:val="auto"/>
                <w:sz w:val="24"/>
                <w:highlight w:val="none"/>
                <w:lang w:val="en-US" w:eastAsia="zh-CN"/>
              </w:rPr>
              <w:t>手续。</w:t>
            </w:r>
          </w:p>
          <w:p w14:paraId="52E580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 xml:space="preserve">（十） </w:t>
            </w:r>
            <w:r>
              <w:rPr>
                <w:rFonts w:hint="default" w:ascii="Times New Roman" w:hAnsi="Times New Roman" w:eastAsia="仿宋" w:cs="Times New Roman"/>
                <w:b/>
                <w:bCs/>
                <w:color w:val="auto"/>
                <w:highlight w:val="none"/>
                <w:lang w:val="en-US" w:eastAsia="zh-CN"/>
              </w:rPr>
              <w:t>工作制度及劳动定员</w:t>
            </w:r>
          </w:p>
          <w:p w14:paraId="27C2155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highlight w:val="none"/>
                <w:lang w:eastAsia="zh-CN"/>
              </w:rPr>
              <w:t>本项目劳动定员</w:t>
            </w:r>
            <w:r>
              <w:rPr>
                <w:rFonts w:hint="default" w:ascii="Times New Roman" w:hAnsi="Times New Roman" w:eastAsia="仿宋" w:cs="Times New Roman"/>
                <w:color w:val="auto"/>
                <w:sz w:val="24"/>
                <w:highlight w:val="none"/>
                <w:lang w:val="en-US" w:eastAsia="zh-CN"/>
              </w:rPr>
              <w:t>9人</w:t>
            </w:r>
            <w:r>
              <w:rPr>
                <w:rFonts w:hint="eastAsia" w:cs="Times New Roman"/>
                <w:color w:val="auto"/>
                <w:sz w:val="24"/>
                <w:highlight w:val="none"/>
                <w:lang w:val="en-US" w:eastAsia="zh-CN"/>
              </w:rPr>
              <w:t>（含乜六沟、马路沟光伏项目运维人员）</w:t>
            </w:r>
            <w:r>
              <w:rPr>
                <w:rFonts w:hint="default" w:ascii="Times New Roman" w:hAnsi="Times New Roman" w:eastAsia="仿宋" w:cs="Times New Roman"/>
                <w:color w:val="auto"/>
                <w:sz w:val="24"/>
                <w:highlight w:val="none"/>
                <w:lang w:val="en-US" w:eastAsia="zh-CN"/>
              </w:rPr>
              <w:t>，均在项目内食宿。工作人员主要负责运行监控、日常保养、故障维修和事故报告等。采用三班制，每年工作365天。</w:t>
            </w:r>
          </w:p>
          <w:p w14:paraId="7215EE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 w:cs="Times New Roman"/>
                <w:b/>
                <w:bCs/>
                <w:color w:val="auto"/>
                <w:highlight w:val="none"/>
                <w:lang w:val="en-US" w:eastAsia="zh-CN"/>
              </w:rPr>
            </w:pPr>
            <w:r>
              <w:rPr>
                <w:rFonts w:hint="eastAsia" w:cs="Times New Roman"/>
                <w:b/>
                <w:bCs/>
                <w:color w:val="auto"/>
                <w:highlight w:val="none"/>
                <w:lang w:val="en-US" w:eastAsia="zh-CN"/>
              </w:rPr>
              <w:t xml:space="preserve">（十一） </w:t>
            </w:r>
            <w:r>
              <w:rPr>
                <w:rFonts w:hint="default" w:ascii="Times New Roman" w:hAnsi="Times New Roman" w:eastAsia="仿宋" w:cs="Times New Roman"/>
                <w:b/>
                <w:bCs/>
                <w:color w:val="auto"/>
                <w:highlight w:val="none"/>
                <w:lang w:val="en-US" w:eastAsia="zh-CN"/>
              </w:rPr>
              <w:t>工程特性表</w:t>
            </w:r>
          </w:p>
          <w:p w14:paraId="61D7B3C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本项目光伏发电工程特性详见下表。</w:t>
            </w:r>
          </w:p>
          <w:p w14:paraId="4216467E">
            <w:pPr>
              <w:keepNext w:val="0"/>
              <w:keepLines w:val="0"/>
              <w:pageBreakBefore w:val="0"/>
              <w:widowControl w:val="0"/>
              <w:suppressLineNumbers w:val="0"/>
              <w:kinsoku/>
              <w:wordWrap/>
              <w:overflowPunct/>
              <w:topLinePunct w:val="0"/>
              <w:autoSpaceDE w:val="0"/>
              <w:autoSpaceDN w:val="0"/>
              <w:bidi w:val="0"/>
              <w:adjustRightInd w:val="0"/>
              <w:snapToGrid w:val="0"/>
              <w:spacing w:before="157" w:beforeLines="50" w:beforeAutospacing="0" w:after="0" w:afterAutospacing="0" w:line="240" w:lineRule="auto"/>
              <w:ind w:left="0" w:right="0"/>
              <w:jc w:val="center"/>
              <w:textAlignment w:val="auto"/>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 xml:space="preserve">2.3-4 </w:t>
            </w:r>
            <w:r>
              <w:rPr>
                <w:rFonts w:hint="default" w:ascii="Times New Roman" w:hAnsi="Times New Roman" w:eastAsia="仿宋" w:cs="Times New Roman"/>
                <w:b/>
                <w:color w:val="auto"/>
                <w:sz w:val="21"/>
                <w:szCs w:val="21"/>
                <w:highlight w:val="none"/>
              </w:rPr>
              <w:t>项目工程特性表</w:t>
            </w:r>
          </w:p>
          <w:tbl>
            <w:tblPr>
              <w:tblStyle w:val="10"/>
              <w:tblW w:w="4881"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1"/>
              <w:gridCol w:w="3070"/>
              <w:gridCol w:w="1145"/>
              <w:gridCol w:w="62"/>
              <w:gridCol w:w="2537"/>
              <w:gridCol w:w="27"/>
              <w:gridCol w:w="1094"/>
            </w:tblGrid>
            <w:tr w14:paraId="381A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10905A7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序号</w:t>
                  </w:r>
                </w:p>
              </w:tc>
              <w:tc>
                <w:tcPr>
                  <w:tcW w:w="3070" w:type="dxa"/>
                  <w:tcBorders>
                    <w:tl2br w:val="nil"/>
                    <w:tr2bl w:val="nil"/>
                  </w:tcBorders>
                  <w:noWrap w:val="0"/>
                  <w:vAlign w:val="center"/>
                </w:tcPr>
                <w:p w14:paraId="6A3D9B0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项目名称</w:t>
                  </w:r>
                </w:p>
              </w:tc>
              <w:tc>
                <w:tcPr>
                  <w:tcW w:w="1145" w:type="dxa"/>
                  <w:tcBorders>
                    <w:tl2br w:val="nil"/>
                    <w:tr2bl w:val="nil"/>
                  </w:tcBorders>
                  <w:noWrap w:val="0"/>
                  <w:vAlign w:val="center"/>
                </w:tcPr>
                <w:p w14:paraId="4809DA5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单位</w:t>
                  </w:r>
                </w:p>
              </w:tc>
              <w:tc>
                <w:tcPr>
                  <w:tcW w:w="2599" w:type="dxa"/>
                  <w:gridSpan w:val="2"/>
                  <w:tcBorders>
                    <w:tl2br w:val="nil"/>
                    <w:tr2bl w:val="nil"/>
                  </w:tcBorders>
                  <w:noWrap w:val="0"/>
                  <w:vAlign w:val="center"/>
                </w:tcPr>
                <w:p w14:paraId="5034B7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数量</w:t>
                  </w:r>
                </w:p>
              </w:tc>
              <w:tc>
                <w:tcPr>
                  <w:tcW w:w="1121" w:type="dxa"/>
                  <w:gridSpan w:val="2"/>
                  <w:tcBorders>
                    <w:tl2br w:val="nil"/>
                    <w:tr2bl w:val="nil"/>
                  </w:tcBorders>
                  <w:noWrap w:val="0"/>
                  <w:vAlign w:val="center"/>
                </w:tcPr>
                <w:p w14:paraId="55DE7A0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备注</w:t>
                  </w:r>
                </w:p>
              </w:tc>
            </w:tr>
            <w:tr w14:paraId="3FE7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546" w:type="dxa"/>
                  <w:gridSpan w:val="7"/>
                  <w:tcBorders>
                    <w:tl2br w:val="nil"/>
                    <w:tr2bl w:val="nil"/>
                  </w:tcBorders>
                  <w:noWrap w:val="0"/>
                  <w:vAlign w:val="center"/>
                </w:tcPr>
                <w:p w14:paraId="1A5F8B0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一、光伏发电工程</w:t>
                  </w:r>
                </w:p>
              </w:tc>
            </w:tr>
            <w:tr w14:paraId="5BC6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trPr>
              <w:tc>
                <w:tcPr>
                  <w:tcW w:w="611" w:type="dxa"/>
                  <w:vMerge w:val="restart"/>
                  <w:tcBorders>
                    <w:tl2br w:val="nil"/>
                    <w:tr2bl w:val="nil"/>
                  </w:tcBorders>
                  <w:noWrap w:val="0"/>
                  <w:vAlign w:val="center"/>
                </w:tcPr>
                <w:p w14:paraId="1F975B4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3070" w:type="dxa"/>
                  <w:vMerge w:val="restart"/>
                  <w:tcBorders>
                    <w:tl2br w:val="nil"/>
                    <w:tr2bl w:val="nil"/>
                  </w:tcBorders>
                  <w:noWrap w:val="0"/>
                  <w:vAlign w:val="center"/>
                </w:tcPr>
                <w:p w14:paraId="399B21A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装机容量</w:t>
                  </w:r>
                </w:p>
              </w:tc>
              <w:tc>
                <w:tcPr>
                  <w:tcW w:w="1145" w:type="dxa"/>
                  <w:tcBorders>
                    <w:tl2br w:val="nil"/>
                    <w:tr2bl w:val="nil"/>
                  </w:tcBorders>
                  <w:noWrap w:val="0"/>
                  <w:vAlign w:val="center"/>
                </w:tcPr>
                <w:p w14:paraId="5D4BBB1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MW</w:t>
                  </w:r>
                  <w:r>
                    <w:rPr>
                      <w:rFonts w:hint="eastAsia" w:cs="Times New Roman"/>
                      <w:color w:val="auto"/>
                      <w:sz w:val="21"/>
                      <w:szCs w:val="21"/>
                      <w:highlight w:val="none"/>
                      <w:lang w:val="en-US" w:eastAsia="zh-CN"/>
                    </w:rPr>
                    <w:t>ac</w:t>
                  </w:r>
                </w:p>
              </w:tc>
              <w:tc>
                <w:tcPr>
                  <w:tcW w:w="2599" w:type="dxa"/>
                  <w:gridSpan w:val="2"/>
                  <w:tcBorders>
                    <w:tl2br w:val="nil"/>
                    <w:tr2bl w:val="nil"/>
                  </w:tcBorders>
                  <w:noWrap w:val="0"/>
                  <w:vAlign w:val="center"/>
                </w:tcPr>
                <w:p w14:paraId="37D68B0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148</w:t>
                  </w:r>
                </w:p>
              </w:tc>
              <w:tc>
                <w:tcPr>
                  <w:tcW w:w="1121" w:type="dxa"/>
                  <w:gridSpan w:val="2"/>
                  <w:tcBorders>
                    <w:tl2br w:val="nil"/>
                    <w:tr2bl w:val="nil"/>
                  </w:tcBorders>
                  <w:noWrap w:val="0"/>
                  <w:vAlign w:val="center"/>
                </w:tcPr>
                <w:p w14:paraId="0527E5C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989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trPr>
              <w:tc>
                <w:tcPr>
                  <w:tcW w:w="611" w:type="dxa"/>
                  <w:vMerge w:val="continue"/>
                  <w:tcBorders>
                    <w:tl2br w:val="nil"/>
                    <w:tr2bl w:val="nil"/>
                  </w:tcBorders>
                  <w:noWrap w:val="0"/>
                  <w:vAlign w:val="center"/>
                </w:tcPr>
                <w:p w14:paraId="7579F4F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color w:val="auto"/>
                      <w:highlight w:val="none"/>
                    </w:rPr>
                  </w:pPr>
                </w:p>
              </w:tc>
              <w:tc>
                <w:tcPr>
                  <w:tcW w:w="3070" w:type="dxa"/>
                  <w:vMerge w:val="continue"/>
                  <w:tcBorders>
                    <w:tl2br w:val="nil"/>
                    <w:tr2bl w:val="nil"/>
                  </w:tcBorders>
                  <w:noWrap w:val="0"/>
                  <w:vAlign w:val="center"/>
                </w:tcPr>
                <w:p w14:paraId="7535282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color w:val="auto"/>
                      <w:highlight w:val="none"/>
                    </w:rPr>
                  </w:pPr>
                </w:p>
              </w:tc>
              <w:tc>
                <w:tcPr>
                  <w:tcW w:w="1145" w:type="dxa"/>
                  <w:tcBorders>
                    <w:tl2br w:val="nil"/>
                    <w:tr2bl w:val="nil"/>
                  </w:tcBorders>
                  <w:noWrap w:val="0"/>
                  <w:vAlign w:val="center"/>
                </w:tcPr>
                <w:p w14:paraId="5F8A3D7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MWp</w:t>
                  </w:r>
                </w:p>
              </w:tc>
              <w:tc>
                <w:tcPr>
                  <w:tcW w:w="2599" w:type="dxa"/>
                  <w:gridSpan w:val="2"/>
                  <w:tcBorders>
                    <w:tl2br w:val="nil"/>
                    <w:tr2bl w:val="nil"/>
                  </w:tcBorders>
                  <w:noWrap w:val="0"/>
                  <w:vAlign w:val="center"/>
                </w:tcPr>
                <w:p w14:paraId="7250280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176.18</w:t>
                  </w:r>
                </w:p>
              </w:tc>
              <w:tc>
                <w:tcPr>
                  <w:tcW w:w="1121" w:type="dxa"/>
                  <w:gridSpan w:val="2"/>
                  <w:tcBorders>
                    <w:tl2br w:val="nil"/>
                    <w:tr2bl w:val="nil"/>
                  </w:tcBorders>
                  <w:noWrap w:val="0"/>
                  <w:vAlign w:val="center"/>
                </w:tcPr>
                <w:p w14:paraId="1FC0B85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1DF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A76C7B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3070" w:type="dxa"/>
                  <w:tcBorders>
                    <w:tl2br w:val="nil"/>
                    <w:tr2bl w:val="nil"/>
                  </w:tcBorders>
                  <w:noWrap w:val="0"/>
                  <w:vAlign w:val="center"/>
                </w:tcPr>
                <w:p w14:paraId="6D26F43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总用地面积</w:t>
                  </w:r>
                </w:p>
              </w:tc>
              <w:tc>
                <w:tcPr>
                  <w:tcW w:w="1145" w:type="dxa"/>
                  <w:tcBorders>
                    <w:tl2br w:val="nil"/>
                    <w:tr2bl w:val="nil"/>
                  </w:tcBorders>
                  <w:noWrap w:val="0"/>
                  <w:vAlign w:val="center"/>
                </w:tcPr>
                <w:p w14:paraId="5D6F49C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hm</w:t>
                  </w:r>
                  <w:r>
                    <w:rPr>
                      <w:rFonts w:hint="default" w:ascii="Times New Roman" w:hAnsi="Times New Roman" w:eastAsia="仿宋" w:cs="Times New Roman"/>
                      <w:color w:val="auto"/>
                      <w:sz w:val="21"/>
                      <w:szCs w:val="21"/>
                      <w:highlight w:val="none"/>
                      <w:vertAlign w:val="superscript"/>
                    </w:rPr>
                    <w:t>2</w:t>
                  </w:r>
                </w:p>
              </w:tc>
              <w:tc>
                <w:tcPr>
                  <w:tcW w:w="2599" w:type="dxa"/>
                  <w:gridSpan w:val="2"/>
                  <w:tcBorders>
                    <w:tl2br w:val="nil"/>
                    <w:tr2bl w:val="nil"/>
                  </w:tcBorders>
                  <w:noWrap w:val="0"/>
                  <w:vAlign w:val="center"/>
                </w:tcPr>
                <w:p w14:paraId="3880812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eastAsia="zh-CN"/>
                    </w:rPr>
                    <w:t>203.14</w:t>
                  </w:r>
                </w:p>
              </w:tc>
              <w:tc>
                <w:tcPr>
                  <w:tcW w:w="1121" w:type="dxa"/>
                  <w:gridSpan w:val="2"/>
                  <w:tcBorders>
                    <w:tl2br w:val="nil"/>
                    <w:tr2bl w:val="nil"/>
                  </w:tcBorders>
                  <w:noWrap w:val="0"/>
                  <w:vAlign w:val="center"/>
                </w:tcPr>
                <w:p w14:paraId="7DBE0F9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628A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10C4B5E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w:t>
                  </w:r>
                </w:p>
              </w:tc>
              <w:tc>
                <w:tcPr>
                  <w:tcW w:w="3070" w:type="dxa"/>
                  <w:tcBorders>
                    <w:tl2br w:val="nil"/>
                    <w:tr2bl w:val="nil"/>
                  </w:tcBorders>
                  <w:noWrap w:val="0"/>
                  <w:vAlign w:val="center"/>
                </w:tcPr>
                <w:p w14:paraId="65BE694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海拔高度</w:t>
                  </w:r>
                </w:p>
              </w:tc>
              <w:tc>
                <w:tcPr>
                  <w:tcW w:w="1145" w:type="dxa"/>
                  <w:tcBorders>
                    <w:tl2br w:val="nil"/>
                    <w:tr2bl w:val="nil"/>
                  </w:tcBorders>
                  <w:noWrap w:val="0"/>
                  <w:vAlign w:val="center"/>
                </w:tcPr>
                <w:p w14:paraId="2498C74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m</w:t>
                  </w:r>
                </w:p>
              </w:tc>
              <w:tc>
                <w:tcPr>
                  <w:tcW w:w="2599" w:type="dxa"/>
                  <w:gridSpan w:val="2"/>
                  <w:tcBorders>
                    <w:tl2br w:val="nil"/>
                    <w:tr2bl w:val="nil"/>
                  </w:tcBorders>
                  <w:noWrap w:val="0"/>
                  <w:vAlign w:val="center"/>
                </w:tcPr>
                <w:p w14:paraId="62C1EF0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1740~2290</w:t>
                  </w:r>
                </w:p>
              </w:tc>
              <w:tc>
                <w:tcPr>
                  <w:tcW w:w="1121" w:type="dxa"/>
                  <w:gridSpan w:val="2"/>
                  <w:tcBorders>
                    <w:tl2br w:val="nil"/>
                    <w:tr2bl w:val="nil"/>
                  </w:tcBorders>
                  <w:noWrap w:val="0"/>
                  <w:vAlign w:val="center"/>
                </w:tcPr>
                <w:p w14:paraId="5FD0501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221E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6AB51B8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4</w:t>
                  </w:r>
                </w:p>
              </w:tc>
              <w:tc>
                <w:tcPr>
                  <w:tcW w:w="3070" w:type="dxa"/>
                  <w:tcBorders>
                    <w:tl2br w:val="nil"/>
                    <w:tr2bl w:val="nil"/>
                  </w:tcBorders>
                  <w:noWrap w:val="0"/>
                  <w:vAlign w:val="center"/>
                </w:tcPr>
                <w:p w14:paraId="54B16AE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工程代表年太阳总辐射量</w:t>
                  </w:r>
                </w:p>
              </w:tc>
              <w:tc>
                <w:tcPr>
                  <w:tcW w:w="1145" w:type="dxa"/>
                  <w:tcBorders>
                    <w:tl2br w:val="nil"/>
                    <w:tr2bl w:val="nil"/>
                  </w:tcBorders>
                  <w:noWrap w:val="0"/>
                  <w:vAlign w:val="center"/>
                </w:tcPr>
                <w:p w14:paraId="5B61E65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MJ/m</w:t>
                  </w:r>
                  <w:r>
                    <w:rPr>
                      <w:rFonts w:hint="default" w:ascii="Times New Roman" w:hAnsi="Times New Roman" w:eastAsia="仿宋" w:cs="Times New Roman"/>
                      <w:color w:val="auto"/>
                      <w:sz w:val="21"/>
                      <w:szCs w:val="21"/>
                      <w:highlight w:val="none"/>
                      <w:vertAlign w:val="superscript"/>
                    </w:rPr>
                    <w:t>2</w:t>
                  </w:r>
                </w:p>
              </w:tc>
              <w:tc>
                <w:tcPr>
                  <w:tcW w:w="2599" w:type="dxa"/>
                  <w:gridSpan w:val="2"/>
                  <w:tcBorders>
                    <w:tl2br w:val="nil"/>
                    <w:tr2bl w:val="nil"/>
                  </w:tcBorders>
                  <w:noWrap w:val="0"/>
                  <w:vAlign w:val="center"/>
                </w:tcPr>
                <w:p w14:paraId="1496AC5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5</w:t>
                  </w:r>
                  <w:r>
                    <w:rPr>
                      <w:rFonts w:hint="default" w:ascii="Times New Roman" w:hAnsi="Times New Roman" w:eastAsia="仿宋" w:cs="Times New Roman"/>
                      <w:color w:val="auto"/>
                      <w:sz w:val="21"/>
                      <w:szCs w:val="21"/>
                      <w:highlight w:val="none"/>
                      <w:lang w:val="en-US" w:eastAsia="zh-CN"/>
                    </w:rPr>
                    <w:t>449.8</w:t>
                  </w:r>
                </w:p>
              </w:tc>
              <w:tc>
                <w:tcPr>
                  <w:tcW w:w="1121" w:type="dxa"/>
                  <w:gridSpan w:val="2"/>
                  <w:tcBorders>
                    <w:tl2br w:val="nil"/>
                    <w:tr2bl w:val="nil"/>
                  </w:tcBorders>
                  <w:noWrap w:val="0"/>
                  <w:vAlign w:val="center"/>
                </w:tcPr>
                <w:p w14:paraId="6E0B508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760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14B36D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5</w:t>
                  </w:r>
                </w:p>
              </w:tc>
              <w:tc>
                <w:tcPr>
                  <w:tcW w:w="3070" w:type="dxa"/>
                  <w:tcBorders>
                    <w:tl2br w:val="nil"/>
                    <w:tr2bl w:val="nil"/>
                  </w:tcBorders>
                  <w:noWrap w:val="0"/>
                  <w:vAlign w:val="center"/>
                </w:tcPr>
                <w:p w14:paraId="7B769C4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光伏发电系统效率</w:t>
                  </w:r>
                </w:p>
              </w:tc>
              <w:tc>
                <w:tcPr>
                  <w:tcW w:w="1145" w:type="dxa"/>
                  <w:tcBorders>
                    <w:tl2br w:val="nil"/>
                    <w:tr2bl w:val="nil"/>
                  </w:tcBorders>
                  <w:noWrap w:val="0"/>
                  <w:vAlign w:val="center"/>
                </w:tcPr>
                <w:p w14:paraId="18A1DA2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noWrap w:val="0"/>
                  <w:vAlign w:val="center"/>
                </w:tcPr>
                <w:p w14:paraId="7302AB9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81.</w:t>
                  </w:r>
                  <w:r>
                    <w:rPr>
                      <w:rFonts w:hint="default" w:ascii="Times New Roman" w:hAnsi="Times New Roman" w:eastAsia="仿宋" w:cs="Times New Roman"/>
                      <w:color w:val="auto"/>
                      <w:sz w:val="21"/>
                      <w:szCs w:val="21"/>
                      <w:highlight w:val="none"/>
                      <w:lang w:val="en-US" w:eastAsia="zh-CN"/>
                    </w:rPr>
                    <w:t>44</w:t>
                  </w:r>
                </w:p>
              </w:tc>
              <w:tc>
                <w:tcPr>
                  <w:tcW w:w="1121" w:type="dxa"/>
                  <w:gridSpan w:val="2"/>
                  <w:tcBorders>
                    <w:tl2br w:val="nil"/>
                    <w:tr2bl w:val="nil"/>
                  </w:tcBorders>
                  <w:noWrap w:val="0"/>
                  <w:vAlign w:val="center"/>
                </w:tcPr>
                <w:p w14:paraId="05D70C0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不含双面增益</w:t>
                  </w:r>
                </w:p>
              </w:tc>
            </w:tr>
            <w:tr w14:paraId="6A06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546" w:type="dxa"/>
                  <w:gridSpan w:val="7"/>
                  <w:tcBorders>
                    <w:tl2br w:val="nil"/>
                    <w:tr2bl w:val="nil"/>
                  </w:tcBorders>
                  <w:noWrap w:val="0"/>
                  <w:vAlign w:val="center"/>
                </w:tcPr>
                <w:p w14:paraId="3BABEDD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二、主要设备</w:t>
                  </w:r>
                </w:p>
              </w:tc>
            </w:tr>
            <w:tr w14:paraId="6C15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5C14069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7935" w:type="dxa"/>
                  <w:gridSpan w:val="6"/>
                  <w:tcBorders>
                    <w:tl2br w:val="nil"/>
                    <w:tr2bl w:val="nil"/>
                  </w:tcBorders>
                  <w:noWrap w:val="0"/>
                  <w:vAlign w:val="center"/>
                </w:tcPr>
                <w:p w14:paraId="4A37D23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光伏组件（型号：</w:t>
                  </w:r>
                  <w:r>
                    <w:rPr>
                      <w:rFonts w:hint="default" w:ascii="Times New Roman" w:hAnsi="Times New Roman" w:eastAsia="仿宋" w:cs="Times New Roman"/>
                      <w:color w:val="auto"/>
                      <w:sz w:val="21"/>
                      <w:szCs w:val="21"/>
                      <w:highlight w:val="none"/>
                      <w:lang w:val="en-US" w:eastAsia="zh-CN"/>
                    </w:rPr>
                    <w:t>N型</w:t>
                  </w:r>
                  <w:r>
                    <w:rPr>
                      <w:rFonts w:hint="default" w:ascii="Times New Roman" w:hAnsi="Times New Roman" w:eastAsia="仿宋" w:cs="Times New Roman"/>
                      <w:color w:val="auto"/>
                      <w:sz w:val="21"/>
                      <w:szCs w:val="21"/>
                      <w:highlight w:val="none"/>
                    </w:rPr>
                    <w:t>单晶双面双玻</w:t>
                  </w:r>
                  <w:r>
                    <w:rPr>
                      <w:rFonts w:hint="default" w:ascii="Times New Roman" w:hAnsi="Times New Roman" w:eastAsia="仿宋" w:cs="Times New Roman"/>
                      <w:color w:val="auto"/>
                      <w:sz w:val="21"/>
                      <w:szCs w:val="21"/>
                      <w:highlight w:val="none"/>
                      <w:lang w:val="en-US" w:eastAsia="zh-CN"/>
                    </w:rPr>
                    <w:t>62</w:t>
                  </w:r>
                  <w:r>
                    <w:rPr>
                      <w:rFonts w:hint="default" w:ascii="Times New Roman" w:hAnsi="Times New Roman" w:eastAsia="仿宋" w:cs="Times New Roman"/>
                      <w:color w:val="auto"/>
                      <w:sz w:val="21"/>
                      <w:szCs w:val="21"/>
                      <w:highlight w:val="none"/>
                    </w:rPr>
                    <w:t>0W</w:t>
                  </w:r>
                  <w:r>
                    <w:rPr>
                      <w:rFonts w:hint="default" w:ascii="Times New Roman" w:hAnsi="Times New Roman" w:eastAsia="仿宋" w:cs="Times New Roman"/>
                      <w:color w:val="auto"/>
                      <w:sz w:val="21"/>
                      <w:szCs w:val="21"/>
                      <w:highlight w:val="none"/>
                      <w:lang w:val="en-US" w:eastAsia="zh-CN"/>
                    </w:rPr>
                    <w:t>p</w:t>
                  </w:r>
                  <w:r>
                    <w:rPr>
                      <w:rFonts w:hint="default" w:ascii="Times New Roman" w:hAnsi="Times New Roman" w:eastAsia="仿宋" w:cs="Times New Roman"/>
                      <w:color w:val="auto"/>
                      <w:sz w:val="21"/>
                      <w:szCs w:val="21"/>
                      <w:highlight w:val="none"/>
                    </w:rPr>
                    <w:t>组件）</w:t>
                  </w:r>
                </w:p>
              </w:tc>
            </w:tr>
            <w:tr w14:paraId="29C4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BAE809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w:t>
                  </w:r>
                </w:p>
              </w:tc>
              <w:tc>
                <w:tcPr>
                  <w:tcW w:w="3070" w:type="dxa"/>
                  <w:tcBorders>
                    <w:tl2br w:val="nil"/>
                    <w:tr2bl w:val="nil"/>
                  </w:tcBorders>
                  <w:noWrap w:val="0"/>
                  <w:vAlign w:val="center"/>
                </w:tcPr>
                <w:p w14:paraId="4A0D207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峰值功率</w:t>
                  </w:r>
                </w:p>
              </w:tc>
              <w:tc>
                <w:tcPr>
                  <w:tcW w:w="1145" w:type="dxa"/>
                  <w:tcBorders>
                    <w:tl2br w:val="nil"/>
                    <w:tr2bl w:val="nil"/>
                  </w:tcBorders>
                  <w:noWrap w:val="0"/>
                  <w:vAlign w:val="center"/>
                </w:tcPr>
                <w:p w14:paraId="790583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Wp</w:t>
                  </w:r>
                </w:p>
              </w:tc>
              <w:tc>
                <w:tcPr>
                  <w:tcW w:w="2599" w:type="dxa"/>
                  <w:gridSpan w:val="2"/>
                  <w:tcBorders>
                    <w:tl2br w:val="nil"/>
                    <w:tr2bl w:val="nil"/>
                  </w:tcBorders>
                  <w:noWrap w:val="0"/>
                  <w:vAlign w:val="center"/>
                </w:tcPr>
                <w:p w14:paraId="6DECC76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62</w:t>
                  </w:r>
                  <w:r>
                    <w:rPr>
                      <w:rFonts w:hint="default" w:ascii="Times New Roman" w:hAnsi="Times New Roman" w:eastAsia="仿宋" w:cs="Times New Roman"/>
                      <w:color w:val="auto"/>
                      <w:sz w:val="21"/>
                      <w:szCs w:val="21"/>
                      <w:highlight w:val="none"/>
                    </w:rPr>
                    <w:t>0</w:t>
                  </w:r>
                </w:p>
              </w:tc>
              <w:tc>
                <w:tcPr>
                  <w:tcW w:w="1121" w:type="dxa"/>
                  <w:gridSpan w:val="2"/>
                  <w:tcBorders>
                    <w:tl2br w:val="nil"/>
                    <w:tr2bl w:val="nil"/>
                  </w:tcBorders>
                  <w:noWrap w:val="0"/>
                  <w:vAlign w:val="center"/>
                </w:tcPr>
                <w:p w14:paraId="0ABF673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567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278E3E6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1.2</w:t>
                  </w:r>
                </w:p>
              </w:tc>
              <w:tc>
                <w:tcPr>
                  <w:tcW w:w="3070" w:type="dxa"/>
                  <w:tcBorders>
                    <w:tl2br w:val="nil"/>
                    <w:tr2bl w:val="nil"/>
                  </w:tcBorders>
                  <w:noWrap w:val="0"/>
                  <w:vAlign w:val="center"/>
                </w:tcPr>
                <w:p w14:paraId="7C1718A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开路电压Voc</w:t>
                  </w:r>
                </w:p>
              </w:tc>
              <w:tc>
                <w:tcPr>
                  <w:tcW w:w="1145" w:type="dxa"/>
                  <w:tcBorders>
                    <w:tl2br w:val="nil"/>
                    <w:tr2bl w:val="nil"/>
                  </w:tcBorders>
                  <w:noWrap w:val="0"/>
                  <w:vAlign w:val="center"/>
                </w:tcPr>
                <w:p w14:paraId="5F07E54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V</w:t>
                  </w:r>
                </w:p>
              </w:tc>
              <w:tc>
                <w:tcPr>
                  <w:tcW w:w="2599" w:type="dxa"/>
                  <w:gridSpan w:val="2"/>
                  <w:tcBorders>
                    <w:tl2br w:val="nil"/>
                    <w:tr2bl w:val="nil"/>
                  </w:tcBorders>
                  <w:noWrap w:val="0"/>
                  <w:vAlign w:val="center"/>
                </w:tcPr>
                <w:p w14:paraId="4EC94F6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52.87</w:t>
                  </w:r>
                </w:p>
              </w:tc>
              <w:tc>
                <w:tcPr>
                  <w:tcW w:w="1121" w:type="dxa"/>
                  <w:gridSpan w:val="2"/>
                  <w:tcBorders>
                    <w:tl2br w:val="nil"/>
                    <w:tr2bl w:val="nil"/>
                  </w:tcBorders>
                  <w:noWrap w:val="0"/>
                  <w:vAlign w:val="center"/>
                </w:tcPr>
                <w:p w14:paraId="633C8DB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6D70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2160451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1.3</w:t>
                  </w:r>
                </w:p>
              </w:tc>
              <w:tc>
                <w:tcPr>
                  <w:tcW w:w="3070" w:type="dxa"/>
                  <w:tcBorders>
                    <w:tl2br w:val="nil"/>
                    <w:tr2bl w:val="nil"/>
                  </w:tcBorders>
                  <w:noWrap w:val="0"/>
                  <w:vAlign w:val="center"/>
                </w:tcPr>
                <w:p w14:paraId="4901740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短路电流Isc</w:t>
                  </w:r>
                </w:p>
              </w:tc>
              <w:tc>
                <w:tcPr>
                  <w:tcW w:w="1145" w:type="dxa"/>
                  <w:tcBorders>
                    <w:tl2br w:val="nil"/>
                    <w:tr2bl w:val="nil"/>
                  </w:tcBorders>
                  <w:noWrap w:val="0"/>
                  <w:vAlign w:val="center"/>
                </w:tcPr>
                <w:p w14:paraId="588993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A</w:t>
                  </w:r>
                </w:p>
              </w:tc>
              <w:tc>
                <w:tcPr>
                  <w:tcW w:w="2599" w:type="dxa"/>
                  <w:gridSpan w:val="2"/>
                  <w:tcBorders>
                    <w:tl2br w:val="nil"/>
                    <w:tr2bl w:val="nil"/>
                  </w:tcBorders>
                  <w:noWrap w:val="0"/>
                  <w:vAlign w:val="center"/>
                </w:tcPr>
                <w:p w14:paraId="24B93BC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15.31</w:t>
                  </w:r>
                </w:p>
              </w:tc>
              <w:tc>
                <w:tcPr>
                  <w:tcW w:w="1121" w:type="dxa"/>
                  <w:gridSpan w:val="2"/>
                  <w:tcBorders>
                    <w:tl2br w:val="nil"/>
                    <w:tr2bl w:val="nil"/>
                  </w:tcBorders>
                  <w:noWrap w:val="0"/>
                  <w:vAlign w:val="center"/>
                </w:tcPr>
                <w:p w14:paraId="592E2F2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2BFC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3589F14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1.4</w:t>
                  </w:r>
                </w:p>
              </w:tc>
              <w:tc>
                <w:tcPr>
                  <w:tcW w:w="3070" w:type="dxa"/>
                  <w:tcBorders>
                    <w:tl2br w:val="nil"/>
                    <w:tr2bl w:val="nil"/>
                  </w:tcBorders>
                  <w:noWrap w:val="0"/>
                  <w:vAlign w:val="center"/>
                </w:tcPr>
                <w:p w14:paraId="21F9A74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工作电压Vmppt</w:t>
                  </w:r>
                </w:p>
              </w:tc>
              <w:tc>
                <w:tcPr>
                  <w:tcW w:w="1145" w:type="dxa"/>
                  <w:tcBorders>
                    <w:tl2br w:val="nil"/>
                    <w:tr2bl w:val="nil"/>
                  </w:tcBorders>
                  <w:noWrap w:val="0"/>
                  <w:vAlign w:val="center"/>
                </w:tcPr>
                <w:p w14:paraId="2FD96D5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V</w:t>
                  </w:r>
                </w:p>
              </w:tc>
              <w:tc>
                <w:tcPr>
                  <w:tcW w:w="2599" w:type="dxa"/>
                  <w:gridSpan w:val="2"/>
                  <w:tcBorders>
                    <w:tl2br w:val="nil"/>
                    <w:tr2bl w:val="nil"/>
                  </w:tcBorders>
                  <w:noWrap w:val="0"/>
                  <w:vAlign w:val="center"/>
                </w:tcPr>
                <w:p w14:paraId="410FC7A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44.29</w:t>
                  </w:r>
                </w:p>
              </w:tc>
              <w:tc>
                <w:tcPr>
                  <w:tcW w:w="1121" w:type="dxa"/>
                  <w:gridSpan w:val="2"/>
                  <w:tcBorders>
                    <w:tl2br w:val="nil"/>
                    <w:tr2bl w:val="nil"/>
                  </w:tcBorders>
                  <w:noWrap w:val="0"/>
                  <w:vAlign w:val="center"/>
                </w:tcPr>
                <w:p w14:paraId="52A4E25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100E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49125C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1.5</w:t>
                  </w:r>
                </w:p>
              </w:tc>
              <w:tc>
                <w:tcPr>
                  <w:tcW w:w="3070" w:type="dxa"/>
                  <w:tcBorders>
                    <w:tl2br w:val="nil"/>
                    <w:tr2bl w:val="nil"/>
                  </w:tcBorders>
                  <w:noWrap w:val="0"/>
                  <w:vAlign w:val="center"/>
                </w:tcPr>
                <w:p w14:paraId="2BEE367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工作电流Imppt</w:t>
                  </w:r>
                </w:p>
              </w:tc>
              <w:tc>
                <w:tcPr>
                  <w:tcW w:w="1145" w:type="dxa"/>
                  <w:tcBorders>
                    <w:tl2br w:val="nil"/>
                    <w:tr2bl w:val="nil"/>
                  </w:tcBorders>
                  <w:noWrap w:val="0"/>
                  <w:vAlign w:val="center"/>
                </w:tcPr>
                <w:p w14:paraId="2FA9E3E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A</w:t>
                  </w:r>
                </w:p>
              </w:tc>
              <w:tc>
                <w:tcPr>
                  <w:tcW w:w="2599" w:type="dxa"/>
                  <w:gridSpan w:val="2"/>
                  <w:tcBorders>
                    <w:tl2br w:val="nil"/>
                    <w:tr2bl w:val="nil"/>
                  </w:tcBorders>
                  <w:noWrap w:val="0"/>
                  <w:vAlign w:val="center"/>
                </w:tcPr>
                <w:p w14:paraId="6A6CCE5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1</w:t>
                  </w:r>
                  <w:r>
                    <w:rPr>
                      <w:rFonts w:hint="default" w:ascii="Times New Roman" w:hAnsi="Times New Roman" w:eastAsia="仿宋" w:cs="Times New Roman"/>
                      <w:color w:val="auto"/>
                      <w:sz w:val="21"/>
                      <w:szCs w:val="21"/>
                      <w:highlight w:val="none"/>
                      <w:lang w:val="en-US" w:eastAsia="zh-CN"/>
                    </w:rPr>
                    <w:t>4.45</w:t>
                  </w:r>
                </w:p>
              </w:tc>
              <w:tc>
                <w:tcPr>
                  <w:tcW w:w="1121" w:type="dxa"/>
                  <w:gridSpan w:val="2"/>
                  <w:tcBorders>
                    <w:tl2br w:val="nil"/>
                    <w:tr2bl w:val="nil"/>
                  </w:tcBorders>
                  <w:noWrap w:val="0"/>
                  <w:vAlign w:val="center"/>
                </w:tcPr>
                <w:p w14:paraId="40973F2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468C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1DAE2E0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1.6</w:t>
                  </w:r>
                </w:p>
              </w:tc>
              <w:tc>
                <w:tcPr>
                  <w:tcW w:w="3070" w:type="dxa"/>
                  <w:tcBorders>
                    <w:tl2br w:val="nil"/>
                    <w:tr2bl w:val="nil"/>
                  </w:tcBorders>
                  <w:noWrap w:val="0"/>
                  <w:vAlign w:val="center"/>
                </w:tcPr>
                <w:p w14:paraId="78F0408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峰值功率温度系数</w:t>
                  </w:r>
                </w:p>
              </w:tc>
              <w:tc>
                <w:tcPr>
                  <w:tcW w:w="1145" w:type="dxa"/>
                  <w:tcBorders>
                    <w:tl2br w:val="nil"/>
                    <w:tr2bl w:val="nil"/>
                  </w:tcBorders>
                  <w:noWrap w:val="0"/>
                  <w:vAlign w:val="center"/>
                </w:tcPr>
                <w:p w14:paraId="483E9A9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w:t>
                  </w:r>
                </w:p>
              </w:tc>
              <w:tc>
                <w:tcPr>
                  <w:tcW w:w="2599" w:type="dxa"/>
                  <w:gridSpan w:val="2"/>
                  <w:tcBorders>
                    <w:tl2br w:val="nil"/>
                    <w:tr2bl w:val="nil"/>
                  </w:tcBorders>
                  <w:noWrap w:val="0"/>
                  <w:vAlign w:val="center"/>
                </w:tcPr>
                <w:p w14:paraId="6533D35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-0.</w:t>
                  </w:r>
                  <w:r>
                    <w:rPr>
                      <w:rFonts w:hint="default" w:ascii="Times New Roman" w:hAnsi="Times New Roman" w:eastAsia="仿宋" w:cs="Times New Roman"/>
                      <w:color w:val="auto"/>
                      <w:sz w:val="21"/>
                      <w:szCs w:val="21"/>
                      <w:highlight w:val="none"/>
                      <w:lang w:val="en-US" w:eastAsia="zh-CN"/>
                    </w:rPr>
                    <w:t>29</w:t>
                  </w:r>
                </w:p>
              </w:tc>
              <w:tc>
                <w:tcPr>
                  <w:tcW w:w="1121" w:type="dxa"/>
                  <w:gridSpan w:val="2"/>
                  <w:tcBorders>
                    <w:tl2br w:val="nil"/>
                    <w:tr2bl w:val="nil"/>
                  </w:tcBorders>
                  <w:noWrap w:val="0"/>
                  <w:vAlign w:val="center"/>
                </w:tcPr>
                <w:p w14:paraId="7441DA0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422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3AD99B6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w:t>
                  </w:r>
                </w:p>
              </w:tc>
              <w:tc>
                <w:tcPr>
                  <w:tcW w:w="3070" w:type="dxa"/>
                  <w:tcBorders>
                    <w:tl2br w:val="nil"/>
                    <w:tr2bl w:val="nil"/>
                  </w:tcBorders>
                  <w:noWrap w:val="0"/>
                  <w:vAlign w:val="center"/>
                </w:tcPr>
                <w:p w14:paraId="420DF97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开路电压温度系数</w:t>
                  </w:r>
                </w:p>
              </w:tc>
              <w:tc>
                <w:tcPr>
                  <w:tcW w:w="1145" w:type="dxa"/>
                  <w:tcBorders>
                    <w:tl2br w:val="nil"/>
                    <w:tr2bl w:val="nil"/>
                  </w:tcBorders>
                  <w:noWrap w:val="0"/>
                  <w:vAlign w:val="center"/>
                </w:tcPr>
                <w:p w14:paraId="1056B68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w:t>
                  </w:r>
                </w:p>
              </w:tc>
              <w:tc>
                <w:tcPr>
                  <w:tcW w:w="2599" w:type="dxa"/>
                  <w:gridSpan w:val="2"/>
                  <w:tcBorders>
                    <w:tl2br w:val="nil"/>
                    <w:tr2bl w:val="nil"/>
                  </w:tcBorders>
                  <w:noWrap w:val="0"/>
                  <w:vAlign w:val="center"/>
                </w:tcPr>
                <w:p w14:paraId="5E14EE9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-0.2</w:t>
                  </w:r>
                  <w:r>
                    <w:rPr>
                      <w:rFonts w:hint="default" w:ascii="Times New Roman" w:hAnsi="Times New Roman" w:eastAsia="仿宋" w:cs="Times New Roman"/>
                      <w:color w:val="auto"/>
                      <w:sz w:val="21"/>
                      <w:szCs w:val="21"/>
                      <w:highlight w:val="none"/>
                      <w:lang w:val="en-US" w:eastAsia="zh-CN"/>
                    </w:rPr>
                    <w:t>5</w:t>
                  </w:r>
                </w:p>
              </w:tc>
              <w:tc>
                <w:tcPr>
                  <w:tcW w:w="1121" w:type="dxa"/>
                  <w:gridSpan w:val="2"/>
                  <w:tcBorders>
                    <w:tl2br w:val="nil"/>
                    <w:tr2bl w:val="nil"/>
                  </w:tcBorders>
                  <w:noWrap w:val="0"/>
                  <w:vAlign w:val="center"/>
                </w:tcPr>
                <w:p w14:paraId="6A8A6EA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1B7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48229B3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1.8</w:t>
                  </w:r>
                </w:p>
              </w:tc>
              <w:tc>
                <w:tcPr>
                  <w:tcW w:w="3070" w:type="dxa"/>
                  <w:tcBorders>
                    <w:tl2br w:val="nil"/>
                    <w:tr2bl w:val="nil"/>
                  </w:tcBorders>
                  <w:noWrap w:val="0"/>
                  <w:vAlign w:val="center"/>
                </w:tcPr>
                <w:p w14:paraId="4A2CFDA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短路电流温度系数</w:t>
                  </w:r>
                </w:p>
              </w:tc>
              <w:tc>
                <w:tcPr>
                  <w:tcW w:w="1145" w:type="dxa"/>
                  <w:tcBorders>
                    <w:tl2br w:val="nil"/>
                    <w:tr2bl w:val="nil"/>
                  </w:tcBorders>
                  <w:noWrap w:val="0"/>
                  <w:vAlign w:val="center"/>
                </w:tcPr>
                <w:p w14:paraId="7EBB5DA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w:t>
                  </w:r>
                </w:p>
              </w:tc>
              <w:tc>
                <w:tcPr>
                  <w:tcW w:w="2599" w:type="dxa"/>
                  <w:gridSpan w:val="2"/>
                  <w:tcBorders>
                    <w:tl2br w:val="nil"/>
                    <w:tr2bl w:val="nil"/>
                  </w:tcBorders>
                  <w:noWrap w:val="0"/>
                  <w:vAlign w:val="center"/>
                </w:tcPr>
                <w:p w14:paraId="63EABBC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0.0</w:t>
                  </w:r>
                  <w:r>
                    <w:rPr>
                      <w:rFonts w:hint="default" w:ascii="Times New Roman" w:hAnsi="Times New Roman" w:eastAsia="仿宋" w:cs="Times New Roman"/>
                      <w:color w:val="auto"/>
                      <w:sz w:val="21"/>
                      <w:szCs w:val="21"/>
                      <w:highlight w:val="none"/>
                      <w:lang w:val="en-US" w:eastAsia="zh-CN"/>
                    </w:rPr>
                    <w:t>45</w:t>
                  </w:r>
                </w:p>
              </w:tc>
              <w:tc>
                <w:tcPr>
                  <w:tcW w:w="1121" w:type="dxa"/>
                  <w:gridSpan w:val="2"/>
                  <w:tcBorders>
                    <w:tl2br w:val="nil"/>
                    <w:tr2bl w:val="nil"/>
                  </w:tcBorders>
                  <w:noWrap w:val="0"/>
                  <w:vAlign w:val="center"/>
                </w:tcPr>
                <w:p w14:paraId="1D109E8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C75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1F0EAC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1.9</w:t>
                  </w:r>
                </w:p>
              </w:tc>
              <w:tc>
                <w:tcPr>
                  <w:tcW w:w="3070" w:type="dxa"/>
                  <w:tcBorders>
                    <w:tl2br w:val="nil"/>
                    <w:tr2bl w:val="nil"/>
                  </w:tcBorders>
                  <w:noWrap w:val="0"/>
                  <w:vAlign w:val="center"/>
                </w:tcPr>
                <w:p w14:paraId="0A8C75F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工作温度范围</w:t>
                  </w:r>
                </w:p>
              </w:tc>
              <w:tc>
                <w:tcPr>
                  <w:tcW w:w="1145" w:type="dxa"/>
                  <w:tcBorders>
                    <w:tl2br w:val="nil"/>
                    <w:tr2bl w:val="nil"/>
                  </w:tcBorders>
                  <w:noWrap w:val="0"/>
                  <w:vAlign w:val="center"/>
                </w:tcPr>
                <w:p w14:paraId="0715157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w:t>
                  </w:r>
                </w:p>
              </w:tc>
              <w:tc>
                <w:tcPr>
                  <w:tcW w:w="2599" w:type="dxa"/>
                  <w:gridSpan w:val="2"/>
                  <w:tcBorders>
                    <w:tl2br w:val="nil"/>
                    <w:tr2bl w:val="nil"/>
                  </w:tcBorders>
                  <w:noWrap w:val="0"/>
                  <w:vAlign w:val="center"/>
                </w:tcPr>
                <w:p w14:paraId="178EA37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-40~+85</w:t>
                  </w:r>
                </w:p>
              </w:tc>
              <w:tc>
                <w:tcPr>
                  <w:tcW w:w="1121" w:type="dxa"/>
                  <w:gridSpan w:val="2"/>
                  <w:tcBorders>
                    <w:tl2br w:val="nil"/>
                    <w:tr2bl w:val="nil"/>
                  </w:tcBorders>
                  <w:noWrap w:val="0"/>
                  <w:vAlign w:val="center"/>
                </w:tcPr>
                <w:p w14:paraId="0A8DFFA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C7F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256D99E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1.10</w:t>
                  </w:r>
                </w:p>
              </w:tc>
              <w:tc>
                <w:tcPr>
                  <w:tcW w:w="3070" w:type="dxa"/>
                  <w:tcBorders>
                    <w:tl2br w:val="nil"/>
                    <w:tr2bl w:val="nil"/>
                  </w:tcBorders>
                  <w:noWrap w:val="0"/>
                  <w:vAlign w:val="center"/>
                </w:tcPr>
                <w:p w14:paraId="5B2BA42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NOCT</w:t>
                  </w:r>
                </w:p>
              </w:tc>
              <w:tc>
                <w:tcPr>
                  <w:tcW w:w="1145" w:type="dxa"/>
                  <w:tcBorders>
                    <w:tl2br w:val="nil"/>
                    <w:tr2bl w:val="nil"/>
                  </w:tcBorders>
                  <w:noWrap w:val="0"/>
                  <w:vAlign w:val="center"/>
                </w:tcPr>
                <w:p w14:paraId="4DA1E88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noWrap w:val="0"/>
                  <w:vAlign w:val="center"/>
                </w:tcPr>
                <w:p w14:paraId="1DCD34A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45</w:t>
                  </w:r>
                  <w:r>
                    <w:rPr>
                      <w:rFonts w:hint="default" w:ascii="Times New Roman" w:hAnsi="Times New Roman" w:eastAsia="仿宋" w:cs="Times New Roman"/>
                      <w:color w:val="auto"/>
                      <w:kern w:val="0"/>
                      <w:sz w:val="20"/>
                      <w:szCs w:val="20"/>
                      <w:highlight w:val="none"/>
                      <w:lang w:val="en-US" w:eastAsia="zh-CN" w:bidi="ar"/>
                    </w:rPr>
                    <w:t>±2</w:t>
                  </w:r>
                </w:p>
              </w:tc>
              <w:tc>
                <w:tcPr>
                  <w:tcW w:w="1121" w:type="dxa"/>
                  <w:gridSpan w:val="2"/>
                  <w:tcBorders>
                    <w:tl2br w:val="nil"/>
                    <w:tr2bl w:val="nil"/>
                  </w:tcBorders>
                  <w:noWrap w:val="0"/>
                  <w:vAlign w:val="center"/>
                </w:tcPr>
                <w:p w14:paraId="4EDE572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247E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5EA31E1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1.11</w:t>
                  </w:r>
                </w:p>
              </w:tc>
              <w:tc>
                <w:tcPr>
                  <w:tcW w:w="3070" w:type="dxa"/>
                  <w:tcBorders>
                    <w:tl2br w:val="nil"/>
                    <w:tr2bl w:val="nil"/>
                  </w:tcBorders>
                  <w:noWrap w:val="0"/>
                  <w:vAlign w:val="center"/>
                </w:tcPr>
                <w:p w14:paraId="72F5DBC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组件效率</w:t>
                  </w:r>
                </w:p>
              </w:tc>
              <w:tc>
                <w:tcPr>
                  <w:tcW w:w="1145" w:type="dxa"/>
                  <w:tcBorders>
                    <w:tl2br w:val="nil"/>
                    <w:tr2bl w:val="nil"/>
                  </w:tcBorders>
                  <w:noWrap w:val="0"/>
                  <w:vAlign w:val="center"/>
                </w:tcPr>
                <w:p w14:paraId="4999777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noWrap w:val="0"/>
                  <w:vAlign w:val="center"/>
                </w:tcPr>
                <w:p w14:paraId="4888278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22.9</w:t>
                  </w:r>
                </w:p>
              </w:tc>
              <w:tc>
                <w:tcPr>
                  <w:tcW w:w="1121" w:type="dxa"/>
                  <w:gridSpan w:val="2"/>
                  <w:tcBorders>
                    <w:tl2br w:val="nil"/>
                    <w:tr2bl w:val="nil"/>
                  </w:tcBorders>
                  <w:noWrap w:val="0"/>
                  <w:vAlign w:val="center"/>
                </w:tcPr>
                <w:p w14:paraId="0C97611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1665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trPr>
              <w:tc>
                <w:tcPr>
                  <w:tcW w:w="611" w:type="dxa"/>
                  <w:tcBorders>
                    <w:tl2br w:val="nil"/>
                    <w:tr2bl w:val="nil"/>
                  </w:tcBorders>
                  <w:noWrap w:val="0"/>
                  <w:vAlign w:val="center"/>
                </w:tcPr>
                <w:p w14:paraId="6072C29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1.12</w:t>
                  </w:r>
                </w:p>
              </w:tc>
              <w:tc>
                <w:tcPr>
                  <w:tcW w:w="3070" w:type="dxa"/>
                  <w:tcBorders>
                    <w:tl2br w:val="nil"/>
                    <w:tr2bl w:val="nil"/>
                  </w:tcBorders>
                  <w:noWrap w:val="0"/>
                  <w:vAlign w:val="center"/>
                </w:tcPr>
                <w:p w14:paraId="498ACEC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最大系统电压</w:t>
                  </w:r>
                </w:p>
              </w:tc>
              <w:tc>
                <w:tcPr>
                  <w:tcW w:w="1145" w:type="dxa"/>
                  <w:tcBorders>
                    <w:tl2br w:val="nil"/>
                    <w:tr2bl w:val="nil"/>
                  </w:tcBorders>
                  <w:noWrap w:val="0"/>
                  <w:vAlign w:val="center"/>
                </w:tcPr>
                <w:p w14:paraId="41D4DCB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V</w:t>
                  </w:r>
                </w:p>
              </w:tc>
              <w:tc>
                <w:tcPr>
                  <w:tcW w:w="2599" w:type="dxa"/>
                  <w:gridSpan w:val="2"/>
                  <w:tcBorders>
                    <w:tl2br w:val="nil"/>
                    <w:tr2bl w:val="nil"/>
                  </w:tcBorders>
                  <w:noWrap w:val="0"/>
                  <w:vAlign w:val="center"/>
                </w:tcPr>
                <w:p w14:paraId="38EDE80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1500DC</w:t>
                  </w:r>
                </w:p>
              </w:tc>
              <w:tc>
                <w:tcPr>
                  <w:tcW w:w="1121" w:type="dxa"/>
                  <w:gridSpan w:val="2"/>
                  <w:tcBorders>
                    <w:tl2br w:val="nil"/>
                    <w:tr2bl w:val="nil"/>
                  </w:tcBorders>
                  <w:noWrap w:val="0"/>
                  <w:vAlign w:val="center"/>
                </w:tcPr>
                <w:p w14:paraId="0916DFA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BE6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1" w:type="dxa"/>
                  <w:tcBorders>
                    <w:tl2br w:val="nil"/>
                    <w:tr2bl w:val="nil"/>
                  </w:tcBorders>
                  <w:noWrap w:val="0"/>
                  <w:vAlign w:val="center"/>
                </w:tcPr>
                <w:p w14:paraId="3211BFC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1.13</w:t>
                  </w:r>
                </w:p>
              </w:tc>
              <w:tc>
                <w:tcPr>
                  <w:tcW w:w="3070" w:type="dxa"/>
                  <w:tcBorders>
                    <w:tl2br w:val="nil"/>
                    <w:tr2bl w:val="nil"/>
                  </w:tcBorders>
                  <w:noWrap w:val="0"/>
                  <w:vAlign w:val="center"/>
                </w:tcPr>
                <w:p w14:paraId="29F58BD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组件尺寸</w:t>
                  </w:r>
                </w:p>
              </w:tc>
              <w:tc>
                <w:tcPr>
                  <w:tcW w:w="1145" w:type="dxa"/>
                  <w:tcBorders>
                    <w:tl2br w:val="nil"/>
                    <w:tr2bl w:val="nil"/>
                  </w:tcBorders>
                  <w:noWrap w:val="0"/>
                  <w:vAlign w:val="center"/>
                </w:tcPr>
                <w:p w14:paraId="7B4E03F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mm</w:t>
                  </w:r>
                </w:p>
              </w:tc>
              <w:tc>
                <w:tcPr>
                  <w:tcW w:w="2599" w:type="dxa"/>
                  <w:gridSpan w:val="2"/>
                  <w:tcBorders>
                    <w:tl2br w:val="nil"/>
                    <w:tr2bl w:val="nil"/>
                  </w:tcBorders>
                  <w:noWrap w:val="0"/>
                  <w:vAlign w:val="center"/>
                </w:tcPr>
                <w:p w14:paraId="04A42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kern w:val="0"/>
                      <w:sz w:val="20"/>
                      <w:szCs w:val="20"/>
                      <w:highlight w:val="none"/>
                      <w:lang w:val="en-US" w:eastAsia="zh-CN" w:bidi="ar"/>
                    </w:rPr>
                    <w:t>2382×1134×30</w:t>
                  </w:r>
                </w:p>
              </w:tc>
              <w:tc>
                <w:tcPr>
                  <w:tcW w:w="1121" w:type="dxa"/>
                  <w:gridSpan w:val="2"/>
                  <w:tcBorders>
                    <w:tl2br w:val="nil"/>
                    <w:tr2bl w:val="nil"/>
                  </w:tcBorders>
                  <w:noWrap w:val="0"/>
                  <w:vAlign w:val="center"/>
                </w:tcPr>
                <w:p w14:paraId="264B02F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6284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1C19565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1.1</w:t>
                  </w:r>
                  <w:r>
                    <w:rPr>
                      <w:rFonts w:hint="default" w:ascii="Times New Roman" w:hAnsi="Times New Roman" w:eastAsia="仿宋" w:cs="Times New Roman"/>
                      <w:color w:val="auto"/>
                      <w:sz w:val="21"/>
                      <w:szCs w:val="21"/>
                      <w:highlight w:val="none"/>
                      <w:lang w:val="en-US" w:eastAsia="zh-CN"/>
                    </w:rPr>
                    <w:t>4</w:t>
                  </w:r>
                </w:p>
              </w:tc>
              <w:tc>
                <w:tcPr>
                  <w:tcW w:w="3070" w:type="dxa"/>
                  <w:tcBorders>
                    <w:tl2br w:val="nil"/>
                    <w:tr2bl w:val="nil"/>
                  </w:tcBorders>
                  <w:noWrap w:val="0"/>
                  <w:vAlign w:val="center"/>
                </w:tcPr>
                <w:p w14:paraId="5F6A5DC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重量</w:t>
                  </w:r>
                </w:p>
              </w:tc>
              <w:tc>
                <w:tcPr>
                  <w:tcW w:w="1145" w:type="dxa"/>
                  <w:tcBorders>
                    <w:tl2br w:val="nil"/>
                    <w:tr2bl w:val="nil"/>
                  </w:tcBorders>
                  <w:noWrap w:val="0"/>
                  <w:vAlign w:val="center"/>
                </w:tcPr>
                <w:p w14:paraId="5FA8A6E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kg</w:t>
                  </w:r>
                </w:p>
              </w:tc>
              <w:tc>
                <w:tcPr>
                  <w:tcW w:w="2599" w:type="dxa"/>
                  <w:gridSpan w:val="2"/>
                  <w:tcBorders>
                    <w:tl2br w:val="nil"/>
                    <w:tr2bl w:val="nil"/>
                  </w:tcBorders>
                  <w:noWrap w:val="0"/>
                  <w:vAlign w:val="center"/>
                </w:tcPr>
                <w:p w14:paraId="79FFB13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33.1</w:t>
                  </w:r>
                </w:p>
              </w:tc>
              <w:tc>
                <w:tcPr>
                  <w:tcW w:w="1121" w:type="dxa"/>
                  <w:gridSpan w:val="2"/>
                  <w:tcBorders>
                    <w:tl2br w:val="nil"/>
                    <w:tr2bl w:val="nil"/>
                  </w:tcBorders>
                  <w:noWrap w:val="0"/>
                  <w:vAlign w:val="center"/>
                </w:tcPr>
                <w:p w14:paraId="0D836BB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1041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37EA7C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1.1</w:t>
                  </w:r>
                  <w:r>
                    <w:rPr>
                      <w:rFonts w:hint="default" w:ascii="Times New Roman" w:hAnsi="Times New Roman" w:eastAsia="仿宋" w:cs="Times New Roman"/>
                      <w:color w:val="auto"/>
                      <w:sz w:val="21"/>
                      <w:szCs w:val="21"/>
                      <w:highlight w:val="none"/>
                      <w:lang w:val="en-US" w:eastAsia="zh-CN"/>
                    </w:rPr>
                    <w:t>5</w:t>
                  </w:r>
                </w:p>
              </w:tc>
              <w:tc>
                <w:tcPr>
                  <w:tcW w:w="3070" w:type="dxa"/>
                  <w:tcBorders>
                    <w:tl2br w:val="nil"/>
                    <w:tr2bl w:val="nil"/>
                  </w:tcBorders>
                  <w:noWrap w:val="0"/>
                  <w:vAlign w:val="center"/>
                </w:tcPr>
                <w:p w14:paraId="55FA255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数量</w:t>
                  </w:r>
                </w:p>
              </w:tc>
              <w:tc>
                <w:tcPr>
                  <w:tcW w:w="1145" w:type="dxa"/>
                  <w:tcBorders>
                    <w:tl2br w:val="nil"/>
                    <w:tr2bl w:val="nil"/>
                  </w:tcBorders>
                  <w:noWrap w:val="0"/>
                  <w:vAlign w:val="center"/>
                </w:tcPr>
                <w:p w14:paraId="5A91E5E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块</w:t>
                  </w:r>
                </w:p>
              </w:tc>
              <w:tc>
                <w:tcPr>
                  <w:tcW w:w="2599" w:type="dxa"/>
                  <w:gridSpan w:val="2"/>
                  <w:tcBorders>
                    <w:tl2br w:val="nil"/>
                    <w:tr2bl w:val="nil"/>
                  </w:tcBorders>
                  <w:noWrap w:val="0"/>
                  <w:vAlign w:val="center"/>
                </w:tcPr>
                <w:p w14:paraId="393C5E8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eastAsia="zh-CN"/>
                    </w:rPr>
                    <w:t>283920</w:t>
                  </w:r>
                </w:p>
              </w:tc>
              <w:tc>
                <w:tcPr>
                  <w:tcW w:w="1121" w:type="dxa"/>
                  <w:gridSpan w:val="2"/>
                  <w:tcBorders>
                    <w:tl2br w:val="nil"/>
                    <w:tr2bl w:val="nil"/>
                  </w:tcBorders>
                  <w:noWrap w:val="0"/>
                  <w:vAlign w:val="center"/>
                </w:tcPr>
                <w:p w14:paraId="03BC30E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FE0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shd w:val="clear" w:color="auto" w:fill="auto"/>
                  <w:noWrap w:val="0"/>
                  <w:vAlign w:val="center"/>
                </w:tcPr>
                <w:p w14:paraId="0D1AA7F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1.1</w:t>
                  </w:r>
                  <w:r>
                    <w:rPr>
                      <w:rFonts w:hint="default" w:ascii="Times New Roman" w:hAnsi="Times New Roman" w:eastAsia="仿宋" w:cs="Times New Roman"/>
                      <w:color w:val="auto"/>
                      <w:sz w:val="21"/>
                      <w:szCs w:val="21"/>
                      <w:highlight w:val="none"/>
                      <w:lang w:val="en-US" w:eastAsia="zh-CN"/>
                    </w:rPr>
                    <w:t>6</w:t>
                  </w:r>
                </w:p>
              </w:tc>
              <w:tc>
                <w:tcPr>
                  <w:tcW w:w="3070" w:type="dxa"/>
                  <w:tcBorders>
                    <w:tl2br w:val="nil"/>
                    <w:tr2bl w:val="nil"/>
                  </w:tcBorders>
                  <w:noWrap w:val="0"/>
                  <w:vAlign w:val="center"/>
                </w:tcPr>
                <w:p w14:paraId="0D30BD8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首年功率衰减</w:t>
                  </w:r>
                </w:p>
              </w:tc>
              <w:tc>
                <w:tcPr>
                  <w:tcW w:w="1145" w:type="dxa"/>
                  <w:tcBorders>
                    <w:tl2br w:val="nil"/>
                    <w:tr2bl w:val="nil"/>
                  </w:tcBorders>
                  <w:shd w:val="clear" w:color="auto" w:fill="auto"/>
                  <w:noWrap w:val="0"/>
                  <w:vAlign w:val="center"/>
                </w:tcPr>
                <w:p w14:paraId="15B11E4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noWrap w:val="0"/>
                  <w:vAlign w:val="center"/>
                </w:tcPr>
                <w:p w14:paraId="3354C71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w:t>
                  </w:r>
                </w:p>
              </w:tc>
              <w:tc>
                <w:tcPr>
                  <w:tcW w:w="1121" w:type="dxa"/>
                  <w:gridSpan w:val="2"/>
                  <w:tcBorders>
                    <w:tl2br w:val="nil"/>
                    <w:tr2bl w:val="nil"/>
                  </w:tcBorders>
                  <w:noWrap w:val="0"/>
                  <w:vAlign w:val="center"/>
                </w:tcPr>
                <w:p w14:paraId="67196FD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EEA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shd w:val="clear" w:color="auto" w:fill="auto"/>
                  <w:noWrap w:val="0"/>
                  <w:vAlign w:val="center"/>
                </w:tcPr>
                <w:p w14:paraId="0267861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1.1</w:t>
                  </w:r>
                  <w:r>
                    <w:rPr>
                      <w:rFonts w:hint="default" w:ascii="Times New Roman" w:hAnsi="Times New Roman" w:eastAsia="仿宋" w:cs="Times New Roman"/>
                      <w:color w:val="auto"/>
                      <w:sz w:val="21"/>
                      <w:szCs w:val="21"/>
                      <w:highlight w:val="none"/>
                      <w:lang w:val="en-US" w:eastAsia="zh-CN"/>
                    </w:rPr>
                    <w:t>7</w:t>
                  </w:r>
                </w:p>
              </w:tc>
              <w:tc>
                <w:tcPr>
                  <w:tcW w:w="3070" w:type="dxa"/>
                  <w:tcBorders>
                    <w:tl2br w:val="nil"/>
                    <w:tr2bl w:val="nil"/>
                  </w:tcBorders>
                  <w:noWrap w:val="0"/>
                  <w:vAlign w:val="center"/>
                </w:tcPr>
                <w:p w14:paraId="2299432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之后逐年功率衰减</w:t>
                  </w:r>
                </w:p>
              </w:tc>
              <w:tc>
                <w:tcPr>
                  <w:tcW w:w="1145" w:type="dxa"/>
                  <w:tcBorders>
                    <w:tl2br w:val="nil"/>
                    <w:tr2bl w:val="nil"/>
                  </w:tcBorders>
                  <w:shd w:val="clear" w:color="auto" w:fill="auto"/>
                  <w:noWrap w:val="0"/>
                  <w:vAlign w:val="center"/>
                </w:tcPr>
                <w:p w14:paraId="4A2CC5B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noWrap w:val="0"/>
                  <w:vAlign w:val="center"/>
                </w:tcPr>
                <w:p w14:paraId="1B8EF17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0.4</w:t>
                  </w:r>
                </w:p>
              </w:tc>
              <w:tc>
                <w:tcPr>
                  <w:tcW w:w="1121" w:type="dxa"/>
                  <w:gridSpan w:val="2"/>
                  <w:tcBorders>
                    <w:tl2br w:val="nil"/>
                    <w:tr2bl w:val="nil"/>
                  </w:tcBorders>
                  <w:noWrap w:val="0"/>
                  <w:vAlign w:val="center"/>
                </w:tcPr>
                <w:p w14:paraId="32B993E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488D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611" w:type="dxa"/>
                  <w:tcBorders>
                    <w:tl2br w:val="nil"/>
                    <w:tr2bl w:val="nil"/>
                  </w:tcBorders>
                  <w:noWrap w:val="0"/>
                  <w:vAlign w:val="center"/>
                </w:tcPr>
                <w:p w14:paraId="65BDCCF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1.18</w:t>
                  </w:r>
                </w:p>
              </w:tc>
              <w:tc>
                <w:tcPr>
                  <w:tcW w:w="3070" w:type="dxa"/>
                  <w:tcBorders>
                    <w:tl2br w:val="nil"/>
                    <w:tr2bl w:val="nil"/>
                  </w:tcBorders>
                  <w:noWrap w:val="0"/>
                  <w:vAlign w:val="center"/>
                </w:tcPr>
                <w:p w14:paraId="4D4BE4A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向日跟踪方式</w:t>
                  </w:r>
                </w:p>
              </w:tc>
              <w:tc>
                <w:tcPr>
                  <w:tcW w:w="1145" w:type="dxa"/>
                  <w:tcBorders>
                    <w:tl2br w:val="nil"/>
                    <w:tr2bl w:val="nil"/>
                  </w:tcBorders>
                  <w:noWrap w:val="0"/>
                  <w:vAlign w:val="center"/>
                </w:tcPr>
                <w:p w14:paraId="7674749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2599" w:type="dxa"/>
                  <w:gridSpan w:val="2"/>
                  <w:tcBorders>
                    <w:tl2br w:val="nil"/>
                    <w:tr2bl w:val="nil"/>
                  </w:tcBorders>
                  <w:noWrap w:val="0"/>
                  <w:vAlign w:val="center"/>
                </w:tcPr>
                <w:p w14:paraId="150EB34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固定</w:t>
                  </w:r>
                </w:p>
              </w:tc>
              <w:tc>
                <w:tcPr>
                  <w:tcW w:w="1121" w:type="dxa"/>
                  <w:gridSpan w:val="2"/>
                  <w:tcBorders>
                    <w:tl2br w:val="nil"/>
                    <w:tr2bl w:val="nil"/>
                  </w:tcBorders>
                  <w:noWrap w:val="0"/>
                  <w:vAlign w:val="center"/>
                </w:tcPr>
                <w:p w14:paraId="625FC81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401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4E1B63B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1.19</w:t>
                  </w:r>
                </w:p>
              </w:tc>
              <w:tc>
                <w:tcPr>
                  <w:tcW w:w="3070" w:type="dxa"/>
                  <w:tcBorders>
                    <w:tl2br w:val="nil"/>
                    <w:tr2bl w:val="nil"/>
                  </w:tcBorders>
                  <w:noWrap w:val="0"/>
                  <w:vAlign w:val="center"/>
                </w:tcPr>
                <w:p w14:paraId="7C2274F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固定倾角角度</w:t>
                  </w:r>
                </w:p>
              </w:tc>
              <w:tc>
                <w:tcPr>
                  <w:tcW w:w="1145" w:type="dxa"/>
                  <w:tcBorders>
                    <w:tl2br w:val="nil"/>
                    <w:tr2bl w:val="nil"/>
                  </w:tcBorders>
                  <w:noWrap w:val="0"/>
                  <w:vAlign w:val="center"/>
                </w:tcPr>
                <w:p w14:paraId="5E83B5D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noWrap w:val="0"/>
                  <w:vAlign w:val="center"/>
                </w:tcPr>
                <w:p w14:paraId="34F195C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25</w:t>
                  </w:r>
                </w:p>
              </w:tc>
              <w:tc>
                <w:tcPr>
                  <w:tcW w:w="1121" w:type="dxa"/>
                  <w:gridSpan w:val="2"/>
                  <w:tcBorders>
                    <w:tl2br w:val="nil"/>
                    <w:tr2bl w:val="nil"/>
                  </w:tcBorders>
                  <w:noWrap w:val="0"/>
                  <w:vAlign w:val="center"/>
                </w:tcPr>
                <w:p w14:paraId="02C7AE4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0DB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24FEAB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7935" w:type="dxa"/>
                  <w:gridSpan w:val="6"/>
                  <w:tcBorders>
                    <w:tl2br w:val="nil"/>
                    <w:tr2bl w:val="nil"/>
                  </w:tcBorders>
                  <w:noWrap w:val="0"/>
                  <w:vAlign w:val="center"/>
                </w:tcPr>
                <w:p w14:paraId="6E64528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逆变器</w:t>
                  </w:r>
                </w:p>
              </w:tc>
            </w:tr>
            <w:tr w14:paraId="1340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5B101D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2.1</w:t>
                  </w:r>
                </w:p>
              </w:tc>
              <w:tc>
                <w:tcPr>
                  <w:tcW w:w="3070" w:type="dxa"/>
                  <w:tcBorders>
                    <w:tl2br w:val="nil"/>
                    <w:tr2bl w:val="nil"/>
                  </w:tcBorders>
                  <w:noWrap w:val="0"/>
                  <w:vAlign w:val="center"/>
                </w:tcPr>
                <w:p w14:paraId="0F0060E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输出额定功率</w:t>
                  </w:r>
                </w:p>
              </w:tc>
              <w:tc>
                <w:tcPr>
                  <w:tcW w:w="1145" w:type="dxa"/>
                  <w:tcBorders>
                    <w:tl2br w:val="nil"/>
                    <w:tr2bl w:val="nil"/>
                  </w:tcBorders>
                  <w:noWrap w:val="0"/>
                  <w:vAlign w:val="center"/>
                </w:tcPr>
                <w:p w14:paraId="719741C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kW</w:t>
                  </w:r>
                </w:p>
              </w:tc>
              <w:tc>
                <w:tcPr>
                  <w:tcW w:w="2599" w:type="dxa"/>
                  <w:gridSpan w:val="2"/>
                  <w:tcBorders>
                    <w:tl2br w:val="nil"/>
                    <w:tr2bl w:val="nil"/>
                  </w:tcBorders>
                  <w:noWrap w:val="0"/>
                  <w:vAlign w:val="center"/>
                </w:tcPr>
                <w:p w14:paraId="23A1FFA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320</w:t>
                  </w:r>
                </w:p>
              </w:tc>
              <w:tc>
                <w:tcPr>
                  <w:tcW w:w="1121" w:type="dxa"/>
                  <w:gridSpan w:val="2"/>
                  <w:tcBorders>
                    <w:tl2br w:val="nil"/>
                    <w:tr2bl w:val="nil"/>
                  </w:tcBorders>
                  <w:noWrap w:val="0"/>
                  <w:vAlign w:val="center"/>
                </w:tcPr>
                <w:p w14:paraId="152B6BC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9FE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580322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2.2</w:t>
                  </w:r>
                </w:p>
              </w:tc>
              <w:tc>
                <w:tcPr>
                  <w:tcW w:w="3070" w:type="dxa"/>
                  <w:tcBorders>
                    <w:tl2br w:val="nil"/>
                    <w:tr2bl w:val="nil"/>
                  </w:tcBorders>
                  <w:noWrap w:val="0"/>
                  <w:vAlign w:val="center"/>
                </w:tcPr>
                <w:p w14:paraId="076D76A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最大</w:t>
                  </w:r>
                  <w:r>
                    <w:rPr>
                      <w:rFonts w:hint="default" w:ascii="Times New Roman" w:hAnsi="Times New Roman" w:eastAsia="仿宋" w:cs="Times New Roman"/>
                      <w:color w:val="auto"/>
                      <w:sz w:val="21"/>
                      <w:szCs w:val="21"/>
                      <w:highlight w:val="none"/>
                      <w:lang w:val="en-US" w:eastAsia="zh-CN"/>
                    </w:rPr>
                    <w:t>输出功率</w:t>
                  </w:r>
                </w:p>
              </w:tc>
              <w:tc>
                <w:tcPr>
                  <w:tcW w:w="1145" w:type="dxa"/>
                  <w:tcBorders>
                    <w:tl2br w:val="nil"/>
                    <w:tr2bl w:val="nil"/>
                  </w:tcBorders>
                  <w:noWrap w:val="0"/>
                  <w:vAlign w:val="center"/>
                </w:tcPr>
                <w:p w14:paraId="5DC9DFD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kW</w:t>
                  </w:r>
                </w:p>
              </w:tc>
              <w:tc>
                <w:tcPr>
                  <w:tcW w:w="2599" w:type="dxa"/>
                  <w:gridSpan w:val="2"/>
                  <w:tcBorders>
                    <w:tl2br w:val="nil"/>
                    <w:tr2bl w:val="nil"/>
                  </w:tcBorders>
                  <w:noWrap w:val="0"/>
                  <w:vAlign w:val="center"/>
                </w:tcPr>
                <w:p w14:paraId="6D589AD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352</w:t>
                  </w:r>
                </w:p>
              </w:tc>
              <w:tc>
                <w:tcPr>
                  <w:tcW w:w="1121" w:type="dxa"/>
                  <w:gridSpan w:val="2"/>
                  <w:tcBorders>
                    <w:tl2br w:val="nil"/>
                    <w:tr2bl w:val="nil"/>
                  </w:tcBorders>
                  <w:noWrap w:val="0"/>
                  <w:vAlign w:val="center"/>
                </w:tcPr>
                <w:p w14:paraId="6931965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549E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29694EE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2.3</w:t>
                  </w:r>
                </w:p>
              </w:tc>
              <w:tc>
                <w:tcPr>
                  <w:tcW w:w="3070" w:type="dxa"/>
                  <w:tcBorders>
                    <w:tl2br w:val="nil"/>
                    <w:tr2bl w:val="nil"/>
                  </w:tcBorders>
                  <w:shd w:val="clear" w:color="auto" w:fill="auto"/>
                  <w:noWrap w:val="0"/>
                  <w:vAlign w:val="center"/>
                </w:tcPr>
                <w:p w14:paraId="1726B1C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最高转换效率</w:t>
                  </w:r>
                </w:p>
              </w:tc>
              <w:tc>
                <w:tcPr>
                  <w:tcW w:w="1145" w:type="dxa"/>
                  <w:tcBorders>
                    <w:tl2br w:val="nil"/>
                    <w:tr2bl w:val="nil"/>
                  </w:tcBorders>
                  <w:shd w:val="clear" w:color="auto" w:fill="auto"/>
                  <w:noWrap w:val="0"/>
                  <w:vAlign w:val="center"/>
                </w:tcPr>
                <w:p w14:paraId="3BE7732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shd w:val="clear" w:color="auto" w:fill="auto"/>
                  <w:noWrap w:val="0"/>
                  <w:vAlign w:val="center"/>
                </w:tcPr>
                <w:p w14:paraId="213038E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99.0</w:t>
                  </w:r>
                  <w:r>
                    <w:rPr>
                      <w:rFonts w:hint="default" w:ascii="Times New Roman" w:hAnsi="Times New Roman" w:eastAsia="仿宋" w:cs="Times New Roman"/>
                      <w:color w:val="auto"/>
                      <w:sz w:val="21"/>
                      <w:szCs w:val="21"/>
                      <w:highlight w:val="none"/>
                      <w:lang w:val="en-US" w:eastAsia="zh-CN"/>
                    </w:rPr>
                    <w:t>4</w:t>
                  </w:r>
                </w:p>
              </w:tc>
              <w:tc>
                <w:tcPr>
                  <w:tcW w:w="1121" w:type="dxa"/>
                  <w:gridSpan w:val="2"/>
                  <w:tcBorders>
                    <w:tl2br w:val="nil"/>
                    <w:tr2bl w:val="nil"/>
                  </w:tcBorders>
                  <w:shd w:val="clear" w:color="auto" w:fill="auto"/>
                  <w:noWrap w:val="0"/>
                  <w:vAlign w:val="center"/>
                </w:tcPr>
                <w:p w14:paraId="63B1D77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1DC4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D30D15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w:t>
                  </w:r>
                </w:p>
              </w:tc>
              <w:tc>
                <w:tcPr>
                  <w:tcW w:w="3070" w:type="dxa"/>
                  <w:tcBorders>
                    <w:tl2br w:val="nil"/>
                    <w:tr2bl w:val="nil"/>
                  </w:tcBorders>
                  <w:shd w:val="clear" w:color="auto" w:fill="auto"/>
                  <w:noWrap w:val="0"/>
                  <w:vAlign w:val="center"/>
                </w:tcPr>
                <w:p w14:paraId="14F1551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中国效率</w:t>
                  </w:r>
                </w:p>
              </w:tc>
              <w:tc>
                <w:tcPr>
                  <w:tcW w:w="1145" w:type="dxa"/>
                  <w:tcBorders>
                    <w:tl2br w:val="nil"/>
                    <w:tr2bl w:val="nil"/>
                  </w:tcBorders>
                  <w:shd w:val="clear" w:color="auto" w:fill="auto"/>
                  <w:noWrap w:val="0"/>
                  <w:vAlign w:val="center"/>
                </w:tcPr>
                <w:p w14:paraId="157D393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shd w:val="clear" w:color="auto" w:fill="auto"/>
                  <w:noWrap w:val="0"/>
                  <w:vAlign w:val="center"/>
                </w:tcPr>
                <w:p w14:paraId="197FDD2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98.5</w:t>
                  </w:r>
                  <w:r>
                    <w:rPr>
                      <w:rFonts w:hint="default" w:ascii="Times New Roman" w:hAnsi="Times New Roman" w:eastAsia="仿宋" w:cs="Times New Roman"/>
                      <w:color w:val="auto"/>
                      <w:sz w:val="21"/>
                      <w:szCs w:val="21"/>
                      <w:highlight w:val="none"/>
                      <w:lang w:val="en-US" w:eastAsia="zh-CN"/>
                    </w:rPr>
                    <w:t>6</w:t>
                  </w:r>
                </w:p>
              </w:tc>
              <w:tc>
                <w:tcPr>
                  <w:tcW w:w="1121" w:type="dxa"/>
                  <w:gridSpan w:val="2"/>
                  <w:tcBorders>
                    <w:tl2br w:val="nil"/>
                    <w:tr2bl w:val="nil"/>
                  </w:tcBorders>
                  <w:shd w:val="clear" w:color="auto" w:fill="auto"/>
                  <w:noWrap w:val="0"/>
                  <w:vAlign w:val="center"/>
                </w:tcPr>
                <w:p w14:paraId="25DDE23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153F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44D65E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2.5</w:t>
                  </w:r>
                </w:p>
              </w:tc>
              <w:tc>
                <w:tcPr>
                  <w:tcW w:w="3070" w:type="dxa"/>
                  <w:tcBorders>
                    <w:tl2br w:val="nil"/>
                    <w:tr2bl w:val="nil"/>
                  </w:tcBorders>
                  <w:shd w:val="clear" w:color="auto" w:fill="auto"/>
                  <w:noWrap w:val="0"/>
                  <w:vAlign w:val="center"/>
                </w:tcPr>
                <w:p w14:paraId="70C1B6E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最大</w:t>
                  </w:r>
                  <w:r>
                    <w:rPr>
                      <w:rFonts w:hint="default" w:ascii="Times New Roman" w:hAnsi="Times New Roman" w:eastAsia="仿宋" w:cs="Times New Roman"/>
                      <w:color w:val="auto"/>
                      <w:sz w:val="21"/>
                      <w:szCs w:val="21"/>
                      <w:highlight w:val="none"/>
                      <w:lang w:val="en-US" w:eastAsia="zh-CN"/>
                    </w:rPr>
                    <w:t>输入电压范围</w:t>
                  </w:r>
                </w:p>
              </w:tc>
              <w:tc>
                <w:tcPr>
                  <w:tcW w:w="1145" w:type="dxa"/>
                  <w:tcBorders>
                    <w:tl2br w:val="nil"/>
                    <w:tr2bl w:val="nil"/>
                  </w:tcBorders>
                  <w:shd w:val="clear" w:color="auto" w:fill="auto"/>
                  <w:noWrap w:val="0"/>
                  <w:vAlign w:val="center"/>
                </w:tcPr>
                <w:p w14:paraId="4C1AAA8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V</w:t>
                  </w:r>
                </w:p>
              </w:tc>
              <w:tc>
                <w:tcPr>
                  <w:tcW w:w="2599" w:type="dxa"/>
                  <w:gridSpan w:val="2"/>
                  <w:tcBorders>
                    <w:tl2br w:val="nil"/>
                    <w:tr2bl w:val="nil"/>
                  </w:tcBorders>
                  <w:shd w:val="clear" w:color="auto" w:fill="auto"/>
                  <w:noWrap w:val="0"/>
                  <w:vAlign w:val="center"/>
                </w:tcPr>
                <w:p w14:paraId="02875DF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1500</w:t>
                  </w:r>
                </w:p>
              </w:tc>
              <w:tc>
                <w:tcPr>
                  <w:tcW w:w="1121" w:type="dxa"/>
                  <w:gridSpan w:val="2"/>
                  <w:tcBorders>
                    <w:tl2br w:val="nil"/>
                    <w:tr2bl w:val="nil"/>
                  </w:tcBorders>
                  <w:shd w:val="clear" w:color="auto" w:fill="auto"/>
                  <w:noWrap w:val="0"/>
                  <w:vAlign w:val="center"/>
                </w:tcPr>
                <w:p w14:paraId="77F1E07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6072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8C17AF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2.6</w:t>
                  </w:r>
                </w:p>
              </w:tc>
              <w:tc>
                <w:tcPr>
                  <w:tcW w:w="3070" w:type="dxa"/>
                  <w:tcBorders>
                    <w:tl2br w:val="nil"/>
                    <w:tr2bl w:val="nil"/>
                  </w:tcBorders>
                  <w:shd w:val="clear" w:color="auto" w:fill="auto"/>
                  <w:noWrap w:val="0"/>
                  <w:vAlign w:val="center"/>
                </w:tcPr>
                <w:p w14:paraId="623DCAB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MPPT</w:t>
                  </w:r>
                  <w:r>
                    <w:rPr>
                      <w:rFonts w:hint="default" w:ascii="Times New Roman" w:hAnsi="Times New Roman" w:eastAsia="仿宋" w:cs="Times New Roman"/>
                      <w:color w:val="auto"/>
                      <w:sz w:val="21"/>
                      <w:szCs w:val="21"/>
                      <w:highlight w:val="none"/>
                      <w:lang w:val="en-US" w:eastAsia="zh-CN"/>
                    </w:rPr>
                    <w:t>电压范围</w:t>
                  </w:r>
                </w:p>
              </w:tc>
              <w:tc>
                <w:tcPr>
                  <w:tcW w:w="1145" w:type="dxa"/>
                  <w:tcBorders>
                    <w:tl2br w:val="nil"/>
                    <w:tr2bl w:val="nil"/>
                  </w:tcBorders>
                  <w:shd w:val="clear" w:color="auto" w:fill="auto"/>
                  <w:noWrap w:val="0"/>
                  <w:vAlign w:val="center"/>
                </w:tcPr>
                <w:p w14:paraId="38417F5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V</w:t>
                  </w:r>
                </w:p>
              </w:tc>
              <w:tc>
                <w:tcPr>
                  <w:tcW w:w="2599" w:type="dxa"/>
                  <w:gridSpan w:val="2"/>
                  <w:tcBorders>
                    <w:tl2br w:val="nil"/>
                    <w:tr2bl w:val="nil"/>
                  </w:tcBorders>
                  <w:shd w:val="clear" w:color="auto" w:fill="auto"/>
                  <w:noWrap w:val="0"/>
                  <w:vAlign w:val="center"/>
                </w:tcPr>
                <w:p w14:paraId="08B3196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500~1500</w:t>
                  </w:r>
                </w:p>
              </w:tc>
              <w:tc>
                <w:tcPr>
                  <w:tcW w:w="1121" w:type="dxa"/>
                  <w:gridSpan w:val="2"/>
                  <w:tcBorders>
                    <w:tl2br w:val="nil"/>
                    <w:tr2bl w:val="nil"/>
                  </w:tcBorders>
                  <w:shd w:val="clear" w:color="auto" w:fill="auto"/>
                  <w:noWrap w:val="0"/>
                  <w:vAlign w:val="center"/>
                </w:tcPr>
                <w:p w14:paraId="0942AA4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3EE3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23E4EF3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2.7</w:t>
                  </w:r>
                </w:p>
              </w:tc>
              <w:tc>
                <w:tcPr>
                  <w:tcW w:w="3070" w:type="dxa"/>
                  <w:tcBorders>
                    <w:tl2br w:val="nil"/>
                    <w:tr2bl w:val="nil"/>
                  </w:tcBorders>
                  <w:shd w:val="clear" w:color="auto" w:fill="auto"/>
                  <w:noWrap w:val="0"/>
                  <w:vAlign w:val="center"/>
                </w:tcPr>
                <w:p w14:paraId="39981AB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最大直流输入电流</w:t>
                  </w:r>
                </w:p>
              </w:tc>
              <w:tc>
                <w:tcPr>
                  <w:tcW w:w="1145" w:type="dxa"/>
                  <w:tcBorders>
                    <w:tl2br w:val="nil"/>
                    <w:tr2bl w:val="nil"/>
                  </w:tcBorders>
                  <w:shd w:val="clear" w:color="auto" w:fill="auto"/>
                  <w:noWrap w:val="0"/>
                  <w:vAlign w:val="center"/>
                </w:tcPr>
                <w:p w14:paraId="3844B9C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A</w:t>
                  </w:r>
                </w:p>
              </w:tc>
              <w:tc>
                <w:tcPr>
                  <w:tcW w:w="2599" w:type="dxa"/>
                  <w:gridSpan w:val="2"/>
                  <w:tcBorders>
                    <w:tl2br w:val="nil"/>
                    <w:tr2bl w:val="nil"/>
                  </w:tcBorders>
                  <w:shd w:val="clear" w:color="auto" w:fill="auto"/>
                  <w:noWrap w:val="0"/>
                  <w:vAlign w:val="center"/>
                </w:tcPr>
                <w:p w14:paraId="1B70DF9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450</w:t>
                  </w:r>
                </w:p>
              </w:tc>
              <w:tc>
                <w:tcPr>
                  <w:tcW w:w="1121" w:type="dxa"/>
                  <w:gridSpan w:val="2"/>
                  <w:tcBorders>
                    <w:tl2br w:val="nil"/>
                    <w:tr2bl w:val="nil"/>
                  </w:tcBorders>
                  <w:shd w:val="clear" w:color="auto" w:fill="auto"/>
                  <w:noWrap w:val="0"/>
                  <w:vAlign w:val="center"/>
                </w:tcPr>
                <w:p w14:paraId="22931B3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3903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11" w:type="dxa"/>
                  <w:tcBorders>
                    <w:tl2br w:val="nil"/>
                    <w:tr2bl w:val="nil"/>
                  </w:tcBorders>
                  <w:noWrap w:val="0"/>
                  <w:vAlign w:val="center"/>
                </w:tcPr>
                <w:p w14:paraId="19483E7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2.</w:t>
                  </w:r>
                  <w:r>
                    <w:rPr>
                      <w:rFonts w:hint="default" w:ascii="Times New Roman" w:hAnsi="Times New Roman" w:eastAsia="仿宋" w:cs="Times New Roman"/>
                      <w:color w:val="auto"/>
                      <w:sz w:val="21"/>
                      <w:szCs w:val="21"/>
                      <w:highlight w:val="none"/>
                      <w:lang w:val="en-US" w:eastAsia="zh-CN"/>
                    </w:rPr>
                    <w:t>8</w:t>
                  </w:r>
                </w:p>
              </w:tc>
              <w:tc>
                <w:tcPr>
                  <w:tcW w:w="3070" w:type="dxa"/>
                  <w:tcBorders>
                    <w:tl2br w:val="nil"/>
                    <w:tr2bl w:val="nil"/>
                  </w:tcBorders>
                  <w:shd w:val="clear" w:color="auto" w:fill="auto"/>
                  <w:noWrap w:val="0"/>
                  <w:vAlign w:val="center"/>
                </w:tcPr>
                <w:p w14:paraId="4B8EE83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额定输出电压</w:t>
                  </w:r>
                </w:p>
              </w:tc>
              <w:tc>
                <w:tcPr>
                  <w:tcW w:w="1145" w:type="dxa"/>
                  <w:tcBorders>
                    <w:tl2br w:val="nil"/>
                    <w:tr2bl w:val="nil"/>
                  </w:tcBorders>
                  <w:shd w:val="clear" w:color="auto" w:fill="auto"/>
                  <w:noWrap w:val="0"/>
                  <w:vAlign w:val="center"/>
                </w:tcPr>
                <w:p w14:paraId="5449174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V</w:t>
                  </w:r>
                </w:p>
              </w:tc>
              <w:tc>
                <w:tcPr>
                  <w:tcW w:w="2599" w:type="dxa"/>
                  <w:gridSpan w:val="2"/>
                  <w:tcBorders>
                    <w:tl2br w:val="nil"/>
                    <w:tr2bl w:val="nil"/>
                  </w:tcBorders>
                  <w:shd w:val="clear" w:color="auto" w:fill="auto"/>
                  <w:noWrap w:val="0"/>
                  <w:vAlign w:val="center"/>
                </w:tcPr>
                <w:p w14:paraId="747E4A2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800</w:t>
                  </w:r>
                </w:p>
              </w:tc>
              <w:tc>
                <w:tcPr>
                  <w:tcW w:w="1121" w:type="dxa"/>
                  <w:gridSpan w:val="2"/>
                  <w:tcBorders>
                    <w:tl2br w:val="nil"/>
                    <w:tr2bl w:val="nil"/>
                  </w:tcBorders>
                  <w:shd w:val="clear" w:color="auto" w:fill="auto"/>
                  <w:noWrap w:val="0"/>
                  <w:vAlign w:val="center"/>
                </w:tcPr>
                <w:p w14:paraId="6422736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6B88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41D2768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2.9</w:t>
                  </w:r>
                </w:p>
              </w:tc>
              <w:tc>
                <w:tcPr>
                  <w:tcW w:w="3070" w:type="dxa"/>
                  <w:tcBorders>
                    <w:tl2br w:val="nil"/>
                    <w:tr2bl w:val="nil"/>
                  </w:tcBorders>
                  <w:shd w:val="clear" w:color="auto" w:fill="auto"/>
                  <w:noWrap w:val="0"/>
                  <w:vAlign w:val="center"/>
                </w:tcPr>
                <w:p w14:paraId="4783DB4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输出频率范围</w:t>
                  </w:r>
                </w:p>
              </w:tc>
              <w:tc>
                <w:tcPr>
                  <w:tcW w:w="1145" w:type="dxa"/>
                  <w:tcBorders>
                    <w:tl2br w:val="nil"/>
                    <w:tr2bl w:val="nil"/>
                  </w:tcBorders>
                  <w:shd w:val="clear" w:color="auto" w:fill="auto"/>
                  <w:noWrap w:val="0"/>
                  <w:vAlign w:val="center"/>
                </w:tcPr>
                <w:p w14:paraId="593659A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Hz</w:t>
                  </w:r>
                </w:p>
              </w:tc>
              <w:tc>
                <w:tcPr>
                  <w:tcW w:w="2599" w:type="dxa"/>
                  <w:gridSpan w:val="2"/>
                  <w:tcBorders>
                    <w:tl2br w:val="nil"/>
                    <w:tr2bl w:val="nil"/>
                  </w:tcBorders>
                  <w:shd w:val="clear" w:color="auto" w:fill="auto"/>
                  <w:noWrap w:val="0"/>
                  <w:vAlign w:val="center"/>
                </w:tcPr>
                <w:p w14:paraId="278D2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kern w:val="0"/>
                      <w:sz w:val="20"/>
                      <w:szCs w:val="20"/>
                      <w:highlight w:val="none"/>
                      <w:lang w:val="en-US" w:eastAsia="zh-CN" w:bidi="ar"/>
                    </w:rPr>
                    <w:t>50±5Hz/60±5Hz</w:t>
                  </w:r>
                </w:p>
              </w:tc>
              <w:tc>
                <w:tcPr>
                  <w:tcW w:w="1121" w:type="dxa"/>
                  <w:gridSpan w:val="2"/>
                  <w:tcBorders>
                    <w:tl2br w:val="nil"/>
                    <w:tr2bl w:val="nil"/>
                  </w:tcBorders>
                  <w:shd w:val="clear" w:color="auto" w:fill="auto"/>
                  <w:noWrap w:val="0"/>
                  <w:vAlign w:val="center"/>
                </w:tcPr>
                <w:p w14:paraId="3AD9CFF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6188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2D394F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2.</w:t>
                  </w:r>
                  <w:r>
                    <w:rPr>
                      <w:rFonts w:hint="default" w:ascii="Times New Roman" w:hAnsi="Times New Roman" w:eastAsia="仿宋" w:cs="Times New Roman"/>
                      <w:color w:val="auto"/>
                      <w:sz w:val="21"/>
                      <w:szCs w:val="21"/>
                      <w:highlight w:val="none"/>
                      <w:lang w:val="en-US" w:eastAsia="zh-CN"/>
                    </w:rPr>
                    <w:t>10</w:t>
                  </w:r>
                </w:p>
              </w:tc>
              <w:tc>
                <w:tcPr>
                  <w:tcW w:w="3070" w:type="dxa"/>
                  <w:tcBorders>
                    <w:tl2br w:val="nil"/>
                    <w:tr2bl w:val="nil"/>
                  </w:tcBorders>
                  <w:shd w:val="clear" w:color="auto" w:fill="auto"/>
                  <w:noWrap w:val="0"/>
                  <w:vAlign w:val="center"/>
                </w:tcPr>
                <w:p w14:paraId="2EE41B1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功率因数</w:t>
                  </w:r>
                </w:p>
              </w:tc>
              <w:tc>
                <w:tcPr>
                  <w:tcW w:w="1145" w:type="dxa"/>
                  <w:tcBorders>
                    <w:tl2br w:val="nil"/>
                    <w:tr2bl w:val="nil"/>
                  </w:tcBorders>
                  <w:shd w:val="clear" w:color="auto" w:fill="auto"/>
                  <w:noWrap w:val="0"/>
                  <w:vAlign w:val="center"/>
                </w:tcPr>
                <w:p w14:paraId="33FD207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c>
                <w:tcPr>
                  <w:tcW w:w="2599" w:type="dxa"/>
                  <w:gridSpan w:val="2"/>
                  <w:tcBorders>
                    <w:tl2br w:val="nil"/>
                    <w:tr2bl w:val="nil"/>
                  </w:tcBorders>
                  <w:shd w:val="clear" w:color="auto" w:fill="auto"/>
                  <w:noWrap w:val="0"/>
                  <w:vAlign w:val="center"/>
                </w:tcPr>
                <w:p w14:paraId="421C60F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&gt;0.99</w:t>
                  </w:r>
                </w:p>
              </w:tc>
              <w:tc>
                <w:tcPr>
                  <w:tcW w:w="1121" w:type="dxa"/>
                  <w:gridSpan w:val="2"/>
                  <w:tcBorders>
                    <w:tl2br w:val="nil"/>
                    <w:tr2bl w:val="nil"/>
                  </w:tcBorders>
                  <w:shd w:val="clear" w:color="auto" w:fill="auto"/>
                  <w:noWrap w:val="0"/>
                  <w:vAlign w:val="center"/>
                </w:tcPr>
                <w:p w14:paraId="4FEFBFA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额定功率下</w:t>
                  </w:r>
                </w:p>
              </w:tc>
            </w:tr>
            <w:tr w14:paraId="29E5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3AB6DFB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2.</w:t>
                  </w:r>
                  <w:r>
                    <w:rPr>
                      <w:rFonts w:hint="default" w:ascii="Times New Roman" w:hAnsi="Times New Roman" w:eastAsia="仿宋" w:cs="Times New Roman"/>
                      <w:color w:val="auto"/>
                      <w:sz w:val="21"/>
                      <w:szCs w:val="21"/>
                      <w:highlight w:val="none"/>
                      <w:lang w:val="en-US" w:eastAsia="zh-CN"/>
                    </w:rPr>
                    <w:t>11</w:t>
                  </w:r>
                </w:p>
              </w:tc>
              <w:tc>
                <w:tcPr>
                  <w:tcW w:w="3070" w:type="dxa"/>
                  <w:tcBorders>
                    <w:tl2br w:val="nil"/>
                    <w:tr2bl w:val="nil"/>
                  </w:tcBorders>
                  <w:shd w:val="clear" w:color="auto" w:fill="auto"/>
                  <w:noWrap w:val="0"/>
                  <w:vAlign w:val="center"/>
                </w:tcPr>
                <w:p w14:paraId="6B26FB5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宽×高×</w:t>
                  </w:r>
                  <w:r>
                    <w:rPr>
                      <w:rFonts w:hint="default" w:ascii="Times New Roman" w:hAnsi="Times New Roman" w:eastAsia="仿宋" w:cs="Times New Roman"/>
                      <w:color w:val="auto"/>
                      <w:sz w:val="21"/>
                      <w:szCs w:val="21"/>
                      <w:highlight w:val="none"/>
                      <w:lang w:val="en-US" w:eastAsia="zh-CN"/>
                    </w:rPr>
                    <w:t>深</w:t>
                  </w:r>
                </w:p>
              </w:tc>
              <w:tc>
                <w:tcPr>
                  <w:tcW w:w="1145" w:type="dxa"/>
                  <w:tcBorders>
                    <w:tl2br w:val="nil"/>
                    <w:tr2bl w:val="nil"/>
                  </w:tcBorders>
                  <w:shd w:val="clear" w:color="auto" w:fill="auto"/>
                  <w:noWrap w:val="0"/>
                  <w:vAlign w:val="center"/>
                </w:tcPr>
                <w:p w14:paraId="42E16A3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mm</w:t>
                  </w:r>
                </w:p>
              </w:tc>
              <w:tc>
                <w:tcPr>
                  <w:tcW w:w="2599" w:type="dxa"/>
                  <w:gridSpan w:val="2"/>
                  <w:tcBorders>
                    <w:tl2br w:val="nil"/>
                    <w:tr2bl w:val="nil"/>
                  </w:tcBorders>
                  <w:shd w:val="clear" w:color="auto" w:fill="auto"/>
                  <w:noWrap w:val="0"/>
                  <w:vAlign w:val="center"/>
                </w:tcPr>
                <w:p w14:paraId="20B339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kern w:val="0"/>
                      <w:sz w:val="20"/>
                      <w:szCs w:val="20"/>
                      <w:highlight w:val="none"/>
                      <w:lang w:val="en-US" w:eastAsia="zh-CN" w:bidi="ar"/>
                    </w:rPr>
                    <w:t>1148×779×371</w:t>
                  </w:r>
                </w:p>
              </w:tc>
              <w:tc>
                <w:tcPr>
                  <w:tcW w:w="1121" w:type="dxa"/>
                  <w:gridSpan w:val="2"/>
                  <w:tcBorders>
                    <w:tl2br w:val="nil"/>
                    <w:tr2bl w:val="nil"/>
                  </w:tcBorders>
                  <w:shd w:val="clear" w:color="auto" w:fill="auto"/>
                  <w:noWrap w:val="0"/>
                  <w:vAlign w:val="center"/>
                </w:tcPr>
                <w:p w14:paraId="27782A4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5504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BF1A3C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2.1</w:t>
                  </w:r>
                  <w:r>
                    <w:rPr>
                      <w:rFonts w:hint="default" w:ascii="Times New Roman" w:hAnsi="Times New Roman" w:eastAsia="仿宋" w:cs="Times New Roman"/>
                      <w:color w:val="auto"/>
                      <w:sz w:val="21"/>
                      <w:szCs w:val="21"/>
                      <w:highlight w:val="none"/>
                      <w:lang w:val="en-US" w:eastAsia="zh-CN"/>
                    </w:rPr>
                    <w:t>2</w:t>
                  </w:r>
                </w:p>
              </w:tc>
              <w:tc>
                <w:tcPr>
                  <w:tcW w:w="3070" w:type="dxa"/>
                  <w:tcBorders>
                    <w:tl2br w:val="nil"/>
                    <w:tr2bl w:val="nil"/>
                  </w:tcBorders>
                  <w:shd w:val="clear" w:color="auto" w:fill="auto"/>
                  <w:noWrap w:val="0"/>
                  <w:vAlign w:val="center"/>
                </w:tcPr>
                <w:p w14:paraId="47BA3BD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重量</w:t>
                  </w:r>
                </w:p>
              </w:tc>
              <w:tc>
                <w:tcPr>
                  <w:tcW w:w="1145" w:type="dxa"/>
                  <w:tcBorders>
                    <w:tl2br w:val="nil"/>
                    <w:tr2bl w:val="nil"/>
                  </w:tcBorders>
                  <w:shd w:val="clear" w:color="auto" w:fill="auto"/>
                  <w:noWrap w:val="0"/>
                  <w:vAlign w:val="center"/>
                </w:tcPr>
                <w:p w14:paraId="4B04B46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kg</w:t>
                  </w:r>
                </w:p>
              </w:tc>
              <w:tc>
                <w:tcPr>
                  <w:tcW w:w="2599" w:type="dxa"/>
                  <w:gridSpan w:val="2"/>
                  <w:tcBorders>
                    <w:tl2br w:val="nil"/>
                    <w:tr2bl w:val="nil"/>
                  </w:tcBorders>
                  <w:shd w:val="clear" w:color="auto" w:fill="auto"/>
                  <w:noWrap w:val="0"/>
                  <w:vAlign w:val="center"/>
                </w:tcPr>
                <w:p w14:paraId="28CEA68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106</w:t>
                  </w:r>
                </w:p>
              </w:tc>
              <w:tc>
                <w:tcPr>
                  <w:tcW w:w="1121" w:type="dxa"/>
                  <w:gridSpan w:val="2"/>
                  <w:tcBorders>
                    <w:tl2br w:val="nil"/>
                    <w:tr2bl w:val="nil"/>
                  </w:tcBorders>
                  <w:shd w:val="clear" w:color="auto" w:fill="auto"/>
                  <w:noWrap w:val="0"/>
                  <w:vAlign w:val="center"/>
                </w:tcPr>
                <w:p w14:paraId="39B525D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含挂架</w:t>
                  </w:r>
                </w:p>
              </w:tc>
            </w:tr>
            <w:tr w14:paraId="7F42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9E7E41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2.1</w:t>
                  </w:r>
                  <w:r>
                    <w:rPr>
                      <w:rFonts w:hint="default" w:ascii="Times New Roman" w:hAnsi="Times New Roman" w:eastAsia="仿宋" w:cs="Times New Roman"/>
                      <w:color w:val="auto"/>
                      <w:sz w:val="21"/>
                      <w:szCs w:val="21"/>
                      <w:highlight w:val="none"/>
                      <w:lang w:val="en-US" w:eastAsia="zh-CN"/>
                    </w:rPr>
                    <w:t>3</w:t>
                  </w:r>
                </w:p>
              </w:tc>
              <w:tc>
                <w:tcPr>
                  <w:tcW w:w="3070" w:type="dxa"/>
                  <w:tcBorders>
                    <w:tl2br w:val="nil"/>
                    <w:tr2bl w:val="nil"/>
                  </w:tcBorders>
                  <w:shd w:val="clear" w:color="auto" w:fill="auto"/>
                  <w:noWrap w:val="0"/>
                  <w:vAlign w:val="center"/>
                </w:tcPr>
                <w:p w14:paraId="3CF7FC6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工作环境温度范围</w:t>
                  </w:r>
                </w:p>
              </w:tc>
              <w:tc>
                <w:tcPr>
                  <w:tcW w:w="1145" w:type="dxa"/>
                  <w:tcBorders>
                    <w:tl2br w:val="nil"/>
                    <w:tr2bl w:val="nil"/>
                  </w:tcBorders>
                  <w:shd w:val="clear" w:color="auto" w:fill="auto"/>
                  <w:noWrap w:val="0"/>
                  <w:vAlign w:val="center"/>
                </w:tcPr>
                <w:p w14:paraId="221F3BB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w:t>
                  </w:r>
                </w:p>
              </w:tc>
              <w:tc>
                <w:tcPr>
                  <w:tcW w:w="2599" w:type="dxa"/>
                  <w:gridSpan w:val="2"/>
                  <w:tcBorders>
                    <w:tl2br w:val="nil"/>
                    <w:tr2bl w:val="nil"/>
                  </w:tcBorders>
                  <w:shd w:val="clear" w:color="auto" w:fill="auto"/>
                  <w:noWrap w:val="0"/>
                  <w:vAlign w:val="center"/>
                </w:tcPr>
                <w:p w14:paraId="6F740A0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-30~+60</w:t>
                  </w:r>
                </w:p>
              </w:tc>
              <w:tc>
                <w:tcPr>
                  <w:tcW w:w="1121" w:type="dxa"/>
                  <w:gridSpan w:val="2"/>
                  <w:tcBorders>
                    <w:tl2br w:val="nil"/>
                    <w:tr2bl w:val="nil"/>
                  </w:tcBorders>
                  <w:shd w:val="clear" w:color="auto" w:fill="auto"/>
                  <w:noWrap w:val="0"/>
                  <w:vAlign w:val="center"/>
                </w:tcPr>
                <w:p w14:paraId="76C2262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012D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4F957F9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2.1</w:t>
                  </w:r>
                  <w:r>
                    <w:rPr>
                      <w:rFonts w:hint="default" w:ascii="Times New Roman" w:hAnsi="Times New Roman" w:eastAsia="仿宋" w:cs="Times New Roman"/>
                      <w:color w:val="auto"/>
                      <w:sz w:val="21"/>
                      <w:szCs w:val="21"/>
                      <w:highlight w:val="none"/>
                      <w:lang w:val="en-US" w:eastAsia="zh-CN"/>
                    </w:rPr>
                    <w:t>4</w:t>
                  </w:r>
                </w:p>
              </w:tc>
              <w:tc>
                <w:tcPr>
                  <w:tcW w:w="3070" w:type="dxa"/>
                  <w:tcBorders>
                    <w:tl2br w:val="nil"/>
                    <w:tr2bl w:val="nil"/>
                  </w:tcBorders>
                  <w:shd w:val="clear" w:color="auto" w:fill="auto"/>
                  <w:noWrap w:val="0"/>
                  <w:vAlign w:val="center"/>
                </w:tcPr>
                <w:p w14:paraId="008D35A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数量</w:t>
                  </w:r>
                </w:p>
              </w:tc>
              <w:tc>
                <w:tcPr>
                  <w:tcW w:w="1145" w:type="dxa"/>
                  <w:tcBorders>
                    <w:tl2br w:val="nil"/>
                    <w:tr2bl w:val="nil"/>
                  </w:tcBorders>
                  <w:shd w:val="clear" w:color="auto" w:fill="auto"/>
                  <w:noWrap w:val="0"/>
                  <w:vAlign w:val="center"/>
                </w:tcPr>
                <w:p w14:paraId="220A4E0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台</w:t>
                  </w:r>
                </w:p>
              </w:tc>
              <w:tc>
                <w:tcPr>
                  <w:tcW w:w="2599" w:type="dxa"/>
                  <w:gridSpan w:val="2"/>
                  <w:tcBorders>
                    <w:tl2br w:val="nil"/>
                    <w:tr2bl w:val="nil"/>
                  </w:tcBorders>
                  <w:shd w:val="clear" w:color="auto" w:fill="auto"/>
                  <w:noWrap w:val="0"/>
                  <w:vAlign w:val="center"/>
                </w:tcPr>
                <w:p w14:paraId="73C2936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463</w:t>
                  </w:r>
                </w:p>
              </w:tc>
              <w:tc>
                <w:tcPr>
                  <w:tcW w:w="1121" w:type="dxa"/>
                  <w:gridSpan w:val="2"/>
                  <w:tcBorders>
                    <w:tl2br w:val="nil"/>
                    <w:tr2bl w:val="nil"/>
                  </w:tcBorders>
                  <w:shd w:val="clear" w:color="auto" w:fill="auto"/>
                  <w:noWrap w:val="0"/>
                  <w:vAlign w:val="center"/>
                </w:tcPr>
                <w:p w14:paraId="6C74B59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p>
              </w:tc>
            </w:tr>
            <w:tr w14:paraId="21A1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35D5B99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w:t>
                  </w:r>
                </w:p>
              </w:tc>
              <w:tc>
                <w:tcPr>
                  <w:tcW w:w="7935" w:type="dxa"/>
                  <w:gridSpan w:val="6"/>
                  <w:tcBorders>
                    <w:tl2br w:val="nil"/>
                    <w:tr2bl w:val="nil"/>
                  </w:tcBorders>
                  <w:noWrap w:val="0"/>
                  <w:vAlign w:val="center"/>
                </w:tcPr>
                <w:p w14:paraId="610DC48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箱式变压器</w:t>
                  </w:r>
                </w:p>
              </w:tc>
            </w:tr>
            <w:tr w14:paraId="3A83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B16D49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3</w:t>
                  </w:r>
                  <w:r>
                    <w:rPr>
                      <w:rFonts w:hint="default" w:ascii="Times New Roman" w:hAnsi="Times New Roman" w:eastAsia="仿宋" w:cs="Times New Roman"/>
                      <w:color w:val="auto"/>
                      <w:sz w:val="21"/>
                      <w:szCs w:val="21"/>
                      <w:highlight w:val="none"/>
                      <w:lang w:val="en-US" w:eastAsia="zh-CN"/>
                    </w:rPr>
                    <w:t>1</w:t>
                  </w:r>
                </w:p>
              </w:tc>
              <w:tc>
                <w:tcPr>
                  <w:tcW w:w="3070" w:type="dxa"/>
                  <w:tcBorders>
                    <w:tl2br w:val="nil"/>
                    <w:tr2bl w:val="nil"/>
                  </w:tcBorders>
                  <w:noWrap w:val="0"/>
                  <w:vAlign w:val="center"/>
                </w:tcPr>
                <w:p w14:paraId="4D2B169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台数</w:t>
                  </w:r>
                </w:p>
              </w:tc>
              <w:tc>
                <w:tcPr>
                  <w:tcW w:w="1145" w:type="dxa"/>
                  <w:tcBorders>
                    <w:tl2br w:val="nil"/>
                    <w:tr2bl w:val="nil"/>
                  </w:tcBorders>
                  <w:noWrap w:val="0"/>
                  <w:vAlign w:val="center"/>
                </w:tcPr>
                <w:p w14:paraId="4AE0C6E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台</w:t>
                  </w:r>
                </w:p>
              </w:tc>
              <w:tc>
                <w:tcPr>
                  <w:tcW w:w="2599" w:type="dxa"/>
                  <w:gridSpan w:val="2"/>
                  <w:tcBorders>
                    <w:tl2br w:val="nil"/>
                    <w:tr2bl w:val="nil"/>
                  </w:tcBorders>
                  <w:noWrap w:val="0"/>
                  <w:vAlign w:val="center"/>
                </w:tcPr>
                <w:p w14:paraId="0EE1811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52</w:t>
                  </w:r>
                </w:p>
              </w:tc>
              <w:tc>
                <w:tcPr>
                  <w:tcW w:w="1121" w:type="dxa"/>
                  <w:gridSpan w:val="2"/>
                  <w:tcBorders>
                    <w:tl2br w:val="nil"/>
                    <w:tr2bl w:val="nil"/>
                  </w:tcBorders>
                  <w:noWrap w:val="0"/>
                  <w:vAlign w:val="center"/>
                </w:tcPr>
                <w:p w14:paraId="35B7F39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5C6C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11" w:type="dxa"/>
                  <w:tcBorders>
                    <w:tl2br w:val="nil"/>
                    <w:tr2bl w:val="nil"/>
                  </w:tcBorders>
                  <w:noWrap w:val="0"/>
                  <w:vAlign w:val="center"/>
                </w:tcPr>
                <w:p w14:paraId="0728D6E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3.</w:t>
                  </w:r>
                  <w:r>
                    <w:rPr>
                      <w:rFonts w:hint="default" w:ascii="Times New Roman" w:hAnsi="Times New Roman" w:eastAsia="仿宋" w:cs="Times New Roman"/>
                      <w:color w:val="auto"/>
                      <w:sz w:val="21"/>
                      <w:szCs w:val="21"/>
                      <w:highlight w:val="none"/>
                      <w:lang w:val="en-US" w:eastAsia="zh-CN"/>
                    </w:rPr>
                    <w:t>2</w:t>
                  </w:r>
                </w:p>
              </w:tc>
              <w:tc>
                <w:tcPr>
                  <w:tcW w:w="3070" w:type="dxa"/>
                  <w:tcBorders>
                    <w:tl2br w:val="nil"/>
                    <w:tr2bl w:val="nil"/>
                  </w:tcBorders>
                  <w:noWrap w:val="0"/>
                  <w:vAlign w:val="center"/>
                </w:tcPr>
                <w:p w14:paraId="7A11E27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容量</w:t>
                  </w:r>
                </w:p>
              </w:tc>
              <w:tc>
                <w:tcPr>
                  <w:tcW w:w="1145" w:type="dxa"/>
                  <w:tcBorders>
                    <w:tl2br w:val="nil"/>
                    <w:tr2bl w:val="nil"/>
                  </w:tcBorders>
                  <w:noWrap w:val="0"/>
                  <w:vAlign w:val="center"/>
                </w:tcPr>
                <w:p w14:paraId="4409D23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k</w:t>
                  </w:r>
                  <w:r>
                    <w:rPr>
                      <w:rFonts w:hint="default" w:ascii="Times New Roman" w:hAnsi="Times New Roman" w:eastAsia="仿宋" w:cs="Times New Roman"/>
                      <w:color w:val="auto"/>
                      <w:sz w:val="21"/>
                      <w:szCs w:val="21"/>
                      <w:highlight w:val="none"/>
                    </w:rPr>
                    <w:t>VA</w:t>
                  </w:r>
                </w:p>
              </w:tc>
              <w:tc>
                <w:tcPr>
                  <w:tcW w:w="2599" w:type="dxa"/>
                  <w:gridSpan w:val="2"/>
                  <w:tcBorders>
                    <w:tl2br w:val="nil"/>
                    <w:tr2bl w:val="nil"/>
                  </w:tcBorders>
                  <w:noWrap w:val="0"/>
                  <w:vAlign w:val="center"/>
                </w:tcPr>
                <w:p w14:paraId="20894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highlight w:val="none"/>
                      <w:lang w:val="en-US"/>
                    </w:rPr>
                  </w:pPr>
                  <w:r>
                    <w:rPr>
                      <w:rFonts w:hint="default" w:ascii="Times New Roman" w:hAnsi="Times New Roman" w:eastAsia="仿宋" w:cs="Times New Roman"/>
                      <w:color w:val="auto"/>
                      <w:kern w:val="0"/>
                      <w:sz w:val="20"/>
                      <w:szCs w:val="20"/>
                      <w:highlight w:val="none"/>
                      <w:lang w:val="en-US" w:eastAsia="zh-CN" w:bidi="ar"/>
                    </w:rPr>
                    <w:t>4160/3840/3520/3200/2880</w:t>
                  </w:r>
                </w:p>
                <w:p w14:paraId="7049A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kern w:val="0"/>
                      <w:sz w:val="20"/>
                      <w:szCs w:val="20"/>
                      <w:highlight w:val="none"/>
                      <w:lang w:val="en-US" w:eastAsia="zh-CN" w:bidi="ar"/>
                    </w:rPr>
                    <w:t>/2560/2240/1920/1600/1280</w:t>
                  </w:r>
                </w:p>
              </w:tc>
              <w:tc>
                <w:tcPr>
                  <w:tcW w:w="1121" w:type="dxa"/>
                  <w:gridSpan w:val="2"/>
                  <w:tcBorders>
                    <w:tl2br w:val="nil"/>
                    <w:tr2bl w:val="nil"/>
                  </w:tcBorders>
                  <w:noWrap w:val="0"/>
                  <w:vAlign w:val="center"/>
                </w:tcPr>
                <w:p w14:paraId="667DAFC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6508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11" w:type="dxa"/>
                  <w:tcBorders>
                    <w:tl2br w:val="nil"/>
                    <w:tr2bl w:val="nil"/>
                  </w:tcBorders>
                  <w:noWrap w:val="0"/>
                  <w:vAlign w:val="center"/>
                </w:tcPr>
                <w:p w14:paraId="3AB33F1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3.</w:t>
                  </w:r>
                  <w:r>
                    <w:rPr>
                      <w:rFonts w:hint="default" w:ascii="Times New Roman" w:hAnsi="Times New Roman" w:eastAsia="仿宋" w:cs="Times New Roman"/>
                      <w:color w:val="auto"/>
                      <w:sz w:val="21"/>
                      <w:szCs w:val="21"/>
                      <w:highlight w:val="none"/>
                      <w:lang w:val="en-US" w:eastAsia="zh-CN"/>
                    </w:rPr>
                    <w:t>3</w:t>
                  </w:r>
                </w:p>
              </w:tc>
              <w:tc>
                <w:tcPr>
                  <w:tcW w:w="3070" w:type="dxa"/>
                  <w:tcBorders>
                    <w:tl2br w:val="nil"/>
                    <w:tr2bl w:val="nil"/>
                  </w:tcBorders>
                  <w:noWrap w:val="0"/>
                  <w:vAlign w:val="center"/>
                </w:tcPr>
                <w:p w14:paraId="04A537C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额定电压</w:t>
                  </w:r>
                </w:p>
              </w:tc>
              <w:tc>
                <w:tcPr>
                  <w:tcW w:w="1145" w:type="dxa"/>
                  <w:tcBorders>
                    <w:tl2br w:val="nil"/>
                    <w:tr2bl w:val="nil"/>
                  </w:tcBorders>
                  <w:noWrap w:val="0"/>
                  <w:vAlign w:val="center"/>
                </w:tcPr>
                <w:p w14:paraId="7FEB077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kV</w:t>
                  </w:r>
                </w:p>
              </w:tc>
              <w:tc>
                <w:tcPr>
                  <w:tcW w:w="2599" w:type="dxa"/>
                  <w:gridSpan w:val="2"/>
                  <w:tcBorders>
                    <w:tl2br w:val="nil"/>
                    <w:tr2bl w:val="nil"/>
                  </w:tcBorders>
                  <w:noWrap w:val="0"/>
                  <w:vAlign w:val="center"/>
                </w:tcPr>
                <w:p w14:paraId="5FD869E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35</w:t>
                  </w:r>
                </w:p>
              </w:tc>
              <w:tc>
                <w:tcPr>
                  <w:tcW w:w="1121" w:type="dxa"/>
                  <w:gridSpan w:val="2"/>
                  <w:tcBorders>
                    <w:tl2br w:val="nil"/>
                    <w:tr2bl w:val="nil"/>
                  </w:tcBorders>
                  <w:noWrap w:val="0"/>
                  <w:vAlign w:val="center"/>
                </w:tcPr>
                <w:p w14:paraId="45F3DB7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58A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11" w:type="dxa"/>
                  <w:tcBorders>
                    <w:tl2br w:val="nil"/>
                    <w:tr2bl w:val="nil"/>
                  </w:tcBorders>
                  <w:noWrap w:val="0"/>
                  <w:vAlign w:val="center"/>
                </w:tcPr>
                <w:p w14:paraId="1AD1330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w:t>
                  </w:r>
                </w:p>
              </w:tc>
              <w:tc>
                <w:tcPr>
                  <w:tcW w:w="7935" w:type="dxa"/>
                  <w:gridSpan w:val="6"/>
                  <w:tcBorders>
                    <w:tl2br w:val="nil"/>
                    <w:tr2bl w:val="nil"/>
                  </w:tcBorders>
                  <w:noWrap w:val="0"/>
                  <w:vAlign w:val="center"/>
                </w:tcPr>
                <w:p w14:paraId="43B7812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升压站出线回路数、电压等级和出线形式</w:t>
                  </w:r>
                </w:p>
              </w:tc>
            </w:tr>
            <w:tr w14:paraId="0F54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397AB3C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4.1</w:t>
                  </w:r>
                </w:p>
              </w:tc>
              <w:tc>
                <w:tcPr>
                  <w:tcW w:w="3070" w:type="dxa"/>
                  <w:tcBorders>
                    <w:tl2br w:val="nil"/>
                    <w:tr2bl w:val="nil"/>
                  </w:tcBorders>
                  <w:noWrap w:val="0"/>
                  <w:vAlign w:val="center"/>
                </w:tcPr>
                <w:p w14:paraId="6868484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出线回路数</w:t>
                  </w:r>
                </w:p>
              </w:tc>
              <w:tc>
                <w:tcPr>
                  <w:tcW w:w="1145" w:type="dxa"/>
                  <w:tcBorders>
                    <w:tl2br w:val="nil"/>
                    <w:tr2bl w:val="nil"/>
                  </w:tcBorders>
                  <w:noWrap w:val="0"/>
                  <w:vAlign w:val="center"/>
                </w:tcPr>
                <w:p w14:paraId="4BD0112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回</w:t>
                  </w:r>
                </w:p>
              </w:tc>
              <w:tc>
                <w:tcPr>
                  <w:tcW w:w="2599" w:type="dxa"/>
                  <w:gridSpan w:val="2"/>
                  <w:tcBorders>
                    <w:tl2br w:val="nil"/>
                    <w:tr2bl w:val="nil"/>
                  </w:tcBorders>
                  <w:noWrap w:val="0"/>
                  <w:vAlign w:val="center"/>
                </w:tcPr>
                <w:p w14:paraId="3624551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1121" w:type="dxa"/>
                  <w:gridSpan w:val="2"/>
                  <w:tcBorders>
                    <w:tl2br w:val="nil"/>
                    <w:tr2bl w:val="nil"/>
                  </w:tcBorders>
                  <w:noWrap w:val="0"/>
                  <w:vAlign w:val="center"/>
                </w:tcPr>
                <w:p w14:paraId="502AE8A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1799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F39255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4.2</w:t>
                  </w:r>
                </w:p>
              </w:tc>
              <w:tc>
                <w:tcPr>
                  <w:tcW w:w="3070" w:type="dxa"/>
                  <w:tcBorders>
                    <w:tl2br w:val="nil"/>
                    <w:tr2bl w:val="nil"/>
                  </w:tcBorders>
                  <w:noWrap w:val="0"/>
                  <w:vAlign w:val="center"/>
                </w:tcPr>
                <w:p w14:paraId="43F4125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电压等级</w:t>
                  </w:r>
                </w:p>
              </w:tc>
              <w:tc>
                <w:tcPr>
                  <w:tcW w:w="1145" w:type="dxa"/>
                  <w:tcBorders>
                    <w:tl2br w:val="nil"/>
                    <w:tr2bl w:val="nil"/>
                  </w:tcBorders>
                  <w:noWrap w:val="0"/>
                  <w:vAlign w:val="center"/>
                </w:tcPr>
                <w:p w14:paraId="7460DB5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kV</w:t>
                  </w:r>
                </w:p>
              </w:tc>
              <w:tc>
                <w:tcPr>
                  <w:tcW w:w="2599" w:type="dxa"/>
                  <w:gridSpan w:val="2"/>
                  <w:tcBorders>
                    <w:tl2br w:val="nil"/>
                    <w:tr2bl w:val="nil"/>
                  </w:tcBorders>
                  <w:noWrap w:val="0"/>
                  <w:vAlign w:val="center"/>
                </w:tcPr>
                <w:p w14:paraId="1CC4521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220</w:t>
                  </w:r>
                </w:p>
              </w:tc>
              <w:tc>
                <w:tcPr>
                  <w:tcW w:w="1121" w:type="dxa"/>
                  <w:gridSpan w:val="2"/>
                  <w:tcBorders>
                    <w:tl2br w:val="nil"/>
                    <w:tr2bl w:val="nil"/>
                  </w:tcBorders>
                  <w:noWrap w:val="0"/>
                  <w:vAlign w:val="center"/>
                </w:tcPr>
                <w:p w14:paraId="3CA86EC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F2B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2CA4879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7935" w:type="dxa"/>
                  <w:gridSpan w:val="6"/>
                  <w:tcBorders>
                    <w:tl2br w:val="nil"/>
                    <w:tr2bl w:val="nil"/>
                  </w:tcBorders>
                  <w:noWrap w:val="0"/>
                  <w:vAlign w:val="center"/>
                </w:tcPr>
                <w:p w14:paraId="4CEFCAB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三、土建施工</w:t>
                  </w:r>
                </w:p>
              </w:tc>
            </w:tr>
            <w:tr w14:paraId="00D8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724D874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3070" w:type="dxa"/>
                  <w:tcBorders>
                    <w:tl2br w:val="nil"/>
                    <w:tr2bl w:val="nil"/>
                  </w:tcBorders>
                  <w:noWrap w:val="0"/>
                  <w:vAlign w:val="center"/>
                </w:tcPr>
                <w:p w14:paraId="4341E78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光伏组件支架钢材量</w:t>
                  </w:r>
                </w:p>
              </w:tc>
              <w:tc>
                <w:tcPr>
                  <w:tcW w:w="1145" w:type="dxa"/>
                  <w:tcBorders>
                    <w:tl2br w:val="nil"/>
                    <w:tr2bl w:val="nil"/>
                  </w:tcBorders>
                  <w:noWrap w:val="0"/>
                  <w:vAlign w:val="center"/>
                </w:tcPr>
                <w:p w14:paraId="7D82960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t</w:t>
                  </w:r>
                </w:p>
              </w:tc>
              <w:tc>
                <w:tcPr>
                  <w:tcW w:w="2599" w:type="dxa"/>
                  <w:gridSpan w:val="2"/>
                  <w:tcBorders>
                    <w:tl2br w:val="nil"/>
                    <w:tr2bl w:val="nil"/>
                  </w:tcBorders>
                  <w:noWrap w:val="0"/>
                  <w:vAlign w:val="center"/>
                </w:tcPr>
                <w:p w14:paraId="2A94E54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6497.6</w:t>
                  </w:r>
                </w:p>
              </w:tc>
              <w:tc>
                <w:tcPr>
                  <w:tcW w:w="1121" w:type="dxa"/>
                  <w:gridSpan w:val="2"/>
                  <w:tcBorders>
                    <w:tl2br w:val="nil"/>
                    <w:tr2bl w:val="nil"/>
                  </w:tcBorders>
                  <w:noWrap w:val="0"/>
                  <w:vAlign w:val="center"/>
                </w:tcPr>
                <w:p w14:paraId="24F8870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E7A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611" w:type="dxa"/>
                  <w:tcBorders>
                    <w:tl2br w:val="nil"/>
                    <w:tr2bl w:val="nil"/>
                  </w:tcBorders>
                  <w:noWrap w:val="0"/>
                  <w:vAlign w:val="center"/>
                </w:tcPr>
                <w:p w14:paraId="47585B4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3070" w:type="dxa"/>
                  <w:tcBorders>
                    <w:tl2br w:val="nil"/>
                    <w:tr2bl w:val="nil"/>
                  </w:tcBorders>
                  <w:noWrap w:val="0"/>
                  <w:vAlign w:val="center"/>
                </w:tcPr>
                <w:p w14:paraId="749DA59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土石方开挖</w:t>
                  </w:r>
                </w:p>
              </w:tc>
              <w:tc>
                <w:tcPr>
                  <w:tcW w:w="1145" w:type="dxa"/>
                  <w:tcBorders>
                    <w:tl2br w:val="nil"/>
                    <w:tr2bl w:val="nil"/>
                  </w:tcBorders>
                  <w:noWrap w:val="0"/>
                  <w:vAlign w:val="center"/>
                </w:tcPr>
                <w:p w14:paraId="0A752BF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万m</w:t>
                  </w:r>
                  <w:r>
                    <w:rPr>
                      <w:rFonts w:hint="default" w:ascii="Times New Roman" w:hAnsi="Times New Roman" w:eastAsia="仿宋" w:cs="Times New Roman"/>
                      <w:color w:val="auto"/>
                      <w:sz w:val="21"/>
                      <w:szCs w:val="21"/>
                      <w:highlight w:val="none"/>
                      <w:vertAlign w:val="superscript"/>
                    </w:rPr>
                    <w:t>3</w:t>
                  </w:r>
                </w:p>
              </w:tc>
              <w:tc>
                <w:tcPr>
                  <w:tcW w:w="2599" w:type="dxa"/>
                  <w:gridSpan w:val="2"/>
                  <w:tcBorders>
                    <w:tl2br w:val="nil"/>
                    <w:tr2bl w:val="nil"/>
                  </w:tcBorders>
                  <w:noWrap w:val="0"/>
                  <w:vAlign w:val="center"/>
                </w:tcPr>
                <w:p w14:paraId="2640491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11.68</w:t>
                  </w:r>
                </w:p>
              </w:tc>
              <w:tc>
                <w:tcPr>
                  <w:tcW w:w="1121" w:type="dxa"/>
                  <w:gridSpan w:val="2"/>
                  <w:tcBorders>
                    <w:tl2br w:val="nil"/>
                    <w:tr2bl w:val="nil"/>
                  </w:tcBorders>
                  <w:noWrap w:val="0"/>
                  <w:vAlign w:val="center"/>
                </w:tcPr>
                <w:p w14:paraId="62EAB08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B1D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5613778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w:t>
                  </w:r>
                </w:p>
              </w:tc>
              <w:tc>
                <w:tcPr>
                  <w:tcW w:w="3070" w:type="dxa"/>
                  <w:tcBorders>
                    <w:tl2br w:val="nil"/>
                    <w:tr2bl w:val="nil"/>
                  </w:tcBorders>
                  <w:noWrap w:val="0"/>
                  <w:vAlign w:val="center"/>
                </w:tcPr>
                <w:p w14:paraId="20C1ABC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土石方回填</w:t>
                  </w:r>
                </w:p>
              </w:tc>
              <w:tc>
                <w:tcPr>
                  <w:tcW w:w="1145" w:type="dxa"/>
                  <w:tcBorders>
                    <w:tl2br w:val="nil"/>
                    <w:tr2bl w:val="nil"/>
                  </w:tcBorders>
                  <w:noWrap w:val="0"/>
                  <w:vAlign w:val="center"/>
                </w:tcPr>
                <w:p w14:paraId="66C1826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万m</w:t>
                  </w:r>
                  <w:r>
                    <w:rPr>
                      <w:rFonts w:hint="default" w:ascii="Times New Roman" w:hAnsi="Times New Roman" w:eastAsia="仿宋" w:cs="Times New Roman"/>
                      <w:color w:val="auto"/>
                      <w:sz w:val="21"/>
                      <w:szCs w:val="21"/>
                      <w:highlight w:val="none"/>
                      <w:vertAlign w:val="superscript"/>
                    </w:rPr>
                    <w:t>3</w:t>
                  </w:r>
                </w:p>
              </w:tc>
              <w:tc>
                <w:tcPr>
                  <w:tcW w:w="2599" w:type="dxa"/>
                  <w:gridSpan w:val="2"/>
                  <w:tcBorders>
                    <w:tl2br w:val="nil"/>
                    <w:tr2bl w:val="nil"/>
                  </w:tcBorders>
                  <w:noWrap w:val="0"/>
                  <w:vAlign w:val="center"/>
                </w:tcPr>
                <w:p w14:paraId="3D94111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11.68</w:t>
                  </w:r>
                </w:p>
              </w:tc>
              <w:tc>
                <w:tcPr>
                  <w:tcW w:w="1121" w:type="dxa"/>
                  <w:gridSpan w:val="2"/>
                  <w:tcBorders>
                    <w:tl2br w:val="nil"/>
                    <w:tr2bl w:val="nil"/>
                  </w:tcBorders>
                  <w:noWrap w:val="0"/>
                  <w:vAlign w:val="center"/>
                </w:tcPr>
                <w:p w14:paraId="4FA26D0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5CE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1E30628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w:t>
                  </w:r>
                </w:p>
              </w:tc>
              <w:tc>
                <w:tcPr>
                  <w:tcW w:w="3070" w:type="dxa"/>
                  <w:tcBorders>
                    <w:tl2br w:val="nil"/>
                    <w:tr2bl w:val="nil"/>
                  </w:tcBorders>
                  <w:noWrap w:val="0"/>
                  <w:vAlign w:val="center"/>
                </w:tcPr>
                <w:p w14:paraId="1EACA5C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微孔灌注桩</w:t>
                  </w:r>
                </w:p>
              </w:tc>
              <w:tc>
                <w:tcPr>
                  <w:tcW w:w="1145" w:type="dxa"/>
                  <w:tcBorders>
                    <w:tl2br w:val="nil"/>
                    <w:tr2bl w:val="nil"/>
                  </w:tcBorders>
                  <w:noWrap w:val="0"/>
                  <w:vAlign w:val="center"/>
                </w:tcPr>
                <w:p w14:paraId="1AE0037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根</w:t>
                  </w:r>
                </w:p>
              </w:tc>
              <w:tc>
                <w:tcPr>
                  <w:tcW w:w="2599" w:type="dxa"/>
                  <w:gridSpan w:val="2"/>
                  <w:tcBorders>
                    <w:tl2br w:val="nil"/>
                    <w:tr2bl w:val="nil"/>
                  </w:tcBorders>
                  <w:noWrap w:val="0"/>
                  <w:vAlign w:val="center"/>
                </w:tcPr>
                <w:p w14:paraId="32EE8DF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46608</w:t>
                  </w:r>
                </w:p>
              </w:tc>
              <w:tc>
                <w:tcPr>
                  <w:tcW w:w="1121" w:type="dxa"/>
                  <w:gridSpan w:val="2"/>
                  <w:tcBorders>
                    <w:tl2br w:val="nil"/>
                    <w:tr2bl w:val="nil"/>
                  </w:tcBorders>
                  <w:noWrap w:val="0"/>
                  <w:vAlign w:val="center"/>
                </w:tcPr>
                <w:p w14:paraId="6467023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068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54ABD94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w:t>
                  </w:r>
                </w:p>
              </w:tc>
              <w:tc>
                <w:tcPr>
                  <w:tcW w:w="3070" w:type="dxa"/>
                  <w:tcBorders>
                    <w:tl2br w:val="nil"/>
                    <w:tr2bl w:val="nil"/>
                  </w:tcBorders>
                  <w:noWrap w:val="0"/>
                  <w:vAlign w:val="center"/>
                </w:tcPr>
                <w:p w14:paraId="60AEC3E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施工总工期</w:t>
                  </w:r>
                </w:p>
              </w:tc>
              <w:tc>
                <w:tcPr>
                  <w:tcW w:w="1145" w:type="dxa"/>
                  <w:tcBorders>
                    <w:tl2br w:val="nil"/>
                    <w:tr2bl w:val="nil"/>
                  </w:tcBorders>
                  <w:noWrap w:val="0"/>
                  <w:vAlign w:val="center"/>
                </w:tcPr>
                <w:p w14:paraId="32090F8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月</w:t>
                  </w:r>
                </w:p>
              </w:tc>
              <w:tc>
                <w:tcPr>
                  <w:tcW w:w="2599" w:type="dxa"/>
                  <w:gridSpan w:val="2"/>
                  <w:tcBorders>
                    <w:tl2br w:val="nil"/>
                    <w:tr2bl w:val="nil"/>
                  </w:tcBorders>
                  <w:noWrap w:val="0"/>
                  <w:vAlign w:val="center"/>
                </w:tcPr>
                <w:p w14:paraId="094A0E5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w:t>
                  </w:r>
                </w:p>
              </w:tc>
              <w:tc>
                <w:tcPr>
                  <w:tcW w:w="1121" w:type="dxa"/>
                  <w:gridSpan w:val="2"/>
                  <w:tcBorders>
                    <w:tl2br w:val="nil"/>
                    <w:tr2bl w:val="nil"/>
                  </w:tcBorders>
                  <w:noWrap w:val="0"/>
                  <w:vAlign w:val="center"/>
                </w:tcPr>
                <w:p w14:paraId="3279E03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5B8F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546" w:type="dxa"/>
                  <w:gridSpan w:val="7"/>
                  <w:tcBorders>
                    <w:tl2br w:val="nil"/>
                    <w:tr2bl w:val="nil"/>
                  </w:tcBorders>
                  <w:noWrap w:val="0"/>
                  <w:vAlign w:val="center"/>
                </w:tcPr>
                <w:p w14:paraId="1B9AB5E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四、概算指标</w:t>
                  </w:r>
                </w:p>
              </w:tc>
            </w:tr>
            <w:tr w14:paraId="7641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53B5FC8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3070" w:type="dxa"/>
                  <w:tcBorders>
                    <w:tl2br w:val="nil"/>
                    <w:tr2bl w:val="nil"/>
                  </w:tcBorders>
                  <w:noWrap w:val="0"/>
                  <w:vAlign w:val="center"/>
                </w:tcPr>
                <w:p w14:paraId="61DF424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工程静态投资（包括升压站和送出）</w:t>
                  </w:r>
                </w:p>
              </w:tc>
              <w:tc>
                <w:tcPr>
                  <w:tcW w:w="1207" w:type="dxa"/>
                  <w:gridSpan w:val="2"/>
                  <w:tcBorders>
                    <w:tl2br w:val="nil"/>
                    <w:tr2bl w:val="nil"/>
                  </w:tcBorders>
                  <w:noWrap w:val="0"/>
                  <w:vAlign w:val="center"/>
                </w:tcPr>
                <w:p w14:paraId="5F64B17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万元</w:t>
                  </w:r>
                </w:p>
              </w:tc>
              <w:tc>
                <w:tcPr>
                  <w:tcW w:w="2564" w:type="dxa"/>
                  <w:gridSpan w:val="2"/>
                  <w:tcBorders>
                    <w:tl2br w:val="nil"/>
                    <w:tr2bl w:val="nil"/>
                  </w:tcBorders>
                  <w:noWrap w:val="0"/>
                  <w:vAlign w:val="center"/>
                </w:tcPr>
                <w:p w14:paraId="62CDF4D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61795</w:t>
                  </w:r>
                </w:p>
              </w:tc>
              <w:tc>
                <w:tcPr>
                  <w:tcW w:w="1094" w:type="dxa"/>
                  <w:tcBorders>
                    <w:tl2br w:val="nil"/>
                    <w:tr2bl w:val="nil"/>
                  </w:tcBorders>
                  <w:noWrap w:val="0"/>
                  <w:vAlign w:val="center"/>
                </w:tcPr>
                <w:p w14:paraId="13111D2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4AE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546" w:type="dxa"/>
                  <w:gridSpan w:val="7"/>
                  <w:tcBorders>
                    <w:tl2br w:val="nil"/>
                    <w:tr2bl w:val="nil"/>
                  </w:tcBorders>
                  <w:noWrap w:val="0"/>
                  <w:vAlign w:val="center"/>
                </w:tcPr>
                <w:p w14:paraId="568E1EF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五、经济指标</w:t>
                  </w:r>
                </w:p>
              </w:tc>
            </w:tr>
            <w:tr w14:paraId="69EC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561A4D3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3070" w:type="dxa"/>
                  <w:tcBorders>
                    <w:tl2br w:val="nil"/>
                    <w:tr2bl w:val="nil"/>
                  </w:tcBorders>
                  <w:noWrap w:val="0"/>
                  <w:vAlign w:val="center"/>
                </w:tcPr>
                <w:p w14:paraId="47330E8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安装容量</w:t>
                  </w:r>
                </w:p>
              </w:tc>
              <w:tc>
                <w:tcPr>
                  <w:tcW w:w="1207" w:type="dxa"/>
                  <w:gridSpan w:val="2"/>
                  <w:tcBorders>
                    <w:tl2br w:val="nil"/>
                    <w:tr2bl w:val="nil"/>
                  </w:tcBorders>
                  <w:noWrap w:val="0"/>
                  <w:vAlign w:val="center"/>
                </w:tcPr>
                <w:p w14:paraId="029D053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MW</w:t>
                  </w:r>
                  <w:r>
                    <w:rPr>
                      <w:rFonts w:hint="eastAsia" w:cs="Times New Roman"/>
                      <w:color w:val="auto"/>
                      <w:sz w:val="21"/>
                      <w:szCs w:val="21"/>
                      <w:highlight w:val="none"/>
                      <w:lang w:val="en-US" w:eastAsia="zh-CN"/>
                    </w:rPr>
                    <w:t>ac</w:t>
                  </w:r>
                </w:p>
              </w:tc>
              <w:tc>
                <w:tcPr>
                  <w:tcW w:w="2564" w:type="dxa"/>
                  <w:gridSpan w:val="2"/>
                  <w:tcBorders>
                    <w:tl2br w:val="nil"/>
                    <w:tr2bl w:val="nil"/>
                  </w:tcBorders>
                  <w:noWrap w:val="0"/>
                  <w:vAlign w:val="center"/>
                </w:tcPr>
                <w:p w14:paraId="3C94A5C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148</w:t>
                  </w:r>
                </w:p>
              </w:tc>
              <w:tc>
                <w:tcPr>
                  <w:tcW w:w="1094" w:type="dxa"/>
                  <w:tcBorders>
                    <w:tl2br w:val="nil"/>
                    <w:tr2bl w:val="nil"/>
                  </w:tcBorders>
                  <w:noWrap w:val="0"/>
                  <w:vAlign w:val="center"/>
                </w:tcPr>
                <w:p w14:paraId="2465B7A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2B46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06FC862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3070" w:type="dxa"/>
                  <w:tcBorders>
                    <w:tl2br w:val="nil"/>
                    <w:tr2bl w:val="nil"/>
                  </w:tcBorders>
                  <w:noWrap w:val="0"/>
                  <w:vAlign w:val="center"/>
                </w:tcPr>
                <w:p w14:paraId="33CE021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平均年上网电量（25年）</w:t>
                  </w:r>
                </w:p>
              </w:tc>
              <w:tc>
                <w:tcPr>
                  <w:tcW w:w="1207" w:type="dxa"/>
                  <w:gridSpan w:val="2"/>
                  <w:tcBorders>
                    <w:tl2br w:val="nil"/>
                    <w:tr2bl w:val="nil"/>
                  </w:tcBorders>
                  <w:noWrap w:val="0"/>
                  <w:vAlign w:val="center"/>
                </w:tcPr>
                <w:p w14:paraId="170E0C8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万 kW·h</w:t>
                  </w:r>
                </w:p>
              </w:tc>
              <w:tc>
                <w:tcPr>
                  <w:tcW w:w="2564" w:type="dxa"/>
                  <w:gridSpan w:val="2"/>
                  <w:tcBorders>
                    <w:tl2br w:val="nil"/>
                    <w:tr2bl w:val="nil"/>
                  </w:tcBorders>
                  <w:noWrap w:val="0"/>
                  <w:vAlign w:val="center"/>
                </w:tcPr>
                <w:p w14:paraId="0D917D8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22835.54</w:t>
                  </w:r>
                </w:p>
              </w:tc>
              <w:tc>
                <w:tcPr>
                  <w:tcW w:w="1094" w:type="dxa"/>
                  <w:tcBorders>
                    <w:tl2br w:val="nil"/>
                    <w:tr2bl w:val="nil"/>
                  </w:tcBorders>
                  <w:noWrap w:val="0"/>
                  <w:vAlign w:val="center"/>
                </w:tcPr>
                <w:p w14:paraId="1AF563B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03CE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1" w:type="dxa"/>
                  <w:tcBorders>
                    <w:tl2br w:val="nil"/>
                    <w:tr2bl w:val="nil"/>
                  </w:tcBorders>
                  <w:noWrap w:val="0"/>
                  <w:vAlign w:val="center"/>
                </w:tcPr>
                <w:p w14:paraId="43EA78A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w:t>
                  </w:r>
                </w:p>
              </w:tc>
              <w:tc>
                <w:tcPr>
                  <w:tcW w:w="3070" w:type="dxa"/>
                  <w:tcBorders>
                    <w:tl2br w:val="nil"/>
                    <w:tr2bl w:val="nil"/>
                  </w:tcBorders>
                  <w:noWrap w:val="0"/>
                  <w:vAlign w:val="center"/>
                </w:tcPr>
                <w:p w14:paraId="747C2CA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平均上网电价（25年）</w:t>
                  </w:r>
                </w:p>
              </w:tc>
              <w:tc>
                <w:tcPr>
                  <w:tcW w:w="1207" w:type="dxa"/>
                  <w:gridSpan w:val="2"/>
                  <w:tcBorders>
                    <w:tl2br w:val="nil"/>
                    <w:tr2bl w:val="nil"/>
                  </w:tcBorders>
                  <w:noWrap w:val="0"/>
                  <w:vAlign w:val="center"/>
                </w:tcPr>
                <w:p w14:paraId="455B4F8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元/kW·h</w:t>
                  </w:r>
                </w:p>
              </w:tc>
              <w:tc>
                <w:tcPr>
                  <w:tcW w:w="2564" w:type="dxa"/>
                  <w:gridSpan w:val="2"/>
                  <w:tcBorders>
                    <w:tl2br w:val="nil"/>
                    <w:tr2bl w:val="nil"/>
                  </w:tcBorders>
                  <w:noWrap w:val="0"/>
                  <w:vAlign w:val="center"/>
                </w:tcPr>
                <w:p w14:paraId="1558705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0.3358</w:t>
                  </w:r>
                </w:p>
              </w:tc>
              <w:tc>
                <w:tcPr>
                  <w:tcW w:w="1094" w:type="dxa"/>
                  <w:tcBorders>
                    <w:tl2br w:val="nil"/>
                    <w:tr2bl w:val="nil"/>
                  </w:tcBorders>
                  <w:noWrap w:val="0"/>
                  <w:vAlign w:val="center"/>
                </w:tcPr>
                <w:p w14:paraId="0C23CF3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含税</w:t>
                  </w:r>
                </w:p>
              </w:tc>
            </w:tr>
          </w:tbl>
          <w:p w14:paraId="2CA6A98A">
            <w:pPr>
              <w:keepNext w:val="0"/>
              <w:keepLines w:val="0"/>
              <w:suppressLineNumbers w:val="0"/>
              <w:spacing w:before="0" w:beforeAutospacing="0" w:after="0" w:afterAutospacing="0"/>
              <w:ind w:left="0" w:right="0" w:firstLine="0" w:firstLineChars="0"/>
              <w:jc w:val="both"/>
              <w:rPr>
                <w:rFonts w:hint="eastAsia"/>
                <w:b/>
                <w:bCs/>
                <w:color w:val="auto"/>
                <w:highlight w:val="none"/>
              </w:rPr>
            </w:pPr>
            <w:r>
              <w:rPr>
                <w:rFonts w:hint="eastAsia"/>
                <w:b/>
                <w:bCs/>
                <w:color w:val="auto"/>
                <w:highlight w:val="none"/>
                <w:lang w:val="en-US" w:eastAsia="zh-CN"/>
              </w:rPr>
              <w:t>（十二）</w:t>
            </w:r>
            <w:r>
              <w:rPr>
                <w:rFonts w:hint="eastAsia"/>
                <w:b/>
                <w:bCs/>
                <w:color w:val="auto"/>
                <w:highlight w:val="none"/>
              </w:rPr>
              <w:t>光伏电站退役及拆除方案</w:t>
            </w:r>
          </w:p>
          <w:p w14:paraId="02C8DE2D">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1、拆除、清理方案</w:t>
            </w:r>
          </w:p>
          <w:p w14:paraId="3C7C52D7">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电站运行期满后（25年），光伏组件由厂家负责回收及再利用。组件支架等钢材由物资再生公司回收。所有的建（构）物及其基础由拆迁公司拆除、清理。电站的地面由电站运营商负责恢复地面植被。</w:t>
            </w:r>
          </w:p>
          <w:p w14:paraId="07436F20">
            <w:pPr>
              <w:keepNext w:val="0"/>
              <w:keepLines w:val="0"/>
              <w:numPr>
                <w:ilvl w:val="0"/>
                <w:numId w:val="1"/>
              </w:numPr>
              <w:suppressLineNumbers w:val="0"/>
              <w:spacing w:before="0" w:beforeAutospacing="0" w:after="0" w:afterAutospacing="0"/>
              <w:ind w:left="0" w:right="0" w:firstLine="480"/>
              <w:rPr>
                <w:rFonts w:hint="eastAsia"/>
                <w:color w:val="auto"/>
                <w:highlight w:val="none"/>
              </w:rPr>
            </w:pPr>
            <w:r>
              <w:rPr>
                <w:rFonts w:hint="eastAsia"/>
                <w:color w:val="auto"/>
                <w:highlight w:val="none"/>
              </w:rPr>
              <w:t>承诺</w:t>
            </w:r>
          </w:p>
          <w:p w14:paraId="4FF84770">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电站运营方应承诺在运营期或延长期满后一年的时间内，拆除光伏电站的相关设施，并尽可能地恢复建设光伏电站前的地形地貌。</w:t>
            </w:r>
          </w:p>
          <w:p w14:paraId="360F57D8">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电站运营方在运营期或延长期结束后</w:t>
            </w:r>
            <w:r>
              <w:rPr>
                <w:rFonts w:hint="eastAsia"/>
                <w:color w:val="auto"/>
                <w:highlight w:val="none"/>
                <w:lang w:eastAsia="zh-CN"/>
              </w:rPr>
              <w:t>，将</w:t>
            </w:r>
            <w:r>
              <w:rPr>
                <w:rFonts w:hint="eastAsia"/>
                <w:color w:val="auto"/>
                <w:highlight w:val="none"/>
              </w:rPr>
              <w:t>全部光伏发电组件、箱变及其他建构筑物无偿拆除并运出光伏电站，并在规定时间内使光伏发电组件和箱式变电站基础处的地面基本恢复原貌。</w:t>
            </w:r>
          </w:p>
          <w:p w14:paraId="7D75BD7C">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与拆除有关的全部费用均由电站运营方承担，并承担拆除结束前光伏电站的全部或部分损失或损坏的风险。</w:t>
            </w:r>
          </w:p>
          <w:p w14:paraId="1714386B">
            <w:pPr>
              <w:keepNext w:val="0"/>
              <w:keepLines w:val="0"/>
              <w:numPr>
                <w:ilvl w:val="0"/>
                <w:numId w:val="1"/>
              </w:numPr>
              <w:suppressLineNumbers w:val="0"/>
              <w:spacing w:before="0" w:beforeAutospacing="0" w:after="0" w:afterAutospacing="0"/>
              <w:ind w:left="0" w:right="0" w:firstLine="480"/>
              <w:rPr>
                <w:rFonts w:hint="default"/>
                <w:color w:val="auto"/>
                <w:highlight w:val="none"/>
              </w:rPr>
            </w:pPr>
            <w:r>
              <w:rPr>
                <w:rFonts w:hint="eastAsia"/>
                <w:color w:val="auto"/>
                <w:highlight w:val="none"/>
              </w:rPr>
              <w:t>拆除方案</w:t>
            </w:r>
          </w:p>
          <w:p w14:paraId="408CEBC1">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在运营期满后，运营方不迟于运营期或延长期结束六个月前，向省发展和改革委员会汇报、商定详细的拆除方案及拆除程序。初步可采用以下两种拆除方案：</w:t>
            </w:r>
          </w:p>
          <w:p w14:paraId="735AB673">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（1）</w:t>
            </w:r>
            <w:r>
              <w:rPr>
                <w:rFonts w:hint="default"/>
                <w:color w:val="auto"/>
                <w:highlight w:val="none"/>
              </w:rPr>
              <w:t>部分拆除方案</w:t>
            </w:r>
          </w:p>
          <w:p w14:paraId="3248BE7A">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 xml:space="preserve">除提供给地方政府或省电力公司无偿使用的设施外，其他设施由项目公司组织拆除，在规定的时间内按要求尽量恢复原地貌。 </w:t>
            </w:r>
          </w:p>
          <w:p w14:paraId="70E75530">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（2）</w:t>
            </w:r>
            <w:r>
              <w:rPr>
                <w:rFonts w:hint="default"/>
                <w:color w:val="auto"/>
                <w:highlight w:val="none"/>
              </w:rPr>
              <w:t>全部拆除方案</w:t>
            </w:r>
          </w:p>
          <w:p w14:paraId="3425FB8A">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在确定光伏电站无利用价值后，除可利用的设施外，其余采用破坏性拆除，拆除物经过清理后运输到指定的废弃物场地。拆除的全过程严格执行各项安全规程、规定和国家及地方各级环保部门的相关规定。</w:t>
            </w:r>
          </w:p>
          <w:p w14:paraId="14CEC496">
            <w:pPr>
              <w:keepNext w:val="0"/>
              <w:keepLines w:val="0"/>
              <w:numPr>
                <w:ilvl w:val="0"/>
                <w:numId w:val="1"/>
              </w:numPr>
              <w:suppressLineNumbers w:val="0"/>
              <w:spacing w:before="0" w:beforeAutospacing="0" w:after="0" w:afterAutospacing="0"/>
              <w:ind w:left="0" w:right="0" w:firstLine="480"/>
              <w:rPr>
                <w:rFonts w:hint="default"/>
                <w:color w:val="auto"/>
                <w:highlight w:val="none"/>
              </w:rPr>
            </w:pPr>
            <w:r>
              <w:rPr>
                <w:rFonts w:hint="eastAsia"/>
                <w:color w:val="auto"/>
                <w:highlight w:val="none"/>
              </w:rPr>
              <w:t>拆除流程</w:t>
            </w:r>
          </w:p>
          <w:p w14:paraId="62145794">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（1）</w:t>
            </w:r>
            <w:r>
              <w:rPr>
                <w:rFonts w:hint="default"/>
                <w:color w:val="auto"/>
                <w:highlight w:val="none"/>
              </w:rPr>
              <w:t xml:space="preserve">光伏组件的拆除 </w:t>
            </w:r>
          </w:p>
          <w:p w14:paraId="5709B739">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拆除光伏组件之间的电气连接，注意拆除前要进行放电→拆除光伏组件→拆除组件支撑架→拆除组件电气设备→拆除组件支撑架→清理平整场地。</w:t>
            </w:r>
          </w:p>
          <w:p w14:paraId="3061F81D">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（2）</w:t>
            </w:r>
            <w:r>
              <w:rPr>
                <w:rFonts w:hint="default"/>
                <w:color w:val="auto"/>
                <w:highlight w:val="none"/>
              </w:rPr>
              <w:t>直埋电力电缆的拆除</w:t>
            </w:r>
          </w:p>
          <w:p w14:paraId="6A427AA0">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断开电力电缆与电站地面控制柜、箱式变、接地的</w:t>
            </w:r>
            <w:r>
              <w:rPr>
                <w:rFonts w:hint="eastAsia"/>
                <w:color w:val="auto"/>
                <w:highlight w:val="none"/>
                <w:lang w:eastAsia="zh-CN"/>
              </w:rPr>
              <w:t>连接</w:t>
            </w:r>
            <w:r>
              <w:rPr>
                <w:rFonts w:hint="default"/>
                <w:color w:val="auto"/>
                <w:highlight w:val="none"/>
              </w:rPr>
              <w:t>→采用人工或机械将电缆挖出→做电缆沟地面处理。</w:t>
            </w:r>
          </w:p>
          <w:p w14:paraId="76E15761">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（3）</w:t>
            </w:r>
            <w:r>
              <w:rPr>
                <w:rFonts w:hint="default"/>
                <w:color w:val="auto"/>
                <w:highlight w:val="none"/>
              </w:rPr>
              <w:t>箱变逆变设备的拆除</w:t>
            </w:r>
          </w:p>
          <w:p w14:paraId="606B122E">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拆除箱变、逆变等设备；拆除基础等构筑物。局部平整区场地至规定要求。</w:t>
            </w:r>
          </w:p>
          <w:p w14:paraId="3AEFCF62">
            <w:pPr>
              <w:keepNext w:val="0"/>
              <w:keepLines w:val="0"/>
              <w:numPr>
                <w:ilvl w:val="0"/>
                <w:numId w:val="1"/>
              </w:numPr>
              <w:suppressLineNumbers w:val="0"/>
              <w:spacing w:before="0" w:beforeAutospacing="0" w:after="0" w:afterAutospacing="0"/>
              <w:ind w:left="0" w:right="0" w:firstLine="480"/>
              <w:rPr>
                <w:rFonts w:hint="default"/>
                <w:color w:val="auto"/>
                <w:highlight w:val="none"/>
              </w:rPr>
            </w:pPr>
            <w:r>
              <w:rPr>
                <w:rFonts w:hint="eastAsia"/>
                <w:color w:val="auto"/>
                <w:highlight w:val="none"/>
              </w:rPr>
              <w:t>环保要求</w:t>
            </w:r>
          </w:p>
          <w:p w14:paraId="7090F332">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针对拆除工程施工可能产生的各种不利因素和施工区内环境特征、环境影响范围和程度，提出以下环境影响控制措施：</w:t>
            </w:r>
          </w:p>
          <w:p w14:paraId="570D754A">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（1）</w:t>
            </w:r>
            <w:r>
              <w:rPr>
                <w:rFonts w:hint="default"/>
                <w:color w:val="auto"/>
                <w:highlight w:val="none"/>
              </w:rPr>
              <w:t>拆除过程中，应科学设计，严格管理。按照国家各项施工规范和条例进行施工，并教育施工人员明确施工注意事项，文明施工，保证拆除施工质量，按期竣工验收。</w:t>
            </w:r>
          </w:p>
          <w:p w14:paraId="6EE917EF">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（2）</w:t>
            </w:r>
            <w:r>
              <w:rPr>
                <w:rFonts w:hint="default"/>
                <w:color w:val="auto"/>
                <w:highlight w:val="none"/>
              </w:rPr>
              <w:t>拆除施工时，应尽量做到土石方平衡，粉状材料运输及堆存须加盖防尘布和选择不易流失的地点堆存，或设置简易堆棚，定点存放。</w:t>
            </w:r>
          </w:p>
          <w:p w14:paraId="1E241A65">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（3）</w:t>
            </w:r>
            <w:r>
              <w:rPr>
                <w:rFonts w:hint="default"/>
                <w:color w:val="auto"/>
                <w:highlight w:val="none"/>
              </w:rPr>
              <w:t>施工中应分区合理施工，快速开挖，及时填埋夯实，并恢复地表。生活垃圾、粪便、弃土渣必须及时清运至当地环保部门指定场地处置，避免由此而产生的区域生态及区域卫生问题。</w:t>
            </w:r>
          </w:p>
          <w:p w14:paraId="66906B44">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（4）</w:t>
            </w:r>
            <w:r>
              <w:rPr>
                <w:rFonts w:hint="default"/>
                <w:color w:val="auto"/>
                <w:highlight w:val="none"/>
              </w:rPr>
              <w:t>施工噪声是一种短期行为，应合理安排施工时间，尽量缩短夜间施工，并禁止车辆及施工机械高音喇叭鸣叫，尽可能降低声环境影响。</w:t>
            </w:r>
          </w:p>
          <w:p w14:paraId="51E72155">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lang w:eastAsia="zh-CN"/>
              </w:rPr>
              <w:t>（5）</w:t>
            </w:r>
            <w:r>
              <w:rPr>
                <w:rFonts w:hint="default"/>
                <w:color w:val="auto"/>
                <w:highlight w:val="none"/>
              </w:rPr>
              <w:t>施工时，由于当地天气干燥多风，且风速大，对施工作业面应适时洒水，增加湿度，抑制扬尘飘移。另外，施工时要避开大风、尘暴等不利气象条件，尽</w:t>
            </w:r>
            <w:r>
              <w:rPr>
                <w:rFonts w:hint="eastAsia"/>
                <w:color w:val="auto"/>
                <w:highlight w:val="none"/>
                <w:lang w:eastAsia="zh-CN"/>
              </w:rPr>
              <w:t>可能</w:t>
            </w:r>
            <w:r>
              <w:rPr>
                <w:rFonts w:hint="default"/>
                <w:color w:val="auto"/>
                <w:highlight w:val="none"/>
              </w:rPr>
              <w:t>降低或避免对局地的扬尘污染。</w:t>
            </w:r>
          </w:p>
          <w:p w14:paraId="7EDC674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textAlignment w:val="baseline"/>
              <w:rPr>
                <w:rFonts w:hint="default" w:ascii="Times New Roman" w:hAnsi="Times New Roman" w:eastAsia="仿宋" w:cs="Times New Roman"/>
                <w:b/>
                <w:color w:val="auto"/>
                <w:kern w:val="0"/>
                <w:sz w:val="24"/>
                <w:szCs w:val="24"/>
                <w:highlight w:val="none"/>
              </w:rPr>
            </w:pPr>
          </w:p>
        </w:tc>
      </w:tr>
      <w:tr w14:paraId="3C67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87" w:type="pct"/>
            <w:noWrap w:val="0"/>
            <w:vAlign w:val="center"/>
          </w:tcPr>
          <w:p w14:paraId="4B94219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总平面及现场布置</w:t>
            </w:r>
          </w:p>
        </w:tc>
        <w:tc>
          <w:tcPr>
            <w:tcW w:w="4612" w:type="pct"/>
            <w:noWrap w:val="0"/>
            <w:vAlign w:val="center"/>
          </w:tcPr>
          <w:p w14:paraId="7DCC15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color w:val="auto"/>
                <w:kern w:val="0"/>
                <w:sz w:val="24"/>
                <w:szCs w:val="24"/>
                <w:highlight w:val="none"/>
                <w:lang w:val="en-US" w:eastAsia="zh-CN"/>
              </w:rPr>
            </w:pPr>
            <w:r>
              <w:rPr>
                <w:rFonts w:hint="eastAsia" w:cs="Times New Roman"/>
                <w:b/>
                <w:color w:val="auto"/>
                <w:kern w:val="0"/>
                <w:sz w:val="24"/>
                <w:szCs w:val="24"/>
                <w:highlight w:val="none"/>
                <w:lang w:val="en-US" w:eastAsia="zh-CN"/>
              </w:rPr>
              <w:t xml:space="preserve">2.4 </w:t>
            </w:r>
            <w:r>
              <w:rPr>
                <w:rFonts w:hint="default" w:ascii="Times New Roman" w:hAnsi="Times New Roman" w:eastAsia="仿宋" w:cs="Times New Roman"/>
                <w:b/>
                <w:color w:val="auto"/>
                <w:kern w:val="0"/>
                <w:sz w:val="24"/>
                <w:szCs w:val="24"/>
                <w:highlight w:val="none"/>
              </w:rPr>
              <w:t>工程总布置</w:t>
            </w:r>
          </w:p>
          <w:p w14:paraId="4A597BB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b w:val="0"/>
                <w:bCs/>
                <w:color w:val="auto"/>
                <w:kern w:val="0"/>
                <w:sz w:val="24"/>
                <w:szCs w:val="24"/>
                <w:highlight w:val="none"/>
                <w:lang w:val="en-US" w:eastAsia="zh-CN"/>
              </w:rPr>
            </w:pPr>
            <w:r>
              <w:rPr>
                <w:rFonts w:hint="default" w:ascii="Times New Roman" w:hAnsi="Times New Roman" w:eastAsia="仿宋" w:cs="Times New Roman"/>
                <w:b w:val="0"/>
                <w:bCs/>
                <w:color w:val="auto"/>
                <w:kern w:val="0"/>
                <w:sz w:val="24"/>
                <w:szCs w:val="24"/>
                <w:highlight w:val="none"/>
                <w:lang w:val="en-US" w:eastAsia="zh-CN"/>
              </w:rPr>
              <w:t>根据建设单位提供的基础资料及现场勘查，对本项目光伏区进行总平面布置。</w:t>
            </w:r>
          </w:p>
          <w:p w14:paraId="095BD3A2">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b w:val="0"/>
                <w:bCs/>
                <w:color w:val="auto"/>
                <w:kern w:val="0"/>
                <w:sz w:val="24"/>
                <w:szCs w:val="24"/>
                <w:highlight w:val="none"/>
                <w:lang w:val="en-US" w:eastAsia="zh-CN"/>
              </w:rPr>
            </w:pPr>
            <w:r>
              <w:rPr>
                <w:rFonts w:hint="default" w:ascii="Times New Roman" w:hAnsi="Times New Roman" w:eastAsia="仿宋" w:cs="Times New Roman"/>
                <w:b w:val="0"/>
                <w:bCs/>
                <w:color w:val="auto"/>
                <w:kern w:val="0"/>
                <w:sz w:val="24"/>
                <w:szCs w:val="24"/>
                <w:highlight w:val="none"/>
                <w:lang w:val="en-US" w:eastAsia="zh-CN"/>
              </w:rPr>
              <w:t>光伏阵列结合用地范围和地形情况，充分利用场址区域内的土地，采取便于管理、节约用地的原则，尽量按照规则统一的子方阵布置形式，通过子方阵的集中组合，以达到用地较优、节约连接电缆、日常巡查线路较短、减少人力物力劳动。</w:t>
            </w:r>
          </w:p>
          <w:p w14:paraId="3CC2A9A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color w:val="auto"/>
                <w:kern w:val="0"/>
                <w:sz w:val="24"/>
                <w:szCs w:val="24"/>
                <w:highlight w:val="none"/>
                <w:lang w:val="en-US" w:eastAsia="zh-CN"/>
              </w:rPr>
              <w:t>光伏发电场内根据方阵布置</w:t>
            </w:r>
            <w:r>
              <w:rPr>
                <w:rFonts w:hint="eastAsia" w:cs="Times New Roman"/>
                <w:b w:val="0"/>
                <w:bCs/>
                <w:color w:val="auto"/>
                <w:kern w:val="0"/>
                <w:sz w:val="24"/>
                <w:szCs w:val="24"/>
                <w:highlight w:val="none"/>
                <w:lang w:val="en-US" w:eastAsia="zh-CN"/>
              </w:rPr>
              <w:t>设置</w:t>
            </w:r>
            <w:r>
              <w:rPr>
                <w:rFonts w:hint="default" w:ascii="Times New Roman" w:hAnsi="Times New Roman" w:eastAsia="仿宋" w:cs="Times New Roman"/>
                <w:b w:val="0"/>
                <w:bCs/>
                <w:color w:val="auto"/>
                <w:kern w:val="0"/>
                <w:sz w:val="24"/>
                <w:szCs w:val="24"/>
                <w:highlight w:val="none"/>
                <w:lang w:val="en-US" w:eastAsia="zh-CN"/>
              </w:rPr>
              <w:t>纵横方向道路，箱变一般位于原有道路的路边，利用光伏组件之间的空地进行较大设备的运输及日常巡查和检修。本次光伏阵列尽量利用原有道路，不能满足时扩建扩修道路</w:t>
            </w:r>
            <w:r>
              <w:rPr>
                <w:rFonts w:hint="default" w:ascii="Times New Roman" w:hAnsi="Times New Roman" w:eastAsia="仿宋" w:cs="Times New Roman"/>
                <w:color w:val="auto"/>
                <w:sz w:val="24"/>
                <w:szCs w:val="24"/>
                <w:highlight w:val="none"/>
                <w:lang w:val="en-US" w:eastAsia="zh-CN"/>
              </w:rPr>
              <w:t>。升压站位于光伏阵列中部，便于集电线路的建设。项目总平面布置见下图。</w:t>
            </w:r>
          </w:p>
          <w:p w14:paraId="54851E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center"/>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highlight w:val="none"/>
              </w:rPr>
              <mc:AlternateContent>
                <mc:Choice Requires="wpg">
                  <w:drawing>
                    <wp:anchor distT="0" distB="0" distL="114300" distR="114300" simplePos="0" relativeHeight="251665408" behindDoc="0" locked="0" layoutInCell="1" allowOverlap="1">
                      <wp:simplePos x="0" y="0"/>
                      <wp:positionH relativeFrom="column">
                        <wp:posOffset>1779905</wp:posOffset>
                      </wp:positionH>
                      <wp:positionV relativeFrom="paragraph">
                        <wp:posOffset>4739640</wp:posOffset>
                      </wp:positionV>
                      <wp:extent cx="2176145" cy="787400"/>
                      <wp:effectExtent l="0" t="688975" r="14605" b="9525"/>
                      <wp:wrapNone/>
                      <wp:docPr id="3" name="组合 3"/>
                      <wp:cNvGraphicFramePr/>
                      <a:graphic xmlns:a="http://schemas.openxmlformats.org/drawingml/2006/main">
                        <a:graphicData uri="http://schemas.microsoft.com/office/word/2010/wordprocessingGroup">
                          <wpg:wgp>
                            <wpg:cNvGrpSpPr/>
                            <wpg:grpSpPr>
                              <a:xfrm>
                                <a:off x="0" y="0"/>
                                <a:ext cx="2176145" cy="787400"/>
                                <a:chOff x="8712" y="642606"/>
                                <a:chExt cx="3427" cy="1240"/>
                              </a:xfrm>
                            </wpg:grpSpPr>
                            <wps:wsp>
                              <wps:cNvPr id="11" name="矩形标注 11"/>
                              <wps:cNvSpPr/>
                              <wps:spPr>
                                <a:xfrm>
                                  <a:off x="8712" y="642606"/>
                                  <a:ext cx="1137" cy="525"/>
                                </a:xfrm>
                                <a:prstGeom prst="wedgeRectCallout">
                                  <a:avLst>
                                    <a:gd name="adj1" fmla="val -3210"/>
                                    <a:gd name="adj2" fmla="val -256666"/>
                                  </a:avLst>
                                </a:prstGeom>
                                <a:solidFill>
                                  <a:schemeClr val="accent6">
                                    <a:lumMod val="60000"/>
                                    <a:lumOff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C3D0D22">
                                    <w:pPr>
                                      <w:ind w:left="0" w:leftChars="0" w:firstLine="0" w:firstLineChars="0"/>
                                      <w:jc w:val="both"/>
                                      <w:rPr>
                                        <w:rFonts w:hint="eastAsia" w:eastAsia="宋体"/>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升压站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矩形标注 15"/>
                              <wps:cNvSpPr/>
                              <wps:spPr>
                                <a:xfrm>
                                  <a:off x="10678" y="643321"/>
                                  <a:ext cx="1461" cy="525"/>
                                </a:xfrm>
                                <a:prstGeom prst="wedgeRectCallout">
                                  <a:avLst>
                                    <a:gd name="adj1" fmla="val -3210"/>
                                    <a:gd name="adj2" fmla="val -256666"/>
                                  </a:avLst>
                                </a:prstGeom>
                                <a:solidFill>
                                  <a:schemeClr val="accent6">
                                    <a:lumMod val="60000"/>
                                    <a:lumOff val="4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A28783F">
                                    <w:pPr>
                                      <w:ind w:left="0" w:leftChars="0" w:firstLine="0" w:firstLineChars="0"/>
                                      <w:jc w:val="both"/>
                                      <w:rPr>
                                        <w:rFonts w:hint="default" w:eastAsia="宋体"/>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光伏阵列</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40.15pt;margin-top:373.2pt;height:62pt;width:171.35pt;z-index:251665408;mso-width-relative:page;mso-height-relative:page;" coordorigin="8712,642606" coordsize="3427,1240" o:gfxdata="UEsDBAoAAAAAAIdO4kAAAAAAAAAAAAAAAAAEAAAAZHJzL1BLAwQUAAAACACHTuJALhEc6twAAAAL&#10;AQAADwAAAGRycy9kb3ducmV2LnhtbE2Py2rDMBBF94X+g5hCd43kRx3jeBxKaLsKhSaFkp1iTWwT&#10;SzKWYid/X3XVLoc53Htuub7qnk00us4ahGghgJGprepMg/C1f3vKgTkvjZK9NYRwIwfr6v6ulIWy&#10;s/mkaecbFkKMKyRC6/1QcO7qlrR0CzuQCb+THbX04RwbrkY5h3Dd81iIjGvZmdDQyoE2LdXn3UUj&#10;vM9yfkmi12l7Pm1uh/3zx/c2IsTHh0isgHm6+j8YfvWDOlTB6WgvRjnWI8S5SAKKsEyzFFggsjgJ&#10;644I+VKkwKuS/99Q/QBQSwMEFAAAAAgAh07iQH+uwtJsAwAAFwoAAA4AAABkcnMvZTJvRG9jLnht&#10;bO1Wy44jNRTdI/EPlvfT9UhS6Yk6PYrSdAupYVo0iLXjcj2Qyza205WeNRIs+QNGs4I1S8TnzPAb&#10;HLsqmUzTEiOQEIvJouL7qPs491E+e7brJLkT1rVaLWl2klIiFNdlq+ol/erLyyenlDjPVMmkVmJJ&#10;74Wjz84//uisNwuR60bLUlgCI8oterOkjfdmkSSON6Jj7kQboSCstO2YB2nrpLSsh/VOJnmaFkmv&#10;bWms5sI5cC8GIR0t2vcxqKuq5eJC820nlB+sWiGZR0quaY2j5zHaqhLcP68qJzyRS4pMfXzCCc6b&#10;8EzOz9iitsw0LR9DYO8TwoOcOtYqOD2YumCeka1t/2Kqa7nVTlf+hOsuGRKJiCCLLH2AzZXVWxNz&#10;qRd9bQ6go1APUP/HZvnndzeWtOWSTihRrEPB//jtu9c//kAmAZve1AuoXFlza27syKgHKqS7q2wX&#10;/pEI2UVU7w+oip0nHMw8mxfZdEYJh2x+Op+mI+y8QW3Ca6fzLKcE0mKaF2kxFIU3n4wGJtN8Pryd&#10;5dP4brL3nIQAD/H0Bi3p3uLk/h1Otw0zIsLvAggjTll2AOqnX17//urNy+/f/PozATvCE1UPYLmF&#10;A26PIPVoynvEsmwyJjzLZ8HsIV+2MNb5K6E7Eg5L2ouyFl+gzddMSr31sQnZ3bXzsRvLsaas/AZh&#10;V51Ec98xSZ5M8mzf/Ec6qMKRTj4r8Bv9jzYRyT6C4MBp2ZaXrZSRsPVmLS2BgyW9XK3Tp2kMR267&#10;z3Q5sIsUv6HAYIf6R230xMCGfTeYiVm/Y18q0qOdZqGBCGfYPRVmHsfOoH+dqilhssZS495Gx0qH&#10;0IDfEPQFc83gLpodE5MKnkLnDJUKJ7/b7MZibnR5j8JbPWwOZ/hlC+CvmfM3zAJNhIJl6p/jUUmN&#10;+PR4oqTR9sVj/KCPzoSUkh6rB7F/u2VWUCI/VejZp9kUbU58JKazeQ7CHks2xxK17dYagKO+iC4e&#10;g76X+2Nldfc1du4qeIWIKQ7fA0ojsfbDSsTW5mK1imrYT4b5a3VreDAeQFR6tfW6an1oyQDUgM5I&#10;YPLCwvgvRhDLZNxV74xgnJUQAab170cwS4s5vnVx7UwwD0NXHmZwWgDRsLI+zODRjH+YwXE6/8cz&#10;GD+KuC/EDTrebcKF5JiOM/v2Pnf+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C4RHOrcAAAACwEA&#10;AA8AAAAAAAAAAQAgAAAAIgAAAGRycy9kb3ducmV2LnhtbFBLAQIUABQAAAAIAIdO4kB/rsLSbAMA&#10;ABcKAAAOAAAAAAAAAAEAIAAAACsBAABkcnMvZTJvRG9jLnhtbFBLBQYAAAAABgAGAFkBAAAJBwAA&#10;AAA=&#10;">
                      <o:lock v:ext="edit" aspectratio="f"/>
                      <v:shape id="_x0000_s1026" o:spid="_x0000_s1026" o:spt="61" type="#_x0000_t61" style="position:absolute;left:8712;top:642606;height:525;width:1137;v-text-anchor:middle;" fillcolor="#FAC090 [1945]" filled="t" stroked="f" coordsize="21600,21600" o:gfxdata="UEsDBAoAAAAAAIdO4kAAAAAAAAAAAAAAAAAEAAAAZHJzL1BLAwQUAAAACACHTuJAcQZcdLsAAADb&#10;AAAADwAAAGRycy9kb3ducmV2LnhtbEVPTWvCQBC9F/wPywje6iYFW4muIlLBQy+NhXocs2MS3Z0N&#10;2dXE/npXEHqbx/uc+bK3Rlyp9bVjBek4AUFcOF1zqeBnt3mdgvABWaNxTApu5GG5GLzMMdOu42+6&#10;5qEUMYR9hgqqEJpMSl9UZNGPXUMcuaNrLYYI21LqFrsYbo18S5J3abHm2FBhQ+uKinN+sQpW5H8n&#10;H7L7Mn1uDpO9/Dz93c5KjYZpMgMRqA//4qd7q+P8FB6/xAPk4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ZcdLsAAADb&#10;AAAADwAAAAAAAAABACAAAAAiAAAAZHJzL2Rvd25yZXYueG1sUEsBAhQAFAAAAAgAh07iQDMvBZ47&#10;AAAAOQAAABAAAAAAAAAAAQAgAAAACgEAAGRycy9zaGFwZXhtbC54bWxQSwUGAAAAAAYABgBbAQAA&#10;tAMAAAAA&#10;" adj="10107,-44640">
                        <v:fill on="t" focussize="0,0"/>
                        <v:stroke on="f" weight="2pt"/>
                        <v:imagedata o:title=""/>
                        <o:lock v:ext="edit" aspectratio="f"/>
                        <v:textbox>
                          <w:txbxContent>
                            <w:p w14:paraId="4C3D0D22">
                              <w:pPr>
                                <w:ind w:left="0" w:leftChars="0" w:firstLine="0" w:firstLineChars="0"/>
                                <w:jc w:val="both"/>
                                <w:rPr>
                                  <w:rFonts w:hint="eastAsia" w:eastAsia="宋体"/>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升压站</w:t>
                              </w:r>
                            </w:p>
                          </w:txbxContent>
                        </v:textbox>
                      </v:shape>
                      <v:shape id="_x0000_s1026" o:spid="_x0000_s1026" o:spt="61" type="#_x0000_t61" style="position:absolute;left:10678;top:643321;height:525;width:1461;v-text-anchor:middle;" fillcolor="#FAC090 [1945]" filled="t" stroked="f" coordsize="21600,21600" o:gfxdata="UEsDBAoAAAAAAIdO4kAAAAAAAAAAAAAAAAAEAAAAZHJzL1BLAwQUAAAACACHTuJADj1ad7wAAADb&#10;AAAADwAAAGRycy9kb3ducmV2LnhtbEVPTWvCQBC9C/0PyxR6041CtKRuQikWevBiKtjjNDsm0d3Z&#10;kN2a6K/vFgre5vE+Z12M1ogL9b51rGA+S0AQV063XCvYf75Pn0H4gKzROCYFV/JQ5A+TNWbaDbyj&#10;SxlqEUPYZ6igCaHLpPRVQxb9zHXEkTu63mKIsK+l7nGI4dbIRZIspcWWY0ODHb01VJ3LH6vglfwh&#10;Xclha8bSfKdfcnO6Xc9KPT3OkxcQgcZwF/+7P3Scn8LfL/EAmf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49Wne8AAAA&#10;2wAAAA8AAAAAAAAAAQAgAAAAIgAAAGRycy9kb3ducmV2LnhtbFBLAQIUABQAAAAIAIdO4kAzLwWe&#10;OwAAADkAAAAQAAAAAAAAAAEAIAAAAAsBAABkcnMvc2hhcGV4bWwueG1sUEsFBgAAAAAGAAYAWwEA&#10;ALUDAAAAAA==&#10;" adj="10107,-44640">
                        <v:fill on="t" focussize="0,0"/>
                        <v:stroke on="f" weight="2pt"/>
                        <v:imagedata o:title=""/>
                        <o:lock v:ext="edit" aspectratio="f"/>
                        <v:textbox>
                          <w:txbxContent>
                            <w:p w14:paraId="1A28783F">
                              <w:pPr>
                                <w:ind w:left="0" w:leftChars="0" w:firstLine="0" w:firstLineChars="0"/>
                                <w:jc w:val="both"/>
                                <w:rPr>
                                  <w:rFonts w:hint="default" w:eastAsia="宋体"/>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光伏阵列</w:t>
                              </w:r>
                            </w:p>
                          </w:txbxContent>
                        </v:textbox>
                      </v:shape>
                    </v:group>
                  </w:pict>
                </mc:Fallback>
              </mc:AlternateContent>
            </w:r>
            <w:r>
              <w:rPr>
                <w:rFonts w:hint="default" w:ascii="Times New Roman" w:hAnsi="Times New Roman" w:eastAsia="仿宋" w:cs="Times New Roman"/>
                <w:color w:val="auto"/>
                <w:sz w:val="24"/>
                <w:szCs w:val="24"/>
                <w:highlight w:val="none"/>
                <w:lang w:val="en-US" w:eastAsia="zh-CN"/>
              </w:rPr>
              <w:drawing>
                <wp:inline distT="0" distB="0" distL="114300" distR="114300">
                  <wp:extent cx="5601970" cy="7461250"/>
                  <wp:effectExtent l="0" t="0" r="17780" b="635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32"/>
                          <a:stretch>
                            <a:fillRect/>
                          </a:stretch>
                        </pic:blipFill>
                        <pic:spPr>
                          <a:xfrm>
                            <a:off x="0" y="0"/>
                            <a:ext cx="5601970" cy="7461250"/>
                          </a:xfrm>
                          <a:prstGeom prst="rect">
                            <a:avLst/>
                          </a:prstGeom>
                          <a:noFill/>
                          <a:ln>
                            <a:noFill/>
                          </a:ln>
                        </pic:spPr>
                      </pic:pic>
                    </a:graphicData>
                  </a:graphic>
                </wp:inline>
              </w:drawing>
            </w:r>
          </w:p>
          <w:p w14:paraId="79183A89">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22" w:firstLineChars="200"/>
              <w:jc w:val="center"/>
              <w:textAlignment w:val="baseline"/>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图 2-1  工程场址范围示意图</w:t>
            </w:r>
          </w:p>
          <w:p w14:paraId="4D46924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leftChars="0" w:right="0" w:firstLine="0" w:firstLineChars="0"/>
              <w:textAlignment w:val="baseline"/>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2.5 </w:t>
            </w:r>
            <w:r>
              <w:rPr>
                <w:rFonts w:hint="default" w:ascii="Times New Roman" w:hAnsi="Times New Roman" w:eastAsia="仿宋" w:cs="Times New Roman"/>
                <w:b/>
                <w:bCs/>
                <w:color w:val="auto"/>
                <w:sz w:val="24"/>
                <w:szCs w:val="24"/>
                <w:highlight w:val="none"/>
                <w:lang w:val="en-US" w:eastAsia="zh-CN"/>
              </w:rPr>
              <w:t>现场布置</w:t>
            </w:r>
          </w:p>
          <w:p w14:paraId="123C6E88">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2" w:firstLineChars="200"/>
              <w:textAlignment w:val="baseline"/>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1、道路布置</w:t>
            </w:r>
          </w:p>
          <w:p w14:paraId="63EC007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本次光伏区道路分为原有道路、可扩建扩修道路、新建道路，形成场内道路系统，既便于较大设备的运输，又能满足日常巡查和检修的要求。</w:t>
            </w:r>
          </w:p>
          <w:p w14:paraId="068E2F0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场区内的道路根据地形及光伏板矩阵进行布置，尽量利用现有道路，其他道路以满足厂区交通运输需求，且坡度不宜过大。考虑到光伏设备组件整体尺寸不大，对运输道路要求不高，为节约投资，对道路范围内的场地稍</w:t>
            </w:r>
            <w:r>
              <w:rPr>
                <w:rFonts w:hint="eastAsia" w:cs="Times New Roman"/>
                <w:color w:val="auto"/>
                <w:sz w:val="24"/>
                <w:szCs w:val="24"/>
                <w:highlight w:val="none"/>
                <w:lang w:val="en-US" w:eastAsia="zh-CN"/>
              </w:rPr>
              <w:t>做</w:t>
            </w:r>
            <w:r>
              <w:rPr>
                <w:rFonts w:hint="default" w:ascii="Times New Roman" w:hAnsi="Times New Roman" w:eastAsia="仿宋" w:cs="Times New Roman"/>
                <w:color w:val="auto"/>
                <w:sz w:val="24"/>
                <w:szCs w:val="24"/>
                <w:highlight w:val="none"/>
                <w:lang w:val="en-US" w:eastAsia="zh-CN"/>
              </w:rPr>
              <w:t>平整硬化处理，场区内道路纵坡坡度不大于10%，极端条件不大于15%，横向坡度为2%～3%，转弯半径一般为15m，极限最小半径为9m。进场道路及场内道路标准为路基宽4.5m，路面宽4.0m，采用泥结碎石路面。</w:t>
            </w:r>
          </w:p>
          <w:p w14:paraId="068CBB19">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根据光伏电站的总体布局，场内道路应尽量紧靠电池组件，以满足设备一次运输到位，方便支架及电池组件安装。设备运输按指定线路将大件设备如箱变等按指定地点一次运输并安装到位，尽量减少二次转运。</w:t>
            </w:r>
          </w:p>
          <w:p w14:paraId="29B3804F">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szCs w:val="24"/>
                <w:highlight w:val="none"/>
                <w:lang w:val="en-US" w:eastAsia="zh-CN"/>
              </w:rPr>
              <w:t>根据建设单位提供资料，项目需建设道路工程总长为36.48km，其中</w:t>
            </w:r>
            <w:r>
              <w:rPr>
                <w:rFonts w:hint="default" w:ascii="Times New Roman" w:hAnsi="Times New Roman" w:eastAsia="仿宋" w:cs="Times New Roman"/>
                <w:color w:val="auto"/>
                <w:highlight w:val="none"/>
              </w:rPr>
              <w:t>改扩建道路长度</w:t>
            </w:r>
            <w:r>
              <w:rPr>
                <w:rFonts w:hint="default" w:ascii="Times New Roman" w:hAnsi="Times New Roman" w:eastAsia="仿宋" w:cs="Times New Roman"/>
                <w:color w:val="auto"/>
                <w:highlight w:val="none"/>
                <w:lang w:val="en-US" w:eastAsia="zh-CN"/>
              </w:rPr>
              <w:t>25.64</w:t>
            </w:r>
            <w:r>
              <w:rPr>
                <w:rFonts w:hint="default" w:ascii="Times New Roman" w:hAnsi="Times New Roman" w:eastAsia="仿宋" w:cs="Times New Roman"/>
                <w:color w:val="auto"/>
                <w:highlight w:val="none"/>
              </w:rPr>
              <w:t>km，路基宽</w:t>
            </w:r>
            <w:r>
              <w:rPr>
                <w:rFonts w:hint="default" w:ascii="Times New Roman" w:hAnsi="Times New Roman" w:eastAsia="仿宋" w:cs="Times New Roman"/>
                <w:color w:val="auto"/>
                <w:highlight w:val="none"/>
                <w:lang w:val="en-US" w:eastAsia="zh-CN"/>
              </w:rPr>
              <w:t>4</w:t>
            </w:r>
            <w:r>
              <w:rPr>
                <w:rFonts w:hint="default" w:ascii="Times New Roman" w:hAnsi="Times New Roman" w:eastAsia="仿宋" w:cs="Times New Roman"/>
                <w:color w:val="auto"/>
                <w:highlight w:val="none"/>
              </w:rPr>
              <w:t>.5m，路面宽</w:t>
            </w:r>
            <w:r>
              <w:rPr>
                <w:rFonts w:hint="default" w:ascii="Times New Roman" w:hAnsi="Times New Roman" w:eastAsia="仿宋" w:cs="Times New Roman"/>
                <w:color w:val="auto"/>
                <w:highlight w:val="none"/>
                <w:lang w:val="en-US" w:eastAsia="zh-CN"/>
              </w:rPr>
              <w:t>4.0</w:t>
            </w:r>
            <w:r>
              <w:rPr>
                <w:rFonts w:hint="default" w:ascii="Times New Roman" w:hAnsi="Times New Roman" w:eastAsia="仿宋" w:cs="Times New Roman"/>
                <w:color w:val="auto"/>
                <w:highlight w:val="none"/>
              </w:rPr>
              <w:t>m，采用</w:t>
            </w:r>
            <w:r>
              <w:rPr>
                <w:rFonts w:hint="default" w:ascii="Times New Roman" w:hAnsi="Times New Roman" w:eastAsia="仿宋" w:cs="Times New Roman"/>
                <w:color w:val="auto"/>
                <w:sz w:val="24"/>
                <w:szCs w:val="24"/>
                <w:highlight w:val="none"/>
                <w:lang w:val="en-US" w:eastAsia="zh-CN"/>
              </w:rPr>
              <w:t>泥结碎石路面</w:t>
            </w:r>
            <w:r>
              <w:rPr>
                <w:rFonts w:hint="default" w:ascii="Times New Roman" w:hAnsi="Times New Roman" w:eastAsia="仿宋" w:cs="Times New Roman"/>
                <w:color w:val="auto"/>
                <w:highlight w:val="none"/>
              </w:rPr>
              <w:t>。新建道路</w:t>
            </w:r>
            <w:r>
              <w:rPr>
                <w:rFonts w:hint="default" w:ascii="Times New Roman" w:hAnsi="Times New Roman" w:eastAsia="仿宋" w:cs="Times New Roman"/>
                <w:color w:val="auto"/>
                <w:highlight w:val="none"/>
                <w:lang w:val="en-US" w:eastAsia="zh-CN"/>
              </w:rPr>
              <w:t>10.84</w:t>
            </w:r>
            <w:r>
              <w:rPr>
                <w:rFonts w:hint="default" w:ascii="Times New Roman" w:hAnsi="Times New Roman" w:eastAsia="仿宋" w:cs="Times New Roman"/>
                <w:color w:val="auto"/>
                <w:highlight w:val="none"/>
              </w:rPr>
              <w:t>km，路基宽</w:t>
            </w:r>
            <w:r>
              <w:rPr>
                <w:rFonts w:hint="default" w:ascii="Times New Roman" w:hAnsi="Times New Roman" w:eastAsia="仿宋" w:cs="Times New Roman"/>
                <w:color w:val="auto"/>
                <w:highlight w:val="none"/>
                <w:lang w:val="en-US" w:eastAsia="zh-CN"/>
              </w:rPr>
              <w:t>4.5</w:t>
            </w:r>
            <w:r>
              <w:rPr>
                <w:rFonts w:hint="default" w:ascii="Times New Roman" w:hAnsi="Times New Roman" w:eastAsia="仿宋" w:cs="Times New Roman"/>
                <w:color w:val="auto"/>
                <w:highlight w:val="none"/>
              </w:rPr>
              <w:t>m，路面宽</w:t>
            </w:r>
            <w:r>
              <w:rPr>
                <w:rFonts w:hint="default" w:ascii="Times New Roman" w:hAnsi="Times New Roman" w:eastAsia="仿宋" w:cs="Times New Roman"/>
                <w:color w:val="auto"/>
                <w:highlight w:val="none"/>
                <w:lang w:val="en-US" w:eastAsia="zh-CN"/>
              </w:rPr>
              <w:t>4.0</w:t>
            </w:r>
            <w:r>
              <w:rPr>
                <w:rFonts w:hint="default" w:ascii="Times New Roman" w:hAnsi="Times New Roman" w:eastAsia="仿宋" w:cs="Times New Roman"/>
                <w:color w:val="auto"/>
                <w:highlight w:val="none"/>
              </w:rPr>
              <w:t>m，采用</w:t>
            </w:r>
            <w:r>
              <w:rPr>
                <w:rFonts w:hint="default" w:ascii="Times New Roman" w:hAnsi="Times New Roman" w:eastAsia="仿宋" w:cs="Times New Roman"/>
                <w:color w:val="auto"/>
                <w:highlight w:val="none"/>
                <w:lang w:val="en-US" w:eastAsia="zh-CN"/>
              </w:rPr>
              <w:t>泥结碎石路面</w:t>
            </w:r>
            <w:r>
              <w:rPr>
                <w:rFonts w:hint="default" w:ascii="Times New Roman" w:hAnsi="Times New Roman" w:eastAsia="仿宋" w:cs="Times New Roman"/>
                <w:color w:val="auto"/>
                <w:highlight w:val="none"/>
                <w:lang w:eastAsia="zh-CN"/>
              </w:rPr>
              <w:t>。</w:t>
            </w:r>
            <w:r>
              <w:rPr>
                <w:rFonts w:hint="default" w:ascii="Times New Roman" w:hAnsi="Times New Roman" w:eastAsia="仿宋" w:cs="Times New Roman"/>
                <w:color w:val="auto"/>
                <w:highlight w:val="none"/>
                <w:lang w:val="en-US" w:eastAsia="zh-CN"/>
              </w:rPr>
              <w:t>本次道路工程为临时工程，主要功能为光伏区施工道路及建成后的检修通道。</w:t>
            </w:r>
          </w:p>
          <w:p w14:paraId="50EAF22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升压站站内道路设计：站内道路布置以满足站区生产、检修和消防为原则，道路采用城市型混凝土路面。升压变电站内外交通道路净宽均不小于4.5m，转弯半径不小于9m，通道呈环形布置，能兼作消防车道，消防车可直达站内各建筑物及室外配电装置</w:t>
            </w:r>
          </w:p>
          <w:p w14:paraId="5DE92259">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2" w:firstLineChars="200"/>
              <w:textAlignment w:val="baseline"/>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2、场区围栏</w:t>
            </w:r>
          </w:p>
          <w:p w14:paraId="5CE502B2">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在场区内设置封闭围栏，围栏采用成品简易围栏，高度1.8m，该类型围栏造价低，同时将光伏发电区与外部因素隔离，以避免外部因素对光伏发电区造成的安全隐患，围栏全长69.06km。</w:t>
            </w:r>
          </w:p>
          <w:p w14:paraId="304AFDF7">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lang w:val="en-US" w:eastAsia="zh-CN"/>
              </w:rPr>
              <w:t>3、</w:t>
            </w:r>
            <w:r>
              <w:rPr>
                <w:rFonts w:hint="default" w:ascii="Times New Roman" w:hAnsi="Times New Roman" w:eastAsia="仿宋" w:cs="Times New Roman"/>
                <w:b/>
                <w:color w:val="auto"/>
                <w:kern w:val="0"/>
                <w:sz w:val="24"/>
                <w:szCs w:val="24"/>
                <w:highlight w:val="none"/>
              </w:rPr>
              <w:t>施工</w:t>
            </w:r>
            <w:r>
              <w:rPr>
                <w:rFonts w:hint="default" w:ascii="Times New Roman" w:hAnsi="Times New Roman" w:eastAsia="仿宋" w:cs="Times New Roman"/>
                <w:b/>
                <w:color w:val="auto"/>
                <w:kern w:val="0"/>
                <w:sz w:val="24"/>
                <w:szCs w:val="24"/>
                <w:highlight w:val="none"/>
                <w:lang w:val="en-US" w:eastAsia="zh-CN"/>
              </w:rPr>
              <w:t>场地</w:t>
            </w:r>
            <w:r>
              <w:rPr>
                <w:rFonts w:hint="default" w:ascii="Times New Roman" w:hAnsi="Times New Roman" w:eastAsia="仿宋" w:cs="Times New Roman"/>
                <w:b/>
                <w:color w:val="auto"/>
                <w:kern w:val="0"/>
                <w:sz w:val="24"/>
                <w:szCs w:val="24"/>
                <w:highlight w:val="none"/>
              </w:rPr>
              <w:t>布置</w:t>
            </w:r>
          </w:p>
          <w:p w14:paraId="21F2770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108" w:right="102" w:firstLine="482"/>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本工程工期较短，且工程区距离附近村镇较近，交通方便，不考虑在现场</w:t>
            </w:r>
            <w:r>
              <w:rPr>
                <w:rFonts w:hint="eastAsia" w:cs="Times New Roman"/>
                <w:color w:val="auto"/>
                <w:spacing w:val="-1"/>
                <w:sz w:val="24"/>
                <w:szCs w:val="24"/>
                <w:highlight w:val="none"/>
                <w:lang w:eastAsia="zh-CN"/>
              </w:rPr>
              <w:t>设置</w:t>
            </w:r>
            <w:r>
              <w:rPr>
                <w:rFonts w:hint="default" w:ascii="Times New Roman" w:hAnsi="Times New Roman" w:eastAsia="仿宋" w:cs="Times New Roman"/>
                <w:color w:val="auto"/>
                <w:spacing w:val="-1"/>
                <w:sz w:val="24"/>
                <w:szCs w:val="24"/>
                <w:highlight w:val="none"/>
                <w:lang w:val="en-US" w:eastAsia="zh-CN"/>
              </w:rPr>
              <w:t>办公室</w:t>
            </w:r>
            <w:r>
              <w:rPr>
                <w:rFonts w:hint="default" w:ascii="Times New Roman" w:hAnsi="Times New Roman" w:eastAsia="仿宋" w:cs="Times New Roman"/>
                <w:color w:val="auto"/>
                <w:spacing w:val="-1"/>
                <w:sz w:val="24"/>
                <w:szCs w:val="24"/>
                <w:highlight w:val="none"/>
              </w:rPr>
              <w:t>、施工营地和机械修配间等。施工所需的这些设施利用当地资源，</w:t>
            </w:r>
            <w:r>
              <w:rPr>
                <w:rFonts w:hint="default" w:ascii="Times New Roman" w:hAnsi="Times New Roman" w:eastAsia="仿宋" w:cs="Times New Roman"/>
                <w:color w:val="auto"/>
                <w:spacing w:val="-1"/>
                <w:sz w:val="24"/>
                <w:szCs w:val="24"/>
                <w:highlight w:val="none"/>
                <w:lang w:val="en-US" w:eastAsia="zh-CN"/>
              </w:rPr>
              <w:t>施工营地</w:t>
            </w:r>
            <w:r>
              <w:rPr>
                <w:rFonts w:hint="default" w:ascii="Times New Roman" w:hAnsi="Times New Roman" w:eastAsia="仿宋" w:cs="Times New Roman"/>
                <w:color w:val="auto"/>
                <w:spacing w:val="-2"/>
                <w:sz w:val="24"/>
                <w:szCs w:val="24"/>
                <w:highlight w:val="none"/>
              </w:rPr>
              <w:t>租用民房。</w:t>
            </w:r>
          </w:p>
          <w:p w14:paraId="7FA90819">
            <w:pPr>
              <w:keepNext w:val="0"/>
              <w:keepLines w:val="0"/>
              <w:suppressLineNumbers w:val="0"/>
              <w:spacing w:before="0" w:beforeLines="0" w:beforeAutospacing="0" w:after="0" w:afterLines="0" w:afterAutospacing="0" w:line="233" w:lineRule="auto"/>
              <w:ind w:left="0"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lang w:val="en-US" w:eastAsia="zh-CN"/>
              </w:rPr>
              <w:t>1</w:t>
            </w: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施工生产系统</w:t>
            </w:r>
          </w:p>
          <w:p w14:paraId="6CF4A589">
            <w:pPr>
              <w:keepNext w:val="0"/>
              <w:keepLines w:val="0"/>
              <w:suppressLineNumbers w:val="0"/>
              <w:spacing w:before="164" w:beforeLines="0" w:beforeAutospacing="0" w:after="0" w:afterLines="0" w:afterAutospacing="0" w:line="359" w:lineRule="auto"/>
              <w:ind w:left="111" w:right="106" w:firstLine="477"/>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pacing w:val="-1"/>
                <w:sz w:val="24"/>
                <w:szCs w:val="24"/>
                <w:highlight w:val="none"/>
              </w:rPr>
              <w:t>根据地势条件，</w:t>
            </w:r>
            <w:r>
              <w:rPr>
                <w:rFonts w:hint="default" w:ascii="Times New Roman" w:hAnsi="Times New Roman" w:eastAsia="仿宋" w:cs="Times New Roman"/>
                <w:color w:val="auto"/>
                <w:spacing w:val="-1"/>
                <w:sz w:val="24"/>
                <w:szCs w:val="24"/>
                <w:highlight w:val="none"/>
                <w:lang w:val="en-US" w:eastAsia="zh-CN"/>
              </w:rPr>
              <w:t>升压站</w:t>
            </w:r>
            <w:r>
              <w:rPr>
                <w:rFonts w:hint="default" w:ascii="Times New Roman" w:hAnsi="Times New Roman" w:eastAsia="仿宋" w:cs="Times New Roman"/>
                <w:color w:val="auto"/>
                <w:spacing w:val="-1"/>
                <w:sz w:val="24"/>
                <w:szCs w:val="24"/>
                <w:highlight w:val="none"/>
              </w:rPr>
              <w:t>按相对集中的原则</w:t>
            </w:r>
            <w:r>
              <w:rPr>
                <w:rFonts w:hint="default" w:ascii="Times New Roman" w:hAnsi="Times New Roman" w:eastAsia="仿宋" w:cs="Times New Roman"/>
                <w:color w:val="auto"/>
                <w:spacing w:val="-1"/>
                <w:sz w:val="24"/>
                <w:szCs w:val="24"/>
                <w:highlight w:val="none"/>
                <w:lang w:val="en-US" w:eastAsia="zh-CN"/>
              </w:rPr>
              <w:t>设置</w:t>
            </w:r>
            <w:r>
              <w:rPr>
                <w:rFonts w:hint="default" w:ascii="Times New Roman" w:hAnsi="Times New Roman" w:eastAsia="仿宋" w:cs="Times New Roman"/>
                <w:color w:val="auto"/>
                <w:spacing w:val="-1"/>
                <w:sz w:val="24"/>
                <w:szCs w:val="24"/>
                <w:highlight w:val="none"/>
              </w:rPr>
              <w:t>施工</w:t>
            </w:r>
            <w:r>
              <w:rPr>
                <w:rFonts w:hint="default" w:ascii="Times New Roman" w:hAnsi="Times New Roman" w:eastAsia="仿宋" w:cs="Times New Roman"/>
                <w:color w:val="auto"/>
                <w:spacing w:val="-1"/>
                <w:sz w:val="24"/>
                <w:szCs w:val="24"/>
                <w:highlight w:val="none"/>
                <w:lang w:val="en-US" w:eastAsia="zh-CN"/>
              </w:rPr>
              <w:t>场</w:t>
            </w:r>
            <w:r>
              <w:rPr>
                <w:rFonts w:hint="default" w:ascii="Times New Roman" w:hAnsi="Times New Roman" w:eastAsia="仿宋" w:cs="Times New Roman"/>
                <w:color w:val="auto"/>
                <w:spacing w:val="-2"/>
                <w:sz w:val="24"/>
                <w:szCs w:val="24"/>
                <w:highlight w:val="none"/>
              </w:rPr>
              <w:t>和仓库等</w:t>
            </w:r>
            <w:r>
              <w:rPr>
                <w:rFonts w:hint="default" w:ascii="Times New Roman" w:hAnsi="Times New Roman" w:eastAsia="仿宋" w:cs="Times New Roman"/>
                <w:color w:val="auto"/>
                <w:spacing w:val="-5"/>
                <w:sz w:val="24"/>
                <w:szCs w:val="24"/>
                <w:highlight w:val="none"/>
              </w:rPr>
              <w:t>施工</w:t>
            </w:r>
            <w:r>
              <w:rPr>
                <w:rFonts w:hint="default" w:ascii="Times New Roman" w:hAnsi="Times New Roman" w:eastAsia="仿宋" w:cs="Times New Roman"/>
                <w:color w:val="auto"/>
                <w:spacing w:val="-5"/>
                <w:sz w:val="24"/>
                <w:szCs w:val="24"/>
                <w:highlight w:val="none"/>
                <w:lang w:val="en-US" w:eastAsia="zh-CN"/>
              </w:rPr>
              <w:t>场地</w:t>
            </w: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lang w:val="en-US" w:eastAsia="zh-CN"/>
              </w:rPr>
              <w:t>光伏阵列根据所在地形环境分散或集中设置施工场地，项目拟设置的施工场地布置见附图15。</w:t>
            </w:r>
          </w:p>
          <w:p w14:paraId="370A6A1B">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68"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1）砂石料生产系统</w:t>
            </w:r>
          </w:p>
          <w:p w14:paraId="261B865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7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本工程砂石骨料考虑外购，不新建砂石料生产系统。</w:t>
            </w:r>
          </w:p>
          <w:p w14:paraId="256B4DC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68"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2）混凝土</w:t>
            </w:r>
            <w:r>
              <w:rPr>
                <w:rFonts w:hint="default" w:ascii="Times New Roman" w:hAnsi="Times New Roman" w:eastAsia="仿宋" w:cs="Times New Roman"/>
                <w:color w:val="auto"/>
                <w:spacing w:val="-3"/>
                <w:sz w:val="24"/>
                <w:szCs w:val="24"/>
                <w:highlight w:val="none"/>
                <w:lang w:val="en-US" w:eastAsia="zh-CN"/>
              </w:rPr>
              <w:t>生产</w:t>
            </w:r>
            <w:r>
              <w:rPr>
                <w:rFonts w:hint="default" w:ascii="Times New Roman" w:hAnsi="Times New Roman" w:eastAsia="仿宋" w:cs="Times New Roman"/>
                <w:color w:val="auto"/>
                <w:spacing w:val="-3"/>
                <w:sz w:val="24"/>
                <w:szCs w:val="24"/>
                <w:highlight w:val="none"/>
              </w:rPr>
              <w:t>系统</w:t>
            </w:r>
          </w:p>
          <w:p w14:paraId="5E8F377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64"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本工程混凝土全部采用自拌混凝土，</w:t>
            </w:r>
            <w:r>
              <w:rPr>
                <w:rFonts w:hint="default" w:ascii="Times New Roman" w:hAnsi="Times New Roman" w:eastAsia="仿宋" w:cs="Times New Roman"/>
                <w:color w:val="auto"/>
                <w:spacing w:val="-4"/>
                <w:sz w:val="24"/>
                <w:szCs w:val="24"/>
                <w:highlight w:val="none"/>
                <w:lang w:val="en-US" w:eastAsia="zh-CN"/>
              </w:rPr>
              <w:t>升压站</w:t>
            </w:r>
            <w:r>
              <w:rPr>
                <w:rFonts w:hint="default" w:ascii="Times New Roman" w:hAnsi="Times New Roman" w:eastAsia="仿宋" w:cs="Times New Roman"/>
                <w:color w:val="auto"/>
                <w:spacing w:val="-4"/>
                <w:sz w:val="24"/>
                <w:szCs w:val="24"/>
                <w:highlight w:val="none"/>
              </w:rPr>
              <w:t>选用JS500型混凝土搅拌</w:t>
            </w:r>
            <w:r>
              <w:rPr>
                <w:rFonts w:hint="default" w:ascii="Times New Roman" w:hAnsi="Times New Roman" w:eastAsia="仿宋" w:cs="Times New Roman"/>
                <w:color w:val="auto"/>
                <w:spacing w:val="-5"/>
                <w:sz w:val="24"/>
                <w:szCs w:val="24"/>
                <w:highlight w:val="none"/>
              </w:rPr>
              <w:t>机，</w:t>
            </w:r>
            <w:r>
              <w:rPr>
                <w:rFonts w:hint="default" w:ascii="Times New Roman" w:hAnsi="Times New Roman" w:eastAsia="仿宋" w:cs="Times New Roman"/>
                <w:color w:val="auto"/>
                <w:spacing w:val="-2"/>
                <w:sz w:val="24"/>
                <w:szCs w:val="24"/>
                <w:highlight w:val="none"/>
              </w:rPr>
              <w:t>生产能力为25m</w:t>
            </w:r>
            <w:r>
              <w:rPr>
                <w:rFonts w:hint="default" w:ascii="Times New Roman" w:hAnsi="Times New Roman" w:eastAsia="仿宋" w:cs="Times New Roman"/>
                <w:color w:val="auto"/>
                <w:spacing w:val="-2"/>
                <w:sz w:val="24"/>
                <w:szCs w:val="24"/>
                <w:highlight w:val="none"/>
                <w:vertAlign w:val="superscript"/>
              </w:rPr>
              <w:t>3</w:t>
            </w:r>
            <w:r>
              <w:rPr>
                <w:rFonts w:hint="default" w:ascii="Times New Roman" w:hAnsi="Times New Roman" w:eastAsia="仿宋" w:cs="Times New Roman"/>
                <w:color w:val="auto"/>
                <w:spacing w:val="-2"/>
                <w:sz w:val="24"/>
                <w:szCs w:val="24"/>
                <w:highlight w:val="none"/>
              </w:rPr>
              <w:t>/h，</w:t>
            </w:r>
            <w:r>
              <w:rPr>
                <w:rFonts w:hint="default" w:ascii="Times New Roman" w:hAnsi="Times New Roman" w:eastAsia="仿宋" w:cs="Times New Roman"/>
                <w:color w:val="auto"/>
                <w:spacing w:val="-2"/>
                <w:sz w:val="24"/>
                <w:szCs w:val="24"/>
                <w:highlight w:val="none"/>
                <w:lang w:val="en-US" w:eastAsia="zh-CN"/>
              </w:rPr>
              <w:t>光伏阵列区采用移动式混凝土搅拌机</w:t>
            </w:r>
            <w:r>
              <w:rPr>
                <w:rFonts w:hint="default" w:ascii="Times New Roman" w:hAnsi="Times New Roman" w:eastAsia="仿宋" w:cs="Times New Roman"/>
                <w:color w:val="auto"/>
                <w:spacing w:val="-2"/>
                <w:sz w:val="24"/>
                <w:szCs w:val="24"/>
                <w:highlight w:val="none"/>
              </w:rPr>
              <w:t>。</w:t>
            </w:r>
          </w:p>
          <w:p w14:paraId="65B7C65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64"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3）材料加工</w:t>
            </w:r>
          </w:p>
          <w:p w14:paraId="4C3C004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64"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本工程仅设置综合加工系统（包括钢筋加工</w:t>
            </w:r>
            <w:r>
              <w:rPr>
                <w:rFonts w:hint="default" w:ascii="Times New Roman" w:hAnsi="Times New Roman" w:eastAsia="仿宋" w:cs="Times New Roman"/>
                <w:color w:val="auto"/>
                <w:spacing w:val="-4"/>
                <w:sz w:val="24"/>
                <w:szCs w:val="24"/>
                <w:highlight w:val="none"/>
                <w:lang w:val="en-US" w:eastAsia="zh-CN"/>
              </w:rPr>
              <w:t>场</w:t>
            </w:r>
            <w:r>
              <w:rPr>
                <w:rFonts w:hint="default" w:ascii="Times New Roman" w:hAnsi="Times New Roman" w:eastAsia="仿宋" w:cs="Times New Roman"/>
                <w:color w:val="auto"/>
                <w:spacing w:val="-4"/>
                <w:sz w:val="24"/>
                <w:szCs w:val="24"/>
                <w:highlight w:val="none"/>
              </w:rPr>
              <w:t>、木材加工</w:t>
            </w:r>
            <w:r>
              <w:rPr>
                <w:rFonts w:hint="default" w:ascii="Times New Roman" w:hAnsi="Times New Roman" w:eastAsia="仿宋" w:cs="Times New Roman"/>
                <w:color w:val="auto"/>
                <w:spacing w:val="-4"/>
                <w:sz w:val="24"/>
                <w:szCs w:val="24"/>
                <w:highlight w:val="none"/>
                <w:lang w:val="en-US" w:eastAsia="zh-CN"/>
              </w:rPr>
              <w:t>场</w:t>
            </w:r>
            <w:r>
              <w:rPr>
                <w:rFonts w:hint="default" w:ascii="Times New Roman" w:hAnsi="Times New Roman" w:eastAsia="仿宋" w:cs="Times New Roman"/>
                <w:color w:val="auto"/>
                <w:spacing w:val="-4"/>
                <w:sz w:val="24"/>
                <w:szCs w:val="24"/>
                <w:highlight w:val="none"/>
              </w:rPr>
              <w:t>）。为了</w:t>
            </w:r>
            <w:r>
              <w:rPr>
                <w:rFonts w:hint="default" w:ascii="Times New Roman" w:hAnsi="Times New Roman" w:eastAsia="仿宋" w:cs="Times New Roman"/>
                <w:color w:val="auto"/>
                <w:spacing w:val="-5"/>
                <w:sz w:val="24"/>
                <w:szCs w:val="24"/>
                <w:highlight w:val="none"/>
              </w:rPr>
              <w:t>便于管</w:t>
            </w:r>
            <w:r>
              <w:rPr>
                <w:rFonts w:hint="default" w:ascii="Times New Roman" w:hAnsi="Times New Roman" w:eastAsia="仿宋" w:cs="Times New Roman"/>
                <w:color w:val="auto"/>
                <w:spacing w:val="-1"/>
                <w:sz w:val="24"/>
                <w:szCs w:val="24"/>
                <w:highlight w:val="none"/>
              </w:rPr>
              <w:t>理，施</w:t>
            </w:r>
            <w:r>
              <w:rPr>
                <w:rFonts w:hint="eastAsia" w:cs="Times New Roman"/>
                <w:color w:val="auto"/>
                <w:spacing w:val="-1"/>
                <w:sz w:val="24"/>
                <w:szCs w:val="24"/>
                <w:highlight w:val="none"/>
                <w:lang w:eastAsia="zh-CN"/>
              </w:rPr>
              <w:t>工现</w:t>
            </w:r>
            <w:r>
              <w:rPr>
                <w:rFonts w:hint="default" w:ascii="Times New Roman" w:hAnsi="Times New Roman" w:eastAsia="仿宋" w:cs="Times New Roman"/>
                <w:color w:val="auto"/>
                <w:spacing w:val="-4"/>
                <w:sz w:val="24"/>
                <w:szCs w:val="24"/>
                <w:highlight w:val="none"/>
                <w:lang w:val="en-US" w:eastAsia="zh-CN"/>
              </w:rPr>
              <w:t>场</w:t>
            </w:r>
            <w:r>
              <w:rPr>
                <w:rFonts w:hint="default" w:ascii="Times New Roman" w:hAnsi="Times New Roman" w:eastAsia="仿宋" w:cs="Times New Roman"/>
                <w:color w:val="auto"/>
                <w:spacing w:val="-1"/>
                <w:sz w:val="24"/>
                <w:szCs w:val="24"/>
                <w:highlight w:val="none"/>
              </w:rPr>
              <w:t>集中布置在拟定综合生产楼位置附近，总占地面积400m</w:t>
            </w:r>
            <w:r>
              <w:rPr>
                <w:rFonts w:hint="default" w:ascii="Times New Roman" w:hAnsi="Times New Roman" w:eastAsia="仿宋" w:cs="Times New Roman"/>
                <w:color w:val="auto"/>
                <w:spacing w:val="-1"/>
                <w:position w:val="9"/>
                <w:sz w:val="16"/>
                <w:szCs w:val="16"/>
                <w:highlight w:val="none"/>
              </w:rPr>
              <w:t>2</w:t>
            </w:r>
            <w:r>
              <w:rPr>
                <w:rFonts w:hint="default" w:ascii="Times New Roman" w:hAnsi="Times New Roman" w:eastAsia="仿宋" w:cs="Times New Roman"/>
                <w:color w:val="auto"/>
                <w:spacing w:val="-1"/>
                <w:sz w:val="24"/>
                <w:szCs w:val="24"/>
                <w:highlight w:val="none"/>
              </w:rPr>
              <w:t>，建筑面</w:t>
            </w:r>
            <w:r>
              <w:rPr>
                <w:rFonts w:hint="default" w:ascii="Times New Roman" w:hAnsi="Times New Roman" w:eastAsia="仿宋" w:cs="Times New Roman"/>
                <w:color w:val="auto"/>
                <w:spacing w:val="-2"/>
                <w:sz w:val="24"/>
                <w:szCs w:val="24"/>
                <w:highlight w:val="none"/>
              </w:rPr>
              <w:t>积</w:t>
            </w:r>
            <w:r>
              <w:rPr>
                <w:rFonts w:hint="default" w:ascii="Times New Roman" w:hAnsi="Times New Roman" w:eastAsia="仿宋" w:cs="Times New Roman"/>
                <w:color w:val="auto"/>
                <w:spacing w:val="-56"/>
                <w:sz w:val="24"/>
                <w:szCs w:val="24"/>
                <w:highlight w:val="none"/>
              </w:rPr>
              <w:t xml:space="preserve"> </w:t>
            </w:r>
            <w:r>
              <w:rPr>
                <w:rFonts w:hint="default" w:ascii="Times New Roman" w:hAnsi="Times New Roman" w:eastAsia="仿宋" w:cs="Times New Roman"/>
                <w:color w:val="auto"/>
                <w:spacing w:val="-2"/>
                <w:sz w:val="24"/>
                <w:szCs w:val="24"/>
                <w:highlight w:val="none"/>
              </w:rPr>
              <w:t>200m</w:t>
            </w:r>
            <w:r>
              <w:rPr>
                <w:rFonts w:hint="default" w:ascii="Times New Roman" w:hAnsi="Times New Roman" w:eastAsia="仿宋" w:cs="Times New Roman"/>
                <w:color w:val="auto"/>
                <w:spacing w:val="-2"/>
                <w:position w:val="8"/>
                <w:sz w:val="16"/>
                <w:szCs w:val="16"/>
                <w:highlight w:val="none"/>
              </w:rPr>
              <w:t>2</w:t>
            </w:r>
            <w:r>
              <w:rPr>
                <w:rFonts w:hint="default" w:ascii="Times New Roman" w:hAnsi="Times New Roman" w:eastAsia="仿宋" w:cs="Times New Roman"/>
                <w:color w:val="auto"/>
                <w:spacing w:val="-2"/>
                <w:sz w:val="24"/>
                <w:szCs w:val="24"/>
                <w:highlight w:val="none"/>
              </w:rPr>
              <w:t>。</w:t>
            </w:r>
          </w:p>
          <w:p w14:paraId="619DD186">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7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4）仓库布置</w:t>
            </w:r>
          </w:p>
          <w:p w14:paraId="681A86F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76"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本工程所需的仓库集中布置在综合加工系统附近，主要设有光伏组件库、支架库、木材库、钢筋库、综合仓库、机械停放场及设备堆场。综合仓库包括临时</w:t>
            </w:r>
            <w:r>
              <w:rPr>
                <w:rFonts w:hint="default" w:ascii="Times New Roman" w:hAnsi="Times New Roman" w:eastAsia="仿宋" w:cs="Times New Roman"/>
                <w:color w:val="auto"/>
                <w:spacing w:val="-2"/>
                <w:sz w:val="24"/>
                <w:szCs w:val="24"/>
                <w:highlight w:val="none"/>
              </w:rPr>
              <w:t>的生产、生活用品仓库等，占地面积共计</w:t>
            </w:r>
            <w:r>
              <w:rPr>
                <w:rFonts w:hint="default" w:ascii="Times New Roman" w:hAnsi="Times New Roman" w:eastAsia="仿宋" w:cs="Times New Roman"/>
                <w:color w:val="auto"/>
                <w:spacing w:val="-20"/>
                <w:sz w:val="24"/>
                <w:szCs w:val="24"/>
                <w:highlight w:val="none"/>
              </w:rPr>
              <w:t xml:space="preserve"> </w:t>
            </w:r>
            <w:r>
              <w:rPr>
                <w:rFonts w:hint="default" w:ascii="Times New Roman" w:hAnsi="Times New Roman" w:eastAsia="仿宋" w:cs="Times New Roman"/>
                <w:color w:val="auto"/>
                <w:spacing w:val="-2"/>
                <w:sz w:val="24"/>
                <w:szCs w:val="24"/>
                <w:highlight w:val="none"/>
              </w:rPr>
              <w:t>1500m</w:t>
            </w:r>
            <w:r>
              <w:rPr>
                <w:rFonts w:hint="default" w:ascii="Times New Roman" w:hAnsi="Times New Roman" w:eastAsia="仿宋" w:cs="Times New Roman"/>
                <w:color w:val="auto"/>
                <w:spacing w:val="-2"/>
                <w:position w:val="8"/>
                <w:sz w:val="16"/>
                <w:szCs w:val="16"/>
                <w:highlight w:val="none"/>
              </w:rPr>
              <w:t>2</w:t>
            </w:r>
            <w:r>
              <w:rPr>
                <w:rFonts w:hint="default" w:ascii="Times New Roman" w:hAnsi="Times New Roman" w:eastAsia="仿宋" w:cs="Times New Roman"/>
                <w:color w:val="auto"/>
                <w:spacing w:val="-2"/>
                <w:sz w:val="24"/>
                <w:szCs w:val="24"/>
                <w:highlight w:val="none"/>
              </w:rPr>
              <w:t>。</w:t>
            </w:r>
          </w:p>
          <w:p w14:paraId="270BB6ED">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68"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lang w:val="en-US" w:eastAsia="zh-CN"/>
              </w:rPr>
              <w:t>2</w:t>
            </w: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施工生活管理区</w:t>
            </w:r>
          </w:p>
          <w:p w14:paraId="2F6434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76" w:firstLineChars="200"/>
              <w:textAlignment w:val="auto"/>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spacing w:val="-1"/>
                <w:sz w:val="24"/>
                <w:szCs w:val="24"/>
                <w:highlight w:val="none"/>
              </w:rPr>
              <w:t>施工临时生活区和临时办公区均考虑租用当地民房，</w:t>
            </w:r>
            <w:r>
              <w:rPr>
                <w:rFonts w:hint="default" w:ascii="Times New Roman" w:hAnsi="Times New Roman" w:eastAsia="仿宋" w:cs="Times New Roman"/>
                <w:color w:val="auto"/>
                <w:spacing w:val="-2"/>
                <w:sz w:val="24"/>
                <w:szCs w:val="24"/>
                <w:highlight w:val="none"/>
              </w:rPr>
              <w:t>不在现场新建用房。</w:t>
            </w:r>
          </w:p>
          <w:p w14:paraId="4022007E">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 xml:space="preserve">2.6 </w:t>
            </w:r>
            <w:r>
              <w:rPr>
                <w:rFonts w:hint="default" w:ascii="Times New Roman" w:hAnsi="Times New Roman" w:eastAsia="仿宋" w:cs="Times New Roman"/>
                <w:b/>
                <w:bCs/>
                <w:color w:val="auto"/>
                <w:kern w:val="0"/>
                <w:sz w:val="24"/>
                <w:szCs w:val="24"/>
                <w:highlight w:val="none"/>
                <w:lang w:val="en-US" w:eastAsia="zh-CN"/>
              </w:rPr>
              <w:t>弃渣场布置及土石方平衡</w:t>
            </w:r>
          </w:p>
          <w:p w14:paraId="4B53702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kern w:val="0"/>
                <w:sz w:val="24"/>
                <w:szCs w:val="24"/>
                <w:highlight w:val="none"/>
                <w:lang w:val="en-US" w:eastAsia="zh-CN"/>
              </w:rPr>
            </w:pPr>
            <w:r>
              <w:rPr>
                <w:rFonts w:hint="default" w:ascii="Times New Roman" w:hAnsi="Times New Roman" w:eastAsia="仿宋" w:cs="Times New Roman"/>
                <w:b w:val="0"/>
                <w:bCs w:val="0"/>
                <w:color w:val="auto"/>
                <w:kern w:val="0"/>
                <w:sz w:val="24"/>
                <w:szCs w:val="24"/>
                <w:highlight w:val="none"/>
                <w:lang w:val="en-US" w:eastAsia="zh-CN"/>
              </w:rPr>
              <w:t>1、弃渣场布置</w:t>
            </w:r>
          </w:p>
          <w:p w14:paraId="516FE5D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kern w:val="0"/>
                <w:sz w:val="24"/>
                <w:szCs w:val="24"/>
                <w:highlight w:val="none"/>
                <w:lang w:val="en-US" w:eastAsia="zh-CN"/>
              </w:rPr>
            </w:pPr>
            <w:r>
              <w:rPr>
                <w:rFonts w:hint="default" w:ascii="Times New Roman" w:hAnsi="Times New Roman" w:eastAsia="仿宋" w:cs="Times New Roman"/>
                <w:b w:val="0"/>
                <w:bCs w:val="0"/>
                <w:color w:val="auto"/>
                <w:kern w:val="0"/>
                <w:sz w:val="24"/>
                <w:szCs w:val="24"/>
                <w:highlight w:val="none"/>
                <w:lang w:val="en-US" w:eastAsia="zh-CN"/>
              </w:rPr>
              <w:t>根据工程施工组织设计，本工程开挖土石方全部进行综合利用，不产生弃渣，未布设弃渣场。</w:t>
            </w:r>
          </w:p>
          <w:p w14:paraId="6C5A3C6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kern w:val="0"/>
                <w:sz w:val="24"/>
                <w:szCs w:val="24"/>
                <w:highlight w:val="none"/>
                <w:lang w:val="en-US" w:eastAsia="zh-CN"/>
              </w:rPr>
            </w:pPr>
            <w:r>
              <w:rPr>
                <w:rFonts w:hint="default" w:ascii="Times New Roman" w:hAnsi="Times New Roman" w:eastAsia="仿宋" w:cs="Times New Roman"/>
                <w:b w:val="0"/>
                <w:bCs w:val="0"/>
                <w:color w:val="auto"/>
                <w:kern w:val="0"/>
                <w:sz w:val="24"/>
                <w:szCs w:val="24"/>
                <w:highlight w:val="none"/>
                <w:lang w:val="en-US" w:eastAsia="zh-CN"/>
              </w:rPr>
              <w:t>根据表土分布情况及后期植被恢复，竹子箐光伏电站共剥离表土</w:t>
            </w:r>
            <w:r>
              <w:rPr>
                <w:rFonts w:hint="eastAsia" w:cs="Times New Roman"/>
                <w:b w:val="0"/>
                <w:bCs w:val="0"/>
                <w:color w:val="auto"/>
                <w:kern w:val="0"/>
                <w:sz w:val="24"/>
                <w:szCs w:val="24"/>
                <w:highlight w:val="none"/>
                <w:lang w:val="en-US" w:eastAsia="zh-CN"/>
              </w:rPr>
              <w:t>2.16万</w:t>
            </w:r>
            <w:r>
              <w:rPr>
                <w:rFonts w:hint="default" w:ascii="Times New Roman" w:hAnsi="Times New Roman" w:eastAsia="仿宋" w:cs="Times New Roman"/>
                <w:b w:val="0"/>
                <w:bCs w:val="0"/>
                <w:color w:val="auto"/>
                <w:kern w:val="0"/>
                <w:sz w:val="24"/>
                <w:szCs w:val="24"/>
                <w:highlight w:val="none"/>
                <w:lang w:val="en-US" w:eastAsia="zh-CN"/>
              </w:rPr>
              <w:t>m³，剥离表土全部用于项目植被恢复覆土回填。本项目水保方案考虑在项目区占地范围内设置</w:t>
            </w:r>
            <w:r>
              <w:rPr>
                <w:rFonts w:hint="eastAsia" w:cs="Times New Roman"/>
                <w:b w:val="0"/>
                <w:bCs w:val="0"/>
                <w:color w:val="auto"/>
                <w:kern w:val="0"/>
                <w:sz w:val="24"/>
                <w:szCs w:val="24"/>
                <w:highlight w:val="none"/>
                <w:lang w:val="en-US" w:eastAsia="zh-CN"/>
              </w:rPr>
              <w:t>21</w:t>
            </w:r>
            <w:r>
              <w:rPr>
                <w:rFonts w:hint="default" w:ascii="Times New Roman" w:hAnsi="Times New Roman" w:eastAsia="仿宋" w:cs="Times New Roman"/>
                <w:b w:val="0"/>
                <w:bCs w:val="0"/>
                <w:color w:val="auto"/>
                <w:kern w:val="0"/>
                <w:sz w:val="24"/>
                <w:szCs w:val="24"/>
                <w:highlight w:val="none"/>
                <w:lang w:val="en-US" w:eastAsia="zh-CN"/>
              </w:rPr>
              <w:t>个表土堆场，回填表土临时堆存于表土堆存场。</w:t>
            </w:r>
          </w:p>
          <w:p w14:paraId="5418040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kern w:val="0"/>
                <w:sz w:val="24"/>
                <w:szCs w:val="24"/>
                <w:highlight w:val="none"/>
                <w:lang w:val="en-US" w:eastAsia="zh-CN"/>
              </w:rPr>
            </w:pPr>
            <w:r>
              <w:rPr>
                <w:rFonts w:hint="default" w:ascii="Times New Roman" w:hAnsi="Times New Roman" w:eastAsia="仿宋" w:cs="Times New Roman"/>
                <w:b w:val="0"/>
                <w:bCs w:val="0"/>
                <w:color w:val="auto"/>
                <w:kern w:val="0"/>
                <w:sz w:val="24"/>
                <w:szCs w:val="24"/>
                <w:highlight w:val="none"/>
                <w:lang w:val="en-US" w:eastAsia="zh-CN"/>
              </w:rPr>
              <w:t>2、土石方平衡</w:t>
            </w:r>
          </w:p>
          <w:p w14:paraId="27FB142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kern w:val="0"/>
                <w:sz w:val="24"/>
                <w:szCs w:val="24"/>
                <w:highlight w:val="none"/>
                <w:lang w:val="en-US" w:eastAsia="zh-CN"/>
              </w:rPr>
            </w:pPr>
            <w:r>
              <w:rPr>
                <w:rFonts w:hint="default" w:ascii="Times New Roman" w:hAnsi="Times New Roman" w:eastAsia="仿宋" w:cs="Times New Roman"/>
                <w:b w:val="0"/>
                <w:bCs w:val="0"/>
                <w:color w:val="auto"/>
                <w:kern w:val="0"/>
                <w:sz w:val="24"/>
                <w:szCs w:val="24"/>
                <w:highlight w:val="none"/>
                <w:lang w:val="en-US" w:eastAsia="zh-CN"/>
              </w:rPr>
              <w:t>根据本项目水土保持方案报告书复核后的土石方平衡，开挖土石方</w:t>
            </w:r>
            <w:r>
              <w:rPr>
                <w:rFonts w:hint="eastAsia" w:cs="Times New Roman"/>
                <w:b w:val="0"/>
                <w:bCs w:val="0"/>
                <w:color w:val="auto"/>
                <w:kern w:val="0"/>
                <w:sz w:val="24"/>
                <w:szCs w:val="24"/>
                <w:highlight w:val="none"/>
                <w:lang w:val="en-US" w:eastAsia="zh-CN"/>
              </w:rPr>
              <w:t>11.68</w:t>
            </w:r>
            <w:r>
              <w:rPr>
                <w:rFonts w:hint="default" w:ascii="Times New Roman" w:hAnsi="Times New Roman" w:eastAsia="仿宋" w:cs="Times New Roman"/>
                <w:b w:val="0"/>
                <w:bCs w:val="0"/>
                <w:color w:val="auto"/>
                <w:kern w:val="0"/>
                <w:sz w:val="24"/>
                <w:szCs w:val="24"/>
                <w:highlight w:val="none"/>
                <w:lang w:val="en-US" w:eastAsia="zh-CN"/>
              </w:rPr>
              <w:t>万m</w:t>
            </w:r>
            <w:r>
              <w:rPr>
                <w:rFonts w:hint="default" w:ascii="Times New Roman" w:hAnsi="Times New Roman" w:eastAsia="仿宋" w:cs="Times New Roman"/>
                <w:b w:val="0"/>
                <w:bCs w:val="0"/>
                <w:color w:val="auto"/>
                <w:kern w:val="0"/>
                <w:sz w:val="24"/>
                <w:szCs w:val="24"/>
                <w:highlight w:val="none"/>
                <w:vertAlign w:val="superscript"/>
                <w:lang w:val="en-US" w:eastAsia="zh-CN"/>
              </w:rPr>
              <w:t>3</w:t>
            </w:r>
            <w:r>
              <w:rPr>
                <w:rFonts w:hint="default" w:ascii="Times New Roman" w:hAnsi="Times New Roman" w:eastAsia="仿宋" w:cs="Times New Roman"/>
                <w:b w:val="0"/>
                <w:bCs w:val="0"/>
                <w:color w:val="auto"/>
                <w:kern w:val="0"/>
                <w:sz w:val="24"/>
                <w:szCs w:val="24"/>
                <w:highlight w:val="none"/>
                <w:lang w:val="en-US" w:eastAsia="zh-CN"/>
              </w:rPr>
              <w:t xml:space="preserve"> （其中表土剥离</w:t>
            </w:r>
            <w:r>
              <w:rPr>
                <w:rFonts w:hint="eastAsia" w:cs="Times New Roman"/>
                <w:b w:val="0"/>
                <w:bCs w:val="0"/>
                <w:color w:val="auto"/>
                <w:kern w:val="0"/>
                <w:sz w:val="24"/>
                <w:szCs w:val="24"/>
                <w:highlight w:val="none"/>
                <w:lang w:val="en-US" w:eastAsia="zh-CN"/>
              </w:rPr>
              <w:t>2.16万</w:t>
            </w:r>
            <w:r>
              <w:rPr>
                <w:rFonts w:hint="default" w:ascii="Times New Roman" w:hAnsi="Times New Roman" w:eastAsia="仿宋" w:cs="Times New Roman"/>
                <w:b w:val="0"/>
                <w:bCs w:val="0"/>
                <w:color w:val="auto"/>
                <w:kern w:val="0"/>
                <w:sz w:val="24"/>
                <w:szCs w:val="24"/>
                <w:highlight w:val="none"/>
                <w:lang w:val="en-US" w:eastAsia="zh-CN"/>
              </w:rPr>
              <w:t>m</w:t>
            </w:r>
            <w:r>
              <w:rPr>
                <w:rFonts w:hint="eastAsia" w:cs="Times New Roman"/>
                <w:b w:val="0"/>
                <w:bCs w:val="0"/>
                <w:color w:val="auto"/>
                <w:kern w:val="0"/>
                <w:sz w:val="24"/>
                <w:szCs w:val="24"/>
                <w:highlight w:val="none"/>
                <w:vertAlign w:val="superscript"/>
                <w:lang w:val="en-US" w:eastAsia="zh-CN"/>
              </w:rPr>
              <w:t>3</w:t>
            </w:r>
            <w:r>
              <w:rPr>
                <w:rFonts w:hint="eastAsia" w:cs="Times New Roman"/>
                <w:b w:val="0"/>
                <w:bCs w:val="0"/>
                <w:color w:val="auto"/>
                <w:kern w:val="0"/>
                <w:sz w:val="24"/>
                <w:szCs w:val="24"/>
                <w:highlight w:val="none"/>
                <w:lang w:val="en-US" w:eastAsia="zh-CN"/>
              </w:rPr>
              <w:t>）</w:t>
            </w:r>
            <w:r>
              <w:rPr>
                <w:rFonts w:hint="default" w:ascii="Times New Roman" w:hAnsi="Times New Roman" w:eastAsia="仿宋" w:cs="Times New Roman"/>
                <w:b w:val="0"/>
                <w:bCs w:val="0"/>
                <w:color w:val="auto"/>
                <w:kern w:val="0"/>
                <w:sz w:val="24"/>
                <w:szCs w:val="24"/>
                <w:highlight w:val="none"/>
                <w:lang w:val="en-US" w:eastAsia="zh-CN"/>
              </w:rPr>
              <w:t>；回填土石方总量为</w:t>
            </w:r>
            <w:r>
              <w:rPr>
                <w:rFonts w:hint="eastAsia" w:cs="Times New Roman"/>
                <w:b w:val="0"/>
                <w:bCs w:val="0"/>
                <w:color w:val="auto"/>
                <w:kern w:val="0"/>
                <w:sz w:val="24"/>
                <w:szCs w:val="24"/>
                <w:highlight w:val="none"/>
                <w:lang w:val="en-US" w:eastAsia="zh-CN"/>
              </w:rPr>
              <w:t>11.68</w:t>
            </w:r>
            <w:r>
              <w:rPr>
                <w:rFonts w:hint="default" w:ascii="Times New Roman" w:hAnsi="Times New Roman" w:eastAsia="仿宋" w:cs="Times New Roman"/>
                <w:b w:val="0"/>
                <w:bCs w:val="0"/>
                <w:color w:val="auto"/>
                <w:kern w:val="0"/>
                <w:sz w:val="24"/>
                <w:szCs w:val="24"/>
                <w:highlight w:val="none"/>
                <w:lang w:val="en-US" w:eastAsia="zh-CN"/>
              </w:rPr>
              <w:t>万m</w:t>
            </w:r>
            <w:r>
              <w:rPr>
                <w:rFonts w:hint="default" w:ascii="Times New Roman" w:hAnsi="Times New Roman" w:eastAsia="仿宋" w:cs="Times New Roman"/>
                <w:b w:val="0"/>
                <w:bCs w:val="0"/>
                <w:color w:val="auto"/>
                <w:kern w:val="0"/>
                <w:sz w:val="24"/>
                <w:szCs w:val="24"/>
                <w:highlight w:val="none"/>
                <w:vertAlign w:val="superscript"/>
                <w:lang w:val="en-US" w:eastAsia="zh-CN"/>
              </w:rPr>
              <w:t>3</w:t>
            </w:r>
            <w:r>
              <w:rPr>
                <w:rFonts w:hint="default" w:ascii="Times New Roman" w:hAnsi="Times New Roman" w:eastAsia="仿宋" w:cs="Times New Roman"/>
                <w:b w:val="0"/>
                <w:bCs w:val="0"/>
                <w:color w:val="auto"/>
                <w:kern w:val="0"/>
                <w:sz w:val="24"/>
                <w:szCs w:val="24"/>
                <w:highlight w:val="none"/>
                <w:lang w:val="en-US" w:eastAsia="zh-CN"/>
              </w:rPr>
              <w:t>（其中土石方回填</w:t>
            </w:r>
            <w:r>
              <w:rPr>
                <w:rFonts w:hint="eastAsia" w:cs="Times New Roman"/>
                <w:b w:val="0"/>
                <w:bCs w:val="0"/>
                <w:color w:val="auto"/>
                <w:kern w:val="0"/>
                <w:sz w:val="24"/>
                <w:szCs w:val="24"/>
                <w:highlight w:val="none"/>
                <w:lang w:val="en-US" w:eastAsia="zh-CN"/>
              </w:rPr>
              <w:t>9.52</w:t>
            </w:r>
            <w:r>
              <w:rPr>
                <w:rFonts w:hint="default" w:ascii="Times New Roman" w:hAnsi="Times New Roman" w:eastAsia="仿宋" w:cs="Times New Roman"/>
                <w:b w:val="0"/>
                <w:bCs w:val="0"/>
                <w:color w:val="auto"/>
                <w:kern w:val="0"/>
                <w:sz w:val="24"/>
                <w:szCs w:val="24"/>
                <w:highlight w:val="none"/>
                <w:lang w:val="en-US" w:eastAsia="zh-CN"/>
              </w:rPr>
              <w:t>万 m</w:t>
            </w:r>
            <w:r>
              <w:rPr>
                <w:rFonts w:hint="default" w:ascii="Times New Roman" w:hAnsi="Times New Roman" w:eastAsia="仿宋" w:cs="Times New Roman"/>
                <w:b w:val="0"/>
                <w:bCs w:val="0"/>
                <w:color w:val="auto"/>
                <w:kern w:val="0"/>
                <w:sz w:val="24"/>
                <w:szCs w:val="24"/>
                <w:highlight w:val="none"/>
                <w:vertAlign w:val="superscript"/>
                <w:lang w:val="en-US" w:eastAsia="zh-CN"/>
              </w:rPr>
              <w:t>3</w:t>
            </w:r>
            <w:r>
              <w:rPr>
                <w:rFonts w:hint="default" w:ascii="Times New Roman" w:hAnsi="Times New Roman" w:eastAsia="仿宋" w:cs="Times New Roman"/>
                <w:b w:val="0"/>
                <w:bCs w:val="0"/>
                <w:color w:val="auto"/>
                <w:kern w:val="0"/>
                <w:sz w:val="24"/>
                <w:szCs w:val="24"/>
                <w:highlight w:val="none"/>
                <w:lang w:val="en-US" w:eastAsia="zh-CN"/>
              </w:rPr>
              <w:t>，表土回覆</w:t>
            </w:r>
            <w:r>
              <w:rPr>
                <w:rFonts w:hint="eastAsia" w:cs="Times New Roman"/>
                <w:b w:val="0"/>
                <w:bCs w:val="0"/>
                <w:color w:val="auto"/>
                <w:kern w:val="0"/>
                <w:sz w:val="24"/>
                <w:szCs w:val="24"/>
                <w:highlight w:val="none"/>
                <w:lang w:val="en-US" w:eastAsia="zh-CN"/>
              </w:rPr>
              <w:t>2.16</w:t>
            </w:r>
            <w:r>
              <w:rPr>
                <w:rFonts w:hint="default" w:ascii="Times New Roman" w:hAnsi="Times New Roman" w:eastAsia="仿宋" w:cs="Times New Roman"/>
                <w:b w:val="0"/>
                <w:bCs w:val="0"/>
                <w:color w:val="auto"/>
                <w:kern w:val="0"/>
                <w:sz w:val="24"/>
                <w:szCs w:val="24"/>
                <w:highlight w:val="none"/>
                <w:lang w:val="en-US" w:eastAsia="zh-CN"/>
              </w:rPr>
              <w:t>万m</w:t>
            </w:r>
            <w:r>
              <w:rPr>
                <w:rFonts w:hint="default" w:ascii="Times New Roman" w:hAnsi="Times New Roman" w:eastAsia="仿宋" w:cs="Times New Roman"/>
                <w:b w:val="0"/>
                <w:bCs w:val="0"/>
                <w:color w:val="auto"/>
                <w:kern w:val="0"/>
                <w:sz w:val="24"/>
                <w:szCs w:val="24"/>
                <w:highlight w:val="none"/>
                <w:vertAlign w:val="superscript"/>
                <w:lang w:val="en-US" w:eastAsia="zh-CN"/>
              </w:rPr>
              <w:t>3</w:t>
            </w:r>
            <w:r>
              <w:rPr>
                <w:rFonts w:hint="default" w:ascii="Times New Roman" w:hAnsi="Times New Roman" w:eastAsia="仿宋" w:cs="Times New Roman"/>
                <w:b w:val="0"/>
                <w:bCs w:val="0"/>
                <w:color w:val="auto"/>
                <w:kern w:val="0"/>
                <w:sz w:val="24"/>
                <w:szCs w:val="24"/>
                <w:highlight w:val="none"/>
                <w:lang w:val="en-US" w:eastAsia="zh-CN"/>
              </w:rPr>
              <w:t>）。剥离的表土全部用于绿化覆土，工程建设产生的土石方均在项目区挖填平衡，不产生弃方。</w:t>
            </w:r>
            <w:r>
              <w:rPr>
                <w:rFonts w:hint="eastAsia" w:cs="Times New Roman"/>
                <w:b w:val="0"/>
                <w:bCs w:val="0"/>
                <w:color w:val="auto"/>
                <w:kern w:val="0"/>
                <w:sz w:val="24"/>
                <w:szCs w:val="24"/>
                <w:highlight w:val="none"/>
                <w:lang w:val="en-US" w:eastAsia="zh-CN"/>
              </w:rPr>
              <w:t>土石方平衡见表2.6-1。</w:t>
            </w:r>
          </w:p>
          <w:p w14:paraId="44DC6960">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val="0"/>
                <w:bCs w:val="0"/>
                <w:color w:val="auto"/>
                <w:kern w:val="0"/>
                <w:sz w:val="24"/>
                <w:szCs w:val="24"/>
                <w:highlight w:val="none"/>
                <w:lang w:val="en-US" w:eastAsia="zh-CN"/>
              </w:rPr>
            </w:pPr>
            <w:r>
              <w:rPr>
                <w:rFonts w:hint="eastAsia" w:cs="Times New Roman"/>
                <w:b/>
                <w:bCs/>
                <w:color w:val="auto"/>
                <w:kern w:val="0"/>
                <w:sz w:val="24"/>
                <w:szCs w:val="24"/>
                <w:highlight w:val="none"/>
                <w:lang w:val="en-US" w:eastAsia="zh-CN"/>
              </w:rPr>
              <w:t xml:space="preserve">2.7 </w:t>
            </w:r>
            <w:r>
              <w:rPr>
                <w:rFonts w:hint="default" w:ascii="Times New Roman" w:hAnsi="Times New Roman" w:eastAsia="仿宋" w:cs="Times New Roman"/>
                <w:b/>
                <w:bCs/>
                <w:color w:val="auto"/>
                <w:kern w:val="0"/>
                <w:sz w:val="24"/>
                <w:szCs w:val="24"/>
                <w:highlight w:val="none"/>
                <w:lang w:val="en-US" w:eastAsia="zh-CN"/>
              </w:rPr>
              <w:t>临时表土堆场</w:t>
            </w:r>
          </w:p>
          <w:p w14:paraId="46C12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default" w:ascii="Times New Roman" w:hAnsi="Times New Roman" w:eastAsia="仿宋" w:cs="Times New Roman"/>
                <w:b w:val="0"/>
                <w:bCs w:val="0"/>
                <w:color w:val="auto"/>
                <w:kern w:val="0"/>
                <w:sz w:val="24"/>
                <w:szCs w:val="24"/>
                <w:highlight w:val="none"/>
                <w:lang w:val="en-US" w:eastAsia="zh-CN"/>
              </w:rPr>
            </w:pPr>
            <w:r>
              <w:rPr>
                <w:rFonts w:hint="default" w:ascii="Times New Roman" w:hAnsi="Times New Roman" w:eastAsia="仿宋" w:cs="Times New Roman"/>
                <w:color w:val="auto"/>
                <w:highlight w:val="none"/>
              </w:rPr>
              <w:t>根据项目水土保持方案，本项目共剥离表土</w:t>
            </w:r>
            <w:r>
              <w:rPr>
                <w:rFonts w:hint="eastAsia" w:cs="Times New Roman"/>
                <w:color w:val="auto"/>
                <w:highlight w:val="none"/>
                <w:lang w:eastAsia="zh-CN"/>
              </w:rPr>
              <w:t>2.16万</w:t>
            </w:r>
            <w:r>
              <w:rPr>
                <w:rFonts w:hint="default" w:ascii="Times New Roman" w:hAnsi="Times New Roman" w:eastAsia="仿宋" w:cs="Times New Roman"/>
                <w:color w:val="auto"/>
                <w:highlight w:val="none"/>
              </w:rPr>
              <w:t>m</w:t>
            </w:r>
            <w:r>
              <w:rPr>
                <w:rFonts w:hint="default" w:ascii="Times New Roman" w:hAnsi="Times New Roman" w:eastAsia="仿宋" w:cs="Times New Roman"/>
                <w:color w:val="auto"/>
                <w:highlight w:val="none"/>
                <w:vertAlign w:val="superscript"/>
              </w:rPr>
              <w:t>3</w:t>
            </w:r>
            <w:r>
              <w:rPr>
                <w:rFonts w:hint="default" w:ascii="Times New Roman" w:hAnsi="Times New Roman" w:eastAsia="仿宋" w:cs="Times New Roman"/>
                <w:color w:val="auto"/>
                <w:highlight w:val="none"/>
              </w:rPr>
              <w:t>，剥离表土全部用于项目植被恢复覆土回填。根据原始地形与场地设计标高，项目设计</w:t>
            </w:r>
            <w:r>
              <w:rPr>
                <w:rFonts w:hint="eastAsia" w:cs="Times New Roman"/>
                <w:color w:val="auto"/>
                <w:highlight w:val="none"/>
                <w:lang w:val="en-US" w:eastAsia="zh-CN"/>
              </w:rPr>
              <w:t>21</w:t>
            </w:r>
            <w:r>
              <w:rPr>
                <w:rFonts w:hint="default" w:ascii="Times New Roman" w:hAnsi="Times New Roman" w:eastAsia="仿宋" w:cs="Times New Roman"/>
                <w:color w:val="auto"/>
                <w:highlight w:val="none"/>
              </w:rPr>
              <w:t>个临时表土堆场，总占地面积</w:t>
            </w:r>
            <w:r>
              <w:rPr>
                <w:rFonts w:hint="default" w:ascii="Times New Roman" w:hAnsi="Times New Roman" w:eastAsia="仿宋" w:cs="Times New Roman"/>
                <w:color w:val="auto"/>
                <w:highlight w:val="none"/>
                <w:lang w:val="en-US" w:eastAsia="zh-CN"/>
              </w:rPr>
              <w:t>1.0</w:t>
            </w:r>
            <w:r>
              <w:rPr>
                <w:rFonts w:hint="eastAsia" w:cs="Times New Roman"/>
                <w:color w:val="auto"/>
                <w:highlight w:val="none"/>
                <w:lang w:val="en-US" w:eastAsia="zh-CN"/>
              </w:rPr>
              <w:t>6</w:t>
            </w:r>
            <w:r>
              <w:rPr>
                <w:rFonts w:hint="default" w:ascii="Times New Roman" w:hAnsi="Times New Roman" w:eastAsia="仿宋" w:cs="Times New Roman"/>
                <w:color w:val="auto"/>
                <w:highlight w:val="none"/>
              </w:rPr>
              <w:t>hm</w:t>
            </w:r>
            <w:r>
              <w:rPr>
                <w:rFonts w:hint="default" w:ascii="Times New Roman" w:hAnsi="Times New Roman" w:eastAsia="仿宋" w:cs="Times New Roman"/>
                <w:color w:val="auto"/>
                <w:highlight w:val="none"/>
                <w:vertAlign w:val="superscript"/>
              </w:rPr>
              <w:t>2</w:t>
            </w:r>
            <w:r>
              <w:rPr>
                <w:rFonts w:hint="default" w:ascii="Times New Roman" w:hAnsi="Times New Roman" w:eastAsia="仿宋" w:cs="Times New Roman"/>
                <w:color w:val="auto"/>
                <w:highlight w:val="none"/>
              </w:rPr>
              <w:t>，最大堆高</w:t>
            </w:r>
            <w:r>
              <w:rPr>
                <w:rFonts w:hint="default" w:ascii="Times New Roman" w:hAnsi="Times New Roman" w:eastAsia="仿宋" w:cs="Times New Roman"/>
                <w:color w:val="auto"/>
                <w:highlight w:val="none"/>
                <w:lang w:val="en-US" w:eastAsia="zh-CN"/>
              </w:rPr>
              <w:t>3.5</w:t>
            </w:r>
            <w:r>
              <w:rPr>
                <w:rFonts w:hint="default" w:ascii="Times New Roman" w:hAnsi="Times New Roman" w:eastAsia="仿宋" w:cs="Times New Roman"/>
                <w:color w:val="auto"/>
                <w:highlight w:val="none"/>
              </w:rPr>
              <w:t>m，总最大堆存量</w:t>
            </w:r>
            <w:r>
              <w:rPr>
                <w:rFonts w:hint="eastAsia" w:cs="Times New Roman"/>
                <w:color w:val="auto"/>
                <w:highlight w:val="none"/>
                <w:lang w:val="en-US" w:eastAsia="zh-CN"/>
              </w:rPr>
              <w:t>2.0</w:t>
            </w:r>
            <w:r>
              <w:rPr>
                <w:rFonts w:hint="default" w:ascii="Times New Roman" w:hAnsi="Times New Roman" w:eastAsia="仿宋" w:cs="Times New Roman"/>
                <w:color w:val="auto"/>
                <w:highlight w:val="none"/>
              </w:rPr>
              <w:t>万m</w:t>
            </w:r>
            <w:r>
              <w:rPr>
                <w:rFonts w:hint="default" w:ascii="Times New Roman" w:hAnsi="Times New Roman" w:eastAsia="仿宋" w:cs="Times New Roman"/>
                <w:color w:val="auto"/>
                <w:highlight w:val="none"/>
                <w:vertAlign w:val="superscript"/>
              </w:rPr>
              <w:t>3</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表土堆场设置情况见表</w:t>
            </w:r>
            <w:r>
              <w:rPr>
                <w:rFonts w:hint="eastAsia" w:cs="Times New Roman"/>
                <w:color w:val="auto"/>
                <w:highlight w:val="none"/>
                <w:lang w:val="en-US" w:eastAsia="zh-CN"/>
              </w:rPr>
              <w:t>2.7-1</w:t>
            </w:r>
            <w:r>
              <w:rPr>
                <w:rFonts w:hint="default" w:ascii="Times New Roman" w:hAnsi="Times New Roman" w:eastAsia="仿宋" w:cs="Times New Roman"/>
                <w:color w:val="auto"/>
                <w:highlight w:val="none"/>
                <w:lang w:val="en-US" w:eastAsia="zh-CN"/>
              </w:rPr>
              <w:t>，临时表土堆场布置见附图15。</w:t>
            </w:r>
          </w:p>
        </w:tc>
      </w:tr>
    </w:tbl>
    <w:p w14:paraId="4668C1E6">
      <w:pPr>
        <w:rPr>
          <w:color w:val="auto"/>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47B76C19">
      <w:pPr>
        <w:ind w:left="0" w:leftChars="0" w:firstLine="0" w:firstLineChars="0"/>
        <w:jc w:val="center"/>
        <w:rPr>
          <w:rFonts w:hint="eastAsia"/>
          <w:color w:val="auto"/>
          <w:highlight w:val="none"/>
          <w:lang w:val="en-US" w:eastAsia="zh-CN"/>
        </w:rPr>
      </w:pPr>
      <w:r>
        <w:rPr>
          <w:rFonts w:hint="eastAsia"/>
          <w:b/>
          <w:bCs/>
          <w:color w:val="auto"/>
          <w:sz w:val="21"/>
          <w:szCs w:val="21"/>
          <w:highlight w:val="none"/>
          <w:lang w:val="en-US" w:eastAsia="zh-CN"/>
        </w:rPr>
        <w:t>表2.6-1 项目土石方平衡表</w:t>
      </w:r>
    </w:p>
    <w:tbl>
      <w:tblPr>
        <w:tblStyle w:val="10"/>
        <w:tblW w:w="14894" w:type="dxa"/>
        <w:tblInd w:w="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1"/>
        <w:gridCol w:w="760"/>
        <w:gridCol w:w="1082"/>
        <w:gridCol w:w="1684"/>
        <w:gridCol w:w="760"/>
        <w:gridCol w:w="1082"/>
        <w:gridCol w:w="1684"/>
        <w:gridCol w:w="743"/>
        <w:gridCol w:w="1131"/>
        <w:gridCol w:w="673"/>
        <w:gridCol w:w="1283"/>
        <w:gridCol w:w="673"/>
        <w:gridCol w:w="677"/>
        <w:gridCol w:w="674"/>
        <w:gridCol w:w="677"/>
      </w:tblGrid>
      <w:tr w14:paraId="7C188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11" w:type="dxa"/>
            <w:vMerge w:val="restart"/>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5871E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项目分区</w:t>
            </w:r>
          </w:p>
        </w:tc>
        <w:tc>
          <w:tcPr>
            <w:tcW w:w="1684" w:type="dxa"/>
            <w:gridSpan w:val="3"/>
            <w:tcBorders>
              <w:top w:val="single" w:color="000000" w:sz="12" w:space="0"/>
              <w:left w:val="single" w:color="000000" w:sz="4" w:space="0"/>
              <w:bottom w:val="single" w:color="000000" w:sz="4" w:space="0"/>
              <w:right w:val="single" w:color="000000" w:sz="4" w:space="0"/>
            </w:tcBorders>
            <w:shd w:val="clear" w:color="auto" w:fill="auto"/>
            <w:vAlign w:val="center"/>
          </w:tcPr>
          <w:p w14:paraId="6E9CB1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挖方</w:t>
            </w:r>
          </w:p>
        </w:tc>
        <w:tc>
          <w:tcPr>
            <w:tcW w:w="1684" w:type="dxa"/>
            <w:gridSpan w:val="3"/>
            <w:tcBorders>
              <w:top w:val="single" w:color="000000" w:sz="12" w:space="0"/>
              <w:left w:val="single" w:color="000000" w:sz="4" w:space="0"/>
              <w:bottom w:val="single" w:color="000000" w:sz="4" w:space="0"/>
              <w:right w:val="single" w:color="000000" w:sz="4" w:space="0"/>
            </w:tcBorders>
            <w:shd w:val="clear" w:color="auto" w:fill="auto"/>
            <w:vAlign w:val="center"/>
          </w:tcPr>
          <w:p w14:paraId="45AF6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填方</w:t>
            </w:r>
          </w:p>
        </w:tc>
        <w:tc>
          <w:tcPr>
            <w:tcW w:w="1131"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3F2DD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调入</w:t>
            </w:r>
          </w:p>
        </w:tc>
        <w:tc>
          <w:tcPr>
            <w:tcW w:w="1283"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56362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调出</w:t>
            </w:r>
          </w:p>
        </w:tc>
        <w:tc>
          <w:tcPr>
            <w:tcW w:w="0" w:type="auto"/>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12BEA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外借</w:t>
            </w:r>
          </w:p>
        </w:tc>
        <w:tc>
          <w:tcPr>
            <w:tcW w:w="1351"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23E0F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弃方</w:t>
            </w:r>
          </w:p>
        </w:tc>
      </w:tr>
      <w:tr w14:paraId="6A7C1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1" w:type="dxa"/>
            <w:vMerge w:val="continue"/>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24A18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28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小计</w:t>
            </w:r>
          </w:p>
        </w:tc>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DE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表土剥离</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54B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一般土石方开挖</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27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小计</w:t>
            </w:r>
          </w:p>
        </w:tc>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13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绿化覆土</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72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一般土石方回填</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25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数量</w:t>
            </w:r>
          </w:p>
        </w:tc>
        <w:tc>
          <w:tcPr>
            <w:tcW w:w="11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8B3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来源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BD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数量</w:t>
            </w: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46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去向</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E9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数量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8F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来源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AE0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数量</w:t>
            </w:r>
          </w:p>
        </w:tc>
        <w:tc>
          <w:tcPr>
            <w:tcW w:w="677"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14:paraId="10E8D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去向</w:t>
            </w:r>
          </w:p>
        </w:tc>
      </w:tr>
      <w:tr w14:paraId="2E0D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1" w:type="dxa"/>
            <w:vMerge w:val="continue"/>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5F1B5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F3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47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EB2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63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60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CE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98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11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1BB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FE3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BA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81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73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78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c>
          <w:tcPr>
            <w:tcW w:w="677"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14:paraId="1DB83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仿宋_GB2312" w:hAnsi="宋体" w:eastAsia="仿宋_GB2312" w:cs="仿宋_GB2312"/>
                <w:i w:val="0"/>
                <w:iCs w:val="0"/>
                <w:color w:val="auto"/>
                <w:sz w:val="18"/>
                <w:szCs w:val="18"/>
                <w:highlight w:val="none"/>
                <w:u w:val="none"/>
              </w:rPr>
            </w:pPr>
          </w:p>
        </w:tc>
      </w:tr>
      <w:tr w14:paraId="28272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66C37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光伏场区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8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0.78</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A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8F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0.78</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B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0.78</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4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72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0.78</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5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4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7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A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8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DD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A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2A075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53B2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3C83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升压站区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8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1.28</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C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0.04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9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1.24</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3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0.9</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BD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0.04</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2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0.86</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C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B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8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0.38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1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道路工程区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3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D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A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05A4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45A0B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DCBB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道路工程区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C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5.86</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A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1.53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BC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4.33</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B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6.24</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1.53</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F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4.71</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54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0.38</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F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升压站区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9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6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E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5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3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87D2D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60AF7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A203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施工生产区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5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0.08</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1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3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0.08</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9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0.08</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1E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E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0.08</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24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7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6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B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6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6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3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24A5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0B3D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E5CB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表土堆场区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1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2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B2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F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4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DB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51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7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7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6B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3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84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6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39C1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6CAA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7868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围栏区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B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0.47</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A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1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0.47</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5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0.47</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E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F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0.47</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8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1D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2D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35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7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2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9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B860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49958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1"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A0C0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i w:val="0"/>
                <w:iCs w:val="0"/>
                <w:color w:val="auto"/>
                <w:sz w:val="18"/>
                <w:szCs w:val="18"/>
                <w:highlight w:val="none"/>
                <w:u w:val="none"/>
              </w:rPr>
            </w:pPr>
            <w:r>
              <w:rPr>
                <w:rFonts w:hint="default" w:ascii="仿宋_GB2312" w:hAnsi="宋体" w:eastAsia="仿宋_GB2312" w:cs="仿宋_GB2312"/>
                <w:i w:val="0"/>
                <w:iCs w:val="0"/>
                <w:color w:val="auto"/>
                <w:kern w:val="0"/>
                <w:sz w:val="18"/>
                <w:szCs w:val="18"/>
                <w:highlight w:val="none"/>
                <w:u w:val="none"/>
                <w:lang w:val="en-US" w:eastAsia="zh-CN" w:bidi="ar"/>
              </w:rPr>
              <w:t>集电线路区</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89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3.21</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7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0.59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0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2.62</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0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3.21</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98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0.59</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E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2.62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A6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F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8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1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A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5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0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c>
          <w:tcPr>
            <w:tcW w:w="677"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0790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auto"/>
                <w:sz w:val="18"/>
                <w:szCs w:val="18"/>
                <w:highlight w:val="none"/>
                <w:u w:val="none"/>
              </w:rPr>
            </w:pPr>
          </w:p>
        </w:tc>
      </w:tr>
      <w:tr w14:paraId="4DF0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dxa"/>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46EAD9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仿宋_GB2312" w:hAnsi="宋体" w:eastAsia="仿宋_GB2312" w:cs="仿宋_GB2312"/>
                <w:b/>
                <w:bCs/>
                <w:i w:val="0"/>
                <w:iCs w:val="0"/>
                <w:color w:val="auto"/>
                <w:sz w:val="18"/>
                <w:szCs w:val="18"/>
                <w:highlight w:val="none"/>
                <w:u w:val="none"/>
              </w:rPr>
            </w:pPr>
            <w:r>
              <w:rPr>
                <w:rFonts w:hint="default" w:ascii="仿宋_GB2312" w:hAnsi="宋体" w:eastAsia="仿宋_GB2312" w:cs="仿宋_GB2312"/>
                <w:b/>
                <w:bCs/>
                <w:i w:val="0"/>
                <w:iCs w:val="0"/>
                <w:color w:val="auto"/>
                <w:kern w:val="0"/>
                <w:sz w:val="18"/>
                <w:szCs w:val="18"/>
                <w:highlight w:val="none"/>
                <w:u w:val="none"/>
                <w:lang w:val="en-US" w:eastAsia="zh-CN" w:bidi="ar"/>
              </w:rPr>
              <w:t>合计</w:t>
            </w:r>
          </w:p>
        </w:tc>
        <w:tc>
          <w:tcPr>
            <w:tcW w:w="760"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64DE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11.68</w:t>
            </w:r>
          </w:p>
        </w:tc>
        <w:tc>
          <w:tcPr>
            <w:tcW w:w="108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630AF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2.16</w:t>
            </w:r>
          </w:p>
        </w:tc>
        <w:tc>
          <w:tcPr>
            <w:tcW w:w="1684"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0F75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9.52</w:t>
            </w:r>
          </w:p>
        </w:tc>
        <w:tc>
          <w:tcPr>
            <w:tcW w:w="760"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27F00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11.68</w:t>
            </w:r>
          </w:p>
        </w:tc>
        <w:tc>
          <w:tcPr>
            <w:tcW w:w="108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6609F8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2.16</w:t>
            </w:r>
          </w:p>
        </w:tc>
        <w:tc>
          <w:tcPr>
            <w:tcW w:w="1684"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28564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9.52</w:t>
            </w:r>
          </w:p>
        </w:tc>
        <w:tc>
          <w:tcPr>
            <w:tcW w:w="74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7DFA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0.38</w:t>
            </w:r>
          </w:p>
        </w:tc>
        <w:tc>
          <w:tcPr>
            <w:tcW w:w="1131"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6629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auto"/>
                <w:sz w:val="18"/>
                <w:szCs w:val="18"/>
                <w:highlight w:val="none"/>
                <w:u w:val="none"/>
              </w:rPr>
            </w:pPr>
          </w:p>
        </w:tc>
        <w:tc>
          <w:tcPr>
            <w:tcW w:w="67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EA04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0.38</w:t>
            </w:r>
          </w:p>
        </w:tc>
        <w:tc>
          <w:tcPr>
            <w:tcW w:w="128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724D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auto"/>
                <w:sz w:val="18"/>
                <w:szCs w:val="18"/>
                <w:highlight w:val="none"/>
                <w:u w:val="none"/>
              </w:rPr>
            </w:pPr>
          </w:p>
        </w:tc>
        <w:tc>
          <w:tcPr>
            <w:tcW w:w="67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BC1F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0</w:t>
            </w:r>
          </w:p>
        </w:tc>
        <w:tc>
          <w:tcPr>
            <w:tcW w:w="67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06E0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auto"/>
                <w:sz w:val="18"/>
                <w:szCs w:val="18"/>
                <w:highlight w:val="none"/>
                <w:u w:val="none"/>
              </w:rPr>
            </w:pPr>
          </w:p>
        </w:tc>
        <w:tc>
          <w:tcPr>
            <w:tcW w:w="674"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F9B1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0</w:t>
            </w:r>
          </w:p>
        </w:tc>
        <w:tc>
          <w:tcPr>
            <w:tcW w:w="677" w:type="dxa"/>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0DCF5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auto"/>
                <w:sz w:val="18"/>
                <w:szCs w:val="18"/>
                <w:highlight w:val="none"/>
                <w:u w:val="none"/>
              </w:rPr>
            </w:pPr>
          </w:p>
        </w:tc>
      </w:tr>
    </w:tbl>
    <w:p w14:paraId="15801D39">
      <w:pPr>
        <w:keepNext w:val="0"/>
        <w:keepLines w:val="0"/>
        <w:pageBreakBefore w:val="0"/>
        <w:widowControl w:val="0"/>
        <w:suppressLineNumbers w:val="0"/>
        <w:kinsoku/>
        <w:wordWrap/>
        <w:overflowPunct/>
        <w:topLinePunct w:val="0"/>
        <w:autoSpaceDE w:val="0"/>
        <w:autoSpaceDN w:val="0"/>
        <w:bidi w:val="0"/>
        <w:adjustRightInd w:val="0"/>
        <w:snapToGrid w:val="0"/>
        <w:spacing w:before="157" w:beforeLines="50" w:beforeAutospacing="0" w:after="0" w:afterAutospacing="0" w:line="240" w:lineRule="auto"/>
        <w:ind w:left="0" w:right="0"/>
        <w:jc w:val="center"/>
        <w:textAlignment w:val="auto"/>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2.7-1</w:t>
      </w:r>
      <w:r>
        <w:rPr>
          <w:rFonts w:hint="default" w:ascii="Times New Roman" w:hAnsi="Times New Roman" w:eastAsia="仿宋" w:cs="Times New Roman"/>
          <w:b/>
          <w:color w:val="auto"/>
          <w:sz w:val="21"/>
          <w:szCs w:val="21"/>
          <w:highlight w:val="none"/>
        </w:rPr>
        <w:t xml:space="preserve">  </w:t>
      </w:r>
      <w:r>
        <w:rPr>
          <w:rFonts w:hint="default" w:ascii="Times New Roman" w:hAnsi="Times New Roman" w:eastAsia="仿宋" w:cs="Times New Roman"/>
          <w:b/>
          <w:color w:val="auto"/>
          <w:sz w:val="21"/>
          <w:szCs w:val="21"/>
          <w:highlight w:val="none"/>
          <w:lang w:val="en-US" w:eastAsia="zh-CN"/>
        </w:rPr>
        <w:t>表土堆场</w:t>
      </w:r>
      <w:r>
        <w:rPr>
          <w:rFonts w:hint="default" w:ascii="Times New Roman" w:hAnsi="Times New Roman" w:eastAsia="仿宋" w:cs="Times New Roman"/>
          <w:b/>
          <w:color w:val="auto"/>
          <w:sz w:val="21"/>
          <w:szCs w:val="21"/>
          <w:highlight w:val="none"/>
        </w:rPr>
        <w:t>布设情况表</w:t>
      </w:r>
    </w:p>
    <w:tbl>
      <w:tblPr>
        <w:tblStyle w:val="10"/>
        <w:tblW w:w="506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57" w:type="dxa"/>
          <w:bottom w:w="0" w:type="dxa"/>
          <w:right w:w="57" w:type="dxa"/>
        </w:tblCellMar>
      </w:tblPr>
      <w:tblGrid>
        <w:gridCol w:w="2335"/>
        <w:gridCol w:w="2759"/>
        <w:gridCol w:w="1826"/>
        <w:gridCol w:w="1194"/>
        <w:gridCol w:w="1404"/>
        <w:gridCol w:w="1177"/>
        <w:gridCol w:w="1260"/>
        <w:gridCol w:w="3042"/>
      </w:tblGrid>
      <w:tr w14:paraId="1F131D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tblHeader/>
          <w:jc w:val="center"/>
        </w:trPr>
        <w:tc>
          <w:tcPr>
            <w:tcW w:w="778" w:type="pct"/>
            <w:vMerge w:val="restart"/>
            <w:tcBorders>
              <w:tl2br w:val="nil"/>
              <w:tr2bl w:val="nil"/>
            </w:tcBorders>
            <w:shd w:val="clear" w:color="auto" w:fill="auto"/>
            <w:vAlign w:val="center"/>
          </w:tcPr>
          <w:p w14:paraId="1CF1256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名称</w:t>
            </w:r>
          </w:p>
        </w:tc>
        <w:tc>
          <w:tcPr>
            <w:tcW w:w="919" w:type="pct"/>
            <w:vMerge w:val="restart"/>
            <w:tcBorders>
              <w:tl2br w:val="nil"/>
              <w:tr2bl w:val="nil"/>
            </w:tcBorders>
            <w:shd w:val="clear" w:color="auto" w:fill="auto"/>
            <w:vAlign w:val="center"/>
          </w:tcPr>
          <w:p w14:paraId="10EB7FF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布设位置</w:t>
            </w:r>
          </w:p>
        </w:tc>
        <w:tc>
          <w:tcPr>
            <w:tcW w:w="608" w:type="pct"/>
            <w:vMerge w:val="restart"/>
            <w:tcBorders>
              <w:tl2br w:val="nil"/>
              <w:tr2bl w:val="nil"/>
            </w:tcBorders>
            <w:shd w:val="clear" w:color="auto" w:fill="auto"/>
            <w:vAlign w:val="center"/>
          </w:tcPr>
          <w:p w14:paraId="18DA658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占地面积（hm²）</w:t>
            </w:r>
          </w:p>
        </w:tc>
        <w:tc>
          <w:tcPr>
            <w:tcW w:w="398" w:type="pct"/>
            <w:vMerge w:val="restart"/>
            <w:tcBorders>
              <w:tl2br w:val="nil"/>
              <w:tr2bl w:val="nil"/>
            </w:tcBorders>
            <w:shd w:val="clear" w:color="auto" w:fill="auto"/>
            <w:vAlign w:val="center"/>
          </w:tcPr>
          <w:p w14:paraId="3F3049B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堆高（m）</w:t>
            </w:r>
          </w:p>
        </w:tc>
        <w:tc>
          <w:tcPr>
            <w:tcW w:w="860" w:type="pct"/>
            <w:gridSpan w:val="2"/>
            <w:tcBorders>
              <w:tl2br w:val="nil"/>
              <w:tr2bl w:val="nil"/>
            </w:tcBorders>
            <w:shd w:val="clear" w:color="auto" w:fill="auto"/>
            <w:vAlign w:val="center"/>
          </w:tcPr>
          <w:p w14:paraId="145197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堆土量（m³）</w:t>
            </w:r>
          </w:p>
        </w:tc>
        <w:tc>
          <w:tcPr>
            <w:tcW w:w="420" w:type="pct"/>
            <w:vMerge w:val="restart"/>
            <w:tcBorders>
              <w:tl2br w:val="nil"/>
              <w:tr2bl w:val="nil"/>
            </w:tcBorders>
            <w:shd w:val="clear" w:color="auto" w:fill="auto"/>
            <w:vAlign w:val="center"/>
          </w:tcPr>
          <w:p w14:paraId="77E042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容量（m³）</w:t>
            </w:r>
          </w:p>
        </w:tc>
        <w:tc>
          <w:tcPr>
            <w:tcW w:w="1013" w:type="pct"/>
            <w:vMerge w:val="restart"/>
            <w:tcBorders>
              <w:tl2br w:val="nil"/>
              <w:tr2bl w:val="nil"/>
            </w:tcBorders>
            <w:shd w:val="clear" w:color="auto" w:fill="auto"/>
            <w:vAlign w:val="center"/>
          </w:tcPr>
          <w:p w14:paraId="5BA01C5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表土来源</w:t>
            </w:r>
          </w:p>
        </w:tc>
      </w:tr>
      <w:tr w14:paraId="5B9C1F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tblHeader/>
          <w:jc w:val="center"/>
        </w:trPr>
        <w:tc>
          <w:tcPr>
            <w:tcW w:w="778" w:type="pct"/>
            <w:vMerge w:val="continue"/>
            <w:tcBorders>
              <w:tl2br w:val="nil"/>
              <w:tr2bl w:val="nil"/>
            </w:tcBorders>
            <w:vAlign w:val="center"/>
          </w:tcPr>
          <w:p w14:paraId="325BA10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919" w:type="pct"/>
            <w:vMerge w:val="continue"/>
            <w:tcBorders>
              <w:tl2br w:val="nil"/>
              <w:tr2bl w:val="nil"/>
            </w:tcBorders>
            <w:vAlign w:val="center"/>
          </w:tcPr>
          <w:p w14:paraId="0092127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608" w:type="pct"/>
            <w:vMerge w:val="continue"/>
            <w:tcBorders>
              <w:tl2br w:val="nil"/>
              <w:tr2bl w:val="nil"/>
            </w:tcBorders>
            <w:vAlign w:val="center"/>
          </w:tcPr>
          <w:p w14:paraId="7C45DDA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398" w:type="pct"/>
            <w:vMerge w:val="continue"/>
            <w:tcBorders>
              <w:tl2br w:val="nil"/>
              <w:tr2bl w:val="nil"/>
            </w:tcBorders>
            <w:vAlign w:val="center"/>
          </w:tcPr>
          <w:p w14:paraId="1D0152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68" w:type="pct"/>
            <w:tcBorders>
              <w:tl2br w:val="nil"/>
              <w:tr2bl w:val="nil"/>
            </w:tcBorders>
            <w:shd w:val="clear" w:color="auto" w:fill="auto"/>
            <w:vAlign w:val="center"/>
          </w:tcPr>
          <w:p w14:paraId="0819462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自然方</w:t>
            </w:r>
          </w:p>
        </w:tc>
        <w:tc>
          <w:tcPr>
            <w:tcW w:w="392" w:type="pct"/>
            <w:tcBorders>
              <w:tl2br w:val="nil"/>
              <w:tr2bl w:val="nil"/>
            </w:tcBorders>
            <w:shd w:val="clear" w:color="auto" w:fill="auto"/>
            <w:vAlign w:val="center"/>
          </w:tcPr>
          <w:p w14:paraId="19469AF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松方</w:t>
            </w:r>
          </w:p>
        </w:tc>
        <w:tc>
          <w:tcPr>
            <w:tcW w:w="420" w:type="pct"/>
            <w:vMerge w:val="continue"/>
            <w:tcBorders>
              <w:tl2br w:val="nil"/>
              <w:tr2bl w:val="nil"/>
            </w:tcBorders>
            <w:vAlign w:val="center"/>
          </w:tcPr>
          <w:p w14:paraId="7F49977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013" w:type="pct"/>
            <w:vMerge w:val="continue"/>
            <w:tcBorders>
              <w:tl2br w:val="nil"/>
              <w:tr2bl w:val="nil"/>
            </w:tcBorders>
            <w:vAlign w:val="center"/>
          </w:tcPr>
          <w:p w14:paraId="198F59E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1C64CD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77A1E80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1#表土堆场</w:t>
            </w:r>
          </w:p>
        </w:tc>
        <w:tc>
          <w:tcPr>
            <w:tcW w:w="919" w:type="pct"/>
            <w:tcBorders>
              <w:tl2br w:val="nil"/>
              <w:tr2bl w:val="nil"/>
            </w:tcBorders>
            <w:shd w:val="clear" w:color="auto" w:fill="auto"/>
            <w:vAlign w:val="center"/>
          </w:tcPr>
          <w:p w14:paraId="5C61716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升压站西侧</w:t>
            </w:r>
          </w:p>
        </w:tc>
        <w:tc>
          <w:tcPr>
            <w:tcW w:w="608" w:type="pct"/>
            <w:tcBorders>
              <w:tl2br w:val="nil"/>
              <w:tr2bl w:val="nil"/>
            </w:tcBorders>
            <w:shd w:val="clear" w:color="auto" w:fill="auto"/>
            <w:vAlign w:val="center"/>
          </w:tcPr>
          <w:p w14:paraId="2CA827E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0.03</w:t>
            </w:r>
          </w:p>
        </w:tc>
        <w:tc>
          <w:tcPr>
            <w:tcW w:w="398" w:type="pct"/>
            <w:tcBorders>
              <w:tl2br w:val="nil"/>
              <w:tr2bl w:val="nil"/>
            </w:tcBorders>
            <w:shd w:val="clear" w:color="auto" w:fill="auto"/>
            <w:vAlign w:val="center"/>
          </w:tcPr>
          <w:p w14:paraId="172D85C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1790C21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210</w:t>
            </w:r>
          </w:p>
        </w:tc>
        <w:tc>
          <w:tcPr>
            <w:tcW w:w="392" w:type="pct"/>
            <w:tcBorders>
              <w:tl2br w:val="nil"/>
              <w:tr2bl w:val="nil"/>
            </w:tcBorders>
            <w:shd w:val="clear" w:color="auto" w:fill="auto"/>
            <w:vAlign w:val="center"/>
          </w:tcPr>
          <w:p w14:paraId="6B5894C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273 </w:t>
            </w:r>
          </w:p>
        </w:tc>
        <w:tc>
          <w:tcPr>
            <w:tcW w:w="420" w:type="pct"/>
            <w:tcBorders>
              <w:tl2br w:val="nil"/>
              <w:tr2bl w:val="nil"/>
            </w:tcBorders>
            <w:shd w:val="clear" w:color="auto" w:fill="auto"/>
            <w:vAlign w:val="center"/>
          </w:tcPr>
          <w:p w14:paraId="045F117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390</w:t>
            </w:r>
          </w:p>
        </w:tc>
        <w:tc>
          <w:tcPr>
            <w:tcW w:w="1013" w:type="pct"/>
            <w:tcBorders>
              <w:tl2br w:val="nil"/>
              <w:tr2bl w:val="nil"/>
            </w:tcBorders>
            <w:shd w:val="clear" w:color="auto" w:fill="auto"/>
            <w:vAlign w:val="center"/>
          </w:tcPr>
          <w:p w14:paraId="24CB47A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升压站区</w:t>
            </w:r>
          </w:p>
        </w:tc>
      </w:tr>
      <w:tr w14:paraId="2EA235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1E20107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2#表土堆场</w:t>
            </w:r>
          </w:p>
        </w:tc>
        <w:tc>
          <w:tcPr>
            <w:tcW w:w="919" w:type="pct"/>
            <w:tcBorders>
              <w:tl2br w:val="nil"/>
              <w:tr2bl w:val="nil"/>
            </w:tcBorders>
            <w:shd w:val="clear" w:color="auto" w:fill="auto"/>
            <w:vAlign w:val="center"/>
          </w:tcPr>
          <w:p w14:paraId="1FA7D06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4#光伏阵列</w:t>
            </w:r>
          </w:p>
        </w:tc>
        <w:tc>
          <w:tcPr>
            <w:tcW w:w="608" w:type="pct"/>
            <w:tcBorders>
              <w:tl2br w:val="nil"/>
              <w:tr2bl w:val="nil"/>
            </w:tcBorders>
            <w:shd w:val="clear" w:color="auto" w:fill="auto"/>
            <w:vAlign w:val="center"/>
          </w:tcPr>
          <w:p w14:paraId="7ED8E71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0.02</w:t>
            </w:r>
          </w:p>
        </w:tc>
        <w:tc>
          <w:tcPr>
            <w:tcW w:w="398" w:type="pct"/>
            <w:tcBorders>
              <w:tl2br w:val="nil"/>
              <w:tr2bl w:val="nil"/>
            </w:tcBorders>
            <w:shd w:val="clear" w:color="auto" w:fill="auto"/>
            <w:vAlign w:val="center"/>
          </w:tcPr>
          <w:p w14:paraId="08AA5C0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046A8E4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177</w:t>
            </w:r>
          </w:p>
        </w:tc>
        <w:tc>
          <w:tcPr>
            <w:tcW w:w="392" w:type="pct"/>
            <w:tcBorders>
              <w:tl2br w:val="nil"/>
              <w:tr2bl w:val="nil"/>
            </w:tcBorders>
            <w:shd w:val="clear" w:color="auto" w:fill="auto"/>
            <w:vAlign w:val="center"/>
          </w:tcPr>
          <w:p w14:paraId="4D5B5D1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230</w:t>
            </w:r>
          </w:p>
        </w:tc>
        <w:tc>
          <w:tcPr>
            <w:tcW w:w="420" w:type="pct"/>
            <w:tcBorders>
              <w:tl2br w:val="nil"/>
              <w:tr2bl w:val="nil"/>
            </w:tcBorders>
            <w:shd w:val="clear" w:color="auto" w:fill="auto"/>
            <w:vAlign w:val="center"/>
          </w:tcPr>
          <w:p w14:paraId="4C9C996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260</w:t>
            </w:r>
          </w:p>
        </w:tc>
        <w:tc>
          <w:tcPr>
            <w:tcW w:w="1013" w:type="pct"/>
            <w:tcBorders>
              <w:tl2br w:val="nil"/>
              <w:tr2bl w:val="nil"/>
            </w:tcBorders>
            <w:shd w:val="clear" w:color="auto" w:fill="auto"/>
            <w:vAlign w:val="center"/>
          </w:tcPr>
          <w:p w14:paraId="1F25A8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06537E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132C05C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3#表土堆场</w:t>
            </w:r>
          </w:p>
        </w:tc>
        <w:tc>
          <w:tcPr>
            <w:tcW w:w="919" w:type="pct"/>
            <w:tcBorders>
              <w:tl2br w:val="nil"/>
              <w:tr2bl w:val="nil"/>
            </w:tcBorders>
            <w:shd w:val="clear" w:color="auto" w:fill="auto"/>
            <w:vAlign w:val="center"/>
          </w:tcPr>
          <w:p w14:paraId="1644C4B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3#光伏阵列</w:t>
            </w:r>
          </w:p>
        </w:tc>
        <w:tc>
          <w:tcPr>
            <w:tcW w:w="608" w:type="pct"/>
            <w:tcBorders>
              <w:tl2br w:val="nil"/>
              <w:tr2bl w:val="nil"/>
            </w:tcBorders>
            <w:shd w:val="clear" w:color="auto" w:fill="auto"/>
            <w:vAlign w:val="center"/>
          </w:tcPr>
          <w:p w14:paraId="52157A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0.06</w:t>
            </w:r>
          </w:p>
        </w:tc>
        <w:tc>
          <w:tcPr>
            <w:tcW w:w="398" w:type="pct"/>
            <w:tcBorders>
              <w:tl2br w:val="nil"/>
              <w:tr2bl w:val="nil"/>
            </w:tcBorders>
            <w:shd w:val="clear" w:color="auto" w:fill="auto"/>
            <w:vAlign w:val="center"/>
          </w:tcPr>
          <w:p w14:paraId="76B9930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10AB8B6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754</w:t>
            </w:r>
          </w:p>
        </w:tc>
        <w:tc>
          <w:tcPr>
            <w:tcW w:w="392" w:type="pct"/>
            <w:tcBorders>
              <w:tl2br w:val="nil"/>
              <w:tr2bl w:val="nil"/>
            </w:tcBorders>
            <w:shd w:val="clear" w:color="auto" w:fill="auto"/>
            <w:vAlign w:val="center"/>
          </w:tcPr>
          <w:p w14:paraId="1A4FF91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980 </w:t>
            </w:r>
          </w:p>
        </w:tc>
        <w:tc>
          <w:tcPr>
            <w:tcW w:w="420" w:type="pct"/>
            <w:tcBorders>
              <w:tl2br w:val="nil"/>
              <w:tr2bl w:val="nil"/>
            </w:tcBorders>
            <w:shd w:val="clear" w:color="auto" w:fill="auto"/>
            <w:vAlign w:val="center"/>
          </w:tcPr>
          <w:p w14:paraId="0E18255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1170</w:t>
            </w:r>
          </w:p>
        </w:tc>
        <w:tc>
          <w:tcPr>
            <w:tcW w:w="1013" w:type="pct"/>
            <w:tcBorders>
              <w:tl2br w:val="nil"/>
              <w:tr2bl w:val="nil"/>
            </w:tcBorders>
            <w:shd w:val="clear" w:color="auto" w:fill="auto"/>
            <w:vAlign w:val="center"/>
          </w:tcPr>
          <w:p w14:paraId="740A7F3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2B0D80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71D8E5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4#表土堆场</w:t>
            </w:r>
          </w:p>
        </w:tc>
        <w:tc>
          <w:tcPr>
            <w:tcW w:w="919" w:type="pct"/>
            <w:tcBorders>
              <w:tl2br w:val="nil"/>
              <w:tr2bl w:val="nil"/>
            </w:tcBorders>
            <w:shd w:val="clear" w:color="auto" w:fill="auto"/>
            <w:vAlign w:val="center"/>
          </w:tcPr>
          <w:p w14:paraId="34F71FA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9#光伏阵列</w:t>
            </w:r>
          </w:p>
        </w:tc>
        <w:tc>
          <w:tcPr>
            <w:tcW w:w="608" w:type="pct"/>
            <w:tcBorders>
              <w:tl2br w:val="nil"/>
              <w:tr2bl w:val="nil"/>
            </w:tcBorders>
            <w:shd w:val="clear" w:color="auto" w:fill="auto"/>
            <w:vAlign w:val="center"/>
          </w:tcPr>
          <w:p w14:paraId="0C9C7C1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0.03</w:t>
            </w:r>
          </w:p>
        </w:tc>
        <w:tc>
          <w:tcPr>
            <w:tcW w:w="398" w:type="pct"/>
            <w:tcBorders>
              <w:tl2br w:val="nil"/>
              <w:tr2bl w:val="nil"/>
            </w:tcBorders>
            <w:shd w:val="clear" w:color="auto" w:fill="auto"/>
            <w:vAlign w:val="center"/>
          </w:tcPr>
          <w:p w14:paraId="61B73D9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3158C2B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240</w:t>
            </w:r>
          </w:p>
        </w:tc>
        <w:tc>
          <w:tcPr>
            <w:tcW w:w="392" w:type="pct"/>
            <w:tcBorders>
              <w:tl2br w:val="nil"/>
              <w:tr2bl w:val="nil"/>
            </w:tcBorders>
            <w:shd w:val="clear" w:color="auto" w:fill="auto"/>
            <w:vAlign w:val="center"/>
          </w:tcPr>
          <w:p w14:paraId="64E327A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312 </w:t>
            </w:r>
          </w:p>
        </w:tc>
        <w:tc>
          <w:tcPr>
            <w:tcW w:w="420" w:type="pct"/>
            <w:tcBorders>
              <w:tl2br w:val="nil"/>
              <w:tr2bl w:val="nil"/>
            </w:tcBorders>
            <w:shd w:val="clear" w:color="auto" w:fill="auto"/>
            <w:vAlign w:val="center"/>
          </w:tcPr>
          <w:p w14:paraId="40DCD23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390</w:t>
            </w:r>
          </w:p>
        </w:tc>
        <w:tc>
          <w:tcPr>
            <w:tcW w:w="1013" w:type="pct"/>
            <w:tcBorders>
              <w:tl2br w:val="nil"/>
              <w:tr2bl w:val="nil"/>
            </w:tcBorders>
            <w:shd w:val="clear" w:color="auto" w:fill="auto"/>
            <w:vAlign w:val="center"/>
          </w:tcPr>
          <w:p w14:paraId="5BF3C23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497BCC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5D5E7ED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5#表土堆场</w:t>
            </w:r>
          </w:p>
        </w:tc>
        <w:tc>
          <w:tcPr>
            <w:tcW w:w="919" w:type="pct"/>
            <w:tcBorders>
              <w:tl2br w:val="nil"/>
              <w:tr2bl w:val="nil"/>
            </w:tcBorders>
            <w:shd w:val="clear" w:color="auto" w:fill="auto"/>
            <w:vAlign w:val="center"/>
          </w:tcPr>
          <w:p w14:paraId="02DB3C1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11#光伏阵列</w:t>
            </w:r>
          </w:p>
        </w:tc>
        <w:tc>
          <w:tcPr>
            <w:tcW w:w="1114" w:type="dxa"/>
            <w:tcBorders>
              <w:tl2br w:val="nil"/>
              <w:tr2bl w:val="nil"/>
            </w:tcBorders>
            <w:shd w:val="clear" w:color="auto" w:fill="auto"/>
            <w:vAlign w:val="center"/>
          </w:tcPr>
          <w:p w14:paraId="71739CE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0.03</w:t>
            </w:r>
          </w:p>
        </w:tc>
        <w:tc>
          <w:tcPr>
            <w:tcW w:w="730" w:type="dxa"/>
            <w:tcBorders>
              <w:tl2br w:val="nil"/>
              <w:tr2bl w:val="nil"/>
            </w:tcBorders>
            <w:shd w:val="clear" w:color="auto" w:fill="auto"/>
            <w:vAlign w:val="center"/>
          </w:tcPr>
          <w:p w14:paraId="145CADD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858" w:type="dxa"/>
            <w:tcBorders>
              <w:tl2br w:val="nil"/>
              <w:tr2bl w:val="nil"/>
            </w:tcBorders>
            <w:shd w:val="clear" w:color="auto" w:fill="auto"/>
            <w:vAlign w:val="center"/>
          </w:tcPr>
          <w:p w14:paraId="48E2380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250</w:t>
            </w:r>
          </w:p>
        </w:tc>
        <w:tc>
          <w:tcPr>
            <w:tcW w:w="719" w:type="dxa"/>
            <w:tcBorders>
              <w:tl2br w:val="nil"/>
              <w:tr2bl w:val="nil"/>
            </w:tcBorders>
            <w:shd w:val="clear" w:color="auto" w:fill="auto"/>
            <w:vAlign w:val="center"/>
          </w:tcPr>
          <w:p w14:paraId="35ECE46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333</w:t>
            </w:r>
          </w:p>
        </w:tc>
        <w:tc>
          <w:tcPr>
            <w:tcW w:w="770" w:type="dxa"/>
            <w:tcBorders>
              <w:tl2br w:val="nil"/>
              <w:tr2bl w:val="nil"/>
            </w:tcBorders>
            <w:shd w:val="clear" w:color="auto" w:fill="auto"/>
            <w:vAlign w:val="center"/>
          </w:tcPr>
          <w:p w14:paraId="50A69F3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390</w:t>
            </w:r>
          </w:p>
        </w:tc>
        <w:tc>
          <w:tcPr>
            <w:tcW w:w="1013" w:type="pct"/>
            <w:tcBorders>
              <w:tl2br w:val="nil"/>
              <w:tr2bl w:val="nil"/>
            </w:tcBorders>
            <w:shd w:val="clear" w:color="auto" w:fill="auto"/>
            <w:vAlign w:val="center"/>
          </w:tcPr>
          <w:p w14:paraId="1E2A366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2E970C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76C72D3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6#表土堆场</w:t>
            </w:r>
          </w:p>
        </w:tc>
        <w:tc>
          <w:tcPr>
            <w:tcW w:w="919" w:type="pct"/>
            <w:tcBorders>
              <w:tl2br w:val="nil"/>
              <w:tr2bl w:val="nil"/>
            </w:tcBorders>
            <w:shd w:val="clear" w:color="auto" w:fill="auto"/>
            <w:vAlign w:val="center"/>
          </w:tcPr>
          <w:p w14:paraId="3EC7AC8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13#光伏阵列</w:t>
            </w:r>
          </w:p>
        </w:tc>
        <w:tc>
          <w:tcPr>
            <w:tcW w:w="608" w:type="pct"/>
            <w:tcBorders>
              <w:tl2br w:val="nil"/>
              <w:tr2bl w:val="nil"/>
            </w:tcBorders>
            <w:shd w:val="clear" w:color="auto" w:fill="auto"/>
            <w:vAlign w:val="center"/>
          </w:tcPr>
          <w:p w14:paraId="69CE24B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0.06</w:t>
            </w:r>
          </w:p>
        </w:tc>
        <w:tc>
          <w:tcPr>
            <w:tcW w:w="398" w:type="pct"/>
            <w:tcBorders>
              <w:tl2br w:val="nil"/>
              <w:tr2bl w:val="nil"/>
            </w:tcBorders>
            <w:shd w:val="clear" w:color="auto" w:fill="auto"/>
            <w:vAlign w:val="center"/>
          </w:tcPr>
          <w:p w14:paraId="3B9A60F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1A6B9A3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690</w:t>
            </w:r>
          </w:p>
        </w:tc>
        <w:tc>
          <w:tcPr>
            <w:tcW w:w="392" w:type="pct"/>
            <w:tcBorders>
              <w:tl2br w:val="nil"/>
              <w:tr2bl w:val="nil"/>
            </w:tcBorders>
            <w:shd w:val="clear" w:color="auto" w:fill="auto"/>
            <w:vAlign w:val="center"/>
          </w:tcPr>
          <w:p w14:paraId="7F38A9E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897 </w:t>
            </w:r>
          </w:p>
        </w:tc>
        <w:tc>
          <w:tcPr>
            <w:tcW w:w="420" w:type="pct"/>
            <w:tcBorders>
              <w:tl2br w:val="nil"/>
              <w:tr2bl w:val="nil"/>
            </w:tcBorders>
            <w:shd w:val="clear" w:color="auto" w:fill="auto"/>
            <w:vAlign w:val="center"/>
          </w:tcPr>
          <w:p w14:paraId="378F25B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1170</w:t>
            </w:r>
          </w:p>
        </w:tc>
        <w:tc>
          <w:tcPr>
            <w:tcW w:w="1013" w:type="pct"/>
            <w:tcBorders>
              <w:tl2br w:val="nil"/>
              <w:tr2bl w:val="nil"/>
            </w:tcBorders>
            <w:shd w:val="clear" w:color="auto" w:fill="auto"/>
            <w:vAlign w:val="center"/>
          </w:tcPr>
          <w:p w14:paraId="0B2F3D4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08B79B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69B7563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7#表土堆场</w:t>
            </w:r>
          </w:p>
        </w:tc>
        <w:tc>
          <w:tcPr>
            <w:tcW w:w="919" w:type="pct"/>
            <w:tcBorders>
              <w:tl2br w:val="nil"/>
              <w:tr2bl w:val="nil"/>
            </w:tcBorders>
            <w:shd w:val="clear" w:color="auto" w:fill="auto"/>
            <w:vAlign w:val="center"/>
          </w:tcPr>
          <w:p w14:paraId="676CE21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16#光伏阵列</w:t>
            </w:r>
          </w:p>
        </w:tc>
        <w:tc>
          <w:tcPr>
            <w:tcW w:w="608" w:type="pct"/>
            <w:tcBorders>
              <w:tl2br w:val="nil"/>
              <w:tr2bl w:val="nil"/>
            </w:tcBorders>
            <w:shd w:val="clear" w:color="auto" w:fill="auto"/>
            <w:vAlign w:val="center"/>
          </w:tcPr>
          <w:p w14:paraId="2DA2422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0.06</w:t>
            </w:r>
          </w:p>
        </w:tc>
        <w:tc>
          <w:tcPr>
            <w:tcW w:w="398" w:type="pct"/>
            <w:tcBorders>
              <w:tl2br w:val="nil"/>
              <w:tr2bl w:val="nil"/>
            </w:tcBorders>
            <w:shd w:val="clear" w:color="auto" w:fill="auto"/>
            <w:vAlign w:val="center"/>
          </w:tcPr>
          <w:p w14:paraId="4C6A51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086470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783</w:t>
            </w:r>
          </w:p>
        </w:tc>
        <w:tc>
          <w:tcPr>
            <w:tcW w:w="392" w:type="pct"/>
            <w:tcBorders>
              <w:tl2br w:val="nil"/>
              <w:tr2bl w:val="nil"/>
            </w:tcBorders>
            <w:shd w:val="clear" w:color="auto" w:fill="auto"/>
            <w:vAlign w:val="center"/>
          </w:tcPr>
          <w:p w14:paraId="58C4A71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1018 </w:t>
            </w:r>
          </w:p>
        </w:tc>
        <w:tc>
          <w:tcPr>
            <w:tcW w:w="420" w:type="pct"/>
            <w:tcBorders>
              <w:tl2br w:val="nil"/>
              <w:tr2bl w:val="nil"/>
            </w:tcBorders>
            <w:shd w:val="clear" w:color="auto" w:fill="auto"/>
            <w:vAlign w:val="center"/>
          </w:tcPr>
          <w:p w14:paraId="3CBA71C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1170</w:t>
            </w:r>
          </w:p>
        </w:tc>
        <w:tc>
          <w:tcPr>
            <w:tcW w:w="1013" w:type="pct"/>
            <w:tcBorders>
              <w:tl2br w:val="nil"/>
              <w:tr2bl w:val="nil"/>
            </w:tcBorders>
            <w:shd w:val="clear" w:color="auto" w:fill="auto"/>
            <w:vAlign w:val="center"/>
          </w:tcPr>
          <w:p w14:paraId="4EDFB85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7377FD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570E974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8#表土堆场</w:t>
            </w:r>
          </w:p>
        </w:tc>
        <w:tc>
          <w:tcPr>
            <w:tcW w:w="919" w:type="pct"/>
            <w:tcBorders>
              <w:tl2br w:val="nil"/>
              <w:tr2bl w:val="nil"/>
            </w:tcBorders>
            <w:shd w:val="clear" w:color="auto" w:fill="auto"/>
            <w:vAlign w:val="center"/>
          </w:tcPr>
          <w:p w14:paraId="7B98CC3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19#光伏阵列</w:t>
            </w:r>
          </w:p>
        </w:tc>
        <w:tc>
          <w:tcPr>
            <w:tcW w:w="608" w:type="pct"/>
            <w:tcBorders>
              <w:tl2br w:val="nil"/>
              <w:tr2bl w:val="nil"/>
            </w:tcBorders>
            <w:shd w:val="clear" w:color="auto" w:fill="auto"/>
            <w:vAlign w:val="center"/>
          </w:tcPr>
          <w:p w14:paraId="64A1674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0.03</w:t>
            </w:r>
          </w:p>
        </w:tc>
        <w:tc>
          <w:tcPr>
            <w:tcW w:w="398" w:type="pct"/>
            <w:tcBorders>
              <w:tl2br w:val="nil"/>
              <w:tr2bl w:val="nil"/>
            </w:tcBorders>
            <w:shd w:val="clear" w:color="auto" w:fill="auto"/>
            <w:vAlign w:val="center"/>
          </w:tcPr>
          <w:p w14:paraId="5EC9209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5BB1FAB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223</w:t>
            </w:r>
          </w:p>
        </w:tc>
        <w:tc>
          <w:tcPr>
            <w:tcW w:w="392" w:type="pct"/>
            <w:tcBorders>
              <w:tl2br w:val="nil"/>
              <w:tr2bl w:val="nil"/>
            </w:tcBorders>
            <w:shd w:val="clear" w:color="auto" w:fill="auto"/>
            <w:vAlign w:val="center"/>
          </w:tcPr>
          <w:p w14:paraId="66C1E93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290 </w:t>
            </w:r>
          </w:p>
        </w:tc>
        <w:tc>
          <w:tcPr>
            <w:tcW w:w="420" w:type="pct"/>
            <w:tcBorders>
              <w:tl2br w:val="nil"/>
              <w:tr2bl w:val="nil"/>
            </w:tcBorders>
            <w:shd w:val="clear" w:color="auto" w:fill="auto"/>
            <w:vAlign w:val="center"/>
          </w:tcPr>
          <w:p w14:paraId="23C87AB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390</w:t>
            </w:r>
          </w:p>
        </w:tc>
        <w:tc>
          <w:tcPr>
            <w:tcW w:w="1013" w:type="pct"/>
            <w:tcBorders>
              <w:tl2br w:val="nil"/>
              <w:tr2bl w:val="nil"/>
            </w:tcBorders>
            <w:shd w:val="clear" w:color="auto" w:fill="auto"/>
            <w:vAlign w:val="center"/>
          </w:tcPr>
          <w:p w14:paraId="37897A7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7D4357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6EDDC8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9#表土堆场</w:t>
            </w:r>
          </w:p>
        </w:tc>
        <w:tc>
          <w:tcPr>
            <w:tcW w:w="919" w:type="pct"/>
            <w:tcBorders>
              <w:tl2br w:val="nil"/>
              <w:tr2bl w:val="nil"/>
            </w:tcBorders>
            <w:shd w:val="clear" w:color="auto" w:fill="auto"/>
            <w:vAlign w:val="center"/>
          </w:tcPr>
          <w:p w14:paraId="157D1E8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26#新建道路旁</w:t>
            </w:r>
          </w:p>
        </w:tc>
        <w:tc>
          <w:tcPr>
            <w:tcW w:w="608" w:type="pct"/>
            <w:tcBorders>
              <w:tl2br w:val="nil"/>
              <w:tr2bl w:val="nil"/>
            </w:tcBorders>
            <w:shd w:val="clear" w:color="auto" w:fill="auto"/>
            <w:vAlign w:val="center"/>
          </w:tcPr>
          <w:p w14:paraId="3836333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0.06</w:t>
            </w:r>
          </w:p>
        </w:tc>
        <w:tc>
          <w:tcPr>
            <w:tcW w:w="398" w:type="pct"/>
            <w:tcBorders>
              <w:tl2br w:val="nil"/>
              <w:tr2bl w:val="nil"/>
            </w:tcBorders>
            <w:shd w:val="clear" w:color="auto" w:fill="auto"/>
            <w:vAlign w:val="center"/>
          </w:tcPr>
          <w:p w14:paraId="22E194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28EF3C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610</w:t>
            </w:r>
          </w:p>
        </w:tc>
        <w:tc>
          <w:tcPr>
            <w:tcW w:w="392" w:type="pct"/>
            <w:tcBorders>
              <w:tl2br w:val="nil"/>
              <w:tr2bl w:val="nil"/>
            </w:tcBorders>
            <w:shd w:val="clear" w:color="auto" w:fill="auto"/>
            <w:vAlign w:val="center"/>
          </w:tcPr>
          <w:p w14:paraId="1623392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793 </w:t>
            </w:r>
          </w:p>
        </w:tc>
        <w:tc>
          <w:tcPr>
            <w:tcW w:w="420" w:type="pct"/>
            <w:tcBorders>
              <w:tl2br w:val="nil"/>
              <w:tr2bl w:val="nil"/>
            </w:tcBorders>
            <w:shd w:val="clear" w:color="auto" w:fill="auto"/>
            <w:vAlign w:val="center"/>
          </w:tcPr>
          <w:p w14:paraId="42A379D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890</w:t>
            </w:r>
          </w:p>
        </w:tc>
        <w:tc>
          <w:tcPr>
            <w:tcW w:w="1013" w:type="pct"/>
            <w:tcBorders>
              <w:tl2br w:val="nil"/>
              <w:tr2bl w:val="nil"/>
            </w:tcBorders>
            <w:shd w:val="clear" w:color="auto" w:fill="auto"/>
            <w:vAlign w:val="center"/>
          </w:tcPr>
          <w:p w14:paraId="616F909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0D277F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306CB98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10#表土堆场</w:t>
            </w:r>
          </w:p>
        </w:tc>
        <w:tc>
          <w:tcPr>
            <w:tcW w:w="919" w:type="pct"/>
            <w:tcBorders>
              <w:tl2br w:val="nil"/>
              <w:tr2bl w:val="nil"/>
            </w:tcBorders>
            <w:shd w:val="clear" w:color="auto" w:fill="auto"/>
            <w:vAlign w:val="center"/>
          </w:tcPr>
          <w:p w14:paraId="0EF24DF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25#光伏阵列</w:t>
            </w:r>
          </w:p>
        </w:tc>
        <w:tc>
          <w:tcPr>
            <w:tcW w:w="608" w:type="pct"/>
            <w:tcBorders>
              <w:tl2br w:val="nil"/>
              <w:tr2bl w:val="nil"/>
            </w:tcBorders>
            <w:shd w:val="clear" w:color="auto" w:fill="auto"/>
            <w:vAlign w:val="center"/>
          </w:tcPr>
          <w:p w14:paraId="07C4853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0.03</w:t>
            </w:r>
          </w:p>
        </w:tc>
        <w:tc>
          <w:tcPr>
            <w:tcW w:w="398" w:type="pct"/>
            <w:tcBorders>
              <w:tl2br w:val="nil"/>
              <w:tr2bl w:val="nil"/>
            </w:tcBorders>
            <w:shd w:val="clear" w:color="auto" w:fill="auto"/>
            <w:vAlign w:val="center"/>
          </w:tcPr>
          <w:p w14:paraId="7F5E614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055803A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270</w:t>
            </w:r>
          </w:p>
        </w:tc>
        <w:tc>
          <w:tcPr>
            <w:tcW w:w="392" w:type="pct"/>
            <w:tcBorders>
              <w:tl2br w:val="nil"/>
              <w:tr2bl w:val="nil"/>
            </w:tcBorders>
            <w:shd w:val="clear" w:color="auto" w:fill="auto"/>
            <w:vAlign w:val="center"/>
          </w:tcPr>
          <w:p w14:paraId="5A5158C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351 </w:t>
            </w:r>
          </w:p>
        </w:tc>
        <w:tc>
          <w:tcPr>
            <w:tcW w:w="420" w:type="pct"/>
            <w:tcBorders>
              <w:tl2br w:val="nil"/>
              <w:tr2bl w:val="nil"/>
            </w:tcBorders>
            <w:shd w:val="clear" w:color="auto" w:fill="auto"/>
            <w:vAlign w:val="center"/>
          </w:tcPr>
          <w:p w14:paraId="65072A9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390</w:t>
            </w:r>
          </w:p>
        </w:tc>
        <w:tc>
          <w:tcPr>
            <w:tcW w:w="1013" w:type="pct"/>
            <w:tcBorders>
              <w:tl2br w:val="nil"/>
              <w:tr2bl w:val="nil"/>
            </w:tcBorders>
            <w:shd w:val="clear" w:color="auto" w:fill="auto"/>
            <w:vAlign w:val="center"/>
          </w:tcPr>
          <w:p w14:paraId="1B05D0F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184EDD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90" w:hRule="atLeast"/>
          <w:jc w:val="center"/>
        </w:trPr>
        <w:tc>
          <w:tcPr>
            <w:tcW w:w="778" w:type="pct"/>
            <w:tcBorders>
              <w:tl2br w:val="nil"/>
              <w:tr2bl w:val="nil"/>
            </w:tcBorders>
            <w:shd w:val="clear" w:color="auto" w:fill="auto"/>
            <w:vAlign w:val="center"/>
          </w:tcPr>
          <w:p w14:paraId="247301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11#表土堆场</w:t>
            </w:r>
          </w:p>
        </w:tc>
        <w:tc>
          <w:tcPr>
            <w:tcW w:w="919" w:type="pct"/>
            <w:tcBorders>
              <w:tl2br w:val="nil"/>
              <w:tr2bl w:val="nil"/>
            </w:tcBorders>
            <w:shd w:val="clear" w:color="auto" w:fill="auto"/>
            <w:vAlign w:val="center"/>
          </w:tcPr>
          <w:p w14:paraId="620C26F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21#光伏阵列</w:t>
            </w:r>
          </w:p>
        </w:tc>
        <w:tc>
          <w:tcPr>
            <w:tcW w:w="608" w:type="pct"/>
            <w:tcBorders>
              <w:tl2br w:val="nil"/>
              <w:tr2bl w:val="nil"/>
            </w:tcBorders>
            <w:shd w:val="clear" w:color="auto" w:fill="auto"/>
            <w:vAlign w:val="center"/>
          </w:tcPr>
          <w:p w14:paraId="009CF74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0.08</w:t>
            </w:r>
          </w:p>
        </w:tc>
        <w:tc>
          <w:tcPr>
            <w:tcW w:w="398" w:type="pct"/>
            <w:tcBorders>
              <w:tl2br w:val="nil"/>
              <w:tr2bl w:val="nil"/>
            </w:tcBorders>
            <w:shd w:val="clear" w:color="auto" w:fill="auto"/>
            <w:vAlign w:val="center"/>
          </w:tcPr>
          <w:p w14:paraId="2B10117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186406D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1150</w:t>
            </w:r>
          </w:p>
        </w:tc>
        <w:tc>
          <w:tcPr>
            <w:tcW w:w="392" w:type="pct"/>
            <w:tcBorders>
              <w:tl2br w:val="nil"/>
              <w:tr2bl w:val="nil"/>
            </w:tcBorders>
            <w:shd w:val="clear" w:color="auto" w:fill="auto"/>
            <w:vAlign w:val="center"/>
          </w:tcPr>
          <w:p w14:paraId="5401911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1495 </w:t>
            </w:r>
          </w:p>
        </w:tc>
        <w:tc>
          <w:tcPr>
            <w:tcW w:w="420" w:type="pct"/>
            <w:tcBorders>
              <w:tl2br w:val="nil"/>
              <w:tr2bl w:val="nil"/>
            </w:tcBorders>
            <w:shd w:val="clear" w:color="auto" w:fill="auto"/>
            <w:vAlign w:val="center"/>
          </w:tcPr>
          <w:p w14:paraId="234A8D7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1560</w:t>
            </w:r>
          </w:p>
        </w:tc>
        <w:tc>
          <w:tcPr>
            <w:tcW w:w="1013" w:type="pct"/>
            <w:tcBorders>
              <w:tl2br w:val="nil"/>
              <w:tr2bl w:val="nil"/>
            </w:tcBorders>
            <w:shd w:val="clear" w:color="auto" w:fill="auto"/>
            <w:vAlign w:val="center"/>
          </w:tcPr>
          <w:p w14:paraId="5FF627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12198D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35165F3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12#表土堆场</w:t>
            </w:r>
          </w:p>
        </w:tc>
        <w:tc>
          <w:tcPr>
            <w:tcW w:w="919" w:type="pct"/>
            <w:tcBorders>
              <w:tl2br w:val="nil"/>
              <w:tr2bl w:val="nil"/>
            </w:tcBorders>
            <w:shd w:val="clear" w:color="auto" w:fill="auto"/>
            <w:vAlign w:val="center"/>
          </w:tcPr>
          <w:p w14:paraId="5B83875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29#光伏阵列</w:t>
            </w:r>
          </w:p>
        </w:tc>
        <w:tc>
          <w:tcPr>
            <w:tcW w:w="608" w:type="pct"/>
            <w:tcBorders>
              <w:tl2br w:val="nil"/>
              <w:tr2bl w:val="nil"/>
            </w:tcBorders>
            <w:shd w:val="clear" w:color="auto" w:fill="auto"/>
            <w:vAlign w:val="center"/>
          </w:tcPr>
          <w:p w14:paraId="1BC3F36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0.02</w:t>
            </w:r>
          </w:p>
        </w:tc>
        <w:tc>
          <w:tcPr>
            <w:tcW w:w="398" w:type="pct"/>
            <w:tcBorders>
              <w:tl2br w:val="nil"/>
              <w:tr2bl w:val="nil"/>
            </w:tcBorders>
            <w:shd w:val="clear" w:color="auto" w:fill="auto"/>
            <w:vAlign w:val="center"/>
          </w:tcPr>
          <w:p w14:paraId="0CF1C7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5CB0424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120</w:t>
            </w:r>
          </w:p>
        </w:tc>
        <w:tc>
          <w:tcPr>
            <w:tcW w:w="392" w:type="pct"/>
            <w:tcBorders>
              <w:tl2br w:val="nil"/>
              <w:tr2bl w:val="nil"/>
            </w:tcBorders>
            <w:shd w:val="clear" w:color="auto" w:fill="auto"/>
            <w:vAlign w:val="center"/>
          </w:tcPr>
          <w:p w14:paraId="333C703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156 </w:t>
            </w:r>
          </w:p>
        </w:tc>
        <w:tc>
          <w:tcPr>
            <w:tcW w:w="420" w:type="pct"/>
            <w:tcBorders>
              <w:tl2br w:val="nil"/>
              <w:tr2bl w:val="nil"/>
            </w:tcBorders>
            <w:shd w:val="clear" w:color="auto" w:fill="auto"/>
            <w:vAlign w:val="center"/>
          </w:tcPr>
          <w:p w14:paraId="7C17F83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260</w:t>
            </w:r>
          </w:p>
        </w:tc>
        <w:tc>
          <w:tcPr>
            <w:tcW w:w="1013" w:type="pct"/>
            <w:tcBorders>
              <w:tl2br w:val="nil"/>
              <w:tr2bl w:val="nil"/>
            </w:tcBorders>
            <w:shd w:val="clear" w:color="auto" w:fill="auto"/>
            <w:vAlign w:val="center"/>
          </w:tcPr>
          <w:p w14:paraId="19D270A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4A2135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2DCEE4A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13#表土堆场</w:t>
            </w:r>
          </w:p>
        </w:tc>
        <w:tc>
          <w:tcPr>
            <w:tcW w:w="919" w:type="pct"/>
            <w:tcBorders>
              <w:tl2br w:val="nil"/>
              <w:tr2bl w:val="nil"/>
            </w:tcBorders>
            <w:shd w:val="clear" w:color="auto" w:fill="auto"/>
            <w:vAlign w:val="center"/>
          </w:tcPr>
          <w:p w14:paraId="4DEA058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31#光伏阵列</w:t>
            </w:r>
          </w:p>
        </w:tc>
        <w:tc>
          <w:tcPr>
            <w:tcW w:w="608" w:type="pct"/>
            <w:tcBorders>
              <w:tl2br w:val="nil"/>
              <w:tr2bl w:val="nil"/>
            </w:tcBorders>
            <w:shd w:val="clear" w:color="auto" w:fill="auto"/>
            <w:vAlign w:val="center"/>
          </w:tcPr>
          <w:p w14:paraId="08AD4EA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0.08</w:t>
            </w:r>
          </w:p>
        </w:tc>
        <w:tc>
          <w:tcPr>
            <w:tcW w:w="398" w:type="pct"/>
            <w:tcBorders>
              <w:tl2br w:val="nil"/>
              <w:tr2bl w:val="nil"/>
            </w:tcBorders>
            <w:shd w:val="clear" w:color="auto" w:fill="auto"/>
            <w:vAlign w:val="center"/>
          </w:tcPr>
          <w:p w14:paraId="4F4593D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0F85857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851</w:t>
            </w:r>
          </w:p>
        </w:tc>
        <w:tc>
          <w:tcPr>
            <w:tcW w:w="392" w:type="pct"/>
            <w:tcBorders>
              <w:tl2br w:val="nil"/>
              <w:tr2bl w:val="nil"/>
            </w:tcBorders>
            <w:shd w:val="clear" w:color="auto" w:fill="auto"/>
            <w:vAlign w:val="center"/>
          </w:tcPr>
          <w:p w14:paraId="515D174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1106 </w:t>
            </w:r>
          </w:p>
        </w:tc>
        <w:tc>
          <w:tcPr>
            <w:tcW w:w="420" w:type="pct"/>
            <w:tcBorders>
              <w:tl2br w:val="nil"/>
              <w:tr2bl w:val="nil"/>
            </w:tcBorders>
            <w:shd w:val="clear" w:color="auto" w:fill="auto"/>
            <w:vAlign w:val="center"/>
          </w:tcPr>
          <w:p w14:paraId="76C5A7B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1560</w:t>
            </w:r>
          </w:p>
        </w:tc>
        <w:tc>
          <w:tcPr>
            <w:tcW w:w="1013" w:type="pct"/>
            <w:tcBorders>
              <w:tl2br w:val="nil"/>
              <w:tr2bl w:val="nil"/>
            </w:tcBorders>
            <w:shd w:val="clear" w:color="auto" w:fill="auto"/>
            <w:vAlign w:val="center"/>
          </w:tcPr>
          <w:p w14:paraId="3801568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3875A5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04E1EF2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14#表土堆场</w:t>
            </w:r>
          </w:p>
        </w:tc>
        <w:tc>
          <w:tcPr>
            <w:tcW w:w="919" w:type="pct"/>
            <w:tcBorders>
              <w:tl2br w:val="nil"/>
              <w:tr2bl w:val="nil"/>
            </w:tcBorders>
            <w:shd w:val="clear" w:color="auto" w:fill="auto"/>
            <w:vAlign w:val="center"/>
          </w:tcPr>
          <w:p w14:paraId="4B469BD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35#光伏阵列</w:t>
            </w:r>
          </w:p>
        </w:tc>
        <w:tc>
          <w:tcPr>
            <w:tcW w:w="608" w:type="pct"/>
            <w:tcBorders>
              <w:tl2br w:val="nil"/>
              <w:tr2bl w:val="nil"/>
            </w:tcBorders>
            <w:shd w:val="clear" w:color="auto" w:fill="auto"/>
            <w:vAlign w:val="center"/>
          </w:tcPr>
          <w:p w14:paraId="3B7A0B4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0.23</w:t>
            </w:r>
          </w:p>
        </w:tc>
        <w:tc>
          <w:tcPr>
            <w:tcW w:w="398" w:type="pct"/>
            <w:tcBorders>
              <w:tl2br w:val="nil"/>
              <w:tr2bl w:val="nil"/>
            </w:tcBorders>
            <w:shd w:val="clear" w:color="auto" w:fill="auto"/>
            <w:vAlign w:val="center"/>
          </w:tcPr>
          <w:p w14:paraId="7BEBD67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3.5</w:t>
            </w:r>
          </w:p>
        </w:tc>
        <w:tc>
          <w:tcPr>
            <w:tcW w:w="468" w:type="pct"/>
            <w:tcBorders>
              <w:tl2br w:val="nil"/>
              <w:tr2bl w:val="nil"/>
            </w:tcBorders>
            <w:shd w:val="clear" w:color="auto" w:fill="auto"/>
            <w:vAlign w:val="center"/>
          </w:tcPr>
          <w:p w14:paraId="1B8271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3844</w:t>
            </w:r>
          </w:p>
        </w:tc>
        <w:tc>
          <w:tcPr>
            <w:tcW w:w="392" w:type="pct"/>
            <w:tcBorders>
              <w:tl2br w:val="nil"/>
              <w:tr2bl w:val="nil"/>
            </w:tcBorders>
            <w:shd w:val="clear" w:color="auto" w:fill="auto"/>
            <w:vAlign w:val="center"/>
          </w:tcPr>
          <w:p w14:paraId="5EDCB9D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 xml:space="preserve">4997 </w:t>
            </w:r>
          </w:p>
        </w:tc>
        <w:tc>
          <w:tcPr>
            <w:tcW w:w="420" w:type="pct"/>
            <w:tcBorders>
              <w:tl2br w:val="nil"/>
              <w:tr2bl w:val="nil"/>
            </w:tcBorders>
            <w:shd w:val="clear" w:color="auto" w:fill="auto"/>
            <w:vAlign w:val="center"/>
          </w:tcPr>
          <w:p w14:paraId="012A18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5230</w:t>
            </w:r>
          </w:p>
        </w:tc>
        <w:tc>
          <w:tcPr>
            <w:tcW w:w="1013" w:type="pct"/>
            <w:tcBorders>
              <w:tl2br w:val="nil"/>
              <w:tr2bl w:val="nil"/>
            </w:tcBorders>
            <w:shd w:val="clear" w:color="auto" w:fill="auto"/>
            <w:vAlign w:val="center"/>
          </w:tcPr>
          <w:p w14:paraId="778B9F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69B272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41AF155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15#表土堆场</w:t>
            </w:r>
          </w:p>
        </w:tc>
        <w:tc>
          <w:tcPr>
            <w:tcW w:w="919" w:type="pct"/>
            <w:tcBorders>
              <w:tl2br w:val="nil"/>
              <w:tr2bl w:val="nil"/>
            </w:tcBorders>
            <w:shd w:val="clear" w:color="auto" w:fill="auto"/>
            <w:vAlign w:val="center"/>
          </w:tcPr>
          <w:p w14:paraId="5C0DAAF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37#光伏阵列</w:t>
            </w:r>
          </w:p>
        </w:tc>
        <w:tc>
          <w:tcPr>
            <w:tcW w:w="608" w:type="pct"/>
            <w:tcBorders>
              <w:tl2br w:val="nil"/>
              <w:tr2bl w:val="nil"/>
            </w:tcBorders>
            <w:shd w:val="clear" w:color="auto" w:fill="auto"/>
            <w:vAlign w:val="center"/>
          </w:tcPr>
          <w:p w14:paraId="329D3DC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0.10</w:t>
            </w:r>
          </w:p>
        </w:tc>
        <w:tc>
          <w:tcPr>
            <w:tcW w:w="398" w:type="pct"/>
            <w:tcBorders>
              <w:tl2br w:val="nil"/>
              <w:tr2bl w:val="nil"/>
            </w:tcBorders>
            <w:shd w:val="clear" w:color="auto" w:fill="auto"/>
            <w:vAlign w:val="center"/>
          </w:tcPr>
          <w:p w14:paraId="19F7408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3793E22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1451</w:t>
            </w:r>
          </w:p>
        </w:tc>
        <w:tc>
          <w:tcPr>
            <w:tcW w:w="392" w:type="pct"/>
            <w:tcBorders>
              <w:tl2br w:val="nil"/>
              <w:tr2bl w:val="nil"/>
            </w:tcBorders>
            <w:shd w:val="clear" w:color="auto" w:fill="auto"/>
            <w:vAlign w:val="center"/>
          </w:tcPr>
          <w:p w14:paraId="1892764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1886</w:t>
            </w:r>
          </w:p>
        </w:tc>
        <w:tc>
          <w:tcPr>
            <w:tcW w:w="420" w:type="pct"/>
            <w:tcBorders>
              <w:tl2br w:val="nil"/>
              <w:tr2bl w:val="nil"/>
            </w:tcBorders>
            <w:shd w:val="clear" w:color="auto" w:fill="auto"/>
            <w:vAlign w:val="center"/>
          </w:tcPr>
          <w:p w14:paraId="2694A10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1950</w:t>
            </w:r>
          </w:p>
        </w:tc>
        <w:tc>
          <w:tcPr>
            <w:tcW w:w="1013" w:type="pct"/>
            <w:tcBorders>
              <w:tl2br w:val="nil"/>
              <w:tr2bl w:val="nil"/>
            </w:tcBorders>
            <w:shd w:val="clear" w:color="auto" w:fill="auto"/>
            <w:vAlign w:val="center"/>
          </w:tcPr>
          <w:p w14:paraId="5FE9BA1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5BEF65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4F59F9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16#表土堆场</w:t>
            </w:r>
          </w:p>
        </w:tc>
        <w:tc>
          <w:tcPr>
            <w:tcW w:w="919" w:type="pct"/>
            <w:tcBorders>
              <w:tl2br w:val="nil"/>
              <w:tr2bl w:val="nil"/>
            </w:tcBorders>
            <w:shd w:val="clear" w:color="auto" w:fill="auto"/>
            <w:vAlign w:val="center"/>
          </w:tcPr>
          <w:p w14:paraId="3C51E8D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32#光伏阵列</w:t>
            </w:r>
          </w:p>
        </w:tc>
        <w:tc>
          <w:tcPr>
            <w:tcW w:w="608" w:type="pct"/>
            <w:tcBorders>
              <w:tl2br w:val="nil"/>
              <w:tr2bl w:val="nil"/>
            </w:tcBorders>
            <w:shd w:val="clear" w:color="auto" w:fill="auto"/>
            <w:vAlign w:val="center"/>
          </w:tcPr>
          <w:p w14:paraId="182CB9E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0.02</w:t>
            </w:r>
          </w:p>
        </w:tc>
        <w:tc>
          <w:tcPr>
            <w:tcW w:w="398" w:type="pct"/>
            <w:tcBorders>
              <w:tl2br w:val="nil"/>
              <w:tr2bl w:val="nil"/>
            </w:tcBorders>
            <w:shd w:val="clear" w:color="auto" w:fill="auto"/>
            <w:vAlign w:val="center"/>
          </w:tcPr>
          <w:p w14:paraId="29A3C09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6714764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100</w:t>
            </w:r>
          </w:p>
        </w:tc>
        <w:tc>
          <w:tcPr>
            <w:tcW w:w="392" w:type="pct"/>
            <w:tcBorders>
              <w:tl2br w:val="nil"/>
              <w:tr2bl w:val="nil"/>
            </w:tcBorders>
            <w:shd w:val="clear" w:color="auto" w:fill="auto"/>
            <w:vAlign w:val="center"/>
          </w:tcPr>
          <w:p w14:paraId="4B648AC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 xml:space="preserve">130 </w:t>
            </w:r>
          </w:p>
        </w:tc>
        <w:tc>
          <w:tcPr>
            <w:tcW w:w="420" w:type="pct"/>
            <w:tcBorders>
              <w:tl2br w:val="nil"/>
              <w:tr2bl w:val="nil"/>
            </w:tcBorders>
            <w:shd w:val="clear" w:color="auto" w:fill="auto"/>
            <w:vAlign w:val="center"/>
          </w:tcPr>
          <w:p w14:paraId="298A6C1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260</w:t>
            </w:r>
          </w:p>
        </w:tc>
        <w:tc>
          <w:tcPr>
            <w:tcW w:w="1013" w:type="pct"/>
            <w:tcBorders>
              <w:tl2br w:val="nil"/>
              <w:tr2bl w:val="nil"/>
            </w:tcBorders>
            <w:shd w:val="clear" w:color="auto" w:fill="auto"/>
            <w:vAlign w:val="center"/>
          </w:tcPr>
          <w:p w14:paraId="5E343DA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1EE2DC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420C4C2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17#表土堆场</w:t>
            </w:r>
          </w:p>
        </w:tc>
        <w:tc>
          <w:tcPr>
            <w:tcW w:w="919" w:type="pct"/>
            <w:tcBorders>
              <w:tl2br w:val="nil"/>
              <w:tr2bl w:val="nil"/>
            </w:tcBorders>
            <w:shd w:val="clear" w:color="auto" w:fill="auto"/>
            <w:vAlign w:val="center"/>
          </w:tcPr>
          <w:p w14:paraId="5467BF7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36#光伏阵列</w:t>
            </w:r>
          </w:p>
        </w:tc>
        <w:tc>
          <w:tcPr>
            <w:tcW w:w="608" w:type="pct"/>
            <w:tcBorders>
              <w:tl2br w:val="nil"/>
              <w:tr2bl w:val="nil"/>
            </w:tcBorders>
            <w:shd w:val="clear" w:color="auto" w:fill="auto"/>
            <w:vAlign w:val="center"/>
          </w:tcPr>
          <w:p w14:paraId="2A6C771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0.02</w:t>
            </w:r>
          </w:p>
        </w:tc>
        <w:tc>
          <w:tcPr>
            <w:tcW w:w="398" w:type="pct"/>
            <w:tcBorders>
              <w:tl2br w:val="nil"/>
              <w:tr2bl w:val="nil"/>
            </w:tcBorders>
            <w:shd w:val="clear" w:color="auto" w:fill="auto"/>
            <w:vAlign w:val="center"/>
          </w:tcPr>
          <w:p w14:paraId="61864B9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185EDDE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160</w:t>
            </w:r>
          </w:p>
        </w:tc>
        <w:tc>
          <w:tcPr>
            <w:tcW w:w="392" w:type="pct"/>
            <w:tcBorders>
              <w:tl2br w:val="nil"/>
              <w:tr2bl w:val="nil"/>
            </w:tcBorders>
            <w:shd w:val="clear" w:color="auto" w:fill="auto"/>
            <w:vAlign w:val="center"/>
          </w:tcPr>
          <w:p w14:paraId="51F3F09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160</w:t>
            </w:r>
          </w:p>
        </w:tc>
        <w:tc>
          <w:tcPr>
            <w:tcW w:w="420" w:type="pct"/>
            <w:tcBorders>
              <w:tl2br w:val="nil"/>
              <w:tr2bl w:val="nil"/>
            </w:tcBorders>
            <w:shd w:val="clear" w:color="auto" w:fill="auto"/>
            <w:vAlign w:val="center"/>
          </w:tcPr>
          <w:p w14:paraId="117506E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260</w:t>
            </w:r>
          </w:p>
        </w:tc>
        <w:tc>
          <w:tcPr>
            <w:tcW w:w="1013" w:type="pct"/>
            <w:tcBorders>
              <w:tl2br w:val="nil"/>
              <w:tr2bl w:val="nil"/>
            </w:tcBorders>
            <w:shd w:val="clear" w:color="auto" w:fill="auto"/>
            <w:vAlign w:val="center"/>
          </w:tcPr>
          <w:p w14:paraId="610043C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0D0B8E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6108D89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18#表土堆场</w:t>
            </w:r>
          </w:p>
        </w:tc>
        <w:tc>
          <w:tcPr>
            <w:tcW w:w="919" w:type="pct"/>
            <w:tcBorders>
              <w:tl2br w:val="nil"/>
              <w:tr2bl w:val="nil"/>
            </w:tcBorders>
            <w:shd w:val="clear" w:color="auto" w:fill="auto"/>
            <w:vAlign w:val="center"/>
          </w:tcPr>
          <w:p w14:paraId="59D6EC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40#光伏阵列</w:t>
            </w:r>
          </w:p>
        </w:tc>
        <w:tc>
          <w:tcPr>
            <w:tcW w:w="608" w:type="pct"/>
            <w:tcBorders>
              <w:tl2br w:val="nil"/>
              <w:tr2bl w:val="nil"/>
            </w:tcBorders>
            <w:shd w:val="clear" w:color="auto" w:fill="auto"/>
            <w:vAlign w:val="center"/>
          </w:tcPr>
          <w:p w14:paraId="6D818DC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0.02</w:t>
            </w:r>
          </w:p>
        </w:tc>
        <w:tc>
          <w:tcPr>
            <w:tcW w:w="398" w:type="pct"/>
            <w:tcBorders>
              <w:tl2br w:val="nil"/>
              <w:tr2bl w:val="nil"/>
            </w:tcBorders>
            <w:shd w:val="clear" w:color="auto" w:fill="auto"/>
            <w:vAlign w:val="center"/>
          </w:tcPr>
          <w:p w14:paraId="1114B24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2646DB0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130</w:t>
            </w:r>
          </w:p>
        </w:tc>
        <w:tc>
          <w:tcPr>
            <w:tcW w:w="392" w:type="pct"/>
            <w:tcBorders>
              <w:tl2br w:val="nil"/>
              <w:tr2bl w:val="nil"/>
            </w:tcBorders>
            <w:shd w:val="clear" w:color="auto" w:fill="auto"/>
            <w:vAlign w:val="center"/>
          </w:tcPr>
          <w:p w14:paraId="5EFFA66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186</w:t>
            </w:r>
          </w:p>
        </w:tc>
        <w:tc>
          <w:tcPr>
            <w:tcW w:w="420" w:type="pct"/>
            <w:tcBorders>
              <w:tl2br w:val="nil"/>
              <w:tr2bl w:val="nil"/>
            </w:tcBorders>
            <w:shd w:val="clear" w:color="auto" w:fill="auto"/>
            <w:vAlign w:val="center"/>
          </w:tcPr>
          <w:p w14:paraId="64A756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260</w:t>
            </w:r>
          </w:p>
        </w:tc>
        <w:tc>
          <w:tcPr>
            <w:tcW w:w="1013" w:type="pct"/>
            <w:tcBorders>
              <w:tl2br w:val="nil"/>
              <w:tr2bl w:val="nil"/>
            </w:tcBorders>
            <w:shd w:val="clear" w:color="auto" w:fill="auto"/>
            <w:vAlign w:val="center"/>
          </w:tcPr>
          <w:p w14:paraId="40F94AA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21A530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1C25FDF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19</w:t>
            </w:r>
            <w:r>
              <w:rPr>
                <w:rFonts w:hint="default" w:ascii="Times New Roman" w:hAnsi="Times New Roman" w:eastAsia="仿宋" w:cs="Times New Roman"/>
                <w:color w:val="auto"/>
                <w:sz w:val="21"/>
                <w:szCs w:val="21"/>
                <w:highlight w:val="none"/>
              </w:rPr>
              <w:t>#表土堆场</w:t>
            </w:r>
          </w:p>
        </w:tc>
        <w:tc>
          <w:tcPr>
            <w:tcW w:w="919" w:type="pct"/>
            <w:tcBorders>
              <w:tl2br w:val="nil"/>
              <w:tr2bl w:val="nil"/>
            </w:tcBorders>
            <w:shd w:val="clear" w:color="auto" w:fill="auto"/>
            <w:vAlign w:val="center"/>
          </w:tcPr>
          <w:p w14:paraId="2BEBC7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42#光伏阵列</w:t>
            </w:r>
          </w:p>
        </w:tc>
        <w:tc>
          <w:tcPr>
            <w:tcW w:w="608" w:type="pct"/>
            <w:tcBorders>
              <w:tl2br w:val="nil"/>
              <w:tr2bl w:val="nil"/>
            </w:tcBorders>
            <w:shd w:val="clear" w:color="auto" w:fill="auto"/>
            <w:vAlign w:val="center"/>
          </w:tcPr>
          <w:p w14:paraId="5A37EB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0.02</w:t>
            </w:r>
          </w:p>
        </w:tc>
        <w:tc>
          <w:tcPr>
            <w:tcW w:w="398" w:type="pct"/>
            <w:tcBorders>
              <w:tl2br w:val="nil"/>
              <w:tr2bl w:val="nil"/>
            </w:tcBorders>
            <w:shd w:val="clear" w:color="auto" w:fill="auto"/>
            <w:vAlign w:val="center"/>
          </w:tcPr>
          <w:p w14:paraId="470945F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2154C1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160</w:t>
            </w:r>
          </w:p>
        </w:tc>
        <w:tc>
          <w:tcPr>
            <w:tcW w:w="392" w:type="pct"/>
            <w:tcBorders>
              <w:tl2br w:val="nil"/>
              <w:tr2bl w:val="nil"/>
            </w:tcBorders>
            <w:shd w:val="clear" w:color="auto" w:fill="auto"/>
            <w:vAlign w:val="center"/>
          </w:tcPr>
          <w:p w14:paraId="6F3391C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208</w:t>
            </w:r>
          </w:p>
        </w:tc>
        <w:tc>
          <w:tcPr>
            <w:tcW w:w="420" w:type="pct"/>
            <w:tcBorders>
              <w:tl2br w:val="nil"/>
              <w:tr2bl w:val="nil"/>
            </w:tcBorders>
            <w:shd w:val="clear" w:color="auto" w:fill="auto"/>
            <w:vAlign w:val="center"/>
          </w:tcPr>
          <w:p w14:paraId="7A805C4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260</w:t>
            </w:r>
          </w:p>
        </w:tc>
        <w:tc>
          <w:tcPr>
            <w:tcW w:w="1013" w:type="pct"/>
            <w:tcBorders>
              <w:tl2br w:val="nil"/>
              <w:tr2bl w:val="nil"/>
            </w:tcBorders>
            <w:shd w:val="clear" w:color="auto" w:fill="auto"/>
            <w:vAlign w:val="center"/>
          </w:tcPr>
          <w:p w14:paraId="561F600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13F0F6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236A04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20</w:t>
            </w:r>
            <w:r>
              <w:rPr>
                <w:rFonts w:hint="default" w:ascii="Times New Roman" w:hAnsi="Times New Roman" w:eastAsia="仿宋" w:cs="Times New Roman"/>
                <w:color w:val="auto"/>
                <w:sz w:val="21"/>
                <w:szCs w:val="21"/>
                <w:highlight w:val="none"/>
              </w:rPr>
              <w:t>#表土堆场</w:t>
            </w:r>
          </w:p>
        </w:tc>
        <w:tc>
          <w:tcPr>
            <w:tcW w:w="919" w:type="pct"/>
            <w:tcBorders>
              <w:tl2br w:val="nil"/>
              <w:tr2bl w:val="nil"/>
            </w:tcBorders>
            <w:shd w:val="clear" w:color="auto" w:fill="auto"/>
            <w:vAlign w:val="center"/>
          </w:tcPr>
          <w:p w14:paraId="590EAB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46#光伏阵列</w:t>
            </w:r>
          </w:p>
        </w:tc>
        <w:tc>
          <w:tcPr>
            <w:tcW w:w="608" w:type="pct"/>
            <w:tcBorders>
              <w:tl2br w:val="nil"/>
              <w:tr2bl w:val="nil"/>
            </w:tcBorders>
            <w:shd w:val="clear" w:color="auto" w:fill="auto"/>
            <w:vAlign w:val="center"/>
          </w:tcPr>
          <w:p w14:paraId="164B92C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0.08</w:t>
            </w:r>
          </w:p>
        </w:tc>
        <w:tc>
          <w:tcPr>
            <w:tcW w:w="398" w:type="pct"/>
            <w:tcBorders>
              <w:tl2br w:val="nil"/>
              <w:tr2bl w:val="nil"/>
            </w:tcBorders>
            <w:shd w:val="clear" w:color="auto" w:fill="auto"/>
            <w:vAlign w:val="center"/>
          </w:tcPr>
          <w:p w14:paraId="4C19731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w:t>
            </w:r>
          </w:p>
        </w:tc>
        <w:tc>
          <w:tcPr>
            <w:tcW w:w="468" w:type="pct"/>
            <w:tcBorders>
              <w:tl2br w:val="nil"/>
              <w:tr2bl w:val="nil"/>
            </w:tcBorders>
            <w:shd w:val="clear" w:color="auto" w:fill="auto"/>
            <w:vAlign w:val="center"/>
          </w:tcPr>
          <w:p w14:paraId="2615AAB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1110</w:t>
            </w:r>
          </w:p>
        </w:tc>
        <w:tc>
          <w:tcPr>
            <w:tcW w:w="392" w:type="pct"/>
            <w:tcBorders>
              <w:tl2br w:val="nil"/>
              <w:tr2bl w:val="nil"/>
            </w:tcBorders>
            <w:shd w:val="clear" w:color="auto" w:fill="auto"/>
            <w:vAlign w:val="center"/>
          </w:tcPr>
          <w:p w14:paraId="7C31F24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1476</w:t>
            </w:r>
          </w:p>
        </w:tc>
        <w:tc>
          <w:tcPr>
            <w:tcW w:w="420" w:type="pct"/>
            <w:tcBorders>
              <w:tl2br w:val="nil"/>
              <w:tr2bl w:val="nil"/>
            </w:tcBorders>
            <w:shd w:val="clear" w:color="auto" w:fill="auto"/>
            <w:vAlign w:val="center"/>
          </w:tcPr>
          <w:p w14:paraId="31C7144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1560</w:t>
            </w:r>
          </w:p>
        </w:tc>
        <w:tc>
          <w:tcPr>
            <w:tcW w:w="1013" w:type="pct"/>
            <w:tcBorders>
              <w:tl2br w:val="nil"/>
              <w:tr2bl w:val="nil"/>
            </w:tcBorders>
            <w:shd w:val="clear" w:color="auto" w:fill="auto"/>
            <w:vAlign w:val="center"/>
          </w:tcPr>
          <w:p w14:paraId="3DC377A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2C38D8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65EDD20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21</w:t>
            </w:r>
            <w:r>
              <w:rPr>
                <w:rFonts w:hint="default" w:ascii="Times New Roman" w:hAnsi="Times New Roman" w:eastAsia="仿宋" w:cs="Times New Roman"/>
                <w:color w:val="auto"/>
                <w:sz w:val="21"/>
                <w:szCs w:val="21"/>
                <w:highlight w:val="none"/>
              </w:rPr>
              <w:t>#表土堆场</w:t>
            </w:r>
          </w:p>
        </w:tc>
        <w:tc>
          <w:tcPr>
            <w:tcW w:w="919" w:type="pct"/>
            <w:tcBorders>
              <w:tl2br w:val="nil"/>
              <w:tr2bl w:val="nil"/>
            </w:tcBorders>
            <w:shd w:val="clear" w:color="auto" w:fill="auto"/>
            <w:vAlign w:val="center"/>
          </w:tcPr>
          <w:p w14:paraId="560BEC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48#光伏阵列</w:t>
            </w:r>
          </w:p>
        </w:tc>
        <w:tc>
          <w:tcPr>
            <w:tcW w:w="608" w:type="pct"/>
            <w:tcBorders>
              <w:tl2br w:val="nil"/>
              <w:tr2bl w:val="nil"/>
            </w:tcBorders>
            <w:shd w:val="clear" w:color="auto" w:fill="auto"/>
            <w:vAlign w:val="center"/>
          </w:tcPr>
          <w:p w14:paraId="4707DD3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0.03</w:t>
            </w:r>
          </w:p>
        </w:tc>
        <w:tc>
          <w:tcPr>
            <w:tcW w:w="398" w:type="pct"/>
            <w:tcBorders>
              <w:tl2br w:val="nil"/>
              <w:tr2bl w:val="nil"/>
            </w:tcBorders>
            <w:shd w:val="clear" w:color="auto" w:fill="auto"/>
            <w:vAlign w:val="center"/>
          </w:tcPr>
          <w:p w14:paraId="1AE9C7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2</w:t>
            </w:r>
          </w:p>
        </w:tc>
        <w:tc>
          <w:tcPr>
            <w:tcW w:w="468" w:type="pct"/>
            <w:tcBorders>
              <w:tl2br w:val="nil"/>
              <w:tr2bl w:val="nil"/>
            </w:tcBorders>
            <w:shd w:val="clear" w:color="auto" w:fill="auto"/>
            <w:vAlign w:val="center"/>
          </w:tcPr>
          <w:p w14:paraId="51AB5BB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210</w:t>
            </w:r>
          </w:p>
        </w:tc>
        <w:tc>
          <w:tcPr>
            <w:tcW w:w="392" w:type="pct"/>
            <w:tcBorders>
              <w:tl2br w:val="nil"/>
              <w:tr2bl w:val="nil"/>
            </w:tcBorders>
            <w:shd w:val="clear" w:color="auto" w:fill="auto"/>
            <w:vAlign w:val="center"/>
          </w:tcPr>
          <w:p w14:paraId="700C5B9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 xml:space="preserve">273 </w:t>
            </w:r>
          </w:p>
        </w:tc>
        <w:tc>
          <w:tcPr>
            <w:tcW w:w="420" w:type="pct"/>
            <w:tcBorders>
              <w:tl2br w:val="nil"/>
              <w:tr2bl w:val="nil"/>
            </w:tcBorders>
            <w:shd w:val="clear" w:color="auto" w:fill="auto"/>
            <w:vAlign w:val="center"/>
          </w:tcPr>
          <w:p w14:paraId="5DBA07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390</w:t>
            </w:r>
          </w:p>
        </w:tc>
        <w:tc>
          <w:tcPr>
            <w:tcW w:w="1013" w:type="pct"/>
            <w:tcBorders>
              <w:tl2br w:val="nil"/>
              <w:tr2bl w:val="nil"/>
            </w:tcBorders>
            <w:shd w:val="clear" w:color="auto" w:fill="auto"/>
            <w:vAlign w:val="center"/>
          </w:tcPr>
          <w:p w14:paraId="160BC00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新建道路</w:t>
            </w:r>
          </w:p>
        </w:tc>
      </w:tr>
      <w:tr w14:paraId="1F8EF4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340" w:hRule="atLeast"/>
          <w:jc w:val="center"/>
        </w:trPr>
        <w:tc>
          <w:tcPr>
            <w:tcW w:w="778" w:type="pct"/>
            <w:tcBorders>
              <w:tl2br w:val="nil"/>
              <w:tr2bl w:val="nil"/>
            </w:tcBorders>
            <w:shd w:val="clear" w:color="auto" w:fill="auto"/>
            <w:vAlign w:val="center"/>
          </w:tcPr>
          <w:p w14:paraId="04BD630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合计</w:t>
            </w:r>
          </w:p>
        </w:tc>
        <w:tc>
          <w:tcPr>
            <w:tcW w:w="919" w:type="pct"/>
            <w:tcBorders>
              <w:tl2br w:val="nil"/>
              <w:tr2bl w:val="nil"/>
            </w:tcBorders>
            <w:shd w:val="clear" w:color="auto" w:fill="auto"/>
            <w:vAlign w:val="center"/>
          </w:tcPr>
          <w:p w14:paraId="00602C3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608" w:type="pct"/>
            <w:tcBorders>
              <w:tl2br w:val="nil"/>
              <w:tr2bl w:val="nil"/>
            </w:tcBorders>
            <w:shd w:val="clear" w:color="auto" w:fill="auto"/>
            <w:vAlign w:val="center"/>
          </w:tcPr>
          <w:p w14:paraId="6D7B2BA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fldChar w:fldCharType="begin"/>
            </w:r>
            <w:r>
              <w:rPr>
                <w:rFonts w:hint="default" w:ascii="Times New Roman" w:hAnsi="Times New Roman" w:eastAsia="仿宋" w:cs="Times New Roman"/>
                <w:color w:val="auto"/>
                <w:sz w:val="21"/>
                <w:szCs w:val="21"/>
                <w:highlight w:val="none"/>
              </w:rPr>
              <w:instrText xml:space="preserve"> =SUM(ABOVE) \* MERGEFORMAT </w:instrText>
            </w:r>
            <w:r>
              <w:rPr>
                <w:rFonts w:hint="default" w:ascii="Times New Roman" w:hAnsi="Times New Roman" w:eastAsia="仿宋" w:cs="Times New Roman"/>
                <w:color w:val="auto"/>
                <w:sz w:val="21"/>
                <w:szCs w:val="21"/>
                <w:highlight w:val="none"/>
              </w:rPr>
              <w:fldChar w:fldCharType="separate"/>
            </w:r>
            <w:r>
              <w:rPr>
                <w:rFonts w:hint="default" w:ascii="Times New Roman" w:hAnsi="Times New Roman" w:eastAsia="仿宋" w:cs="Times New Roman"/>
                <w:color w:val="auto"/>
                <w:sz w:val="21"/>
                <w:szCs w:val="21"/>
                <w:highlight w:val="none"/>
              </w:rPr>
              <w:t>1.0</w:t>
            </w:r>
            <w:r>
              <w:rPr>
                <w:rFonts w:hint="default" w:ascii="Times New Roman" w:hAnsi="Times New Roman" w:eastAsia="仿宋" w:cs="Times New Roman"/>
                <w:color w:val="auto"/>
                <w:sz w:val="21"/>
                <w:szCs w:val="21"/>
                <w:highlight w:val="none"/>
                <w:lang w:val="en-US" w:eastAsia="zh-CN"/>
              </w:rPr>
              <w:t>6</w:t>
            </w:r>
            <w:r>
              <w:rPr>
                <w:rFonts w:hint="default" w:ascii="Times New Roman" w:hAnsi="Times New Roman" w:eastAsia="仿宋" w:cs="Times New Roman"/>
                <w:color w:val="auto"/>
                <w:sz w:val="21"/>
                <w:szCs w:val="21"/>
                <w:highlight w:val="none"/>
              </w:rPr>
              <w:fldChar w:fldCharType="end"/>
            </w:r>
          </w:p>
        </w:tc>
        <w:tc>
          <w:tcPr>
            <w:tcW w:w="398" w:type="pct"/>
            <w:tcBorders>
              <w:tl2br w:val="nil"/>
              <w:tr2bl w:val="nil"/>
            </w:tcBorders>
            <w:shd w:val="clear" w:color="auto" w:fill="auto"/>
            <w:vAlign w:val="center"/>
          </w:tcPr>
          <w:p w14:paraId="1CC0FA0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468" w:type="pct"/>
            <w:tcBorders>
              <w:tl2br w:val="nil"/>
              <w:tr2bl w:val="nil"/>
            </w:tcBorders>
            <w:shd w:val="clear" w:color="auto" w:fill="auto"/>
            <w:vAlign w:val="center"/>
          </w:tcPr>
          <w:p w14:paraId="088E84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13493</w:t>
            </w:r>
          </w:p>
        </w:tc>
        <w:tc>
          <w:tcPr>
            <w:tcW w:w="392" w:type="pct"/>
            <w:tcBorders>
              <w:tl2br w:val="nil"/>
              <w:tr2bl w:val="nil"/>
            </w:tcBorders>
            <w:shd w:val="clear" w:color="auto" w:fill="auto"/>
            <w:vAlign w:val="center"/>
          </w:tcPr>
          <w:p w14:paraId="524B532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17550</w:t>
            </w:r>
          </w:p>
        </w:tc>
        <w:tc>
          <w:tcPr>
            <w:tcW w:w="420" w:type="pct"/>
            <w:tcBorders>
              <w:tl2br w:val="nil"/>
              <w:tr2bl w:val="nil"/>
            </w:tcBorders>
            <w:shd w:val="clear" w:color="auto" w:fill="auto"/>
            <w:vAlign w:val="center"/>
          </w:tcPr>
          <w:p w14:paraId="730602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20160</w:t>
            </w:r>
          </w:p>
        </w:tc>
        <w:tc>
          <w:tcPr>
            <w:tcW w:w="1013" w:type="pct"/>
            <w:tcBorders>
              <w:tl2br w:val="nil"/>
              <w:tr2bl w:val="nil"/>
            </w:tcBorders>
            <w:shd w:val="clear" w:color="auto" w:fill="auto"/>
            <w:vAlign w:val="center"/>
          </w:tcPr>
          <w:p w14:paraId="14EC30F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bl>
    <w:p w14:paraId="073BBF4C">
      <w:pPr>
        <w:ind w:left="0" w:leftChars="0" w:firstLine="0" w:firstLineChars="0"/>
        <w:jc w:val="center"/>
        <w:rPr>
          <w:rFonts w:hint="default"/>
          <w:color w:val="auto"/>
          <w:highlight w:val="none"/>
          <w:lang w:val="en-US" w:eastAsia="zh-CN"/>
        </w:rPr>
        <w:sectPr>
          <w:pgSz w:w="16838" w:h="11906" w:orient="landscape"/>
          <w:pgMar w:top="1440" w:right="1080" w:bottom="1440" w:left="1080" w:header="851" w:footer="1077" w:gutter="0"/>
          <w:pgBorders>
            <w:top w:val="none" w:sz="0" w:space="0"/>
            <w:left w:val="none" w:sz="0" w:space="0"/>
            <w:bottom w:val="none" w:sz="0" w:space="0"/>
            <w:right w:val="none" w:sz="0" w:space="0"/>
          </w:pgBorders>
          <w:pgNumType w:fmt="decimal"/>
          <w:cols w:space="720" w:num="1"/>
          <w:docGrid w:linePitch="312" w:charSpace="0"/>
        </w:sectPr>
      </w:pPr>
    </w:p>
    <w:p w14:paraId="43818EC9">
      <w:pPr>
        <w:rPr>
          <w:color w:val="auto"/>
          <w:highlight w:val="none"/>
        </w:rPr>
      </w:pPr>
    </w:p>
    <w:tbl>
      <w:tblPr>
        <w:tblStyle w:val="10"/>
        <w:tblW w:w="571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4"/>
        <w:gridCol w:w="8980"/>
      </w:tblGrid>
      <w:tr w14:paraId="4EF70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87" w:type="pct"/>
            <w:noWrap w:val="0"/>
            <w:vAlign w:val="center"/>
          </w:tcPr>
          <w:p w14:paraId="7D2879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施工方案</w:t>
            </w:r>
          </w:p>
        </w:tc>
        <w:tc>
          <w:tcPr>
            <w:tcW w:w="4612" w:type="pct"/>
            <w:noWrap w:val="0"/>
            <w:vAlign w:val="center"/>
          </w:tcPr>
          <w:p w14:paraId="0A814742">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kern w:val="0"/>
                <w:sz w:val="24"/>
                <w:szCs w:val="24"/>
                <w:highlight w:val="none"/>
                <w:lang w:val="en-US" w:eastAsia="zh-CN"/>
              </w:rPr>
            </w:pPr>
            <w:r>
              <w:rPr>
                <w:rFonts w:hint="eastAsia" w:cs="Times New Roman"/>
                <w:b/>
                <w:color w:val="auto"/>
                <w:kern w:val="0"/>
                <w:sz w:val="24"/>
                <w:szCs w:val="24"/>
                <w:highlight w:val="none"/>
                <w:lang w:val="en-US" w:eastAsia="zh-CN"/>
              </w:rPr>
              <w:t>2.8 施工方案</w:t>
            </w:r>
          </w:p>
          <w:p w14:paraId="640F3BAD">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color w:val="auto"/>
                <w:kern w:val="0"/>
                <w:sz w:val="24"/>
                <w:szCs w:val="24"/>
                <w:highlight w:val="none"/>
                <w:lang w:val="en-US" w:eastAsia="zh-CN"/>
              </w:rPr>
            </w:pPr>
            <w:r>
              <w:rPr>
                <w:rFonts w:hint="default" w:ascii="Times New Roman" w:hAnsi="Times New Roman" w:eastAsia="仿宋" w:cs="Times New Roman"/>
                <w:b/>
                <w:color w:val="auto"/>
                <w:kern w:val="0"/>
                <w:sz w:val="24"/>
                <w:szCs w:val="24"/>
                <w:highlight w:val="none"/>
                <w:lang w:val="en-US" w:eastAsia="zh-CN"/>
              </w:rPr>
              <w:t>1、施工工序</w:t>
            </w:r>
          </w:p>
          <w:p w14:paraId="1D9CE69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szCs w:val="24"/>
                <w:highlight w:val="none"/>
                <w:lang w:val="en-US" w:eastAsia="zh-CN"/>
              </w:rPr>
            </w:pPr>
            <w:r>
              <w:rPr>
                <w:rFonts w:hint="default" w:ascii="Times New Roman" w:hAnsi="Times New Roman" w:eastAsia="仿宋" w:cs="Times New Roman"/>
                <w:b w:val="0"/>
                <w:bCs/>
                <w:color w:val="auto"/>
                <w:kern w:val="0"/>
                <w:sz w:val="24"/>
                <w:szCs w:val="24"/>
                <w:highlight w:val="none"/>
                <w:lang w:val="en-US" w:eastAsia="zh-CN"/>
              </w:rPr>
              <w:t>本项目建设期为 8 个月，本项目的具体工程施工顺序安排见图 2-4。</w:t>
            </w:r>
          </w:p>
          <w:p w14:paraId="2CB146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eastAsia="仿宋" w:cs="Times New Roman"/>
                <w:b/>
                <w:color w:val="auto"/>
                <w:kern w:val="0"/>
                <w:sz w:val="24"/>
                <w:szCs w:val="24"/>
                <w:highlight w:val="none"/>
                <w:lang w:val="en-US" w:eastAsia="zh-CN"/>
              </w:rPr>
            </w:pPr>
            <w:r>
              <w:rPr>
                <w:rFonts w:hint="default" w:ascii="Times New Roman" w:hAnsi="Times New Roman" w:eastAsia="仿宋" w:cs="Times New Roman"/>
                <w:b/>
                <w:color w:val="auto"/>
                <w:kern w:val="0"/>
                <w:sz w:val="24"/>
                <w:szCs w:val="24"/>
                <w:highlight w:val="none"/>
                <w:lang w:val="en-US" w:eastAsia="zh-CN"/>
              </w:rPr>
              <w:drawing>
                <wp:inline distT="0" distB="0" distL="114300" distR="114300">
                  <wp:extent cx="5290820" cy="3914775"/>
                  <wp:effectExtent l="0" t="0" r="5080" b="952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33"/>
                          <a:stretch>
                            <a:fillRect/>
                          </a:stretch>
                        </pic:blipFill>
                        <pic:spPr>
                          <a:xfrm>
                            <a:off x="0" y="0"/>
                            <a:ext cx="5290820" cy="3914775"/>
                          </a:xfrm>
                          <a:prstGeom prst="rect">
                            <a:avLst/>
                          </a:prstGeom>
                          <a:noFill/>
                          <a:ln>
                            <a:noFill/>
                          </a:ln>
                        </pic:spPr>
                      </pic:pic>
                    </a:graphicData>
                  </a:graphic>
                </wp:inline>
              </w:drawing>
            </w:r>
          </w:p>
          <w:p w14:paraId="66BF87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eastAsia="仿宋" w:cs="Times New Roman"/>
                <w:b/>
                <w:color w:val="auto"/>
                <w:kern w:val="0"/>
                <w:sz w:val="21"/>
                <w:szCs w:val="21"/>
                <w:highlight w:val="none"/>
                <w:lang w:val="en-US" w:eastAsia="zh-CN"/>
              </w:rPr>
            </w:pPr>
            <w:r>
              <w:rPr>
                <w:rFonts w:hint="default" w:ascii="Times New Roman" w:hAnsi="Times New Roman" w:eastAsia="仿宋" w:cs="Times New Roman"/>
                <w:b/>
                <w:color w:val="auto"/>
                <w:kern w:val="0"/>
                <w:sz w:val="21"/>
                <w:szCs w:val="21"/>
                <w:highlight w:val="none"/>
                <w:lang w:val="en-US" w:eastAsia="zh-CN"/>
              </w:rPr>
              <w:t>图2-2 项目施工工序图</w:t>
            </w:r>
          </w:p>
          <w:p w14:paraId="72400E39">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lang w:val="en-US" w:eastAsia="zh-CN"/>
              </w:rPr>
              <w:t>2、</w:t>
            </w:r>
            <w:r>
              <w:rPr>
                <w:rFonts w:hint="default" w:ascii="Times New Roman" w:hAnsi="Times New Roman" w:eastAsia="仿宋" w:cs="Times New Roman"/>
                <w:b/>
                <w:color w:val="auto"/>
                <w:kern w:val="0"/>
                <w:sz w:val="24"/>
                <w:szCs w:val="24"/>
                <w:highlight w:val="none"/>
              </w:rPr>
              <w:t>施工工艺</w:t>
            </w:r>
          </w:p>
          <w:p w14:paraId="58E98AC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本项目施工内容主要为光伏阵列工程、升压站工程、道路工程、线路工程等，涉及的具体施工工艺包括土方开挖回填、混凝土灌注桩、</w:t>
            </w:r>
            <w:r>
              <w:rPr>
                <w:rFonts w:hint="eastAsia" w:cs="Times New Roman"/>
                <w:color w:val="auto"/>
                <w:kern w:val="0"/>
                <w:sz w:val="24"/>
                <w:szCs w:val="24"/>
                <w:highlight w:val="none"/>
                <w:lang w:val="en-US" w:eastAsia="zh-CN"/>
              </w:rPr>
              <w:t>混凝土浇筑</w:t>
            </w:r>
            <w:r>
              <w:rPr>
                <w:rFonts w:hint="default" w:ascii="Times New Roman" w:hAnsi="Times New Roman" w:eastAsia="仿宋" w:cs="Times New Roman"/>
                <w:color w:val="auto"/>
                <w:kern w:val="0"/>
                <w:sz w:val="24"/>
                <w:szCs w:val="24"/>
                <w:highlight w:val="none"/>
                <w:lang w:val="en-US" w:eastAsia="zh-CN"/>
              </w:rPr>
              <w:t>、浆砌块石砌筑、塔架安装、光伏支架基础开挖、线路埋设等。</w:t>
            </w:r>
          </w:p>
          <w:p w14:paraId="5429341D">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（1）光伏阵列基础施工</w:t>
            </w:r>
          </w:p>
          <w:p w14:paraId="3FB7E3A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光伏阵列布置方案为固定式支架，支架基础采用钻孔灌注桩基础。考虑光伏支架维护与更换的便利性以及避免雨水的侵蚀，基础上表面需出露地面约0.5m。根据地形及地质结构，采用履带光伏钻孔机或手持机械钻钻孔施工。该施工法的过程是：施工准备→测量放线→埋设护筒（按需）→铺设工作平台（按需）→安装钻机并定位（或手持机械）→钻进成孔→清孔并检查成孔质量→下放钢筋笼→灌注混凝土→拔出护筒→检查质量。</w:t>
            </w:r>
          </w:p>
          <w:p w14:paraId="6111564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①施工准备包括：选择钻机、钻具、场地布置等。钻机是钻孔灌注桩施工的主要设备，可根据地质情况和各种钻孔机的应用条件来选择。</w:t>
            </w:r>
          </w:p>
          <w:p w14:paraId="473D277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②钻孔机的安装与定位安装钻孔机的基础如果不稳定，施工中易产生钻孔机倾斜、桩倾斜和桩偏心等不良影响，因此要求安装地基稳固。对地层较软和有坡度的地基，可用推土机推平，再垫上钢板或枕木加固。如不具备钻孔机的安装条件，采用人工手持钻机施工。</w:t>
            </w:r>
          </w:p>
          <w:p w14:paraId="6855097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为防止桩位不准，施工中很重要的是定好中心位置和正确</w:t>
            </w:r>
            <w:r>
              <w:rPr>
                <w:rFonts w:hint="eastAsia" w:cs="Times New Roman"/>
                <w:color w:val="auto"/>
                <w:kern w:val="0"/>
                <w:sz w:val="24"/>
                <w:szCs w:val="24"/>
                <w:highlight w:val="none"/>
                <w:lang w:val="en-US" w:eastAsia="zh-CN"/>
              </w:rPr>
              <w:t>地安</w:t>
            </w:r>
            <w:r>
              <w:rPr>
                <w:rFonts w:hint="default" w:ascii="Times New Roman" w:hAnsi="Times New Roman" w:eastAsia="仿宋" w:cs="Times New Roman"/>
                <w:color w:val="auto"/>
                <w:kern w:val="0"/>
                <w:sz w:val="24"/>
                <w:szCs w:val="24"/>
                <w:highlight w:val="none"/>
                <w:lang w:val="en-US" w:eastAsia="zh-CN"/>
              </w:rPr>
              <w:t>装钻孔机，对有钻塔的钻孔机，先利用钻机的动力与附近的地笼配合，将钻杆移动大致定位，再用千斤顶将机架顶起，准确定位，使起重滑轮、钻头或固定钻杆的卡孔与护筒中心在一垂线上，以保证钻机的垂直度。钻机位置的偏差不大于2cm。对准桩位后，用枕木垫平钻机横梁，并在塔顶对称于钻机轴线上拉上缆风绳。</w:t>
            </w:r>
          </w:p>
          <w:p w14:paraId="36AE3BE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③钻孔是一道关键工序，在施工中必须严格按照操作要求进行，才能保证成孔质量，首先要注意开孔质量，为此必须对好中线及垂直度。当地表为松散土层、碎石土、强风化岩或易塌孔的土层时需使用套筒。在施工中要注意随时检查成孔是否有偏斜现象。采用冲击式或冲抓式钻机施工时，附近土层因受到震动而影响邻孔的稳固。所以钻好的孔应及时清孔，下放钢筋笼和灌注混凝土。钻孔的顺序也应该事先规划好，既要保证下一个桩孔的施工不影响上一个桩孔，又要使钻机的移动距离不要过远和相互干扰。</w:t>
            </w:r>
          </w:p>
          <w:p w14:paraId="2A90F95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④清孔钻孔的深度、直径、位置和孔型直接关系到成桩质量与桩身曲直。为此，除了钻孔过程中密切观测监督外，在钻孔达到设计要求深度后，应对孔深、孔位、孔型、孔径等进行检查。</w:t>
            </w:r>
          </w:p>
          <w:p w14:paraId="3F4E9AD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⑤灌注混凝土清完孔之后，就可将预制的钢筋笼垂直吊放到孔内，定位后要加以固定，然后用导管灌注混凝土，灌注时混凝土不要中断，否则易出现断桩现象。灌注桩的清孔是关键的施工工序，应按不沉渣的标准进行，必须严格控制沉渣厚度不超过50mm，清孔验收合格后应及时浇灌混凝土，混凝土的浇灌应连续进行不可中断。施工时应采取可靠措施保证桩身的混凝土质量，特别是地下300mm至桩头的混凝土质量。桩基施工完成后，必须进行桩基检测，检测应以静载试压为主，并配以取芯、超声波检测、动测等。桩基工程应符合《建筑桩基技术规范》《建筑基桩检测技术规范》《地基基础设计规范》等规定的工程质量检查及验收有关要求。</w:t>
            </w:r>
          </w:p>
          <w:p w14:paraId="6CD5D36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⑥临近生态保护红线方阵施工时，需在施工场地外围设置醒目标识和警戒线围栏。施工期间，禁止施工人员进入生态保护红线内活动。施工过程中禁止在临近生态保护红线一侧开挖土方、堆存表土、堆存粉状物料和固体废物。禁止在临近生态保护红线一侧设置移动厕所和临时沉淀池。禁止在野生动物活跃的晨昏期间开展施工活动。</w:t>
            </w:r>
          </w:p>
          <w:p w14:paraId="2A622F69">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（2）光伏组件安装</w:t>
            </w:r>
          </w:p>
          <w:p w14:paraId="4D69E08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本工程光伏组件全部采用固定式安装，待光伏组件支架基础验收合格后，进行光伏组件的安装，光伏组件的安装分为两部分：支架安装、光伏组件安装。</w:t>
            </w:r>
          </w:p>
          <w:p w14:paraId="1328E95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光伏阵列支架表面应平整，固定光伏组件的支架面必须调整在同一平面；各组件应整齐并成一直线。光伏组件支架安装工艺见下图：</w:t>
            </w:r>
          </w:p>
          <w:p w14:paraId="018FF10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highlight w:val="none"/>
              </w:rPr>
              <w:drawing>
                <wp:inline distT="0" distB="0" distL="114300" distR="114300">
                  <wp:extent cx="3509645" cy="1861185"/>
                  <wp:effectExtent l="0" t="0" r="14605" b="571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34"/>
                          <a:stretch>
                            <a:fillRect/>
                          </a:stretch>
                        </pic:blipFill>
                        <pic:spPr>
                          <a:xfrm>
                            <a:off x="0" y="0"/>
                            <a:ext cx="3509645" cy="1861185"/>
                          </a:xfrm>
                          <a:prstGeom prst="rect">
                            <a:avLst/>
                          </a:prstGeom>
                          <a:noFill/>
                          <a:ln>
                            <a:noFill/>
                          </a:ln>
                        </pic:spPr>
                      </pic:pic>
                    </a:graphicData>
                  </a:graphic>
                </wp:inline>
              </w:drawing>
            </w:r>
          </w:p>
          <w:p w14:paraId="7B92680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bCs/>
                <w:color w:val="auto"/>
                <w:kern w:val="0"/>
                <w:sz w:val="21"/>
                <w:szCs w:val="21"/>
                <w:highlight w:val="none"/>
                <w:lang w:val="en-US" w:eastAsia="zh-CN"/>
              </w:rPr>
            </w:pPr>
            <w:r>
              <w:rPr>
                <w:rFonts w:hint="default" w:ascii="Times New Roman" w:hAnsi="Times New Roman" w:eastAsia="仿宋" w:cs="Times New Roman"/>
                <w:b/>
                <w:bCs/>
                <w:color w:val="auto"/>
                <w:kern w:val="0"/>
                <w:sz w:val="21"/>
                <w:szCs w:val="21"/>
                <w:highlight w:val="none"/>
                <w:lang w:val="en-US" w:eastAsia="zh-CN"/>
              </w:rPr>
              <w:t>图</w:t>
            </w:r>
            <w:r>
              <w:rPr>
                <w:rFonts w:hint="eastAsia" w:cs="Times New Roman"/>
                <w:b/>
                <w:bCs/>
                <w:color w:val="auto"/>
                <w:kern w:val="0"/>
                <w:sz w:val="21"/>
                <w:szCs w:val="21"/>
                <w:highlight w:val="none"/>
                <w:lang w:val="en-US" w:eastAsia="zh-CN"/>
              </w:rPr>
              <w:t>2.8-1</w:t>
            </w:r>
            <w:r>
              <w:rPr>
                <w:rFonts w:hint="default" w:ascii="Times New Roman" w:hAnsi="Times New Roman" w:eastAsia="仿宋" w:cs="Times New Roman"/>
                <w:b/>
                <w:bCs/>
                <w:color w:val="auto"/>
                <w:kern w:val="0"/>
                <w:sz w:val="21"/>
                <w:szCs w:val="21"/>
                <w:highlight w:val="none"/>
                <w:lang w:val="en-US" w:eastAsia="zh-CN"/>
              </w:rPr>
              <w:t xml:space="preserve"> 光伏组件支架安装工艺流程图</w:t>
            </w:r>
          </w:p>
          <w:p w14:paraId="6D50AE2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安装光伏组件前，应根据组件参数对每个光伏组件进行检查测试，其参数值应符合产品出厂指标。一般测试项目有：开路电压、短路电流。按电流分档相关要求，将同批次工作参数接近的组件在同一子方阵内；将额定工作电流相等或相接近的组件进行串联。</w:t>
            </w:r>
          </w:p>
          <w:p w14:paraId="435C4C6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安装光伏组件时，应轻拿轻放，防止硬物刮伤和撞击表面玻璃。组件在支架上的安装位置及接线盒排列方式应符合施工设计规定。组件固定面与支架表面不吻合时，应用铁垫片垫平后方可紧固连接螺丝，严禁用紧拧连接螺丝的方法使其吻合，固定螺栓应加防松垫片并拧紧。光伏组件电缆连接采取串接方式，插接要紧固，引出线应预留一定的余量。</w:t>
            </w:r>
          </w:p>
          <w:p w14:paraId="50BB711A">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（3）箱变基础及安装施工</w:t>
            </w:r>
          </w:p>
          <w:p w14:paraId="5BA0AAB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底板混凝土强度等级为C30，基底铺设C15素混凝土垫层，墙身采用MU15砖砌体结构，基础露出地面0.3m。四角设构造柱，顶部设圈梁，顶板设进人孔及钢盖板。</w:t>
            </w:r>
          </w:p>
          <w:p w14:paraId="120A23C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35kV箱式变由汽车运至场地，采用15t汽车吊就位，安装程序为：设备安装→引下线安装→接地系统安装→电缆敷设接线→整体调试。</w:t>
            </w:r>
          </w:p>
          <w:p w14:paraId="687B3B61">
            <w:pPr>
              <w:keepNext w:val="0"/>
              <w:keepLines w:val="0"/>
              <w:suppressLineNumbers w:val="0"/>
              <w:autoSpaceDE w:val="0"/>
              <w:autoSpaceDN w:val="0"/>
              <w:adjustRightInd w:val="0"/>
              <w:spacing w:before="0" w:beforeAutospacing="0" w:after="0" w:afterAutospacing="0" w:line="360" w:lineRule="auto"/>
              <w:ind w:left="0" w:right="0" w:firstLine="482" w:firstLineChars="200"/>
              <w:jc w:val="left"/>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（4）电缆敷设</w:t>
            </w:r>
          </w:p>
          <w:p w14:paraId="48320BD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电缆在安装前应仔细对图纸进行审查、核对，确认到场的电缆规格是否满足设计要求，施工方案中的电缆走向是否合理，电缆是否有交叉现象。</w:t>
            </w:r>
          </w:p>
          <w:p w14:paraId="270B4C5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电缆在安装前，应根据设计资料及具体的施工情况，编制详细的《电缆敷设程序表》，表中应明确规定每根电缆安装的先后顺序。</w:t>
            </w:r>
          </w:p>
          <w:p w14:paraId="4E2C11B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电缆的使用规格、安装路径应严格按设计进行。电缆运达现场后，应严格按规格分别存放，严格其领用制度以免混用。电缆敷设时，对所有电缆的长度应做好登记，动力电缆应尽量减少中间接头，控制电缆做到没有中间接头。对电缆容易受损伤的部位，应采取保护措施，对于直埋电缆应每隔一定距离制作标识。电缆敷设完毕后，保证整齐美观，进入盘内的电缆其弯曲弧度应一致，对进入盘内的电缆及其它必须封堵的地方应进行防火封堵，在电缆集中区设有防鼠杀虫剂及灭火设施。</w:t>
            </w:r>
          </w:p>
          <w:p w14:paraId="4919B94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电缆沟采用0.2m</w:t>
            </w:r>
            <w:r>
              <w:rPr>
                <w:rFonts w:hint="default" w:ascii="Times New Roman" w:hAnsi="Times New Roman" w:eastAsia="仿宋" w:cs="Times New Roman"/>
                <w:color w:val="auto"/>
                <w:kern w:val="0"/>
                <w:sz w:val="24"/>
                <w:szCs w:val="24"/>
                <w:highlight w:val="none"/>
                <w:vertAlign w:val="superscript"/>
                <w:lang w:val="en-US" w:eastAsia="zh-CN"/>
              </w:rPr>
              <w:t>3</w:t>
            </w:r>
            <w:r>
              <w:rPr>
                <w:rFonts w:hint="default" w:ascii="Times New Roman" w:hAnsi="Times New Roman" w:eastAsia="仿宋" w:cs="Times New Roman"/>
                <w:color w:val="auto"/>
                <w:kern w:val="0"/>
                <w:sz w:val="24"/>
                <w:szCs w:val="24"/>
                <w:highlight w:val="none"/>
                <w:lang w:val="en-US" w:eastAsia="zh-CN"/>
              </w:rPr>
              <w:t>～0.5m</w:t>
            </w:r>
            <w:r>
              <w:rPr>
                <w:rFonts w:hint="default" w:ascii="Times New Roman" w:hAnsi="Times New Roman" w:eastAsia="仿宋" w:cs="Times New Roman"/>
                <w:color w:val="auto"/>
                <w:kern w:val="0"/>
                <w:sz w:val="24"/>
                <w:szCs w:val="24"/>
                <w:highlight w:val="none"/>
                <w:vertAlign w:val="superscript"/>
                <w:lang w:val="en-US" w:eastAsia="zh-CN"/>
              </w:rPr>
              <w:t>3</w:t>
            </w:r>
            <w:r>
              <w:rPr>
                <w:rFonts w:hint="default" w:ascii="Times New Roman" w:hAnsi="Times New Roman" w:eastAsia="仿宋" w:cs="Times New Roman"/>
                <w:color w:val="auto"/>
                <w:kern w:val="0"/>
                <w:sz w:val="24"/>
                <w:szCs w:val="24"/>
                <w:highlight w:val="none"/>
                <w:lang w:val="en-US" w:eastAsia="zh-CN"/>
              </w:rPr>
              <w:t>反铲挖掘机配合人工开挖，堆放在沟槽两侧的堆土高度应控制在1.5m以内，直埋电缆沟开挖横断面为上口宽1.60m、下底宽1.00m、深1.00m。</w:t>
            </w:r>
          </w:p>
          <w:p w14:paraId="19263ED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挖出直埋电缆沟后在沟底部铺10cm细砂，电缆敷设在沙子上，电缆敷设完毕后，上部再铺10cm厚细砂，上部铺水泥标砖保护，最后回填，并沿电缆路径埋设电缆标识桩。电力电缆沟开挖前要根据设计图纸进行放线校正，经确定无误后进行开挖。开挖采用小型挖掘机，开挖过程中根据地质土壤分层状况分层堆放于电缆沟一侧，待开挖尺寸满足设计要求，经监理验证后，进行电缆线布设。布设过程中对电缆容易受损伤的地方，采取保护措施，对于直埋电缆隔一定距离做好标识。布设完毕后，根据设计要求分层回填土方，回填采用机械和人工相结合的方法，推土机铺土、摊平，严格分层夯实。电缆布设完毕后，保证整齐美观，进入盘内的电缆其弯曲弧度一致，对进入盘内的电缆及其它必须封堵的地方进行封堵。</w:t>
            </w:r>
          </w:p>
          <w:p w14:paraId="55A73191">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（5）35kV架空集电线路施工</w:t>
            </w:r>
          </w:p>
          <w:p w14:paraId="4E684C6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①基础施工</w:t>
            </w:r>
          </w:p>
          <w:p w14:paraId="7937F1E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项目集电线路塔基施工点较为分散，施工时采用逐个人工开挖的方式进行施工，基础施工时，尽量缩短基坑暴露时间，做到随挖随浇筑基础，尽量减少对基底土层的扰动；施工过程中</w:t>
            </w:r>
            <w:r>
              <w:rPr>
                <w:rFonts w:hint="eastAsia" w:cs="Times New Roman"/>
                <w:color w:val="auto"/>
                <w:kern w:val="0"/>
                <w:sz w:val="24"/>
                <w:szCs w:val="24"/>
                <w:highlight w:val="none"/>
                <w:lang w:val="en-US" w:eastAsia="zh-CN"/>
              </w:rPr>
              <w:t>升压站建设</w:t>
            </w:r>
            <w:r>
              <w:rPr>
                <w:rFonts w:hint="default" w:ascii="Times New Roman" w:hAnsi="Times New Roman" w:eastAsia="仿宋" w:cs="Times New Roman"/>
                <w:color w:val="auto"/>
                <w:kern w:val="0"/>
                <w:sz w:val="24"/>
                <w:szCs w:val="24"/>
                <w:highlight w:val="none"/>
                <w:lang w:val="en-US" w:eastAsia="zh-CN"/>
              </w:rPr>
              <w:t>使用的混凝土</w:t>
            </w:r>
            <w:r>
              <w:rPr>
                <w:rFonts w:hint="eastAsia" w:cs="Times New Roman"/>
                <w:color w:val="auto"/>
                <w:kern w:val="0"/>
                <w:sz w:val="24"/>
                <w:szCs w:val="24"/>
                <w:highlight w:val="none"/>
                <w:lang w:val="en-US" w:eastAsia="zh-CN"/>
              </w:rPr>
              <w:t>为</w:t>
            </w:r>
            <w:r>
              <w:rPr>
                <w:rFonts w:hint="default" w:ascii="Times New Roman" w:hAnsi="Times New Roman" w:eastAsia="仿宋" w:cs="Times New Roman"/>
                <w:color w:val="auto"/>
                <w:kern w:val="0"/>
                <w:sz w:val="24"/>
                <w:szCs w:val="24"/>
                <w:highlight w:val="none"/>
                <w:lang w:val="en-US" w:eastAsia="zh-CN"/>
              </w:rPr>
              <w:t>商品混凝土</w:t>
            </w:r>
            <w:r>
              <w:rPr>
                <w:rFonts w:hint="eastAsia" w:cs="Times New Roman"/>
                <w:color w:val="auto"/>
                <w:kern w:val="0"/>
                <w:sz w:val="24"/>
                <w:szCs w:val="24"/>
                <w:highlight w:val="none"/>
                <w:lang w:val="en-US" w:eastAsia="zh-CN"/>
              </w:rPr>
              <w:t>、集电线路塔基及光伏阵列基础施工采用人工拌合混凝土，项目不设置混凝土拌和站</w:t>
            </w:r>
            <w:r>
              <w:rPr>
                <w:rFonts w:hint="default" w:ascii="Times New Roman" w:hAnsi="Times New Roman" w:eastAsia="仿宋" w:cs="Times New Roman"/>
                <w:color w:val="auto"/>
                <w:kern w:val="0"/>
                <w:sz w:val="24"/>
                <w:szCs w:val="24"/>
                <w:highlight w:val="none"/>
                <w:lang w:val="en-US" w:eastAsia="zh-CN"/>
              </w:rPr>
              <w:t>；开挖土石方临时堆存在塔基周边，施工结束后，就近回填或修筑塔基护坡。</w:t>
            </w:r>
          </w:p>
          <w:p w14:paraId="6212B67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②铁塔组立</w:t>
            </w:r>
          </w:p>
          <w:p w14:paraId="778C8D3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工程所用直线塔或耐张塔根据铁塔结构特点采用悬浮摇臂抱杆或落地通天摇臂抱杆分解阻力。</w:t>
            </w:r>
          </w:p>
          <w:p w14:paraId="6389858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③架线</w:t>
            </w:r>
            <w:r>
              <w:rPr>
                <w:rFonts w:hint="eastAsia" w:cs="Times New Roman"/>
                <w:color w:val="auto"/>
                <w:kern w:val="0"/>
                <w:sz w:val="24"/>
                <w:szCs w:val="24"/>
                <w:highlight w:val="none"/>
                <w:lang w:val="en-US" w:eastAsia="zh-CN"/>
              </w:rPr>
              <w:t>施工</w:t>
            </w:r>
          </w:p>
          <w:p w14:paraId="4977F1A1">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全线采用无人机放线，输电线路不在地面拖行。放线后，全线采用牵张设备牵引导线，牵张场施工方案如下：</w:t>
            </w:r>
          </w:p>
          <w:p w14:paraId="6947BCD0">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Ⅰ</w:t>
            </w:r>
            <w:r>
              <w:rPr>
                <w:rFonts w:hint="eastAsia"/>
                <w:color w:val="auto"/>
                <w:highlight w:val="none"/>
                <w:lang w:val="en-US" w:eastAsia="zh-CN"/>
              </w:rPr>
              <w:t>利用光伏方阵或附近道路设置牵张场，牵张场不单独占地。牵引机设置后，</w:t>
            </w:r>
            <w:r>
              <w:rPr>
                <w:rFonts w:hint="eastAsia"/>
                <w:color w:val="auto"/>
                <w:highlight w:val="none"/>
              </w:rPr>
              <w:t>调整大牵引机方向，使之对正牵引方向；</w:t>
            </w:r>
          </w:p>
          <w:p w14:paraId="5FAC37EC">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Ⅱ放下牵引机液压支腿并垫枕木，将牵引机调平，收紧锚固牵引机手扳葫芦固定牵引机；</w:t>
            </w:r>
          </w:p>
          <w:p w14:paraId="346609C5">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Ⅲ将牵引绳引入卷扬轮，入轮方向由内向外，上进上出，在卷扬轮上绕七圈后，将绳固定于绳盘上，启动牵引机收紧余绳；</w:t>
            </w:r>
          </w:p>
          <w:p w14:paraId="369C9B4A">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Ⅳ绳盘轴应与牵引绳出口方向垂直，机前牵引绳上装好保安接地滑车。</w:t>
            </w:r>
          </w:p>
          <w:p w14:paraId="086DC2CB">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Ⅴ调整张力机方向，使之对正展放方向。放下张力机液压支腿，将张力机调平，收紧锚固张力机的手扳葫芦，将张力机固定；</w:t>
            </w:r>
          </w:p>
          <w:p w14:paraId="07275213">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Ⅵ将第一组两盘导线吊上导线盘架，调好盘架高度及方向，使线轴水平并垂直导线进口装上气压制动器；</w:t>
            </w:r>
          </w:p>
          <w:p w14:paraId="311FDBFD">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Ⅶ将两条16尼龙绳分别缠绕在张力机轮槽内4圈，缠绕方向应与导线外层捻回方向一致，上进上出；</w:t>
            </w:r>
          </w:p>
          <w:p w14:paraId="4B140356">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Ⅷ截除导线头的散股部分，套入单头网套连接器锁紧，距网套连接器尾20mm处用12#铁丝绑扎不少于20匝。然后将铁线头及网套连接器套上专用帆布保护套；</w:t>
            </w:r>
          </w:p>
          <w:p w14:paraId="72274A4D">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Ⅸ将尼龙绳头与单头网套连接器连接好，慢速启动张力机，用人力拉此尼龙绳，将导线绕过张力轮并拉出张力机4-5m，两个导线头拉出长度尽量一致；</w:t>
            </w:r>
          </w:p>
          <w:p w14:paraId="79B5A69B">
            <w:pPr>
              <w:keepNext w:val="0"/>
              <w:keepLines w:val="0"/>
              <w:suppressLineNumbers w:val="0"/>
              <w:spacing w:before="0" w:beforeAutospacing="0" w:after="0" w:afterAutospacing="0"/>
              <w:ind w:left="0" w:right="0" w:firstLine="480"/>
              <w:rPr>
                <w:rFonts w:hint="eastAsia"/>
                <w:color w:val="auto"/>
                <w:highlight w:val="none"/>
              </w:rPr>
            </w:pPr>
            <w:r>
              <w:rPr>
                <w:rFonts w:hint="eastAsia"/>
                <w:color w:val="auto"/>
                <w:highlight w:val="none"/>
              </w:rPr>
              <w:t>Ⅹ将与导线锁紧的网套连接器端头，通过80kN旋转连接器及口15平衡钢丝绳连接到走板上，并用250kN旋转连接器将走板与牵引绳相连。注意走板的正反方向及平衡锤方向；</w:t>
            </w:r>
          </w:p>
          <w:p w14:paraId="629E76BB">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highlight w:val="none"/>
              </w:rPr>
            </w:pPr>
            <w:r>
              <w:rPr>
                <w:rFonts w:hint="eastAsia"/>
                <w:color w:val="auto"/>
                <w:highlight w:val="none"/>
              </w:rPr>
              <w:t>Ⅺ待导线与牵引绳连接好后，启动张力机倒车收紧导线及牵引绳，拆除牵引绳卡线器。</w:t>
            </w:r>
          </w:p>
          <w:p w14:paraId="6E2C8D89">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highlight w:val="none"/>
                <w:lang w:val="en-US" w:eastAsia="zh-CN"/>
              </w:rPr>
            </w:pPr>
            <w:r>
              <w:rPr>
                <w:rFonts w:hint="eastAsia"/>
                <w:color w:val="auto"/>
                <w:highlight w:val="none"/>
                <w:lang w:val="en-US" w:eastAsia="zh-CN"/>
              </w:rPr>
              <w:t>④跨越生态保护红线施工工艺</w:t>
            </w:r>
          </w:p>
          <w:p w14:paraId="1A0CAB66">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highlight w:val="none"/>
                <w:lang w:val="en-US" w:eastAsia="zh-CN"/>
              </w:rPr>
            </w:pPr>
            <w:r>
              <w:rPr>
                <w:rFonts w:hint="eastAsia"/>
                <w:color w:val="auto"/>
                <w:highlight w:val="none"/>
              </w:rPr>
              <w:t>全线采用无人机放线，输电线路不在地面拖行</w:t>
            </w:r>
            <w:r>
              <w:rPr>
                <w:rFonts w:hint="eastAsia"/>
                <w:color w:val="auto"/>
                <w:highlight w:val="none"/>
                <w:lang w:val="en-US" w:eastAsia="zh-CN"/>
              </w:rPr>
              <w:t>。生态保护红线附近不设置牵张场，利用其他牵张场收紧导线和牵引绳。</w:t>
            </w:r>
          </w:p>
          <w:p w14:paraId="784DA35F">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仿宋"/>
                <w:color w:val="auto"/>
                <w:highlight w:val="none"/>
                <w:lang w:val="en-US" w:eastAsia="zh-CN"/>
              </w:rPr>
            </w:pPr>
            <w:r>
              <w:rPr>
                <w:rFonts w:hint="eastAsia"/>
                <w:color w:val="auto"/>
                <w:highlight w:val="none"/>
                <w:lang w:val="en-US" w:eastAsia="zh-CN"/>
              </w:rPr>
              <w:t>施工人员不进入生态保护红线施工。本项目跨越生态保护红线段，架空线线路高度＞18m，所穿越的生态保护红线区域的植株高度可达12m主要树种有云南松等，由于地形高差，这些树木均在输电线路下方5m的范围外，施工期输电线路的架设不需要樵砍林木或修建树冠。</w:t>
            </w:r>
          </w:p>
          <w:p w14:paraId="1CD99BD3">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（6）场内道路施工</w:t>
            </w:r>
          </w:p>
          <w:p w14:paraId="3282B4D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路基施工的施工工序为：清除植被→平地机、推土机整平→压路机压实→路基填筑、开挖→路基防护。</w:t>
            </w:r>
          </w:p>
          <w:p w14:paraId="58D32C6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①路基工程</w:t>
            </w:r>
          </w:p>
          <w:p w14:paraId="5D38765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在填筑路基施工中，一般采用水平分层填筑施工，即按照横断面全宽分成水平层次逐层向上填筑。如原地面不平，应由最低处分层填起，每填一层，经过压实并符合压实度规定要求后，再填上一层。填筑过程中，每层完成路面应形成4%的横坡以便排水良好。</w:t>
            </w:r>
          </w:p>
          <w:p w14:paraId="169DA2D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路堑边坡开挖以机械开挖为主，边坡防护以人工为主。为确保边坡的稳定和防护达到预期的效果，开挖方式应从上而下进行，边开挖边防护。设有挡墙的开挖边坡应采用间隔开挖，间隔施工挡墙，以免造成滑坡或坍塌。</w:t>
            </w:r>
          </w:p>
          <w:p w14:paraId="6D4FD4D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②路面工程</w:t>
            </w:r>
          </w:p>
          <w:p w14:paraId="05A1347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场内连接道路采用碎石铺垫路面。路面工程由专业队伍承担，基层混合料应以机械集中拌和，摊铺机分层摊铺、压路机压实、自卸汽车及时运输至工点摊铺成型，各项工序必须环环相扣，确保路面质量。</w:t>
            </w:r>
          </w:p>
          <w:p w14:paraId="4AB3FDC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③排水工程</w:t>
            </w:r>
          </w:p>
          <w:p w14:paraId="3860126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排水设施主要为边沟等。其分布范围广，与路基路面工程紧密联系，在施工中既</w:t>
            </w:r>
            <w:r>
              <w:rPr>
                <w:rFonts w:hint="eastAsia" w:cs="Times New Roman"/>
                <w:color w:val="auto"/>
                <w:kern w:val="0"/>
                <w:sz w:val="24"/>
                <w:szCs w:val="24"/>
                <w:highlight w:val="none"/>
                <w:lang w:val="en-US" w:eastAsia="zh-CN"/>
              </w:rPr>
              <w:t>受</w:t>
            </w:r>
            <w:r>
              <w:rPr>
                <w:rFonts w:hint="default" w:ascii="Times New Roman" w:hAnsi="Times New Roman" w:eastAsia="仿宋" w:cs="Times New Roman"/>
                <w:color w:val="auto"/>
                <w:kern w:val="0"/>
                <w:sz w:val="24"/>
                <w:szCs w:val="24"/>
                <w:highlight w:val="none"/>
                <w:lang w:val="en-US" w:eastAsia="zh-CN"/>
              </w:rPr>
              <w:t>路基工程的影响，又被本身工序所制约。本项目排水工程主要是在新建道路两侧修建土质排水沟。</w:t>
            </w:r>
          </w:p>
          <w:p w14:paraId="1A10F328">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（7）升压站施工</w:t>
            </w:r>
          </w:p>
          <w:p w14:paraId="01CC833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升压站位置地形陡峭，且地貌以裸岩为主，因此在进行精细化勘察后进行专项安全与环保设计。施工准备至关重要，需做好施工道路、永久性截水沟和主、被动防护网（或挡石墙）等，严禁一次性大开挖、爆破。采用“自上而下、分级开挖、挖一级防护一级”的原则。</w:t>
            </w:r>
          </w:p>
          <w:p w14:paraId="3C98640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220kV升压站内主要建筑均为框架结构。框架结构的施工顺序为：施工准备→基础开挖（配合静态爆破或机械破碎）→地基处理与回填→基础混凝土浇筑→框架柱、梁、板、屋盖混凝土浇筑→砖墙垒砌→电气管线敷设及室内外装修→ 电气设备入室。</w:t>
            </w:r>
          </w:p>
          <w:p w14:paraId="203413D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升压站场开挖区分层开挖，一层采用浆砌石挡墙护坡，层高8m，二层、三层采用网格梁护坡，边坡坡比为1</w:t>
            </w:r>
            <w:r>
              <w:rPr>
                <w:rFonts w:hint="eastAsia" w:cs="Times New Roman"/>
                <w:color w:val="auto"/>
                <w:kern w:val="0"/>
                <w:sz w:val="24"/>
                <w:szCs w:val="24"/>
                <w:highlight w:val="none"/>
                <w:lang w:val="en-US" w:eastAsia="zh-CN"/>
              </w:rPr>
              <w:t>:</w:t>
            </w:r>
            <w:r>
              <w:rPr>
                <w:rFonts w:hint="default" w:ascii="Times New Roman" w:hAnsi="Times New Roman" w:eastAsia="仿宋" w:cs="Times New Roman"/>
                <w:color w:val="auto"/>
                <w:kern w:val="0"/>
                <w:sz w:val="24"/>
                <w:szCs w:val="24"/>
                <w:highlight w:val="none"/>
                <w:lang w:val="en-US" w:eastAsia="zh-CN"/>
              </w:rPr>
              <w:t>1，挖方区边坡高度最高处约26m；</w:t>
            </w:r>
          </w:p>
          <w:p w14:paraId="7CECAC0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回填区采取挡墙前回填型式，回填区域因较高，拟采用悬臂式挡土墙，分层采用预应力锚索锚固并回填，挡墙高度最高处约21m；回填区采用分层压实，压实系数不低于0.94。</w:t>
            </w:r>
          </w:p>
          <w:p w14:paraId="67FEB2F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升压站场平后，一层夯实后，可以作为构筑物的基础持力层，局部构筑物基础需超挖，超挖后可采用 C20 毛石混凝土或素混凝土回填至基础底。建（构）筑物基础设于挖方区，桩基持力层为强风化砂岩、页岩（T3）层或中风化砂岩、页岩层（T3）。</w:t>
            </w:r>
          </w:p>
          <w:p w14:paraId="35480C62">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（8）施工期交通运输</w:t>
            </w:r>
          </w:p>
          <w:p w14:paraId="07E4F36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eastAsia" w:cs="Times New Roman"/>
                <w:color w:val="auto"/>
                <w:highlight w:val="none"/>
                <w:lang w:val="en-US" w:eastAsia="zh-CN"/>
              </w:rPr>
            </w:pPr>
            <w:r>
              <w:rPr>
                <w:rFonts w:hint="eastAsia" w:cs="Times New Roman"/>
                <w:color w:val="auto"/>
                <w:highlight w:val="none"/>
                <w:lang w:val="en-US" w:eastAsia="zh-CN"/>
              </w:rPr>
              <w:t>从交通运输方面，本项目可分为5个片区。</w:t>
            </w:r>
          </w:p>
          <w:p w14:paraId="7D95DCE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eastAsia" w:cs="Times New Roman"/>
                <w:color w:val="auto"/>
                <w:highlight w:val="none"/>
                <w:lang w:val="en-US" w:eastAsia="zh-CN"/>
              </w:rPr>
            </w:pPr>
            <w:r>
              <w:rPr>
                <w:rFonts w:hint="eastAsia" w:cs="Times New Roman"/>
                <w:color w:val="auto"/>
                <w:highlight w:val="none"/>
                <w:lang w:val="en-US" w:eastAsia="zh-CN"/>
              </w:rPr>
              <w:t>分别为：</w:t>
            </w:r>
          </w:p>
          <w:p w14:paraId="3348478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eastAsia" w:cs="Times New Roman"/>
                <w:color w:val="auto"/>
                <w:highlight w:val="none"/>
                <w:lang w:val="en-US" w:eastAsia="zh-CN"/>
              </w:rPr>
            </w:pPr>
            <w:r>
              <w:rPr>
                <w:rFonts w:hint="eastAsia" w:cs="Times New Roman"/>
                <w:color w:val="auto"/>
                <w:highlight w:val="none"/>
                <w:lang w:val="en-US" w:eastAsia="zh-CN"/>
              </w:rPr>
              <w:t>北部唐家村片区，涉及35#-37#方阵。此片区通过现状村道、小双线、中纸线对外交通，村道均已硬化，满足大件运输需求。箱变运输与安装需要就近新建临时道路连接现有村道，光伏方阵内不修建场内道路，施工人员利用山间牧道通行，施工材料采用无人机运输。</w:t>
            </w:r>
          </w:p>
          <w:p w14:paraId="3EC9AB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eastAsia" w:cs="Times New Roman"/>
                <w:color w:val="auto"/>
                <w:highlight w:val="none"/>
                <w:lang w:val="en-US" w:eastAsia="zh-CN"/>
              </w:rPr>
            </w:pPr>
            <w:r>
              <w:rPr>
                <w:rFonts w:hint="eastAsia" w:cs="Times New Roman"/>
                <w:color w:val="auto"/>
                <w:highlight w:val="none"/>
                <w:lang w:val="en-US" w:eastAsia="zh-CN"/>
              </w:rPr>
              <w:t>东北部大箐片区，涉及29#-34#方阵。此片区通过现状村道、策磨线对外交通，村道均已硬化，满足大件运输需求。箱变运输与安装需要就近新建临时道路连接现有村道，光伏方阵内不修建场内道路，施工人员利用山间牧道通行，施工材料采用无人机运输。</w:t>
            </w:r>
          </w:p>
          <w:p w14:paraId="11D8062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eastAsia" w:cs="Times New Roman"/>
                <w:color w:val="auto"/>
                <w:highlight w:val="none"/>
                <w:lang w:val="en-US" w:eastAsia="zh-CN"/>
              </w:rPr>
            </w:pPr>
            <w:r>
              <w:rPr>
                <w:rFonts w:hint="eastAsia" w:cs="Times New Roman"/>
                <w:color w:val="auto"/>
                <w:highlight w:val="none"/>
                <w:lang w:val="en-US" w:eastAsia="zh-CN"/>
              </w:rPr>
              <w:t>中部升压站片区，涉及升压站和28#方阵。此片区通过现状村道、中纸线对外交通。村道均已硬化，但部分路段路宽不足，需要扩建。升压站需要修建近战道路，28#方阵不修建检修道路。光伏方阵内不修建场内道路，施工材料采用无人机运输。</w:t>
            </w:r>
          </w:p>
          <w:p w14:paraId="09AA8AF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baseline"/>
              <w:rPr>
                <w:rFonts w:hint="default" w:cs="Times New Roman"/>
                <w:color w:val="auto"/>
                <w:highlight w:val="none"/>
                <w:lang w:val="en-US" w:eastAsia="zh-CN"/>
              </w:rPr>
            </w:pPr>
            <w:r>
              <w:rPr>
                <w:rFonts w:hint="eastAsia" w:cs="Times New Roman"/>
                <w:color w:val="auto"/>
                <w:highlight w:val="none"/>
                <w:lang w:val="en-US" w:eastAsia="zh-CN"/>
              </w:rPr>
              <w:t>银昆高速东部片区，涉及8#-27#方阵。此片区通过现状村道、策磨线对外交通，村道均已硬化，但部分路段路宽不足，需要扩建。满足大件运输需求。箱变运输与安装需要就近新建临时道路连接现有村道，光伏方阵内不修建场内道路，施工人员利用山间牧道通行，施工材料采用无人机运输。</w:t>
            </w:r>
          </w:p>
          <w:p w14:paraId="279E3D78">
            <w:pPr>
              <w:keepNext w:val="0"/>
              <w:keepLines w:val="0"/>
              <w:suppressLineNumbers w:val="0"/>
              <w:adjustRightInd w:val="0"/>
              <w:snapToGrid w:val="0"/>
              <w:spacing w:before="0" w:beforeAutospacing="0" w:after="0" w:afterAutospacing="0" w:line="360" w:lineRule="auto"/>
              <w:ind w:left="0" w:right="0" w:firstLine="480" w:firstLineChars="200"/>
              <w:rPr>
                <w:rFonts w:hint="default"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银昆高速西部片区，涉及1#-7#方阵</w:t>
            </w:r>
            <w:r>
              <w:rPr>
                <w:rFonts w:hint="eastAsia" w:cs="Times New Roman"/>
                <w:color w:val="auto"/>
                <w:highlight w:val="none"/>
                <w:lang w:val="en-US" w:eastAsia="zh-CN"/>
              </w:rPr>
              <w:t>此片区通过现状村道、策磨线对外交通，村道均已硬化，满足大件运输需求。箱变运输与安装需要就近新建临时道路连接现有村道，光伏方阵内不修建场内道路，施工人员利用山间牧道通行，施工材料采用无人机运输。</w:t>
            </w:r>
          </w:p>
          <w:p w14:paraId="362CDDEF">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color w:val="auto"/>
                <w:sz w:val="24"/>
                <w:szCs w:val="24"/>
                <w:highlight w:val="none"/>
              </w:rPr>
            </w:pPr>
            <w:r>
              <w:rPr>
                <w:rFonts w:hint="eastAsia" w:cs="Times New Roman"/>
                <w:b/>
                <w:bCs/>
                <w:color w:val="auto"/>
                <w:kern w:val="0"/>
                <w:sz w:val="24"/>
                <w:szCs w:val="24"/>
                <w:highlight w:val="none"/>
                <w:lang w:val="en-US" w:eastAsia="zh-CN"/>
              </w:rPr>
              <w:t>3</w:t>
            </w:r>
            <w:r>
              <w:rPr>
                <w:rFonts w:hint="default" w:ascii="Times New Roman" w:hAnsi="Times New Roman" w:eastAsia="仿宋" w:cs="Times New Roman"/>
                <w:b/>
                <w:bCs/>
                <w:color w:val="auto"/>
                <w:kern w:val="0"/>
                <w:sz w:val="24"/>
                <w:szCs w:val="24"/>
                <w:highlight w:val="none"/>
                <w:lang w:val="en-US" w:eastAsia="zh-CN"/>
              </w:rPr>
              <w:t>、</w:t>
            </w:r>
            <w:r>
              <w:rPr>
                <w:rFonts w:hint="default" w:ascii="Times New Roman" w:hAnsi="Times New Roman" w:eastAsia="仿宋" w:cs="Times New Roman"/>
                <w:b/>
                <w:color w:val="auto"/>
                <w:sz w:val="24"/>
                <w:szCs w:val="24"/>
                <w:highlight w:val="none"/>
              </w:rPr>
              <w:t>施工时序及建设周期</w:t>
            </w:r>
          </w:p>
          <w:p w14:paraId="22BB8DC9">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val="0"/>
                <w:color w:val="auto"/>
                <w:sz w:val="24"/>
                <w:szCs w:val="24"/>
                <w:highlight w:val="none"/>
                <w:lang w:val="en-US" w:eastAsia="zh-CN"/>
              </w:rPr>
            </w:pPr>
            <w:r>
              <w:rPr>
                <w:rFonts w:hint="default" w:ascii="Times New Roman" w:hAnsi="Times New Roman" w:eastAsia="仿宋" w:cs="Times New Roman"/>
                <w:b/>
                <w:bCs w:val="0"/>
                <w:color w:val="auto"/>
                <w:sz w:val="24"/>
                <w:szCs w:val="24"/>
                <w:highlight w:val="none"/>
                <w:lang w:val="en-US" w:eastAsia="zh-CN"/>
              </w:rPr>
              <w:t>（1）施工人员</w:t>
            </w:r>
          </w:p>
          <w:p w14:paraId="7E96CD5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val="en-US" w:eastAsia="zh-CN"/>
              </w:rPr>
              <w:t>施工高峰期约150人/d</w:t>
            </w:r>
            <w:r>
              <w:rPr>
                <w:rFonts w:hint="default" w:ascii="Times New Roman" w:hAnsi="Times New Roman" w:eastAsia="仿宋" w:cs="Times New Roman"/>
                <w:bCs/>
                <w:color w:val="auto"/>
                <w:sz w:val="24"/>
                <w:szCs w:val="24"/>
                <w:highlight w:val="none"/>
                <w:lang w:eastAsia="zh-CN"/>
              </w:rPr>
              <w:t>。</w:t>
            </w:r>
          </w:p>
          <w:p w14:paraId="5E95C25C">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val="0"/>
                <w:color w:val="auto"/>
                <w:sz w:val="24"/>
                <w:szCs w:val="24"/>
                <w:highlight w:val="none"/>
                <w:lang w:eastAsia="zh-CN"/>
              </w:rPr>
            </w:pPr>
            <w:r>
              <w:rPr>
                <w:rFonts w:hint="default" w:ascii="Times New Roman" w:hAnsi="Times New Roman" w:eastAsia="仿宋" w:cs="Times New Roman"/>
                <w:b/>
                <w:bCs w:val="0"/>
                <w:color w:val="auto"/>
                <w:sz w:val="24"/>
                <w:szCs w:val="24"/>
                <w:highlight w:val="none"/>
                <w:lang w:eastAsia="zh-CN"/>
              </w:rPr>
              <w:t>（</w:t>
            </w:r>
            <w:r>
              <w:rPr>
                <w:rFonts w:hint="default" w:ascii="Times New Roman" w:hAnsi="Times New Roman" w:eastAsia="仿宋" w:cs="Times New Roman"/>
                <w:b/>
                <w:bCs w:val="0"/>
                <w:color w:val="auto"/>
                <w:sz w:val="24"/>
                <w:szCs w:val="24"/>
                <w:highlight w:val="none"/>
                <w:lang w:val="en-US" w:eastAsia="zh-CN"/>
              </w:rPr>
              <w:t>2</w:t>
            </w:r>
            <w:r>
              <w:rPr>
                <w:rFonts w:hint="default" w:ascii="Times New Roman" w:hAnsi="Times New Roman" w:eastAsia="仿宋" w:cs="Times New Roman"/>
                <w:b/>
                <w:bCs w:val="0"/>
                <w:color w:val="auto"/>
                <w:sz w:val="24"/>
                <w:szCs w:val="24"/>
                <w:highlight w:val="none"/>
                <w:lang w:eastAsia="zh-CN"/>
              </w:rPr>
              <w:t>）建设周期</w:t>
            </w:r>
          </w:p>
          <w:p w14:paraId="0D2BF4C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本项目建设期为8个月。</w:t>
            </w:r>
          </w:p>
        </w:tc>
      </w:tr>
      <w:tr w14:paraId="01028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84" w:hRule="atLeast"/>
          <w:jc w:val="center"/>
        </w:trPr>
        <w:tc>
          <w:tcPr>
            <w:tcW w:w="387" w:type="pct"/>
            <w:noWrap w:val="0"/>
            <w:vAlign w:val="center"/>
          </w:tcPr>
          <w:p w14:paraId="09ED2D1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其他</w:t>
            </w:r>
          </w:p>
        </w:tc>
        <w:tc>
          <w:tcPr>
            <w:tcW w:w="4612" w:type="pct"/>
            <w:noWrap w:val="0"/>
            <w:vAlign w:val="center"/>
          </w:tcPr>
          <w:p w14:paraId="7D40727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leftChars="0" w:right="0" w:firstLine="0" w:firstLineChars="0"/>
              <w:jc w:val="both"/>
              <w:textAlignment w:val="auto"/>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2.9 工程比选方案</w:t>
            </w:r>
          </w:p>
          <w:p w14:paraId="46099341">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项目变更后，由于升压站、进站道路等建设用地限制新增，仅可利用荒坡地建设，且本项目光伏阵列选址区域附近，已无可用的规划建设用地。项目周边满足升压站建设地质条件的区域均已形成自然村落或现状为农用地。因此本项目在避让居民点、农田、林地等换进敏感区域后，利用竹子箐附近大坡度荒坡地进行升压站的选址建设，选址方案唯一，无比选方案。选址已通过会泽县自然资源局审批。</w:t>
            </w:r>
          </w:p>
          <w:p w14:paraId="4C547308">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本项目光伏方阵由于区域地形限制，选址较为分散。光伏方阵已避让生态保护红线、基本农田、禁止使用林地草地等地块，选址符合相关法律法规，选址合理。</w:t>
            </w:r>
          </w:p>
          <w:p w14:paraId="5986CBCE">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本项目集电线路、塔基已尽可能采取架空线路的方式进行布设，部分架空线路跨越生态保护红线。具体为35#-1、35#-2、36#、37#四个方阵的集电线路涉及跨越生态保护红线。</w:t>
            </w:r>
          </w:p>
          <w:p w14:paraId="35030EEE">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其中36#和37#方阵位于会泽县纸厂乡境内，方阵四周均被生态保护红线包围，不具备绕行连接本项目升压站的空间条件。由于地形和土地限制，项目仅能从南侧山体垭口处，架设架空线路，以最短路径跨越生态保护红线，该路径选址唯一。</w:t>
            </w:r>
          </w:p>
          <w:p w14:paraId="6CEBC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highlight w:val="none"/>
              </w:rPr>
            </w:pPr>
            <w:r>
              <w:rPr>
                <w:rFonts w:hint="default"/>
                <w:color w:val="auto"/>
                <w:sz w:val="24"/>
                <w:highlight w:val="none"/>
              </w:rPr>
              <mc:AlternateContent>
                <mc:Choice Requires="wps">
                  <w:drawing>
                    <wp:anchor distT="0" distB="0" distL="114300" distR="114300" simplePos="0" relativeHeight="251723776" behindDoc="0" locked="0" layoutInCell="1" allowOverlap="1">
                      <wp:simplePos x="0" y="0"/>
                      <wp:positionH relativeFrom="column">
                        <wp:posOffset>5093335</wp:posOffset>
                      </wp:positionH>
                      <wp:positionV relativeFrom="paragraph">
                        <wp:posOffset>3176905</wp:posOffset>
                      </wp:positionV>
                      <wp:extent cx="304165" cy="100965"/>
                      <wp:effectExtent l="12700" t="12700" r="26035" b="19685"/>
                      <wp:wrapNone/>
                      <wp:docPr id="87" name="矩形 87"/>
                      <wp:cNvGraphicFramePr/>
                      <a:graphic xmlns:a="http://schemas.openxmlformats.org/drawingml/2006/main">
                        <a:graphicData uri="http://schemas.microsoft.com/office/word/2010/wordprocessingShape">
                          <wps:wsp>
                            <wps:cNvSpPr/>
                            <wps:spPr>
                              <a:xfrm>
                                <a:off x="6330315" y="4097655"/>
                                <a:ext cx="304165" cy="100965"/>
                              </a:xfrm>
                              <a:prstGeom prst="rect">
                                <a:avLst/>
                              </a:prstGeom>
                              <a:solidFill>
                                <a:srgbClr val="18A116"/>
                              </a:solidFill>
                              <a:ln>
                                <a:solidFill>
                                  <a:srgbClr val="2FAA24"/>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1.05pt;margin-top:250.15pt;height:7.95pt;width:23.95pt;z-index:251723776;v-text-anchor:middle;mso-width-relative:page;mso-height-relative:page;" fillcolor="#18A116" filled="t" stroked="t" coordsize="21600,21600" o:gfxdata="UEsDBAoAAAAAAIdO4kAAAAAAAAAAAAAAAAAEAAAAZHJzL1BLAwQUAAAACACHTuJARAe7odkAAAAL&#10;AQAADwAAAGRycy9kb3ducmV2LnhtbE2PTUvEMBCG74L/IYzgRdykFZdSmy4oCIIiuKusx2wz2xST&#10;SW2yH/57x9N6m4+Hd55pFsfgxR6nNETSUMwUCKQu2oF6De+rx+sKRMqGrPGRUMMPJli052eNqW08&#10;0Bvul7kXHEKpNhpczmMtZeocBpNmcUTi3TZOwWRup17ayRw4PHhZKjWXwQzEF5wZ8cFh97XcBQ2l&#10;eXrB149n9+3v8Yq2n2u/kmutLy8KdQci4zGfYPjTZ3Vo2WkTd2ST8BoqVRaMarhV6gYEExVXIDY8&#10;KeYlyLaR/39ofwFQSwMEFAAAAAgAh07iQKbrge11AgAA6gQAAA4AAABkcnMvZTJvRG9jLnhtbK1U&#10;zW7bMAy+D9g7CLqvthMnTYM4hZEgw4BiLdANOyuyFAvQ3yQlTvcyA3bbQ+xxhr3GKNlt066HHnaR&#10;SZH+SH4ktbg8KokOzHlhdIWLsxwjpqlphN5V+POnzbsZRj4Q3RBpNKvwHfP4cvn2zaKzczYyrZEN&#10;cwhAtJ93tsJtCHaeZZ62TBF/ZizTYOTGKRJAdbuscaQDdCWzUZ5Ps864xjpDmfdwu+6NeEB0rwE0&#10;nAvK1obuFdOhR3VMkgAl+VZYj5cpW84ZDdecexaQrDBUGtIJQUDexjNbLsh854htBR1SIK9J4VlN&#10;iggNQR+g1iQQtHfiHyglqDPe8HBGjcr6QhIjUEWRP+PmtiWWpVqAam8fSPf/D5Z+PNw4JJoKz84x&#10;0kRBx/98//n71w8EF8BOZ/0cnG7tjRs0D2Is9cidil8oAh0rPB2P83ExweiuwmV+cT6dTHp22TEg&#10;Cg7jvCymYKfgUOT5BciAmD0CWefDe2YUikKFHTQvcUoOVz70rvcuMa43UjQbIWVS3G67kg4dCDS6&#10;mNVFMR3Qn7hJjboKjyZlDgNACYwvh7EBUVmgwOsdRkTuYC9ocCn2k7/9aZDRpq5H5UtBYpJr4ts+&#10;mYQwuEkNBUdGew6jtDXNHXTAmX40vaUbAf9fER9uiINZhERhW8M1HFwayN4MEkatcd9euo/+MCJg&#10;xaiD2YbKvu6JYxjJDxqG56Ioy7gMSSkn5yNQ3Klle2rRe7UykVV4FyxNYvQP8l7kzqgvsNR1jAom&#10;oinE7jkclFXodw6eBcrqOrnBAlgSrvStpRE8dlGbeh8MF6nbj+wMpMEKpHkZ1jXu2KmevB6fq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RAe7odkAAAALAQAADwAAAAAAAAABACAAAAAiAAAAZHJz&#10;L2Rvd25yZXYueG1sUEsBAhQAFAAAAAgAh07iQKbrge11AgAA6gQAAA4AAAAAAAAAAQAgAAAAKAEA&#10;AGRycy9lMm9Eb2MueG1sUEsFBgAAAAAGAAYAWQEAAA8GAAAAAA==&#10;">
                      <v:fill on="t" focussize="0,0"/>
                      <v:stroke weight="2pt" color="#2FAA24 [2404]" joinstyle="round"/>
                      <v:imagedata o:title=""/>
                      <o:lock v:ext="edit" aspectratio="f"/>
                    </v:rect>
                  </w:pict>
                </mc:Fallback>
              </mc:AlternateContent>
            </w:r>
            <w:r>
              <w:rPr>
                <w:rFonts w:hint="default"/>
                <w:color w:val="auto"/>
                <w:sz w:val="24"/>
                <w:highlight w:val="none"/>
              </w:rPr>
              <mc:AlternateContent>
                <mc:Choice Requires="wps">
                  <w:drawing>
                    <wp:anchor distT="0" distB="0" distL="114300" distR="114300" simplePos="0" relativeHeight="251722752" behindDoc="0" locked="0" layoutInCell="1" allowOverlap="1">
                      <wp:simplePos x="0" y="0"/>
                      <wp:positionH relativeFrom="column">
                        <wp:posOffset>5120005</wp:posOffset>
                      </wp:positionH>
                      <wp:positionV relativeFrom="paragraph">
                        <wp:posOffset>3044825</wp:posOffset>
                      </wp:positionV>
                      <wp:extent cx="255270" cy="0"/>
                      <wp:effectExtent l="0" t="12700" r="11430" b="15875"/>
                      <wp:wrapNone/>
                      <wp:docPr id="85" name="直接连接符 85"/>
                      <wp:cNvGraphicFramePr/>
                      <a:graphic xmlns:a="http://schemas.openxmlformats.org/drawingml/2006/main">
                        <a:graphicData uri="http://schemas.microsoft.com/office/word/2010/wordprocessingShape">
                          <wps:wsp>
                            <wps:cNvCnPr/>
                            <wps:spPr>
                              <a:xfrm>
                                <a:off x="0" y="0"/>
                                <a:ext cx="255270" cy="0"/>
                              </a:xfrm>
                              <a:prstGeom prst="line">
                                <a:avLst/>
                              </a:prstGeom>
                              <a:ln>
                                <a:solidFill>
                                  <a:srgbClr val="17D0CF"/>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3.15pt;margin-top:239.75pt;height:0pt;width:20.1pt;z-index:251722752;mso-width-relative:page;mso-height-relative:page;" filled="f" stroked="t" coordsize="21600,21600" o:gfxdata="UEsDBAoAAAAAAIdO4kAAAAAAAAAAAAAAAAAEAAAAZHJzL1BLAwQUAAAACACHTuJAZoZAfdcAAAAL&#10;AQAADwAAAGRycy9kb3ducmV2LnhtbE2PTU/DMAyG70j8h8hI3Fgy2Erpmu6ANO04GNuBW9p4bUXj&#10;VE26lX+PkZDYzR+PXj/O15PrxBmH0HrSMJ8pEEiVty3VGg4fm4cURIiGrOk8oYZvDLAubm9yk1l/&#10;oXc872MtOIRCZjQ0MfaZlKFq0Jkw8z0S705+cCZyO9TSDubC4a6Tj0ol0pmW+EJjenxtsPraj05D&#10;mY7V2+fxcNyUcbed+u0Olyi1vr+bqxWIiFP8h+FXn9WhYKfSj2SD6DSkKnliVMPi+WUJgol0kXBR&#10;/k1kkcvrH4ofUEsDBBQAAAAIAIdO4kAMx2Zz2gEAAJwDAAAOAAAAZHJzL2Uyb0RvYy54bWytU82O&#10;0zAQviPxDpbvNGlF2VXUdA+NygVBJeABXMdOLPlPHm/TvgQvgMQNThy58zbsPgZjJ9tldy974OKM&#10;Zz5/4+/zZHV1NJocRADlbE3ns5ISYblrle1q+vnT9tUlJRCZbZl2VtT0JIBerV++WA2+EgvXO92K&#10;QJDEQjX4mvYx+qoogPfCMJg5LywWpQuGRdyGrmgDG5Dd6GJRlm+KwYXWB8cFAGabsUgnxvAcQiel&#10;4qJx/NoIG0fWIDSLKAl65YGu822lFDx+kBJEJLqmqDTmFZtgvE9rsV6xqgvM94pPV2DPucIjTYYp&#10;i03PVA2LjFwH9YTKKB4cOBln3JliFJIdQRXz8pE3H3vmRdaCVoM/mw7/j5a/P+wCUW1NL5eUWGbw&#10;xW++/vrz5fvt72+43vz8QbCCNg0eKkRv7C5MO/C7kDQfZTDpi2rIMVt7OlsrjpFwTC6Wy8UFms7v&#10;SsX9OR8gvhXOkBTUVCubRLOKHd5BxF4IvYOktHVbpXV+OG3JkLhfl4ma4TRKnAIMjUdFYDtKmO5w&#10;zHkMmRKcVm06noggdPuNDuTAcDjmF0252Sah2O4BLPVuGPQjLpcmmLaITr6MTqRo79pTNijn8dEy&#10;3zRgaSr+3efT9z/V+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mhkB91wAAAAsBAAAPAAAAAAAA&#10;AAEAIAAAACIAAABkcnMvZG93bnJldi54bWxQSwECFAAUAAAACACHTuJADMdmc9oBAACcAwAADgAA&#10;AAAAAAABACAAAAAmAQAAZHJzL2Uyb0RvYy54bWxQSwUGAAAAAAYABgBZAQAAcgUAAAAA&#10;">
                      <v:fill on="f" focussize="0,0"/>
                      <v:stroke weight="2pt" color="#17D0CF [3204]" joinstyle="round"/>
                      <v:imagedata o:title=""/>
                      <o:lock v:ext="edit" aspectratio="f"/>
                    </v:line>
                  </w:pict>
                </mc:Fallback>
              </mc:AlternateContent>
            </w:r>
            <w:r>
              <w:rPr>
                <w:rFonts w:hint="default"/>
                <w:color w:val="auto"/>
                <w:sz w:val="24"/>
                <w:highlight w:val="none"/>
              </w:rPr>
              <mc:AlternateContent>
                <mc:Choice Requires="wps">
                  <w:drawing>
                    <wp:anchor distT="0" distB="0" distL="114300" distR="114300" simplePos="0" relativeHeight="251721728" behindDoc="0" locked="0" layoutInCell="1" allowOverlap="1">
                      <wp:simplePos x="0" y="0"/>
                      <wp:positionH relativeFrom="column">
                        <wp:posOffset>5121275</wp:posOffset>
                      </wp:positionH>
                      <wp:positionV relativeFrom="paragraph">
                        <wp:posOffset>2856230</wp:posOffset>
                      </wp:positionV>
                      <wp:extent cx="255270" cy="0"/>
                      <wp:effectExtent l="0" t="12700" r="11430" b="15875"/>
                      <wp:wrapNone/>
                      <wp:docPr id="83" name="直接连接符 83"/>
                      <wp:cNvGraphicFramePr/>
                      <a:graphic xmlns:a="http://schemas.openxmlformats.org/drawingml/2006/main">
                        <a:graphicData uri="http://schemas.microsoft.com/office/word/2010/wordprocessingShape">
                          <wps:wsp>
                            <wps:cNvCnPr/>
                            <wps:spPr>
                              <a:xfrm>
                                <a:off x="6358255" y="3776980"/>
                                <a:ext cx="255270"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3.25pt;margin-top:224.9pt;height:0pt;width:20.1pt;z-index:251721728;mso-width-relative:page;mso-height-relative:page;" filled="f" stroked="t" coordsize="21600,21600" o:gfxdata="UEsDBAoAAAAAAIdO4kAAAAAAAAAAAAAAAAAEAAAAZHJzL1BLAwQUAAAACACHTuJAL4GnutcAAAAL&#10;AQAADwAAAGRycy9kb3ducmV2LnhtbE2PTUvEMBCG74L/IYzgzU0q3Vhr0z0oCnpzdRVv2WbaFJNJ&#10;abIf/nsjCHqcmYd3nrdZHb1je5zjGEhBsRDAkLpgRhoUvL7cX1TAYtJktAuECr4wwqo9PWl0bcKB&#10;nnG/TgPLIRRrrcCmNNWcx86i13ERJqR868PsdcrjPHAz60MO945fCiG51yPlD1ZPeGux+1zvvILH&#10;N9yYzcfT3TI4U/TvDzL2Vip1flaIG2AJj+kPhh/9rA5tdtqGHZnInIJKyGVGFZTlde6QiaqUV8C2&#10;vxveNvx/h/YbUEsDBBQAAAAIAIdO4kDFCq3b5wEAAKgDAAAOAAAAZHJzL2Uyb0RvYy54bWytU0uO&#10;1DAQ3SNxB8t7Oplu+kPU6VlMq9kgaAk4gNuxE0v+yeXpdF+CCyCxgxVL9tyG4RiUncyHYTMLsnDK&#10;rpdXfq8q68uT0eQoAihna3oxKSkRlrtG2bamHz/sXqwogchsw7SzoqZnAfRy8/zZuveVmLrO6UYE&#10;giQWqt7XtIvRV0UBvBOGwcR5YTEpXTAs4ja0RRNYj+xGF9OyXBS9C40PjgsAPN0OSToyhqcQOikV&#10;F1vHr42wcWANQrOIkqBTHugm31ZKweM7KUFEomuKSmNesQjGh7QWmzWr2sB8p/h4BfaUKzzSZJiy&#10;WPSOassiI9dB/UNlFA8OnIwT7kwxCMmOoIqL8pE37zvmRdaCVoO/Mx3+Hy1/e9wHopqarmaUWGaw&#10;4zeff/z69PX3zy+43nz/RjCDNvUeKkRf2X0Yd+D3IWk+yWDSG9WQU00Xs/lqOp9Tcq7pbLlcvFqN&#10;NotTJBwBmJwusQEcATlV3HP4APG1cIakoKZa2WQAq9jxDUSsi9BbSDq2bqe0zk3UlvSJ+2WZqBlO&#10;psSJwNB4VAe2pYTpFkeex5ApwWnVpM8TEYT2cKUDOTIclN2uxCeJxnJ/wVLtLYNuwOXUCNMW0cmj&#10;wZUUHVxzzmblc2xg5huHLU3Iw33++v4H2/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4GnutcA&#10;AAALAQAADwAAAAAAAAABACAAAAAiAAAAZHJzL2Rvd25yZXYueG1sUEsBAhQAFAAAAAgAh07iQMUK&#10;rdvnAQAAqAMAAA4AAAAAAAAAAQAgAAAAJgEAAGRycy9lMm9Eb2MueG1sUEsFBgAAAAAGAAYAWQEA&#10;AH8FAAAAAA==&#10;">
                      <v:fill on="f" focussize="0,0"/>
                      <v:stroke weight="2pt" color="#FF0000 [3204]" joinstyle="round"/>
                      <v:imagedata o:title=""/>
                      <o:lock v:ext="edit" aspectratio="f"/>
                    </v:line>
                  </w:pict>
                </mc:Fallback>
              </mc:AlternateContent>
            </w:r>
            <w:r>
              <w:rPr>
                <w:rFonts w:hint="default"/>
                <w:color w:val="auto"/>
                <w:sz w:val="24"/>
                <w:highlight w:val="none"/>
              </w:rPr>
              <mc:AlternateContent>
                <mc:Choice Requires="wps">
                  <w:drawing>
                    <wp:anchor distT="0" distB="0" distL="114300" distR="114300" simplePos="0" relativeHeight="251720704" behindDoc="0" locked="0" layoutInCell="1" allowOverlap="1">
                      <wp:simplePos x="0" y="0"/>
                      <wp:positionH relativeFrom="column">
                        <wp:posOffset>4160520</wp:posOffset>
                      </wp:positionH>
                      <wp:positionV relativeFrom="paragraph">
                        <wp:posOffset>2518410</wp:posOffset>
                      </wp:positionV>
                      <wp:extent cx="1333500" cy="906780"/>
                      <wp:effectExtent l="12700" t="12700" r="25400" b="13970"/>
                      <wp:wrapNone/>
                      <wp:docPr id="81" name="矩形 81"/>
                      <wp:cNvGraphicFramePr/>
                      <a:graphic xmlns:a="http://schemas.openxmlformats.org/drawingml/2006/main">
                        <a:graphicData uri="http://schemas.microsoft.com/office/word/2010/wordprocessingShape">
                          <wps:wsp>
                            <wps:cNvSpPr/>
                            <wps:spPr>
                              <a:xfrm>
                                <a:off x="5016500" y="3665220"/>
                                <a:ext cx="1333500" cy="906780"/>
                              </a:xfrm>
                              <a:prstGeom prst="rect">
                                <a:avLst/>
                              </a:prstGeom>
                              <a:solidFill>
                                <a:schemeClr val="bg1">
                                  <a:lumMod val="75000"/>
                                </a:schemeClr>
                              </a:solidFill>
                            </wps:spPr>
                            <wps:style>
                              <a:lnRef idx="2">
                                <a:schemeClr val="accent1">
                                  <a:lumMod val="75000"/>
                                </a:schemeClr>
                              </a:lnRef>
                              <a:fillRef idx="1">
                                <a:schemeClr val="accent1"/>
                              </a:fillRef>
                              <a:effectRef idx="0">
                                <a:srgbClr val="FFFFFF"/>
                              </a:effectRef>
                              <a:fontRef idx="minor">
                                <a:schemeClr val="lt1"/>
                              </a:fontRef>
                            </wps:style>
                            <wps:txbx>
                              <w:txbxContent>
                                <w:p w14:paraId="79C1CDEB">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图例</w:t>
                                  </w:r>
                                </w:p>
                                <w:p w14:paraId="26431F5F">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方阵红线</w:t>
                                  </w:r>
                                </w:p>
                                <w:p w14:paraId="18974841">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架空线路</w:t>
                                  </w:r>
                                </w:p>
                                <w:p w14:paraId="4986474D">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生态红线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6pt;margin-top:198.3pt;height:71.4pt;width:105pt;z-index:251720704;v-text-anchor:middle;mso-width-relative:page;mso-height-relative:page;" fillcolor="#BFBFBF [2412]" filled="t" stroked="t" coordsize="21600,21600" o:gfxdata="UEsDBAoAAAAAAIdO4kAAAAAAAAAAAAAAAAAEAAAAZHJzL1BLAwQUAAAACACHTuJAFFR1htoAAAAL&#10;AQAADwAAAGRycy9kb3ducmV2LnhtbE2Py07DMBBF90j8gzVI7KjTlkRJyKRCPMSmLCivrWsPSUQ8&#10;jmK3CX+Pu4LlzBzdObfazLYXRxp95xhhuUhAEGtnOm4Q3l4fr3IQPig2qndMCD/kYVOfn1WqNG7i&#10;FzruQiNiCPtSIbQhDKWUXrdklV+4gTjevtxoVYjj2EgzqimG216ukiSTVnUcP7RqoLuW9PfuYBGG&#10;+9v3tMs/dbF9dvrpYfow29kiXl4skxsQgebwB8NJP6pDHZ327sDGix4hS9NVRBHWRZaBiESenTZ7&#10;hHRdXIOsK/m/Q/0LUEsDBBQAAAAIAIdO4kDUUt+EiwIAADoFAAAOAAAAZHJzL2Uyb0RvYy54bWyt&#10;VNtu1DAQfUfiHyy/02Tv7arZaulqEVKhlQri2es4m0i+YXs3W34GiTc+gs9B/AbHTnqFhwqhSMmM&#10;fXLGc2bGp2cHJcleON8YXdDBUU6J0NyUjd4W9OOH9atjSnxgumTSaFHQG+Hp2eLli9PWzsXQ1EaW&#10;whGQaD9vbUHrEOw8yzyvhWL+yFihsVkZp1iA67ZZ6VgLdiWzYZ5Ps9a40jrDhfdYXXWbtGd0zyE0&#10;VdVwsTJ8p4QOHasTkgWk5OvGerpIp60qwcNlVXkRiCwoMg3pjSCwN/GdLU7ZfOuYrRveH4E95whP&#10;clKs0Qh6R7VigZGda/6gUg13xpsqHHGjsi6RpAiyGORPtLmumRUpF0jt7Z3o/v/R8vf7K0easqDH&#10;A0o0U6j4r6/ff/74RrAAdVrr5wBd2yvXex5mTPVQORW/SIIcCjrJB9NJDl1vCjqaTifDYa+uOATC&#10;ARiMRqME4ECc5NPZcQJk90zW+fBGGEWiUVCH6iVR2f7CB0QH9BYSA3sjm3LdSJkct92cS0f2DJV+&#10;vY5P+lfu1DtTdsszhL+N6Tt8In1EJDVpCzqcjGMunKHDK3QWTGWhktdbSpjcYnR4cCnCo7972i7e&#10;aDbNT4b/doyY6Ir5umNKMWI5IIHU+MSydIWIVjhsDn11Nqa8QUWd6VrdW75uQHXBfLhiDr2NrDD9&#10;4RKvShqkanqLktq4L39bj3i0HHYpaTErkOHzjjlBiXyr0Ywng/EYtCE548kMlSfu4c7m4Y7eqXOD&#10;IqHfcLpkRnyQt2bljPqES2IZo2KLaY7YneC9cx66GcY1w8VymWAYKMvChb62PJLHptBmuQumalLz&#10;RKE6dXr9MFJJ0H7848w+9BPq/sp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UVHWG2gAAAAsB&#10;AAAPAAAAAAAAAAEAIAAAACIAAABkcnMvZG93bnJldi54bWxQSwECFAAUAAAACACHTuJA1FLfhIsC&#10;AAA6BQAADgAAAAAAAAABACAAAAApAQAAZHJzL2Uyb0RvYy54bWxQSwUGAAAAAAYABgBZAQAAJgYA&#10;AAAA&#10;">
                      <v:fill on="t" focussize="0,0"/>
                      <v:stroke weight="2pt" color="#376092 [2404]" joinstyle="round"/>
                      <v:imagedata o:title=""/>
                      <o:lock v:ext="edit" aspectratio="f"/>
                      <v:textbox>
                        <w:txbxContent>
                          <w:p w14:paraId="79C1CDEB">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图例</w:t>
                            </w:r>
                          </w:p>
                          <w:p w14:paraId="26431F5F">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方阵红线</w:t>
                            </w:r>
                          </w:p>
                          <w:p w14:paraId="18974841">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架空线路</w:t>
                            </w:r>
                          </w:p>
                          <w:p w14:paraId="4986474D">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生态红线</w:t>
                            </w:r>
                          </w:p>
                        </w:txbxContent>
                      </v:textbox>
                    </v:rect>
                  </w:pict>
                </mc:Fallback>
              </mc:AlternateContent>
            </w:r>
            <w:r>
              <w:rPr>
                <w:rFonts w:hint="default"/>
                <w:color w:val="auto"/>
                <w:highlight w:val="none"/>
              </w:rPr>
              <w:drawing>
                <wp:inline distT="0" distB="0" distL="114300" distR="114300">
                  <wp:extent cx="5556250" cy="3498215"/>
                  <wp:effectExtent l="0" t="0" r="6350" b="6985"/>
                  <wp:docPr id="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9"/>
                          <pic:cNvPicPr>
                            <a:picLocks noChangeAspect="1"/>
                          </pic:cNvPicPr>
                        </pic:nvPicPr>
                        <pic:blipFill>
                          <a:blip r:embed="rId35"/>
                          <a:stretch>
                            <a:fillRect/>
                          </a:stretch>
                        </pic:blipFill>
                        <pic:spPr>
                          <a:xfrm>
                            <a:off x="0" y="0"/>
                            <a:ext cx="5556250" cy="3498215"/>
                          </a:xfrm>
                          <a:prstGeom prst="rect">
                            <a:avLst/>
                          </a:prstGeom>
                          <a:noFill/>
                          <a:ln>
                            <a:noFill/>
                          </a:ln>
                        </pic:spPr>
                      </pic:pic>
                    </a:graphicData>
                  </a:graphic>
                </wp:inline>
              </w:drawing>
            </w:r>
          </w:p>
          <w:p w14:paraId="3EA18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lang w:val="en-US" w:eastAsia="zh-CN"/>
              </w:rPr>
            </w:pPr>
            <w:r>
              <w:rPr>
                <w:rFonts w:hint="eastAsia"/>
                <w:color w:val="auto"/>
                <w:highlight w:val="none"/>
                <w:lang w:val="en-US" w:eastAsia="zh-CN"/>
              </w:rPr>
              <w:t>图2.9-1 36#和37#方阵周边情况示意图</w:t>
            </w:r>
          </w:p>
          <w:p w14:paraId="036AD8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color w:val="auto"/>
                <w:highlight w:val="none"/>
              </w:rPr>
            </w:pPr>
            <w:r>
              <w:rPr>
                <w:rFonts w:hint="default"/>
                <w:color w:val="auto"/>
                <w:sz w:val="24"/>
                <w:highlight w:val="none"/>
              </w:rPr>
              <mc:AlternateContent>
                <mc:Choice Requires="wps">
                  <w:drawing>
                    <wp:anchor distT="0" distB="0" distL="114300" distR="114300" simplePos="0" relativeHeight="251725824" behindDoc="0" locked="0" layoutInCell="1" allowOverlap="1">
                      <wp:simplePos x="0" y="0"/>
                      <wp:positionH relativeFrom="column">
                        <wp:posOffset>5161915</wp:posOffset>
                      </wp:positionH>
                      <wp:positionV relativeFrom="paragraph">
                        <wp:posOffset>3030220</wp:posOffset>
                      </wp:positionV>
                      <wp:extent cx="255270" cy="0"/>
                      <wp:effectExtent l="0" t="12700" r="11430" b="15875"/>
                      <wp:wrapNone/>
                      <wp:docPr id="98" name="直接连接符 98"/>
                      <wp:cNvGraphicFramePr/>
                      <a:graphic xmlns:a="http://schemas.openxmlformats.org/drawingml/2006/main">
                        <a:graphicData uri="http://schemas.microsoft.com/office/word/2010/wordprocessingShape">
                          <wps:wsp>
                            <wps:cNvCnPr/>
                            <wps:spPr>
                              <a:xfrm>
                                <a:off x="0" y="0"/>
                                <a:ext cx="255270"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6.45pt;margin-top:238.6pt;height:0pt;width:20.1pt;z-index:251725824;mso-width-relative:page;mso-height-relative:page;" filled="f" stroked="t" coordsize="21600,21600" o:gfxdata="UEsDBAoAAAAAAIdO4kAAAAAAAAAAAAAAAAAEAAAAZHJzL1BLAwQUAAAACACHTuJA0BkhftgAAAAL&#10;AQAADwAAAGRycy9kb3ducmV2LnhtbE2Py07DMBBF90j8gzVI7KjjQNMQ4nQBAgl2FNqKnRtP4gh7&#10;HMXug7/HSEiwnJmjO+fWy5Oz7IBTGDxJELMMGFLr9UC9hPe3x6sSWIiKtLKeUMIXBlg252e1qrQ/&#10;0iseVrFnKYRCpSSYGMeK89AadCrM/IiUbp2fnIppnHquJ3VM4c7yPMsK7tRA6YNRI94bbD9Xeyfh&#10;eYNrvf54eZh7q0W3fSpCZwopLy9Edgcs4in+wfCjn9ShSU47vycdmJVQivw2oRJuFoscWCLK+bUA&#10;tvvd8Kbm/zs031BLAwQUAAAACACHTuJAdDxY/tkBAACcAwAADgAAAGRycy9lMm9Eb2MueG1srVPN&#10;bhMxEL4j8Q6W72S3EeVnlU0PjcIFQSTgARyvvWvJf5pxs8lL8AJI3ODEkTtvQ3kMxs42hfbSQ/fg&#10;Hc+Mv/H3zXhxsXeW7RSgCb7lZ7OaM+Vl6IzvW/7p4/rZK84wCd8JG7xq+UEhv1g+fbIYY6PmYQi2&#10;U8AIxGMzxpYPKcWmqlAOygmchag8BXUAJxJtoa86ECOhO1vN6/pFNQboIgSpEMm7Ogb5hAgPAQxa&#10;G6lWQV455dMRFZQViSjhYCLyZbmt1kqm91qjSsy2nJimslIRsrd5rZYL0fQg4mDkdAXxkCvc4eSE&#10;8VT0BLUSSbArMPegnJEQMOg0k8FVRyJFEWJxVt/R5sMgoipcSGqMJ9Hx8WDlu90GmOla/pr67oWj&#10;jl9/+fn787c/v77Sev3jO6MIyTRGbCj70m9g2mHcQOa81+Dyn9iwfZH2cJJW7ROT5Jyfn89fkujy&#10;JlTdnouA6Y0KjmWj5db4TFo0YvcWE9Wi1JuU7PZhbawtjbOejRn7eZ2hBU2jpikg00VihL7nTNie&#10;xlwmKJAYrOny8QyE0G8vLbCdoOFYr2v6MlEq919arr0SOBzzSmhKs56ysy5HJbK1Dd2hCFT81LSC&#10;Nw1Ynop/9+X07aNa/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QGSF+2AAAAAsBAAAPAAAAAAAA&#10;AAEAIAAAACIAAABkcnMvZG93bnJldi54bWxQSwECFAAUAAAACACHTuJAdDxY/tkBAACcAwAADgAA&#10;AAAAAAABACAAAAAnAQAAZHJzL2Uyb0RvYy54bWxQSwUGAAAAAAYABgBZAQAAcgUAAAAA&#10;">
                      <v:fill on="f" focussize="0,0"/>
                      <v:stroke weight="2pt" color="#FF0000 [3204]" joinstyle="round"/>
                      <v:imagedata o:title=""/>
                      <o:lock v:ext="edit" aspectratio="f"/>
                    </v:line>
                  </w:pict>
                </mc:Fallback>
              </mc:AlternateContent>
            </w:r>
            <w:r>
              <w:rPr>
                <w:rFonts w:hint="default"/>
                <w:color w:val="auto"/>
                <w:sz w:val="24"/>
                <w:highlight w:val="none"/>
              </w:rPr>
              <mc:AlternateContent>
                <mc:Choice Requires="wps">
                  <w:drawing>
                    <wp:anchor distT="0" distB="0" distL="114300" distR="114300" simplePos="0" relativeHeight="251724800" behindDoc="0" locked="0" layoutInCell="1" allowOverlap="1">
                      <wp:simplePos x="0" y="0"/>
                      <wp:positionH relativeFrom="column">
                        <wp:posOffset>4201160</wp:posOffset>
                      </wp:positionH>
                      <wp:positionV relativeFrom="paragraph">
                        <wp:posOffset>2692400</wp:posOffset>
                      </wp:positionV>
                      <wp:extent cx="1333500" cy="906780"/>
                      <wp:effectExtent l="12700" t="12700" r="25400" b="13970"/>
                      <wp:wrapNone/>
                      <wp:docPr id="99" name="矩形 99"/>
                      <wp:cNvGraphicFramePr/>
                      <a:graphic xmlns:a="http://schemas.openxmlformats.org/drawingml/2006/main">
                        <a:graphicData uri="http://schemas.microsoft.com/office/word/2010/wordprocessingShape">
                          <wps:wsp>
                            <wps:cNvSpPr/>
                            <wps:spPr>
                              <a:xfrm>
                                <a:off x="0" y="0"/>
                                <a:ext cx="1333500" cy="906780"/>
                              </a:xfrm>
                              <a:prstGeom prst="rect">
                                <a:avLst/>
                              </a:prstGeom>
                              <a:solidFill>
                                <a:schemeClr val="bg1">
                                  <a:lumMod val="75000"/>
                                </a:schemeClr>
                              </a:solidFill>
                            </wps:spPr>
                            <wps:style>
                              <a:lnRef idx="2">
                                <a:schemeClr val="accent1">
                                  <a:lumMod val="75000"/>
                                </a:schemeClr>
                              </a:lnRef>
                              <a:fillRef idx="1">
                                <a:schemeClr val="accent1"/>
                              </a:fillRef>
                              <a:effectRef idx="0">
                                <a:srgbClr val="FFFFFF"/>
                              </a:effectRef>
                              <a:fontRef idx="minor">
                                <a:schemeClr val="lt1"/>
                              </a:fontRef>
                            </wps:style>
                            <wps:txbx>
                              <w:txbxContent>
                                <w:p w14:paraId="3049B7EE">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图例</w:t>
                                  </w:r>
                                </w:p>
                                <w:p w14:paraId="1C562310">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方阵红线</w:t>
                                  </w:r>
                                </w:p>
                                <w:p w14:paraId="6B1E2DB3">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架空线路</w:t>
                                  </w:r>
                                </w:p>
                                <w:p w14:paraId="0A1F45B5">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生态红线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0.8pt;margin-top:212pt;height:71.4pt;width:105pt;z-index:251724800;v-text-anchor:middle;mso-width-relative:page;mso-height-relative:page;" fillcolor="#BFBFBF [2412]" filled="t" stroked="t" coordsize="21600,21600" o:gfxdata="UEsDBAoAAAAAAIdO4kAAAAAAAAAAAAAAAAAEAAAAZHJzL1BLAwQUAAAACACHTuJABIsWotoAAAAL&#10;AQAADwAAAGRycy9kb3ducmV2LnhtbE2PTU/DMAyG70j8h8hI3FjaaQtdqTshPsRlOzAYXLMmtBWN&#10;UzXZWv493gmOth+9ft5iPblOnOwQWk8I6SwBYanypqUa4f3t+SYDEaImoztPFuHHBliXlxeFzo0f&#10;6dWedrEWHEIh1whNjH0uZaga63SY+d4S37784HTkcailGfTI4a6T8yRR0umW+EOje/vQ2Op7d3QI&#10;/eP9ftlmn9Vqs/XVy9P4YTaTQ7y+SpM7ENFO8Q+Gsz6rQ8lOB38kE0SHoFSqGEVYzBdcions9rw5&#10;ICyVykCWhfzfofwFUEsDBBQAAAAIAIdO4kATHS5MgwIAAC4FAAAOAAAAZHJzL2Uyb0RvYy54bWyt&#10;VNtuEzEQfUfiHyy/091c2jRRN1VoFIRUaKWCeHa83uxKvmE72ZSfQeKNj+BzEL/BsXebXuChQmgl&#10;74xnfMZzZsZn53slyU443xhd0MFRTonQ3JSN3hT044fVq1NKfGC6ZNJoUdBb4en5/OWLs9bOxNDU&#10;RpbCEYBoP2ttQesQ7CzLPK+FYv7IWKFhrIxTLEB1m6x0rAW6ktkwz0+y1rjSOsOF99hddkbaI7rn&#10;AJqqarhYGr5VQocO1QnJAlLydWM9nafbVpXg4aqqvAhEFhSZhrQiCOR1XLP5GZttHLN1w/srsOdc&#10;4UlOijUaQQ9QSxYY2brmDyjVcGe8qcIRNyrrEkmMIItB/oSbm5pZkXIB1d4eSPf/D5a/31070pQF&#10;nU4p0Uyh4r++fv/54xvBBthprZ/B6cZeu17zEGOq+8qp+EcSZJ8YvT0wKvaBcGwORqPRcQ6yOWzT&#10;/GRymijP7k9b58MbYRSJQkEdKpaIZLtLHxARrncuMZg3silXjZRJcZv1hXRkx1Dd16v4pbNyq96Z&#10;stueIPxdTN/5J9BHQFKTtqDD43G6KkNXV+gm3FpZMOP1hhImNxgXHlyK8Oh0D9vFG01O8unw364R&#10;E10yX3dIKUYsASiQGr9Yio78KIX9et9XZG3KW1TRma69veWrBlCXzIdr5tDPKAAmPlxhqaRBqqaX&#10;KKmN+/K3/eiPNoOVkhbzARo+b5kTlMi3Gg04HYzHcaCSMj6eDKG4h5b1Q4veqguDIg3wtliexOgf&#10;5J1YOaM+4WFYxKgwMc0RuyO8Vy5CN7d4WrhYLJIbhsiycKlvLI/gsSm0WWyDqZrUPJGojp2eP4xR&#10;IrQf+TinD/Xkdf/MzX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BIsWotoAAAALAQAADwAAAAAA&#10;AAABACAAAAAiAAAAZHJzL2Rvd25yZXYueG1sUEsBAhQAFAAAAAgAh07iQBMdLkyDAgAALgUAAA4A&#10;AAAAAAAAAQAgAAAAKQEAAGRycy9lMm9Eb2MueG1sUEsFBgAAAAAGAAYAWQEAAB4GAAAAAA==&#10;">
                      <v:fill on="t" focussize="0,0"/>
                      <v:stroke weight="2pt" color="#376092 [2404]" joinstyle="round"/>
                      <v:imagedata o:title=""/>
                      <o:lock v:ext="edit" aspectratio="f"/>
                      <v:textbox>
                        <w:txbxContent>
                          <w:p w14:paraId="3049B7EE">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图例</w:t>
                            </w:r>
                          </w:p>
                          <w:p w14:paraId="1C562310">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方阵红线</w:t>
                            </w:r>
                          </w:p>
                          <w:p w14:paraId="6B1E2DB3">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架空线路</w:t>
                            </w:r>
                          </w:p>
                          <w:p w14:paraId="0A1F45B5">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生态红线</w:t>
                            </w:r>
                          </w:p>
                        </w:txbxContent>
                      </v:textbox>
                    </v:rect>
                  </w:pict>
                </mc:Fallback>
              </mc:AlternateContent>
            </w:r>
            <w:r>
              <w:rPr>
                <w:rFonts w:hint="default"/>
                <w:color w:val="auto"/>
                <w:sz w:val="24"/>
                <w:highlight w:val="none"/>
              </w:rPr>
              <mc:AlternateContent>
                <mc:Choice Requires="wps">
                  <w:drawing>
                    <wp:anchor distT="0" distB="0" distL="114300" distR="114300" simplePos="0" relativeHeight="251727872" behindDoc="0" locked="0" layoutInCell="1" allowOverlap="1">
                      <wp:simplePos x="0" y="0"/>
                      <wp:positionH relativeFrom="column">
                        <wp:posOffset>5133975</wp:posOffset>
                      </wp:positionH>
                      <wp:positionV relativeFrom="paragraph">
                        <wp:posOffset>3350895</wp:posOffset>
                      </wp:positionV>
                      <wp:extent cx="304165" cy="100965"/>
                      <wp:effectExtent l="12700" t="12700" r="26035" b="19685"/>
                      <wp:wrapNone/>
                      <wp:docPr id="92" name="矩形 92"/>
                      <wp:cNvGraphicFramePr/>
                      <a:graphic xmlns:a="http://schemas.openxmlformats.org/drawingml/2006/main">
                        <a:graphicData uri="http://schemas.microsoft.com/office/word/2010/wordprocessingShape">
                          <wps:wsp>
                            <wps:cNvSpPr/>
                            <wps:spPr>
                              <a:xfrm>
                                <a:off x="0" y="0"/>
                                <a:ext cx="304165" cy="100965"/>
                              </a:xfrm>
                              <a:prstGeom prst="rect">
                                <a:avLst/>
                              </a:prstGeom>
                              <a:solidFill>
                                <a:srgbClr val="18A116"/>
                              </a:solidFill>
                              <a:ln>
                                <a:solidFill>
                                  <a:srgbClr val="2FAA24"/>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25pt;margin-top:263.85pt;height:7.95pt;width:23.95pt;z-index:251727872;v-text-anchor:middle;mso-width-relative:page;mso-height-relative:page;" fillcolor="#18A116" filled="t" stroked="t" coordsize="21600,21600" o:gfxdata="UEsDBAoAAAAAAIdO4kAAAAAAAAAAAAAAAAAEAAAAZHJzL1BLAwQUAAAACACHTuJA3exal9wAAAAL&#10;AQAADwAAAGRycy9kb3ducmV2LnhtbE2PTUsDMRCG74L/IYzgRWzStbtd1s0WFARBEWwt7THdTDeL&#10;yWTdpB/+e+NJjzPz8M7z1ouzs+yIY+g9SZhOBDCk1uueOgkfq6fbEliIirSynlDCNwZYNJcXtaq0&#10;P9E7HpexYymEQqUkmBiHivPQGnQqTPyAlG57PzoV0zh2XI/qlMKd5ZkQBXeqp/TBqAEfDbafy4OT&#10;kKnnV3xbv5gv+4A3tN9u7IpvpLy+mop7YBHP8Q+GX/2kDk1y2vkD6cCshFKUeUIl5Nl8DiwRZV7M&#10;gO3SZnZXAG9q/r9D8wNQSwMEFAAAAAgAh07iQBv75ZBnAgAA3gQAAA4AAABkcnMvZTJvRG9jLnht&#10;bK1UzW7bMAy+D9g7CLqv/lnatUGdwkiQYUCxBuiGnRVZjgXob5QSp3uZAbvtIfY4w15jlOymaddD&#10;D7vYpEh9JD+Surzaa0V2Ary0pqLFSU6JMNw20mwq+vnT8s05JT4w0zBljajonfD0avb61WXvpqK0&#10;nVWNAIIgxk97V9EuBDfNMs87oZk/sU4YNLYWNAuowiZrgPWIrlVW5vlZ1ltoHFguvMfTxWCkIyK8&#10;BNC2reRiYflWCxMGVBCKBSzJd9J5OkvZtq3g4aZtvQhEVRQrDemLQVBex282u2TTDTDXST6mwF6S&#10;wpOaNJMGgx6gFiwwsgX5D5SWHKy3bTjhVmdDIYkRrKLIn3Bz2zEnUi1ItXcH0v3/g+Ufdysgsqno&#10;RUmJYRo7/uf7z9+/fhA8QHZ656fodOtWMGoexVjqvgUd/1gE2SdG7w6Min0gHA/f5pPi7JQSjqYi&#10;zy9QRpTs4bIDH94Lq0kUKgrYsMQj2137MLjeu8RY3irZLKVSSYHNeq6A7Bg2tzivi+JsRH/kpgzp&#10;K1qeTnJsOmc4si2OCoraYdnebChhaoO7wAOk2I9u++Mg5bKuy8lzQWKSC+a7IZmEMLopgwVHFgfe&#10;orS2zR2yDnYYR+/4UuL9a+bDigHOHyaKGxpu8NMqi9nbUaKks/DtufPoj2OBVkp6nGes7OuWgaBE&#10;fTA4MBfFZBIXICmT03clKnBsWR9bzFbPbWQV3wLHkxj9g7oXW7D6Cy5yHaOiiRmOsQcOR2Uehj3D&#10;p4CLuk5uOPSOhWtz63gEj100tt4G28rU7Qd2RtJw7NO8jCsa9+pYT14Pz9Ls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3sWpfcAAAACwEAAA8AAAAAAAAAAQAgAAAAIgAAAGRycy9kb3ducmV2Lnht&#10;bFBLAQIUABQAAAAIAIdO4kAb++WQZwIAAN4EAAAOAAAAAAAAAAEAIAAAACsBAABkcnMvZTJvRG9j&#10;LnhtbFBLBQYAAAAABgAGAFkBAAAEBgAAAAA=&#10;">
                      <v:fill on="t" focussize="0,0"/>
                      <v:stroke weight="2pt" color="#2FAA24 [2404]" joinstyle="round"/>
                      <v:imagedata o:title=""/>
                      <o:lock v:ext="edit" aspectratio="f"/>
                    </v:rect>
                  </w:pict>
                </mc:Fallback>
              </mc:AlternateContent>
            </w:r>
            <w:r>
              <w:rPr>
                <w:rFonts w:hint="default"/>
                <w:color w:val="auto"/>
                <w:sz w:val="24"/>
                <w:highlight w:val="none"/>
              </w:rPr>
              <mc:AlternateContent>
                <mc:Choice Requires="wps">
                  <w:drawing>
                    <wp:anchor distT="0" distB="0" distL="114300" distR="114300" simplePos="0" relativeHeight="251726848" behindDoc="0" locked="0" layoutInCell="1" allowOverlap="1">
                      <wp:simplePos x="0" y="0"/>
                      <wp:positionH relativeFrom="column">
                        <wp:posOffset>5160645</wp:posOffset>
                      </wp:positionH>
                      <wp:positionV relativeFrom="paragraph">
                        <wp:posOffset>3218815</wp:posOffset>
                      </wp:positionV>
                      <wp:extent cx="255270" cy="0"/>
                      <wp:effectExtent l="0" t="12700" r="11430" b="15875"/>
                      <wp:wrapNone/>
                      <wp:docPr id="94" name="直接连接符 94"/>
                      <wp:cNvGraphicFramePr/>
                      <a:graphic xmlns:a="http://schemas.openxmlformats.org/drawingml/2006/main">
                        <a:graphicData uri="http://schemas.microsoft.com/office/word/2010/wordprocessingShape">
                          <wps:wsp>
                            <wps:cNvCnPr/>
                            <wps:spPr>
                              <a:xfrm>
                                <a:off x="0" y="0"/>
                                <a:ext cx="255270" cy="0"/>
                              </a:xfrm>
                              <a:prstGeom prst="line">
                                <a:avLst/>
                              </a:prstGeom>
                              <a:ln>
                                <a:solidFill>
                                  <a:srgbClr val="17D0CF"/>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6.35pt;margin-top:253.45pt;height:0pt;width:20.1pt;z-index:251726848;mso-width-relative:page;mso-height-relative:page;" filled="f" stroked="t" coordsize="21600,21600" o:gfxdata="UEsDBAoAAAAAAIdO4kAAAAAAAAAAAAAAAAAEAAAAZHJzL1BLAwQUAAAACACHTuJA22yaFtcAAAAL&#10;AQAADwAAAGRycy9kb3ducmV2LnhtbE2PTU/DMAyG70j8h8hI3FjSSh2lNN0BadpxMLbDbmlj2orG&#10;qZp0K/8eIyHBzR+PXj8uN4sbxAWn0HvSkKwUCKTG255aDcf37UMOIkRD1gyeUMMXBthUtzelKay/&#10;0hteDrEVHEKhMBq6GMdCytB06ExY+RGJdx9+ciZyO7XSTubK4W6QqVJr6UxPfKEzI7502HweZqeh&#10;zufm9Xw6nrZ13O+WcbfHDKXW93eJegYRcYl/MPzoszpU7FT7mWwQg4Y8SR8Z1ZCp9RMIJvIs5aL+&#10;nciqlP9/qL4BUEsDBBQAAAAIAIdO4kBykL1s2gEAAJwDAAAOAAAAZHJzL2Uyb0RvYy54bWytU82O&#10;0zAQviPxDpbvNGm1y0LUdA+tygVBJeABXMdJLPlPM96mfQleAIkbnDhy521YHoOxk+3CctkDF2c8&#10;8/kbf58ny+ujNeygALV3NZ/PSs6Uk77Rrqv5h/fbZy84wyhcI4x3quYnhfx69fTJcgiVWvjem0YB&#10;IxKH1RBq3scYqqJA2SsrcOaDclRsPVgRaQtd0YAYiN2aYlGWz4vBQxPAS4VI2c1Y5BMjPIbQt62W&#10;auPljVUujqygjIgkCXsdkK/ybdtWyfi2bVFFZmpOSmNeqQnF+7QWq6WoOhCh13K6gnjMFR5oskI7&#10;anqm2ogo2A3of6isluDRt3EmvS1GIdkRUjEvH3jzrhdBZS1kNYaz6fj/aOWbww6Ybmr+8oIzJyy9&#10;+O2n7z8/fvn14zOtt9++MqqQTUPAitBrt4Nph2EHSfOxBZu+pIYds7Wns7XqGJmk5OLycnFFpsu7&#10;UnF/LgDGV8pbloKaG+2SaFGJw2uM1Iugd5CUdn6rjckPZxwbEvdFmagFTWNLU0ChDaQIXceZMB2N&#10;uYyQKdEb3aTjiQih268NsIOg4Zhfbcr1Ngmldn/BUu+NwH7E5dIEM47QyZfRiRTtfXPKBuU8PVrm&#10;mwYsTcWf+3z6/qda/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bbJoW1wAAAAsBAAAPAAAAAAAA&#10;AAEAIAAAACIAAABkcnMvZG93bnJldi54bWxQSwECFAAUAAAACACHTuJAcpC9bNoBAACcAwAADgAA&#10;AAAAAAABACAAAAAmAQAAZHJzL2Uyb0RvYy54bWxQSwUGAAAAAAYABgBZAQAAcgUAAAAA&#10;">
                      <v:fill on="f" focussize="0,0"/>
                      <v:stroke weight="2pt" color="#17D0CF [3204]" joinstyle="round"/>
                      <v:imagedata o:title=""/>
                      <o:lock v:ext="edit" aspectratio="f"/>
                    </v:line>
                  </w:pict>
                </mc:Fallback>
              </mc:AlternateContent>
            </w:r>
            <w:r>
              <w:rPr>
                <w:rFonts w:hint="default"/>
                <w:color w:val="auto"/>
                <w:highlight w:val="none"/>
              </w:rPr>
              <w:drawing>
                <wp:inline distT="0" distB="0" distL="114300" distR="114300">
                  <wp:extent cx="5559425" cy="3634105"/>
                  <wp:effectExtent l="0" t="0" r="3175" b="4445"/>
                  <wp:docPr id="8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0"/>
                          <pic:cNvPicPr>
                            <a:picLocks noChangeAspect="1"/>
                          </pic:cNvPicPr>
                        </pic:nvPicPr>
                        <pic:blipFill>
                          <a:blip r:embed="rId36"/>
                          <a:stretch>
                            <a:fillRect/>
                          </a:stretch>
                        </pic:blipFill>
                        <pic:spPr>
                          <a:xfrm>
                            <a:off x="0" y="0"/>
                            <a:ext cx="5559425" cy="3634105"/>
                          </a:xfrm>
                          <a:prstGeom prst="rect">
                            <a:avLst/>
                          </a:prstGeom>
                          <a:noFill/>
                          <a:ln>
                            <a:noFill/>
                          </a:ln>
                        </pic:spPr>
                      </pic:pic>
                    </a:graphicData>
                  </a:graphic>
                </wp:inline>
              </w:drawing>
            </w:r>
          </w:p>
          <w:p w14:paraId="6CDC7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lang w:val="en-US" w:eastAsia="zh-CN"/>
              </w:rPr>
            </w:pPr>
            <w:r>
              <w:rPr>
                <w:rFonts w:hint="eastAsia"/>
                <w:color w:val="auto"/>
                <w:highlight w:val="none"/>
                <w:lang w:val="en-US" w:eastAsia="zh-CN"/>
              </w:rPr>
              <w:t>图2.9-2 集电线路周边情况示意图</w:t>
            </w:r>
          </w:p>
          <w:p w14:paraId="384481B8">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36#和37#方阵集电线路在跨越生态保护红线后，与35#-1、35#-2方阵集电线路汇合，由于地形限制、铁塔跨度、银昆高速限制等原因导线无法向东跨越银昆高速。由于银昆高速下方为中寨河，无法通过埋设电缆跨越。因此集电线路只能选择向西南方向行进，在跨越生态保护红线后，向南接入竹子箐升压站。因此，本项目集电线路、塔基选址唯一。</w:t>
            </w:r>
          </w:p>
          <w:p w14:paraId="546C9C7F">
            <w:pPr>
              <w:keepNext w:val="0"/>
              <w:keepLines w:val="0"/>
              <w:suppressLineNumbers w:val="0"/>
              <w:bidi w:val="0"/>
              <w:spacing w:before="0" w:beforeAutospacing="0" w:after="0" w:afterAutospacing="0"/>
              <w:ind w:left="0" w:right="0"/>
              <w:rPr>
                <w:rFonts w:hint="default"/>
                <w:color w:val="auto"/>
                <w:highlight w:val="none"/>
                <w:lang w:val="en-US" w:eastAsia="zh-CN"/>
              </w:rPr>
            </w:pPr>
          </w:p>
        </w:tc>
      </w:tr>
    </w:tbl>
    <w:p w14:paraId="231C4413">
      <w:pPr>
        <w:jc w:val="center"/>
        <w:outlineLvl w:val="0"/>
        <w:rPr>
          <w:rFonts w:hint="default" w:ascii="Times New Roman" w:hAnsi="Times New Roman" w:eastAsia="仿宋" w:cs="Times New Roman"/>
          <w:snapToGrid w:val="0"/>
          <w:color w:val="auto"/>
          <w:sz w:val="30"/>
          <w:szCs w:val="30"/>
          <w:highlight w:val="none"/>
        </w:rPr>
      </w:pPr>
      <w:r>
        <w:rPr>
          <w:rFonts w:hint="default" w:ascii="Times New Roman" w:hAnsi="Times New Roman" w:eastAsia="仿宋" w:cs="Times New Roman"/>
          <w:b/>
          <w:bCs/>
          <w:color w:val="auto"/>
          <w:highlight w:val="none"/>
        </w:rPr>
        <w:br w:type="page"/>
      </w:r>
      <w:bookmarkStart w:id="3" w:name="_Toc12231"/>
      <w:r>
        <w:rPr>
          <w:rFonts w:hint="default" w:ascii="Times New Roman" w:hAnsi="Times New Roman" w:eastAsia="仿宋" w:cs="Times New Roman"/>
          <w:snapToGrid w:val="0"/>
          <w:color w:val="auto"/>
          <w:sz w:val="30"/>
          <w:szCs w:val="30"/>
          <w:highlight w:val="none"/>
        </w:rPr>
        <w:t>三、生态环境现状、保护目标及评价标准</w:t>
      </w:r>
      <w:bookmarkEnd w:id="3"/>
    </w:p>
    <w:tbl>
      <w:tblPr>
        <w:tblStyle w:val="10"/>
        <w:tblW w:w="524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4"/>
        <w:gridCol w:w="8061"/>
      </w:tblGrid>
      <w:tr w14:paraId="051F80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pct"/>
            <w:noWrap w:val="0"/>
            <w:vAlign w:val="center"/>
          </w:tcPr>
          <w:p w14:paraId="758186A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生态环境现状</w:t>
            </w:r>
          </w:p>
        </w:tc>
        <w:tc>
          <w:tcPr>
            <w:tcW w:w="4505" w:type="pct"/>
            <w:noWrap w:val="0"/>
            <w:vAlign w:val="center"/>
          </w:tcPr>
          <w:p w14:paraId="59F858CD">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snapToGrid w:val="0"/>
                <w:color w:val="auto"/>
                <w:kern w:val="0"/>
                <w:sz w:val="24"/>
                <w:szCs w:val="24"/>
                <w:highlight w:val="none"/>
              </w:rPr>
            </w:pPr>
            <w:r>
              <w:rPr>
                <w:rFonts w:hint="eastAsia" w:cs="Times New Roman"/>
                <w:b/>
                <w:color w:val="auto"/>
                <w:kern w:val="0"/>
                <w:sz w:val="24"/>
                <w:szCs w:val="24"/>
                <w:highlight w:val="none"/>
                <w:lang w:val="en-US" w:eastAsia="zh-CN"/>
              </w:rPr>
              <w:t xml:space="preserve">3.1 </w:t>
            </w:r>
            <w:r>
              <w:rPr>
                <w:rFonts w:hint="default" w:ascii="Times New Roman" w:hAnsi="Times New Roman" w:eastAsia="仿宋" w:cs="Times New Roman"/>
                <w:b/>
                <w:color w:val="auto"/>
                <w:kern w:val="0"/>
                <w:sz w:val="24"/>
                <w:szCs w:val="24"/>
                <w:highlight w:val="none"/>
                <w:lang w:val="en-US" w:eastAsia="zh-CN"/>
              </w:rPr>
              <w:t>主体功能区规划和生态功能区划情况</w:t>
            </w:r>
          </w:p>
          <w:p w14:paraId="0D670F7B">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snapToGrid w:val="0"/>
                <w:color w:val="auto"/>
                <w:kern w:val="0"/>
                <w:sz w:val="24"/>
                <w:szCs w:val="24"/>
                <w:highlight w:val="none"/>
                <w:lang w:val="en-US" w:eastAsia="zh-CN"/>
              </w:rPr>
            </w:pPr>
            <w:r>
              <w:rPr>
                <w:rFonts w:hint="eastAsia" w:cs="Times New Roman"/>
                <w:b/>
                <w:bCs/>
                <w:snapToGrid w:val="0"/>
                <w:color w:val="auto"/>
                <w:kern w:val="0"/>
                <w:sz w:val="24"/>
                <w:szCs w:val="24"/>
                <w:highlight w:val="none"/>
                <w:lang w:val="en-US" w:eastAsia="zh-CN"/>
              </w:rPr>
              <w:t>3.1.1</w:t>
            </w:r>
            <w:r>
              <w:rPr>
                <w:rFonts w:hint="default" w:ascii="Times New Roman" w:hAnsi="Times New Roman" w:eastAsia="仿宋" w:cs="Times New Roman"/>
                <w:b/>
                <w:bCs/>
                <w:snapToGrid w:val="0"/>
                <w:color w:val="auto"/>
                <w:kern w:val="0"/>
                <w:sz w:val="24"/>
                <w:szCs w:val="24"/>
                <w:highlight w:val="none"/>
                <w:lang w:val="en-US" w:eastAsia="zh-CN"/>
              </w:rPr>
              <w:t>主体功能区规划情况</w:t>
            </w:r>
          </w:p>
          <w:p w14:paraId="54AD8187">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snapToGrid w:val="0"/>
                <w:color w:val="auto"/>
                <w:kern w:val="0"/>
                <w:sz w:val="24"/>
                <w:szCs w:val="24"/>
                <w:highlight w:val="none"/>
              </w:rPr>
            </w:pPr>
            <w:r>
              <w:rPr>
                <w:rFonts w:hint="default" w:ascii="Times New Roman" w:hAnsi="Times New Roman" w:eastAsia="仿宋" w:cs="Times New Roman"/>
                <w:snapToGrid w:val="0"/>
                <w:color w:val="auto"/>
                <w:kern w:val="0"/>
                <w:sz w:val="24"/>
                <w:szCs w:val="24"/>
                <w:highlight w:val="none"/>
              </w:rPr>
              <w:t>根据《云南省人民政府关于印发云南省主体功能区规划的通知》（云政</w:t>
            </w:r>
            <w:r>
              <w:rPr>
                <w:rFonts w:hint="default" w:ascii="Times New Roman" w:hAnsi="Times New Roman" w:eastAsia="仿宋" w:cs="Times New Roman"/>
                <w:snapToGrid w:val="0"/>
                <w:color w:val="auto"/>
                <w:kern w:val="0"/>
                <w:sz w:val="24"/>
                <w:szCs w:val="24"/>
                <w:highlight w:val="none"/>
                <w:lang w:eastAsia="zh-CN"/>
              </w:rPr>
              <w:t>发</w:t>
            </w:r>
            <w:r>
              <w:rPr>
                <w:rFonts w:hint="default" w:ascii="Times New Roman" w:hAnsi="Times New Roman" w:eastAsia="仿宋" w:cs="Times New Roman"/>
                <w:snapToGrid w:val="0"/>
                <w:color w:val="auto"/>
                <w:kern w:val="0"/>
                <w:sz w:val="24"/>
                <w:szCs w:val="24"/>
                <w:highlight w:val="none"/>
              </w:rPr>
              <w:t>〔2014〕1号）</w:t>
            </w:r>
            <w:r>
              <w:rPr>
                <w:rFonts w:hint="eastAsia" w:cs="Times New Roman"/>
                <w:snapToGrid w:val="0"/>
                <w:color w:val="auto"/>
                <w:kern w:val="0"/>
                <w:sz w:val="24"/>
                <w:szCs w:val="24"/>
                <w:highlight w:val="none"/>
                <w:lang w:eastAsia="zh-CN"/>
              </w:rPr>
              <w:t>文件</w:t>
            </w:r>
            <w:r>
              <w:rPr>
                <w:rFonts w:hint="default" w:ascii="Times New Roman" w:hAnsi="Times New Roman" w:eastAsia="仿宋" w:cs="Times New Roman"/>
                <w:snapToGrid w:val="0"/>
                <w:color w:val="auto"/>
                <w:kern w:val="0"/>
                <w:sz w:val="24"/>
                <w:szCs w:val="24"/>
                <w:highlight w:val="none"/>
                <w:lang w:eastAsia="zh-CN"/>
              </w:rPr>
              <w:t>，</w:t>
            </w:r>
            <w:r>
              <w:rPr>
                <w:rFonts w:hint="default" w:ascii="Times New Roman" w:hAnsi="Times New Roman" w:eastAsia="仿宋" w:cs="Times New Roman"/>
                <w:snapToGrid w:val="0"/>
                <w:color w:val="auto"/>
                <w:kern w:val="0"/>
                <w:sz w:val="24"/>
                <w:szCs w:val="24"/>
                <w:highlight w:val="none"/>
              </w:rPr>
              <w:t>《云南省主体功能区规划》</w:t>
            </w:r>
            <w:r>
              <w:rPr>
                <w:rFonts w:hint="default" w:ascii="Times New Roman" w:hAnsi="Times New Roman" w:eastAsia="仿宋" w:cs="Times New Roman"/>
                <w:snapToGrid w:val="0"/>
                <w:color w:val="auto"/>
                <w:kern w:val="0"/>
                <w:sz w:val="24"/>
                <w:szCs w:val="24"/>
                <w:highlight w:val="none"/>
                <w:lang w:eastAsia="zh-CN"/>
              </w:rPr>
              <w:t>将</w:t>
            </w:r>
            <w:r>
              <w:rPr>
                <w:rFonts w:hint="default" w:ascii="Times New Roman" w:hAnsi="Times New Roman" w:eastAsia="仿宋" w:cs="Times New Roman"/>
                <w:snapToGrid w:val="0"/>
                <w:color w:val="auto"/>
                <w:kern w:val="0"/>
                <w:sz w:val="24"/>
                <w:szCs w:val="24"/>
                <w:highlight w:val="none"/>
              </w:rPr>
              <w:t>云南省国土空间划分为重点开发区、限制开发区和禁止开发区3类区域。</w:t>
            </w:r>
          </w:p>
          <w:p w14:paraId="0942AF30">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snapToGrid w:val="0"/>
                <w:color w:val="auto"/>
                <w:kern w:val="0"/>
                <w:sz w:val="24"/>
                <w:szCs w:val="24"/>
                <w:highlight w:val="none"/>
                <w:lang w:eastAsia="zh-CN"/>
              </w:rPr>
            </w:pPr>
            <w:r>
              <w:rPr>
                <w:rFonts w:hint="default" w:ascii="Times New Roman" w:hAnsi="Times New Roman" w:eastAsia="仿宋" w:cs="Times New Roman"/>
                <w:snapToGrid w:val="0"/>
                <w:color w:val="auto"/>
                <w:kern w:val="0"/>
                <w:sz w:val="24"/>
                <w:szCs w:val="24"/>
                <w:highlight w:val="none"/>
              </w:rPr>
              <w:t>本项目位于曲靖市会泽县，属于国家层面限制开发区域中的农产品生产区。该区域的功能定位为：农产品主产区是保障粮食产品和主要农产品供给安全的基地</w:t>
            </w:r>
            <w:r>
              <w:rPr>
                <w:rFonts w:hint="default" w:ascii="Times New Roman" w:hAnsi="Times New Roman" w:eastAsia="仿宋" w:cs="Times New Roman"/>
                <w:snapToGrid w:val="0"/>
                <w:color w:val="auto"/>
                <w:kern w:val="0"/>
                <w:sz w:val="24"/>
                <w:szCs w:val="24"/>
                <w:highlight w:val="none"/>
                <w:lang w:eastAsia="zh-CN"/>
              </w:rPr>
              <w:t>、</w:t>
            </w:r>
            <w:r>
              <w:rPr>
                <w:rFonts w:hint="default" w:ascii="Times New Roman" w:hAnsi="Times New Roman" w:eastAsia="仿宋" w:cs="Times New Roman"/>
                <w:snapToGrid w:val="0"/>
                <w:color w:val="auto"/>
                <w:kern w:val="0"/>
                <w:sz w:val="24"/>
                <w:szCs w:val="24"/>
                <w:highlight w:val="none"/>
              </w:rPr>
              <w:t>全省农业产业化的重要地区</w:t>
            </w:r>
            <w:r>
              <w:rPr>
                <w:rFonts w:hint="eastAsia" w:cs="Times New Roman"/>
                <w:snapToGrid w:val="0"/>
                <w:color w:val="auto"/>
                <w:kern w:val="0"/>
                <w:sz w:val="24"/>
                <w:szCs w:val="24"/>
                <w:highlight w:val="none"/>
                <w:lang w:eastAsia="zh-CN"/>
              </w:rPr>
              <w:t>、现</w:t>
            </w:r>
            <w:r>
              <w:rPr>
                <w:rFonts w:hint="default" w:ascii="Times New Roman" w:hAnsi="Times New Roman" w:eastAsia="仿宋" w:cs="Times New Roman"/>
                <w:snapToGrid w:val="0"/>
                <w:color w:val="auto"/>
                <w:kern w:val="0"/>
                <w:sz w:val="24"/>
                <w:szCs w:val="24"/>
                <w:highlight w:val="none"/>
              </w:rPr>
              <w:t>代农业的示范基地</w:t>
            </w:r>
            <w:r>
              <w:rPr>
                <w:rFonts w:hint="default" w:ascii="Times New Roman" w:hAnsi="Times New Roman" w:eastAsia="仿宋" w:cs="Times New Roman"/>
                <w:snapToGrid w:val="0"/>
                <w:color w:val="auto"/>
                <w:kern w:val="0"/>
                <w:sz w:val="24"/>
                <w:szCs w:val="24"/>
                <w:highlight w:val="none"/>
                <w:lang w:eastAsia="zh-CN"/>
              </w:rPr>
              <w:t>、</w:t>
            </w:r>
            <w:r>
              <w:rPr>
                <w:rFonts w:hint="default" w:ascii="Times New Roman" w:hAnsi="Times New Roman" w:eastAsia="仿宋" w:cs="Times New Roman"/>
                <w:snapToGrid w:val="0"/>
                <w:color w:val="auto"/>
                <w:kern w:val="0"/>
                <w:sz w:val="24"/>
                <w:szCs w:val="24"/>
                <w:highlight w:val="none"/>
              </w:rPr>
              <w:t>农村居民安居乐业的美好家园</w:t>
            </w:r>
            <w:r>
              <w:rPr>
                <w:rFonts w:hint="default" w:ascii="Times New Roman" w:hAnsi="Times New Roman" w:eastAsia="仿宋" w:cs="Times New Roman"/>
                <w:snapToGrid w:val="0"/>
                <w:color w:val="auto"/>
                <w:kern w:val="0"/>
                <w:sz w:val="24"/>
                <w:szCs w:val="24"/>
                <w:highlight w:val="none"/>
                <w:lang w:val="en-US" w:eastAsia="zh-CN"/>
              </w:rPr>
              <w:t>和</w:t>
            </w:r>
            <w:r>
              <w:rPr>
                <w:rFonts w:hint="default" w:ascii="Times New Roman" w:hAnsi="Times New Roman" w:eastAsia="仿宋" w:cs="Times New Roman"/>
                <w:snapToGrid w:val="0"/>
                <w:color w:val="auto"/>
                <w:kern w:val="0"/>
                <w:sz w:val="24"/>
                <w:szCs w:val="24"/>
                <w:highlight w:val="none"/>
              </w:rPr>
              <w:t>社会主义新农村建设的示范区。农产品主产区要以大力发展高原特色农业为重点，有效增强农产品供给保障能力，确保国家粮食安全和食品安全。本项目属于新能源项目，</w:t>
            </w:r>
            <w:r>
              <w:rPr>
                <w:rFonts w:hint="default" w:ascii="Times New Roman" w:hAnsi="Times New Roman" w:eastAsia="仿宋" w:cs="Times New Roman"/>
                <w:snapToGrid w:val="0"/>
                <w:color w:val="auto"/>
                <w:kern w:val="0"/>
                <w:sz w:val="24"/>
                <w:szCs w:val="24"/>
                <w:highlight w:val="none"/>
                <w:lang w:eastAsia="zh-CN"/>
              </w:rPr>
              <w:t>用地避让了基本农田、耕地等农产品生产力高的土地，项目用地主要为其他林地、</w:t>
            </w:r>
            <w:r>
              <w:rPr>
                <w:rFonts w:hint="eastAsia" w:cs="Times New Roman"/>
                <w:snapToGrid w:val="0"/>
                <w:color w:val="auto"/>
                <w:kern w:val="0"/>
                <w:sz w:val="24"/>
                <w:szCs w:val="24"/>
                <w:highlight w:val="none"/>
                <w:lang w:eastAsia="zh-CN"/>
              </w:rPr>
              <w:t>其他</w:t>
            </w:r>
            <w:r>
              <w:rPr>
                <w:rFonts w:hint="default" w:ascii="Times New Roman" w:hAnsi="Times New Roman" w:eastAsia="仿宋" w:cs="Times New Roman"/>
                <w:snapToGrid w:val="0"/>
                <w:color w:val="auto"/>
                <w:kern w:val="0"/>
                <w:sz w:val="24"/>
                <w:szCs w:val="24"/>
                <w:highlight w:val="none"/>
                <w:lang w:eastAsia="zh-CN"/>
              </w:rPr>
              <w:t>草地和裸岩石砾地，生产力不高，不会影响区域的农产品生产，符合《云南省主体功能区规划》规定。</w:t>
            </w:r>
          </w:p>
          <w:p w14:paraId="075EEF5F">
            <w:pPr>
              <w:keepNext w:val="0"/>
              <w:keepLines w:val="0"/>
              <w:suppressLineNumbers w:val="0"/>
              <w:spacing w:before="0" w:beforeAutospacing="0" w:after="0" w:afterAutospacing="0"/>
              <w:ind w:left="0" w:right="0" w:firstLine="0" w:firstLineChars="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mc:AlternateContent>
                <mc:Choice Requires="wps">
                  <w:drawing>
                    <wp:anchor distT="0" distB="0" distL="114300" distR="114300" simplePos="0" relativeHeight="251703296" behindDoc="0" locked="0" layoutInCell="1" allowOverlap="1">
                      <wp:simplePos x="0" y="0"/>
                      <wp:positionH relativeFrom="column">
                        <wp:posOffset>3050540</wp:posOffset>
                      </wp:positionH>
                      <wp:positionV relativeFrom="paragraph">
                        <wp:posOffset>1056640</wp:posOffset>
                      </wp:positionV>
                      <wp:extent cx="78105" cy="78740"/>
                      <wp:effectExtent l="12700" t="12700" r="23495" b="22860"/>
                      <wp:wrapNone/>
                      <wp:docPr id="50" name="流程图: 摘录 50"/>
                      <wp:cNvGraphicFramePr/>
                      <a:graphic xmlns:a="http://schemas.openxmlformats.org/drawingml/2006/main">
                        <a:graphicData uri="http://schemas.microsoft.com/office/word/2010/wordprocessingShape">
                          <wps:wsp>
                            <wps:cNvSpPr/>
                            <wps:spPr>
                              <a:xfrm>
                                <a:off x="0" y="0"/>
                                <a:ext cx="78105" cy="78740"/>
                              </a:xfrm>
                              <a:prstGeom prst="flowChartExtract">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240.2pt;margin-top:83.2pt;height:6.2pt;width:6.15pt;z-index:251703296;v-text-anchor:middle;mso-width-relative:page;mso-height-relative:page;" fillcolor="#FF0000" filled="t" stroked="t" coordsize="21600,21600" o:gfxdata="UEsDBAoAAAAAAIdO4kAAAAAAAAAAAAAAAAAEAAAAZHJzL1BLAwQUAAAACACHTuJAFNvRJdkAAAAL&#10;AQAADwAAAGRycy9kb3ducmV2LnhtbE2PQU/DMAyF70j7D5GRdmPJpqrrStNJm9gBTRxW4J41pq1o&#10;nNJk6/j3mBPcbL+n5+8V25vrxRXH0HnSsFwoEEi1tx01Gt5eDw8ZiBANWdN7Qg3fGGBbzu4Kk1s/&#10;0QmvVWwEh1DIjYY2xiGXMtQtOhMWfkBi7cOPzkRex0ba0Uwc7nq5UiqVznTEH1oz4L7F+rO6OA3D&#10;8/GpO+42lf3C93Q61dHv44vW8/ulegQR8Rb/zPCLz+hQMtPZX8gG0WtIMpWwlYU05YEdyWa1BnHm&#10;yzrLQJaF/N+h/AFQSwMEFAAAAAgAh07iQKgsxY97AgAA8wQAAA4AAABkcnMvZTJvRG9jLnhtbK1U&#10;zW4TMRC+I/EOlu90kyghJeqmihKCkCoaqSDOjtebXcl/2E425caZE4dKSLwAL8AR3qblNfjs3f7C&#10;oQdycGZ2xt/MfDPjo+O9kmQnnK+Nzmn/oEeJ0NwUtd7k9N3b5bNDSnxgumDSaJHTc+Hp8fTpk6PG&#10;TsTAVEYWwhGAaD9pbE6rEOwkyzyvhGL+wFihYSyNUyxAdZuscKwBupLZoNd7njXGFdYZLrzH10Vr&#10;pB2iewygKcuai4XhWyV0aFGdkCygJF/V1tNpyrYsBQ+nZelFIDKnqDSkE0Egr+OZTY/YZOOYrWre&#10;pcAek8KDmhSrNYLeQC1YYGTr6r+gVM2d8aYMB9yorC0kMYIq+r0H3JxVzIpUC6j29oZ0//9g+Zvd&#10;ypG6yOkIlGim0PGrH59+f/98+e3XhFx9+Xr584LABqIa6yfwP7Mr12keYqx6XzoV/1EP2Sdyz2/I&#10;FftAOD6OD/u9ESUclvHheJgQs9ur1vnwShhFopDTUppmXjEXXu6DYzwkctnuxAeExrVr9xjVG1kX&#10;y1rKpLjNei4d2TF0fLns4Rdzx5V7blKTJqeD0RBmwhnmuMT8QFQWXHi9oYTJDRaEB5di37vtHxck&#10;JrlgvmqTSQhdLlIjpchny2CU1qY4RyucaWfUW76scf+E+bBiDkOJRLG24RRHZCenppMoqYz7+K/v&#10;0R+zAislDYYclX3YMicoka81puhFf4hGkJCU4Wg8gOLuWtZ3LXqr5gas9vFAWJ7E6B/ktVg6o95j&#10;u2cxKkxMc8RuOeyUeWiXD+8DF7NZcsMmWBZO9JnlETx2UZvZNpiyTt2+ZacjDbuQOtrtbVy2u3ry&#10;un2rp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NvRJdkAAAALAQAADwAAAAAAAAABACAAAAAi&#10;AAAAZHJzL2Rvd25yZXYueG1sUEsBAhQAFAAAAAgAh07iQKgsxY97AgAA8wQAAA4AAAAAAAAAAQAg&#10;AAAAKAEAAGRycy9lMm9Eb2MueG1sUEsFBgAAAAAGAAYAWQEAABUGAAAAAA==&#10;">
                      <v:fill on="t"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highlight w:val="none"/>
              </w:rPr>
              <mc:AlternateContent>
                <mc:Choice Requires="wps">
                  <w:drawing>
                    <wp:anchor distT="0" distB="0" distL="114300" distR="114300" simplePos="0" relativeHeight="251704320" behindDoc="0" locked="0" layoutInCell="1" allowOverlap="1">
                      <wp:simplePos x="0" y="0"/>
                      <wp:positionH relativeFrom="column">
                        <wp:posOffset>3873500</wp:posOffset>
                      </wp:positionH>
                      <wp:positionV relativeFrom="paragraph">
                        <wp:posOffset>590550</wp:posOffset>
                      </wp:positionV>
                      <wp:extent cx="923290" cy="441960"/>
                      <wp:effectExtent l="768985" t="12700" r="22225" b="97790"/>
                      <wp:wrapNone/>
                      <wp:docPr id="47" name="矩形标注 47"/>
                      <wp:cNvGraphicFramePr/>
                      <a:graphic xmlns:a="http://schemas.openxmlformats.org/drawingml/2006/main">
                        <a:graphicData uri="http://schemas.microsoft.com/office/word/2010/wordprocessingShape">
                          <wps:wsp>
                            <wps:cNvSpPr/>
                            <wps:spPr>
                              <a:xfrm>
                                <a:off x="0" y="0"/>
                                <a:ext cx="923290" cy="441960"/>
                              </a:xfrm>
                              <a:prstGeom prst="wedgeRectCallout">
                                <a:avLst>
                                  <a:gd name="adj1" fmla="val -131911"/>
                                  <a:gd name="adj2" fmla="val 66091"/>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21FE2953">
                                  <w:pPr>
                                    <w:ind w:firstLine="0" w:firstLineChars="0"/>
                                  </w:pPr>
                                  <w:r>
                                    <w:rPr>
                                      <w:rFonts w:hint="eastAsia"/>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05pt;margin-top:46.5pt;height:34.8pt;width:72.7pt;z-index:251704320;v-text-anchor:middle;mso-width-relative:page;mso-height-relative:page;" fillcolor="#4F81BD [3204]" filled="t" stroked="t" coordsize="21600,21600" o:gfxdata="UEsDBAoAAAAAAIdO4kAAAAAAAAAAAAAAAAAEAAAAZHJzL1BLAwQUAAAACACHTuJA33svNtoAAAAK&#10;AQAADwAAAGRycy9kb3ducmV2LnhtbE2PwU7DMAyG70i8Q2QkbizpWDsoTXeAoR04bUUTx6wxbUXj&#10;lCbburfHnOBkWf70+/uL1eR6ccIxdJ40JDMFAqn2tqNGw3v1evcAIkRD1vSeUMMFA6zK66vC5Naf&#10;aYunXWwEh1DIjYY2xiGXMtQtOhNmfkDi26cfnYm8jo20ozlzuOvlXKlMOtMRf2jNgM8t1l+7o9Mw&#10;TfT2sU4vL7H6XlZ9st/sF+uN1rc3iXoCEXGKfzD86rM6lOx08EeyQfQaskRxl6jh8Z4nA8s0XYA4&#10;MJnNM5BlIf9XKH8AUEsDBBQAAAAIAIdO4kBNsnGVtwIAAHAFAAAOAAAAZHJzL2Uyb0RvYy54bWyt&#10;VM1uEzEQviPxDpbv7f50mzRRN1VIFIRUaEVBnB2v9wf5D9ubTfsCPAaIE5w58ziU12Ds3bZpy6EH&#10;Lrsz9vib+b7x+PhkKzjaMGMbJXOc7McYMUlV0cgqx+/frfaOMLKOyIJwJVmOL5nFJ7Pnz447PWWp&#10;qhUvmEEAIu200zmundPTKLK0ZoLYfaWZhM1SGUEcuKaKCkM6QBc8SuN4FHXKFNooyqyF1WW/iQdE&#10;8xRAVZYNZUtFW8Gk61EN48QBJVs32uJZqLYsGXVnZWmZQzzHwNSFLyQBe+2/0eyYTCtDdN3QoQTy&#10;lBIecBKkkZD0FmpJHEGtaR5BiYYaZVXp9qkSUU8kKAIskviBNhc10SxwAamtvhXd/j9Y+mZzblBT&#10;5DgbYySJgI7/+fLj969v118/X//8jmAZNOq0nULohT43g2fB9IS3pRH+D1TQNuh6easr2zpEYXGS&#10;HqQTUJzCVpYlk1HQPbo7rI11L5kSyBs57lhRsbfQuwXhXLUuKEs2p9YFiYuhTlJ8TDAqBYeObQhH&#10;e8lBMkmSoac7Uelu1GgUT0IM5B8wwbqpwCewijfFquE8OKZaL7hBkACKXx0lL5Y+ARy5F8Yl6nKc&#10;Hmax50lgLkq4j2AKDdpaWWFEeAUDR50JdO6dtrtJDsZQYRqCeCteq6LPPT6MAXtI3cc/LsPTWBJb&#10;90dCjuEIlxDt29g3zltuu94O3Vyr4hLugVH9gFhNVw1AnRLrzokBfYEVvBnuDD4lV0BVDRZGtTJX&#10;/1r38XBRYRejDiYMZPjUEsMw4q8kXOFJkmUA64KTHY5TcMzuznp3R7ZioaAF0HGoLpg+3vEbszRK&#10;fICnZe6zwhaRFHL3gg/OwvWTD48TZfN5CIMx1MSdygtNPbhvuVTz1qmycV5sL1SvzuDAIAbdh0fD&#10;T/quH6LuHsrZ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N97LzbaAAAACgEAAA8AAAAAAAAAAQAg&#10;AAAAIgAAAGRycy9kb3ducmV2LnhtbFBLAQIUABQAAAAIAIdO4kBNsnGVtwIAAHAFAAAOAAAAAAAA&#10;AAEAIAAAACkBAABkcnMvZTJvRG9jLnhtbFBLBQYAAAAABgAGAFkBAABSBgAAAAA=&#10;" adj="-17693,25076">
                      <v:fill on="t" focussize="0,0"/>
                      <v:stroke weight="2pt" color="#376092 [2404]" joinstyle="round"/>
                      <v:imagedata o:title=""/>
                      <o:lock v:ext="edit" aspectratio="f"/>
                      <v:textbox>
                        <w:txbxContent>
                          <w:p w14:paraId="21FE2953">
                            <w:pPr>
                              <w:ind w:firstLine="0" w:firstLineChars="0"/>
                            </w:pPr>
                            <w:r>
                              <w:rPr>
                                <w:rFonts w:hint="eastAsia"/>
                              </w:rPr>
                              <w:t>项目位置</w:t>
                            </w:r>
                          </w:p>
                        </w:txbxContent>
                      </v:textbox>
                    </v:shape>
                  </w:pict>
                </mc:Fallback>
              </mc:AlternateContent>
            </w:r>
            <w:r>
              <w:rPr>
                <w:rFonts w:hint="default" w:ascii="Times New Roman" w:hAnsi="Times New Roman" w:eastAsia="仿宋" w:cs="Times New Roman"/>
                <w:color w:val="auto"/>
                <w:highlight w:val="none"/>
              </w:rPr>
              <w:drawing>
                <wp:inline distT="0" distB="0" distL="114300" distR="114300">
                  <wp:extent cx="4839970" cy="3413125"/>
                  <wp:effectExtent l="0" t="0" r="17780" b="15875"/>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29"/>
                          <a:stretch>
                            <a:fillRect/>
                          </a:stretch>
                        </pic:blipFill>
                        <pic:spPr>
                          <a:xfrm>
                            <a:off x="0" y="0"/>
                            <a:ext cx="4839970" cy="3413125"/>
                          </a:xfrm>
                          <a:prstGeom prst="rect">
                            <a:avLst/>
                          </a:prstGeom>
                          <a:noFill/>
                          <a:ln>
                            <a:noFill/>
                          </a:ln>
                        </pic:spPr>
                      </pic:pic>
                    </a:graphicData>
                  </a:graphic>
                </wp:inline>
              </w:drawing>
            </w:r>
          </w:p>
          <w:p w14:paraId="502928C4">
            <w:pPr>
              <w:keepNext w:val="0"/>
              <w:keepLines w:val="0"/>
              <w:suppressLineNumbers w:val="0"/>
              <w:spacing w:before="0" w:beforeAutospacing="0" w:after="0" w:afterAutospacing="0"/>
              <w:ind w:left="0" w:right="0" w:firstLine="0" w:firstLineChars="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图</w:t>
            </w:r>
            <w:r>
              <w:rPr>
                <w:rFonts w:hint="default" w:ascii="Times New Roman" w:hAnsi="Times New Roman" w:eastAsia="仿宋" w:cs="Times New Roman"/>
                <w:color w:val="auto"/>
                <w:highlight w:val="none"/>
                <w:lang w:val="en-US" w:eastAsia="zh-CN"/>
              </w:rPr>
              <w:t>3</w:t>
            </w:r>
            <w:r>
              <w:rPr>
                <w:rFonts w:hint="eastAsia" w:cs="Times New Roman"/>
                <w:color w:val="auto"/>
                <w:highlight w:val="none"/>
                <w:lang w:val="en-US" w:eastAsia="zh-CN"/>
              </w:rPr>
              <w:t>.1</w:t>
            </w:r>
            <w:r>
              <w:rPr>
                <w:rFonts w:hint="default" w:ascii="Times New Roman" w:hAnsi="Times New Roman" w:eastAsia="仿宋" w:cs="Times New Roman"/>
                <w:color w:val="auto"/>
                <w:highlight w:val="none"/>
                <w:lang w:val="en-US" w:eastAsia="zh-CN"/>
              </w:rPr>
              <w:t>-1</w:t>
            </w:r>
            <w:r>
              <w:rPr>
                <w:rFonts w:hint="default" w:ascii="Times New Roman" w:hAnsi="Times New Roman" w:eastAsia="仿宋" w:cs="Times New Roman"/>
                <w:color w:val="auto"/>
                <w:highlight w:val="none"/>
              </w:rPr>
              <w:t xml:space="preserve"> 云南省主体功能区划</w:t>
            </w:r>
          </w:p>
          <w:p w14:paraId="66774D4A">
            <w:pPr>
              <w:keepNext w:val="0"/>
              <w:keepLines w:val="0"/>
              <w:suppressLineNumbers w:val="0"/>
              <w:snapToGrid w:val="0"/>
              <w:spacing w:before="0" w:beforeAutospacing="0" w:after="0" w:afterAutospacing="0" w:line="360" w:lineRule="auto"/>
              <w:ind w:left="0" w:right="0"/>
              <w:rPr>
                <w:rFonts w:hint="default" w:ascii="Times New Roman" w:hAnsi="Times New Roman" w:eastAsia="仿宋" w:cs="Times New Roman"/>
                <w:b/>
                <w:snapToGrid w:val="0"/>
                <w:color w:val="auto"/>
                <w:kern w:val="0"/>
                <w:sz w:val="24"/>
                <w:szCs w:val="24"/>
                <w:highlight w:val="none"/>
              </w:rPr>
            </w:pPr>
            <w:r>
              <w:rPr>
                <w:rFonts w:hint="eastAsia" w:cs="Times New Roman"/>
                <w:b/>
                <w:snapToGrid w:val="0"/>
                <w:color w:val="auto"/>
                <w:kern w:val="0"/>
                <w:sz w:val="24"/>
                <w:szCs w:val="24"/>
                <w:highlight w:val="none"/>
                <w:lang w:val="en-US" w:eastAsia="zh-CN"/>
              </w:rPr>
              <w:t xml:space="preserve">3.1.2 </w:t>
            </w:r>
            <w:r>
              <w:rPr>
                <w:rFonts w:hint="default" w:ascii="Times New Roman" w:hAnsi="Times New Roman" w:eastAsia="仿宋" w:cs="Times New Roman"/>
                <w:b/>
                <w:snapToGrid w:val="0"/>
                <w:color w:val="auto"/>
                <w:kern w:val="0"/>
                <w:sz w:val="24"/>
                <w:szCs w:val="24"/>
                <w:highlight w:val="none"/>
              </w:rPr>
              <w:t>生态功能区划情况</w:t>
            </w:r>
          </w:p>
          <w:p w14:paraId="021E88B0">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textAlignment w:val="auto"/>
              <w:outlineLvl w:val="9"/>
              <w:rPr>
                <w:rFonts w:hint="default" w:ascii="Times New Roman" w:hAnsi="Times New Roman" w:eastAsia="仿宋" w:cs="Times New Roman"/>
                <w:color w:val="auto"/>
                <w:kern w:val="0"/>
                <w:sz w:val="24"/>
                <w:highlight w:val="none"/>
                <w:lang w:val="zh-CN"/>
              </w:rPr>
            </w:pPr>
            <w:r>
              <w:rPr>
                <w:rFonts w:hint="default" w:ascii="Times New Roman" w:hAnsi="Times New Roman" w:eastAsia="仿宋" w:cs="Times New Roman"/>
                <w:color w:val="auto"/>
                <w:kern w:val="0"/>
                <w:sz w:val="24"/>
                <w:highlight w:val="none"/>
                <w:lang w:val="zh-CN"/>
              </w:rPr>
              <w:t>根据《云南省生态功能区划》，云南省生态功能区共</w:t>
            </w:r>
            <w:r>
              <w:rPr>
                <w:rFonts w:hint="eastAsia" w:cs="Times New Roman"/>
                <w:color w:val="auto"/>
                <w:kern w:val="0"/>
                <w:sz w:val="24"/>
                <w:highlight w:val="none"/>
                <w:lang w:val="zh-CN"/>
              </w:rPr>
              <w:t>分为</w:t>
            </w:r>
            <w:r>
              <w:rPr>
                <w:rFonts w:hint="default" w:ascii="Times New Roman" w:hAnsi="Times New Roman" w:eastAsia="仿宋" w:cs="Times New Roman"/>
                <w:color w:val="auto"/>
                <w:kern w:val="0"/>
                <w:sz w:val="24"/>
                <w:highlight w:val="none"/>
                <w:lang w:val="zh-CN"/>
              </w:rPr>
              <w:t>一级区（生态区）5个，二级区（生态亚区）19个，三级区（生态功能区）65个。</w:t>
            </w:r>
            <w:r>
              <w:rPr>
                <w:rFonts w:hint="default" w:ascii="Times New Roman" w:hAnsi="Times New Roman" w:eastAsia="仿宋" w:cs="Times New Roman"/>
                <w:color w:val="auto"/>
                <w:kern w:val="0"/>
                <w:sz w:val="24"/>
                <w:highlight w:val="none"/>
                <w:lang w:val="en-US" w:eastAsia="zh-CN"/>
              </w:rPr>
              <w:t>本项目位于滇东北高中山暖性针叶林、亚高山草甸生态亚区</w:t>
            </w:r>
            <w:r>
              <w:rPr>
                <w:rFonts w:hint="eastAsia" w:cs="Times New Roman"/>
                <w:color w:val="auto"/>
                <w:kern w:val="0"/>
                <w:sz w:val="24"/>
                <w:highlight w:val="none"/>
                <w:lang w:val="en-US" w:eastAsia="zh-CN"/>
              </w:rPr>
              <w:t>～</w:t>
            </w:r>
            <w:r>
              <w:rPr>
                <w:rFonts w:hint="default" w:ascii="Times New Roman" w:hAnsi="Times New Roman" w:eastAsia="仿宋" w:cs="Times New Roman"/>
                <w:color w:val="auto"/>
                <w:kern w:val="0"/>
                <w:sz w:val="24"/>
                <w:highlight w:val="none"/>
                <w:lang w:val="en-US" w:eastAsia="zh-CN"/>
              </w:rPr>
              <w:t>以礼河、硝厂河高山深谷水土保持生态功能区，主要生态功能是金沙江下游地带的水土保持，保护措施为调整产业结构、严格退耕还林、注意矿产资源开发后的生态保护和生态环境严重恶化地区实施生态移民。</w:t>
            </w:r>
            <w:r>
              <w:rPr>
                <w:rFonts w:hint="default" w:ascii="Times New Roman" w:hAnsi="Times New Roman" w:eastAsia="仿宋" w:cs="Times New Roman"/>
                <w:color w:val="auto"/>
                <w:kern w:val="0"/>
                <w:sz w:val="24"/>
                <w:highlight w:val="none"/>
                <w:lang w:val="zh-CN"/>
              </w:rPr>
              <w:t>详见</w:t>
            </w:r>
            <w:r>
              <w:rPr>
                <w:rFonts w:hint="default" w:ascii="Times New Roman" w:hAnsi="Times New Roman" w:eastAsia="仿宋" w:cs="Times New Roman"/>
                <w:color w:val="auto"/>
                <w:kern w:val="0"/>
                <w:sz w:val="24"/>
                <w:highlight w:val="none"/>
                <w:lang w:val="en-US" w:eastAsia="zh-CN"/>
              </w:rPr>
              <w:t>下</w:t>
            </w:r>
            <w:r>
              <w:rPr>
                <w:rFonts w:hint="default" w:ascii="Times New Roman" w:hAnsi="Times New Roman" w:eastAsia="仿宋" w:cs="Times New Roman"/>
                <w:color w:val="auto"/>
                <w:kern w:val="0"/>
                <w:sz w:val="24"/>
                <w:highlight w:val="none"/>
                <w:lang w:val="zh-CN"/>
              </w:rPr>
              <w:t>表。</w:t>
            </w:r>
          </w:p>
          <w:p w14:paraId="1BD040C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仿宋" w:cs="Times New Roman"/>
                <w:b/>
                <w:color w:val="auto"/>
                <w:kern w:val="0"/>
                <w:sz w:val="21"/>
                <w:szCs w:val="21"/>
                <w:highlight w:val="none"/>
                <w:lang w:val="zh-CN"/>
              </w:rPr>
            </w:pPr>
            <w:r>
              <w:rPr>
                <w:rFonts w:hint="default" w:ascii="Times New Roman" w:hAnsi="Times New Roman" w:eastAsia="仿宋" w:cs="Times New Roman"/>
                <w:b/>
                <w:color w:val="auto"/>
                <w:kern w:val="0"/>
                <w:sz w:val="21"/>
                <w:szCs w:val="21"/>
                <w:highlight w:val="none"/>
                <w:lang w:val="zh-CN"/>
              </w:rPr>
              <w:t>表</w:t>
            </w:r>
            <w:r>
              <w:rPr>
                <w:rFonts w:hint="eastAsia" w:cs="Times New Roman"/>
                <w:b/>
                <w:color w:val="auto"/>
                <w:kern w:val="0"/>
                <w:sz w:val="21"/>
                <w:szCs w:val="21"/>
                <w:highlight w:val="none"/>
                <w:lang w:val="en-US" w:eastAsia="zh-CN"/>
              </w:rPr>
              <w:t>3.1-1</w:t>
            </w:r>
            <w:r>
              <w:rPr>
                <w:rFonts w:hint="default" w:ascii="Times New Roman" w:hAnsi="Times New Roman" w:eastAsia="仿宋" w:cs="Times New Roman"/>
                <w:b/>
                <w:color w:val="auto"/>
                <w:kern w:val="0"/>
                <w:sz w:val="21"/>
                <w:szCs w:val="21"/>
                <w:highlight w:val="none"/>
                <w:lang w:val="zh-CN"/>
              </w:rPr>
              <w:t xml:space="preserve"> 项目所在生态功能区情况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820"/>
              <w:gridCol w:w="646"/>
              <w:gridCol w:w="999"/>
              <w:gridCol w:w="1474"/>
              <w:gridCol w:w="699"/>
              <w:gridCol w:w="687"/>
              <w:gridCol w:w="850"/>
              <w:gridCol w:w="998"/>
            </w:tblGrid>
            <w:tr w14:paraId="05FB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57" w:type="pct"/>
                  <w:gridSpan w:val="3"/>
                  <w:shd w:val="clear" w:color="auto" w:fill="auto"/>
                  <w:noWrap w:val="0"/>
                  <w:vAlign w:val="center"/>
                </w:tcPr>
                <w:p w14:paraId="7059049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生态功能分区单元</w:t>
                  </w:r>
                </w:p>
              </w:tc>
              <w:tc>
                <w:tcPr>
                  <w:tcW w:w="637" w:type="pct"/>
                  <w:vMerge w:val="restart"/>
                  <w:shd w:val="clear" w:color="auto" w:fill="auto"/>
                  <w:noWrap w:val="0"/>
                  <w:vAlign w:val="center"/>
                </w:tcPr>
                <w:p w14:paraId="679943D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所在区域与面积</w:t>
                  </w:r>
                </w:p>
              </w:tc>
              <w:tc>
                <w:tcPr>
                  <w:tcW w:w="940" w:type="pct"/>
                  <w:vMerge w:val="restart"/>
                  <w:shd w:val="clear" w:color="auto" w:fill="auto"/>
                  <w:noWrap w:val="0"/>
                  <w:vAlign w:val="center"/>
                </w:tcPr>
                <w:p w14:paraId="4AD4C7F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主要生态特征</w:t>
                  </w:r>
                </w:p>
              </w:tc>
              <w:tc>
                <w:tcPr>
                  <w:tcW w:w="446" w:type="pct"/>
                  <w:vMerge w:val="restart"/>
                  <w:shd w:val="clear" w:color="auto" w:fill="auto"/>
                  <w:noWrap w:val="0"/>
                  <w:vAlign w:val="center"/>
                </w:tcPr>
                <w:p w14:paraId="1735B91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主要生态环境问题</w:t>
                  </w:r>
                </w:p>
              </w:tc>
              <w:tc>
                <w:tcPr>
                  <w:tcW w:w="438" w:type="pct"/>
                  <w:vMerge w:val="restart"/>
                  <w:shd w:val="clear" w:color="auto" w:fill="auto"/>
                  <w:noWrap w:val="0"/>
                  <w:vAlign w:val="center"/>
                </w:tcPr>
                <w:p w14:paraId="3516C40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生态环境敏感性</w:t>
                  </w:r>
                </w:p>
              </w:tc>
              <w:tc>
                <w:tcPr>
                  <w:tcW w:w="542" w:type="pct"/>
                  <w:vMerge w:val="restart"/>
                  <w:shd w:val="clear" w:color="auto" w:fill="auto"/>
                  <w:noWrap w:val="0"/>
                  <w:vAlign w:val="center"/>
                </w:tcPr>
                <w:p w14:paraId="7676BE9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主要生态系统服务功能</w:t>
                  </w:r>
                </w:p>
              </w:tc>
              <w:tc>
                <w:tcPr>
                  <w:tcW w:w="636" w:type="pct"/>
                  <w:vMerge w:val="restart"/>
                  <w:shd w:val="clear" w:color="auto" w:fill="auto"/>
                  <w:noWrap w:val="0"/>
                  <w:vAlign w:val="center"/>
                </w:tcPr>
                <w:p w14:paraId="61B8CCF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保护措施与发展方向</w:t>
                  </w:r>
                </w:p>
              </w:tc>
            </w:tr>
            <w:tr w14:paraId="5F03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22" w:type="pct"/>
                  <w:shd w:val="clear" w:color="auto" w:fill="auto"/>
                  <w:noWrap w:val="0"/>
                  <w:vAlign w:val="center"/>
                </w:tcPr>
                <w:p w14:paraId="1D1B552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生态区</w:t>
                  </w:r>
                </w:p>
              </w:tc>
              <w:tc>
                <w:tcPr>
                  <w:tcW w:w="523" w:type="pct"/>
                  <w:shd w:val="clear" w:color="auto" w:fill="auto"/>
                  <w:noWrap w:val="0"/>
                  <w:vAlign w:val="center"/>
                </w:tcPr>
                <w:p w14:paraId="176759F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生态亚区</w:t>
                  </w:r>
                </w:p>
              </w:tc>
              <w:tc>
                <w:tcPr>
                  <w:tcW w:w="412" w:type="pct"/>
                  <w:shd w:val="clear" w:color="auto" w:fill="auto"/>
                  <w:noWrap w:val="0"/>
                  <w:vAlign w:val="center"/>
                </w:tcPr>
                <w:p w14:paraId="7BF9998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生态功能区</w:t>
                  </w:r>
                </w:p>
              </w:tc>
              <w:tc>
                <w:tcPr>
                  <w:tcW w:w="637" w:type="pct"/>
                  <w:vMerge w:val="continue"/>
                  <w:shd w:val="clear" w:color="auto" w:fill="auto"/>
                  <w:noWrap w:val="0"/>
                  <w:vAlign w:val="center"/>
                </w:tcPr>
                <w:p w14:paraId="24B8DC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p>
              </w:tc>
              <w:tc>
                <w:tcPr>
                  <w:tcW w:w="940" w:type="pct"/>
                  <w:vMerge w:val="continue"/>
                  <w:shd w:val="clear" w:color="auto" w:fill="auto"/>
                  <w:noWrap w:val="0"/>
                  <w:vAlign w:val="center"/>
                </w:tcPr>
                <w:p w14:paraId="7925FE6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p>
              </w:tc>
              <w:tc>
                <w:tcPr>
                  <w:tcW w:w="446" w:type="pct"/>
                  <w:vMerge w:val="continue"/>
                  <w:shd w:val="clear" w:color="auto" w:fill="auto"/>
                  <w:noWrap w:val="0"/>
                  <w:vAlign w:val="center"/>
                </w:tcPr>
                <w:p w14:paraId="3CC4731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p>
              </w:tc>
              <w:tc>
                <w:tcPr>
                  <w:tcW w:w="438" w:type="pct"/>
                  <w:vMerge w:val="continue"/>
                  <w:shd w:val="clear" w:color="auto" w:fill="auto"/>
                  <w:noWrap w:val="0"/>
                  <w:vAlign w:val="center"/>
                </w:tcPr>
                <w:p w14:paraId="779F86C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p>
              </w:tc>
              <w:tc>
                <w:tcPr>
                  <w:tcW w:w="542" w:type="pct"/>
                  <w:vMerge w:val="continue"/>
                  <w:shd w:val="clear" w:color="auto" w:fill="auto"/>
                  <w:noWrap w:val="0"/>
                  <w:vAlign w:val="center"/>
                </w:tcPr>
                <w:p w14:paraId="7D2236F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p>
              </w:tc>
              <w:tc>
                <w:tcPr>
                  <w:tcW w:w="636" w:type="pct"/>
                  <w:vMerge w:val="continue"/>
                  <w:shd w:val="clear" w:color="auto" w:fill="auto"/>
                  <w:noWrap w:val="0"/>
                  <w:vAlign w:val="center"/>
                </w:tcPr>
                <w:p w14:paraId="6AE5F12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p>
              </w:tc>
            </w:tr>
            <w:tr w14:paraId="2634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22" w:type="pct"/>
                  <w:shd w:val="clear" w:color="auto" w:fill="auto"/>
                  <w:noWrap w:val="0"/>
                  <w:vAlign w:val="center"/>
                </w:tcPr>
                <w:p w14:paraId="63B3190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bCs/>
                      <w:color w:val="auto"/>
                      <w:sz w:val="21"/>
                      <w:szCs w:val="21"/>
                      <w:highlight w:val="none"/>
                    </w:rPr>
                  </w:pPr>
                  <w:r>
                    <w:rPr>
                      <w:rFonts w:hint="default" w:ascii="Times New Roman" w:hAnsi="Times New Roman" w:eastAsia="仿宋" w:cs="Times New Roman"/>
                      <w:bCs/>
                      <w:color w:val="auto"/>
                      <w:sz w:val="21"/>
                      <w:szCs w:val="21"/>
                      <w:highlight w:val="none"/>
                    </w:rPr>
                    <w:t>Ⅲ高原亚热带</w:t>
                  </w:r>
                  <w:r>
                    <w:rPr>
                      <w:rFonts w:hint="default" w:ascii="Times New Roman" w:hAnsi="Times New Roman" w:eastAsia="仿宋" w:cs="Times New Roman"/>
                      <w:bCs/>
                      <w:color w:val="auto"/>
                      <w:sz w:val="21"/>
                      <w:szCs w:val="21"/>
                      <w:highlight w:val="none"/>
                      <w:lang w:val="en-US" w:eastAsia="zh-CN"/>
                    </w:rPr>
                    <w:t>北</w:t>
                  </w:r>
                  <w:r>
                    <w:rPr>
                      <w:rFonts w:hint="default" w:ascii="Times New Roman" w:hAnsi="Times New Roman" w:eastAsia="仿宋" w:cs="Times New Roman"/>
                      <w:bCs/>
                      <w:color w:val="auto"/>
                      <w:sz w:val="21"/>
                      <w:szCs w:val="21"/>
                      <w:highlight w:val="none"/>
                    </w:rPr>
                    <w:t>部常绿阔叶林生态区</w:t>
                  </w:r>
                </w:p>
              </w:tc>
              <w:tc>
                <w:tcPr>
                  <w:tcW w:w="523" w:type="pct"/>
                  <w:shd w:val="clear" w:color="auto" w:fill="auto"/>
                  <w:noWrap w:val="0"/>
                  <w:vAlign w:val="center"/>
                </w:tcPr>
                <w:p w14:paraId="3DD582A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Cs/>
                      <w:color w:val="auto"/>
                      <w:sz w:val="21"/>
                      <w:szCs w:val="21"/>
                      <w:highlight w:val="none"/>
                    </w:rPr>
                    <w:t>Ⅲ4滇东北高中山暖性针叶林、亚高山草甸生态亚区</w:t>
                  </w:r>
                </w:p>
              </w:tc>
              <w:tc>
                <w:tcPr>
                  <w:tcW w:w="412" w:type="pct"/>
                  <w:shd w:val="clear" w:color="auto" w:fill="auto"/>
                  <w:noWrap w:val="0"/>
                  <w:vAlign w:val="center"/>
                </w:tcPr>
                <w:p w14:paraId="093C72F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Cs/>
                      <w:color w:val="auto"/>
                      <w:sz w:val="21"/>
                      <w:szCs w:val="21"/>
                      <w:highlight w:val="none"/>
                    </w:rPr>
                    <w:t>Ⅲ4-</w:t>
                  </w:r>
                  <w:r>
                    <w:rPr>
                      <w:rFonts w:hint="default" w:ascii="Times New Roman" w:hAnsi="Times New Roman" w:eastAsia="仿宋" w:cs="Times New Roman"/>
                      <w:bCs/>
                      <w:color w:val="auto"/>
                      <w:sz w:val="21"/>
                      <w:szCs w:val="21"/>
                      <w:highlight w:val="none"/>
                      <w:lang w:val="en-US" w:eastAsia="zh-CN"/>
                    </w:rPr>
                    <w:t>3</w:t>
                  </w:r>
                  <w:r>
                    <w:rPr>
                      <w:rFonts w:hint="default" w:ascii="Times New Roman" w:hAnsi="Times New Roman" w:eastAsia="仿宋" w:cs="Times New Roman"/>
                      <w:bCs/>
                      <w:color w:val="auto"/>
                      <w:sz w:val="21"/>
                      <w:szCs w:val="21"/>
                      <w:highlight w:val="none"/>
                    </w:rPr>
                    <w:t>以礼河、硝厂河高山深谷水土保持生态功能区</w:t>
                  </w:r>
                </w:p>
              </w:tc>
              <w:tc>
                <w:tcPr>
                  <w:tcW w:w="637" w:type="pct"/>
                  <w:shd w:val="clear" w:color="auto" w:fill="auto"/>
                  <w:noWrap w:val="0"/>
                  <w:vAlign w:val="center"/>
                </w:tcPr>
                <w:p w14:paraId="66E2AF6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0"/>
                      <w:sz w:val="21"/>
                      <w:szCs w:val="21"/>
                      <w:highlight w:val="none"/>
                      <w:lang w:val="zh-CN"/>
                    </w:rPr>
                  </w:pPr>
                  <w:r>
                    <w:rPr>
                      <w:rFonts w:hint="default" w:ascii="Times New Roman" w:hAnsi="Times New Roman" w:eastAsia="仿宋" w:cs="Times New Roman"/>
                      <w:bCs/>
                      <w:color w:val="auto"/>
                      <w:sz w:val="21"/>
                      <w:szCs w:val="21"/>
                      <w:highlight w:val="none"/>
                    </w:rPr>
                    <w:t>会泽县大部，巧家县局</w:t>
                  </w:r>
                  <w:r>
                    <w:rPr>
                      <w:rFonts w:hint="eastAsia" w:cs="Times New Roman"/>
                      <w:bCs/>
                      <w:color w:val="auto"/>
                      <w:sz w:val="21"/>
                      <w:szCs w:val="21"/>
                      <w:highlight w:val="none"/>
                      <w:lang w:eastAsia="zh-CN"/>
                    </w:rPr>
                    <w:t>部地</w:t>
                  </w:r>
                  <w:r>
                    <w:rPr>
                      <w:rFonts w:hint="default" w:ascii="Times New Roman" w:hAnsi="Times New Roman" w:eastAsia="仿宋" w:cs="Times New Roman"/>
                      <w:bCs/>
                      <w:color w:val="auto"/>
                      <w:sz w:val="21"/>
                      <w:szCs w:val="21"/>
                      <w:highlight w:val="none"/>
                    </w:rPr>
                    <w:t>区，面积3745.58平方公里</w:t>
                  </w:r>
                </w:p>
              </w:tc>
              <w:tc>
                <w:tcPr>
                  <w:tcW w:w="940" w:type="pct"/>
                  <w:shd w:val="clear" w:color="auto" w:fill="auto"/>
                  <w:noWrap w:val="0"/>
                  <w:vAlign w:val="center"/>
                </w:tcPr>
                <w:p w14:paraId="63FE2D7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0"/>
                      <w:sz w:val="21"/>
                      <w:szCs w:val="21"/>
                      <w:highlight w:val="none"/>
                      <w:lang w:val="zh-CN"/>
                    </w:rPr>
                  </w:pPr>
                  <w:r>
                    <w:rPr>
                      <w:rFonts w:hint="default" w:ascii="Times New Roman" w:hAnsi="Times New Roman" w:eastAsia="仿宋" w:cs="Times New Roman"/>
                      <w:bCs/>
                      <w:color w:val="auto"/>
                      <w:sz w:val="21"/>
                      <w:szCs w:val="21"/>
                      <w:highlight w:val="none"/>
                    </w:rPr>
                    <w:t>以石灰岩高山深谷地貌为主，年降雨量北部800-900毫米，南部地区 1000-1200毫米，植被主要为云南松林，土壤类型主要是红壤和棕壤</w:t>
                  </w:r>
                </w:p>
              </w:tc>
              <w:tc>
                <w:tcPr>
                  <w:tcW w:w="446" w:type="pct"/>
                  <w:shd w:val="clear" w:color="auto" w:fill="auto"/>
                  <w:noWrap w:val="0"/>
                  <w:vAlign w:val="center"/>
                </w:tcPr>
                <w:p w14:paraId="6F4538C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0"/>
                      <w:sz w:val="21"/>
                      <w:szCs w:val="21"/>
                      <w:highlight w:val="none"/>
                      <w:lang w:val="en-US" w:eastAsia="zh-CN"/>
                    </w:rPr>
                  </w:pPr>
                  <w:r>
                    <w:rPr>
                      <w:rFonts w:hint="default" w:ascii="Times New Roman" w:hAnsi="Times New Roman" w:eastAsia="仿宋" w:cs="Times New Roman"/>
                      <w:bCs/>
                      <w:color w:val="auto"/>
                      <w:sz w:val="21"/>
                      <w:szCs w:val="21"/>
                      <w:highlight w:val="none"/>
                    </w:rPr>
                    <w:t>森林覆盖率低、质量差，土地退化和水</w:t>
                  </w:r>
                  <w:r>
                    <w:rPr>
                      <w:rFonts w:hint="default" w:ascii="Times New Roman" w:hAnsi="Times New Roman" w:eastAsia="仿宋" w:cs="Times New Roman"/>
                      <w:bCs/>
                      <w:color w:val="auto"/>
                      <w:sz w:val="21"/>
                      <w:szCs w:val="21"/>
                      <w:highlight w:val="none"/>
                      <w:lang w:val="en-US" w:eastAsia="zh-CN"/>
                    </w:rPr>
                    <w:t>土流失</w:t>
                  </w:r>
                </w:p>
              </w:tc>
              <w:tc>
                <w:tcPr>
                  <w:tcW w:w="438" w:type="pct"/>
                  <w:shd w:val="clear" w:color="auto" w:fill="auto"/>
                  <w:noWrap w:val="0"/>
                  <w:vAlign w:val="center"/>
                </w:tcPr>
                <w:p w14:paraId="3D961D8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0"/>
                      <w:sz w:val="21"/>
                      <w:szCs w:val="21"/>
                      <w:highlight w:val="none"/>
                      <w:lang w:val="zh-CN"/>
                    </w:rPr>
                  </w:pPr>
                  <w:r>
                    <w:rPr>
                      <w:rFonts w:hint="default" w:ascii="Times New Roman" w:hAnsi="Times New Roman" w:eastAsia="仿宋" w:cs="Times New Roman"/>
                      <w:color w:val="auto"/>
                      <w:kern w:val="0"/>
                      <w:sz w:val="21"/>
                      <w:szCs w:val="21"/>
                      <w:highlight w:val="none"/>
                      <w:lang w:val="zh-CN"/>
                    </w:rPr>
                    <w:t>土壤侵蚀中高度敏感</w:t>
                  </w:r>
                </w:p>
              </w:tc>
              <w:tc>
                <w:tcPr>
                  <w:tcW w:w="542" w:type="pct"/>
                  <w:shd w:val="clear" w:color="auto" w:fill="auto"/>
                  <w:noWrap w:val="0"/>
                  <w:vAlign w:val="center"/>
                </w:tcPr>
                <w:p w14:paraId="603867E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0"/>
                      <w:sz w:val="21"/>
                      <w:szCs w:val="21"/>
                      <w:highlight w:val="none"/>
                      <w:lang w:val="zh-CN"/>
                    </w:rPr>
                  </w:pPr>
                  <w:r>
                    <w:rPr>
                      <w:rFonts w:hint="default" w:ascii="Times New Roman" w:hAnsi="Times New Roman" w:eastAsia="仿宋" w:cs="Times New Roman"/>
                      <w:bCs/>
                      <w:color w:val="auto"/>
                      <w:sz w:val="21"/>
                      <w:szCs w:val="21"/>
                      <w:highlight w:val="none"/>
                    </w:rPr>
                    <w:t>金沙江下游地带的水土保持</w:t>
                  </w:r>
                </w:p>
              </w:tc>
              <w:tc>
                <w:tcPr>
                  <w:tcW w:w="636" w:type="pct"/>
                  <w:shd w:val="clear" w:color="auto" w:fill="auto"/>
                  <w:noWrap w:val="0"/>
                  <w:vAlign w:val="center"/>
                </w:tcPr>
                <w:p w14:paraId="0839CD0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0"/>
                      <w:sz w:val="21"/>
                      <w:szCs w:val="21"/>
                      <w:highlight w:val="none"/>
                      <w:lang w:val="zh-CN"/>
                    </w:rPr>
                  </w:pPr>
                  <w:r>
                    <w:rPr>
                      <w:rFonts w:hint="default" w:ascii="Times New Roman" w:hAnsi="Times New Roman" w:eastAsia="仿宋" w:cs="Times New Roman"/>
                      <w:bCs/>
                      <w:color w:val="auto"/>
                      <w:sz w:val="21"/>
                      <w:szCs w:val="21"/>
                      <w:highlight w:val="none"/>
                    </w:rPr>
                    <w:t>调整产业结构，严格退耕还林，注意矿产资源开发后的生态保护</w:t>
                  </w:r>
                  <w:r>
                    <w:rPr>
                      <w:rFonts w:hint="eastAsia" w:cs="Times New Roman"/>
                      <w:bCs/>
                      <w:color w:val="auto"/>
                      <w:sz w:val="21"/>
                      <w:szCs w:val="21"/>
                      <w:highlight w:val="none"/>
                      <w:lang w:eastAsia="zh-CN"/>
                    </w:rPr>
                    <w:t>，对</w:t>
                  </w:r>
                  <w:r>
                    <w:rPr>
                      <w:rFonts w:hint="default" w:ascii="Times New Roman" w:hAnsi="Times New Roman" w:eastAsia="仿宋" w:cs="Times New Roman"/>
                      <w:bCs/>
                      <w:color w:val="auto"/>
                      <w:sz w:val="21"/>
                      <w:szCs w:val="21"/>
                      <w:highlight w:val="none"/>
                    </w:rPr>
                    <w:t>生态环境严重恶化地区实施生态移民</w:t>
                  </w:r>
                </w:p>
              </w:tc>
            </w:tr>
          </w:tbl>
          <w:p w14:paraId="50833A9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outlineLvl w:val="9"/>
              <w:rPr>
                <w:rFonts w:hint="default" w:ascii="Times New Roman" w:hAnsi="Times New Roman" w:eastAsia="仿宋" w:cs="Times New Roman"/>
                <w:b w:val="0"/>
                <w:bCs/>
                <w:color w:val="auto"/>
                <w:kern w:val="0"/>
                <w:sz w:val="24"/>
                <w:szCs w:val="24"/>
                <w:highlight w:val="none"/>
                <w:lang w:val="en-US" w:eastAsia="zh-CN"/>
              </w:rPr>
            </w:pPr>
            <w:r>
              <w:rPr>
                <w:rFonts w:hint="default" w:ascii="Times New Roman" w:hAnsi="Times New Roman" w:eastAsia="仿宋" w:cs="Times New Roman"/>
                <w:b w:val="0"/>
                <w:bCs/>
                <w:color w:val="auto"/>
                <w:kern w:val="0"/>
                <w:sz w:val="24"/>
                <w:szCs w:val="24"/>
                <w:highlight w:val="none"/>
                <w:lang w:val="en-US" w:eastAsia="zh-CN"/>
              </w:rPr>
              <w:t>本项目为光伏发电项目，项目建设过程中因光伏场区内桩基浇筑、箱变等设施安装、修建进场道路等可能损毁植被，造成一定的水土流失。施工过程中采取水土保持措施，待项目建好后及时对施工迹地进行生态恢复，项目的建设对区域水土流失影响不大。项目用地避让耕地、基本农田、</w:t>
            </w:r>
            <w:r>
              <w:rPr>
                <w:rFonts w:hint="eastAsia" w:cs="Times New Roman"/>
                <w:b w:val="0"/>
                <w:bCs/>
                <w:color w:val="auto"/>
                <w:kern w:val="0"/>
                <w:sz w:val="24"/>
                <w:szCs w:val="24"/>
                <w:highlight w:val="none"/>
                <w:lang w:val="en-US" w:eastAsia="zh-CN"/>
              </w:rPr>
              <w:t>生态保护红线</w:t>
            </w:r>
            <w:r>
              <w:rPr>
                <w:rFonts w:hint="default" w:ascii="Times New Roman" w:hAnsi="Times New Roman" w:eastAsia="仿宋" w:cs="Times New Roman"/>
                <w:b w:val="0"/>
                <w:bCs/>
                <w:color w:val="auto"/>
                <w:kern w:val="0"/>
                <w:sz w:val="24"/>
                <w:szCs w:val="24"/>
                <w:highlight w:val="none"/>
                <w:lang w:val="en-US" w:eastAsia="zh-CN"/>
              </w:rPr>
              <w:t>等敏感区域，不会加剧区域的生态环境问题。</w:t>
            </w:r>
          </w:p>
          <w:p w14:paraId="1B14FD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rPr>
              <mc:AlternateContent>
                <mc:Choice Requires="wps">
                  <w:drawing>
                    <wp:anchor distT="0" distB="0" distL="114300" distR="114300" simplePos="0" relativeHeight="251706368" behindDoc="0" locked="0" layoutInCell="1" allowOverlap="1">
                      <wp:simplePos x="0" y="0"/>
                      <wp:positionH relativeFrom="column">
                        <wp:posOffset>3270250</wp:posOffset>
                      </wp:positionH>
                      <wp:positionV relativeFrom="paragraph">
                        <wp:posOffset>662940</wp:posOffset>
                      </wp:positionV>
                      <wp:extent cx="923290" cy="441960"/>
                      <wp:effectExtent l="768985" t="12700" r="22225" b="97790"/>
                      <wp:wrapNone/>
                      <wp:docPr id="52" name="矩形标注 52"/>
                      <wp:cNvGraphicFramePr/>
                      <a:graphic xmlns:a="http://schemas.openxmlformats.org/drawingml/2006/main">
                        <a:graphicData uri="http://schemas.microsoft.com/office/word/2010/wordprocessingShape">
                          <wps:wsp>
                            <wps:cNvSpPr/>
                            <wps:spPr>
                              <a:xfrm>
                                <a:off x="0" y="0"/>
                                <a:ext cx="923290" cy="441960"/>
                              </a:xfrm>
                              <a:prstGeom prst="wedgeRectCallout">
                                <a:avLst>
                                  <a:gd name="adj1" fmla="val -131911"/>
                                  <a:gd name="adj2" fmla="val 66091"/>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97EE37E">
                                  <w:pPr>
                                    <w:ind w:firstLine="0" w:firstLineChars="0"/>
                                  </w:pPr>
                                  <w:r>
                                    <w:rPr>
                                      <w:rFonts w:hint="eastAsia"/>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57.5pt;margin-top:52.2pt;height:34.8pt;width:72.7pt;z-index:251706368;v-text-anchor:middle;mso-width-relative:page;mso-height-relative:page;" fillcolor="#4F81BD [3204]" filled="t" stroked="t" coordsize="21600,21600" o:gfxdata="UEsDBAoAAAAAAIdO4kAAAAAAAAAAAAAAAAAEAAAAZHJzL1BLAwQUAAAACACHTuJA/OGXjdkAAAAL&#10;AQAADwAAAGRycy9kb3ducmV2LnhtbE2PMU/DMBCFdyT+g3VIbNQOSlKUxukARR2YaFDF6MbXJCI+&#10;h9ht03/PMcF2d+/p3ffK9ewGccYp9J40JAsFAqnxtqdWw0f9+vAEIkRD1gyeUMMVA6yr25vSFNZf&#10;6B3Pu9gKDqFQGA1djGMhZWg6dCYs/IjE2tFPzkRep1bayVw43A3yUalcOtMTf+jMiM8dNl+7k9Mw&#10;z/T2ucmuL7H+XtZDst/u081W6/u7RK1ARJzjnxl+8RkdKmY6+BPZIAYNWZJxl8iCSlMQ7MhzxcOB&#10;L8tUgaxK+b9D9QNQSwMEFAAAAAgAh07iQGgz7Z64AgAAcAUAAA4AAABkcnMvZTJvRG9jLnhtbK1U&#10;wXLTMBC9M8M/aHRvHbtJ2mTqdEIyYZgptENhOCuyHJuRJSEpTcoP8BkwnODMmc+h/AZPstumLQcO&#10;XOxdafV231utjk+2jSSXwrpaq5ym+z1KhOK6qNUqp2/fLPaOKHGeqYJJrUROr4SjJ5OnT443Ziwy&#10;XWlZCEsAotx4Y3JaeW/GSeJ4JRrm9rURCpultg3zcO0qKSzbAL2RSdbrDZONtoWxmgvnsDpvN2mH&#10;aP8FUJdlzcVc83UjlG9RrZDMg5KrauPoJFZbloL7s7J0whOZUzD18YsksJfhm0yO2Xhlmalq3pXA&#10;/qWEB5waViskvYWaM8/I2taPoJqaW+106fe5bpKWSFQELNLeA20uKmZE5AKpnbkV3f0/WP7q8tyS&#10;usjpIKNEsQYd//35+6+fX6+/fLr+8Y1gGRptjBsj9MKc285zMAPhbWmb8AcVso26Xt3qKraecCyO&#10;soNsBMU5tvr9dDSMuid3h411/rnQDQlGTjeiWInX6N2MSanXPirLLk+djxIXXZ2seJ9SUjYSHbtk&#10;kuylB+koTbue7kSB2V3UcNgbxRjk7zBh3VQQEjgt62JRSxkdu1rOpCVIgOIXR+mzeUiAI/fCpCKb&#10;nGaDfi/wZJiLEvcRZmOgrVMrSphcYeC4t5HOvdNuN8nBISrMYpBcNy910eY+HPSA3aVu4x+XEWjM&#10;mavaIzFHd0QqRIc2to0Llt8ut103l7q4wj2wuh0QZ/iiBtQpc/6cWegLVngz/Bk+pdSgqjuLkkrb&#10;j39bD/G4qNilZIMJgwwf1swKSuQLhSs8Svt9wPro9AeHGRy7u7Pc3VHrZqbRAnQc1UUzxHt5Y5ZW&#10;N+/wtExDVmwxxZG7FbxzZr6dfDxOXEynMQxjaJg/VReGB/DQcqWna6/L2gexg1CtOp2DQYy6d49G&#10;mPRdP0bdPZST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Pzhl43ZAAAACwEAAA8AAAAAAAAAAQAg&#10;AAAAIgAAAGRycy9kb3ducmV2LnhtbFBLAQIUABQAAAAIAIdO4kBoM+2euAIAAHAFAAAOAAAAAAAA&#10;AAEAIAAAACgBAABkcnMvZTJvRG9jLnhtbFBLBQYAAAAABgAGAFkBAABSBgAAAAA=&#10;" adj="-17693,25076">
                      <v:fill on="t" focussize="0,0"/>
                      <v:stroke weight="2pt" color="#376092 [2404]" joinstyle="round"/>
                      <v:imagedata o:title=""/>
                      <o:lock v:ext="edit" aspectratio="f"/>
                      <v:textbox>
                        <w:txbxContent>
                          <w:p w14:paraId="797EE37E">
                            <w:pPr>
                              <w:ind w:firstLine="0" w:firstLineChars="0"/>
                            </w:pPr>
                            <w:r>
                              <w:rPr>
                                <w:rFonts w:hint="eastAsia"/>
                              </w:rPr>
                              <w:t>项目位置</w:t>
                            </w:r>
                          </w:p>
                        </w:txbxContent>
                      </v:textbox>
                    </v:shape>
                  </w:pict>
                </mc:Fallback>
              </mc:AlternateContent>
            </w:r>
            <w:r>
              <w:rPr>
                <w:rFonts w:hint="default" w:ascii="Times New Roman" w:hAnsi="Times New Roman" w:eastAsia="仿宋" w:cs="Times New Roman"/>
                <w:color w:val="auto"/>
                <w:highlight w:val="none"/>
              </w:rPr>
              <mc:AlternateContent>
                <mc:Choice Requires="wps">
                  <w:drawing>
                    <wp:anchor distT="0" distB="0" distL="114300" distR="114300" simplePos="0" relativeHeight="251705344" behindDoc="0" locked="0" layoutInCell="1" allowOverlap="1">
                      <wp:simplePos x="0" y="0"/>
                      <wp:positionH relativeFrom="column">
                        <wp:posOffset>2448560</wp:posOffset>
                      </wp:positionH>
                      <wp:positionV relativeFrom="paragraph">
                        <wp:posOffset>1146810</wp:posOffset>
                      </wp:positionV>
                      <wp:extent cx="78105" cy="78740"/>
                      <wp:effectExtent l="12700" t="12700" r="23495" b="22860"/>
                      <wp:wrapNone/>
                      <wp:docPr id="53" name="流程图: 摘录 53"/>
                      <wp:cNvGraphicFramePr/>
                      <a:graphic xmlns:a="http://schemas.openxmlformats.org/drawingml/2006/main">
                        <a:graphicData uri="http://schemas.microsoft.com/office/word/2010/wordprocessingShape">
                          <wps:wsp>
                            <wps:cNvSpPr/>
                            <wps:spPr>
                              <a:xfrm>
                                <a:off x="0" y="0"/>
                                <a:ext cx="78105" cy="78740"/>
                              </a:xfrm>
                              <a:prstGeom prst="flowChartExtract">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7" type="#_x0000_t127" style="position:absolute;left:0pt;margin-left:192.8pt;margin-top:90.3pt;height:6.2pt;width:6.15pt;z-index:251705344;v-text-anchor:middle;mso-width-relative:page;mso-height-relative:page;" fillcolor="#FF0000" filled="t" stroked="t" coordsize="21600,21600" o:gfxdata="UEsDBAoAAAAAAIdO4kAAAAAAAAAAAAAAAAAEAAAAZHJzL1BLAwQUAAAACACHTuJA3QDID9gAAAAL&#10;AQAADwAAAGRycy9kb3ducmV2LnhtbE2PQU/DMAyF70j8h8hI3FgyKkrbNZ3EBAc0cViBe9Z4bUXj&#10;lCZbx7/HnNjN9nt6/l65PrtBnHAKvScNy4UCgdR421Or4eP95S4DEaIhawZPqOEHA6yr66vSFNbP&#10;tMNTHVvBIRQKo6GLcSykDE2HzoSFH5FYO/jJmcjr1Eo7mZnD3SDvlUqlMz3xh86MuOmw+aqPTsP4&#10;un3ut095bb/xM513TfSb+Kb17c1SrUBEPMd/M/zhMzpUzLT3R7JBDBqS7CFlKwuZ4oEdSf6Yg9jz&#10;JU8UyKqUlx2qX1BLAwQUAAAACACHTuJAS2kPtHkCAADzBAAADgAAAGRycy9lMm9Eb2MueG1srVTN&#10;bhMxEL4j8Q6W73STkJAQdVNFCUFIFa1UEGfHa2ct+Y+xk025cebEAQmJF+AFOMLbtLwGY+/2Fw49&#10;sAfvjOf/mxkfHu2NJjsBQTlb0v5BjxJhuauU3ZT07ZvVkwklITJbMe2sKOm5CPRo9vjRYeOnYuBq&#10;pysBBJ3YMG18SesY/bQoAq+FYeHAeWFRKB0YFpGFTVEBa9C70cWg13tWNA4qD46LEPB22Qpp5xEe&#10;4tBJqbhYOr41wsbWKwjNIpYUauUDneVspRQ8nkgZRCS6pFhpzCcGQXqdzmJ2yKYbYL5WvEuBPSSF&#10;ezUZpiwGvXa1ZJGRLai/XBnFwQUn4wF3pmgLyYhgFf3ePWzOauZFrgWhDv4a9PD/3PLXu1Mgqirp&#10;6Ckllhns+OWPj7+/f7r49mtKLj9/vfj5haAMgWp8mKL+mT+FjgtIpqr3Ekz6Yz1kn8E9vwZX7CPh&#10;eDme9HsjSjhKxpPxMENf3Jh6CPGlcIYkoqRSu2ZRM4gv9hEYjxlctjsOEUOj2ZV6ihqcVtVKaZ0Z&#10;2KwXGsiOYcdXqx5+KXc0uaOmLWlKOhgNUUw4wzmWOD9IGo9YBLuhhOkNLgiPkGPfsQ4PC5KSXLJQ&#10;t8lkD10u2mJKCc8WwUStXXWOrQDXzmjwfKXQ/piFeMoAhxITxbWNJ3gkdErqOoqS2sGHf90nfZwV&#10;lFLS4JBjZe+3DAQl+pXFKXreH2IjSMzMcDQeIAO3JevbErs1C4eo9vGB8DyTST/qK1KCM+9wu+cp&#10;KoqY5Ri7xbBjFrFdPnwfuJjPsxpugmfx2J55npynLlo330YnVe72DTodaLgLuaPd3qZlu81nrZu3&#10;a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3QDID9gAAAALAQAADwAAAAAAAAABACAAAAAiAAAA&#10;ZHJzL2Rvd25yZXYueG1sUEsBAhQAFAAAAAgAh07iQEtpD7R5AgAA8wQAAA4AAAAAAAAAAQAgAAAA&#10;JwEAAGRycy9lMm9Eb2MueG1sUEsFBgAAAAAGAAYAWQEAABIGAAAAAA==&#10;">
                      <v:fill on="t" focussize="0,0"/>
                      <v:stroke weight="2pt" color="#FF0000 [2404]" joinstyle="round"/>
                      <v:imagedata o:title=""/>
                      <o:lock v:ext="edit" aspectratio="f"/>
                    </v:shape>
                  </w:pict>
                </mc:Fallback>
              </mc:AlternateContent>
            </w:r>
            <w:r>
              <w:rPr>
                <w:rFonts w:hint="default" w:ascii="Times New Roman" w:hAnsi="Times New Roman" w:eastAsia="仿宋" w:cs="Times New Roman"/>
                <w:color w:val="auto"/>
                <w:highlight w:val="none"/>
                <w:lang w:eastAsia="zh-CN"/>
              </w:rPr>
              <w:drawing>
                <wp:inline distT="0" distB="0" distL="114300" distR="114300">
                  <wp:extent cx="4967605" cy="3546475"/>
                  <wp:effectExtent l="0" t="0" r="4445" b="15875"/>
                  <wp:docPr id="54" name="图片 54" descr="第79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第79页-1"/>
                          <pic:cNvPicPr>
                            <a:picLocks noChangeAspect="1"/>
                          </pic:cNvPicPr>
                        </pic:nvPicPr>
                        <pic:blipFill>
                          <a:blip r:embed="rId30"/>
                          <a:stretch>
                            <a:fillRect/>
                          </a:stretch>
                        </pic:blipFill>
                        <pic:spPr>
                          <a:xfrm>
                            <a:off x="0" y="0"/>
                            <a:ext cx="4967605" cy="3546475"/>
                          </a:xfrm>
                          <a:prstGeom prst="rect">
                            <a:avLst/>
                          </a:prstGeom>
                        </pic:spPr>
                      </pic:pic>
                    </a:graphicData>
                  </a:graphic>
                </wp:inline>
              </w:drawing>
            </w:r>
          </w:p>
          <w:p w14:paraId="3A1DE15F">
            <w:pPr>
              <w:keepNext w:val="0"/>
              <w:keepLines w:val="0"/>
              <w:suppressLineNumbers w:val="0"/>
              <w:spacing w:before="0" w:beforeAutospacing="0" w:after="0" w:afterAutospacing="0"/>
              <w:ind w:left="0" w:right="0" w:firstLine="0" w:firstLineChars="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图3</w:t>
            </w:r>
            <w:r>
              <w:rPr>
                <w:rFonts w:hint="eastAsia" w:cs="Times New Roman"/>
                <w:color w:val="auto"/>
                <w:highlight w:val="none"/>
                <w:lang w:val="en-US" w:eastAsia="zh-CN"/>
              </w:rPr>
              <w:t>.1</w:t>
            </w:r>
            <w:r>
              <w:rPr>
                <w:rFonts w:hint="default" w:ascii="Times New Roman" w:hAnsi="Times New Roman" w:eastAsia="仿宋" w:cs="Times New Roman"/>
                <w:color w:val="auto"/>
                <w:highlight w:val="none"/>
                <w:lang w:val="en-US" w:eastAsia="zh-CN"/>
              </w:rPr>
              <w:t>-</w:t>
            </w:r>
            <w:r>
              <w:rPr>
                <w:rFonts w:hint="default" w:ascii="Times New Roman" w:hAnsi="Times New Roman" w:eastAsia="仿宋" w:cs="Times New Roman"/>
                <w:color w:val="auto"/>
                <w:highlight w:val="none"/>
              </w:rPr>
              <w:t>2 云南省生态功能区划</w:t>
            </w:r>
          </w:p>
          <w:p w14:paraId="50E0A5B4">
            <w:pPr>
              <w:keepNext w:val="0"/>
              <w:keepLines w:val="0"/>
              <w:suppressLineNumbers w:val="0"/>
              <w:snapToGrid w:val="0"/>
              <w:spacing w:before="0" w:beforeAutospacing="0" w:after="0" w:afterAutospacing="0" w:line="360" w:lineRule="auto"/>
              <w:ind w:left="0" w:right="0"/>
              <w:rPr>
                <w:rFonts w:hint="default" w:ascii="Times New Roman" w:hAnsi="Times New Roman" w:eastAsia="仿宋"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3.1.</w:t>
            </w:r>
            <w:r>
              <w:rPr>
                <w:rFonts w:hint="default" w:ascii="Times New Roman" w:hAnsi="Times New Roman" w:eastAsia="仿宋" w:cs="Times New Roman"/>
                <w:b w:val="0"/>
                <w:bCs w:val="0"/>
                <w:color w:val="auto"/>
                <w:sz w:val="24"/>
                <w:szCs w:val="24"/>
                <w:highlight w:val="none"/>
                <w:lang w:val="en-US" w:eastAsia="zh-CN"/>
              </w:rPr>
              <w:t>3</w:t>
            </w:r>
            <w:r>
              <w:rPr>
                <w:rFonts w:hint="eastAsia" w:cs="Times New Roman"/>
                <w:b w:val="0"/>
                <w:bCs w:val="0"/>
                <w:color w:val="auto"/>
                <w:sz w:val="24"/>
                <w:szCs w:val="24"/>
                <w:highlight w:val="none"/>
                <w:lang w:val="en-US" w:eastAsia="zh-CN"/>
              </w:rPr>
              <w:t xml:space="preserve"> </w:t>
            </w:r>
            <w:r>
              <w:rPr>
                <w:rFonts w:hint="default" w:ascii="Times New Roman" w:hAnsi="Times New Roman" w:eastAsia="仿宋" w:cs="Times New Roman"/>
                <w:b w:val="0"/>
                <w:bCs w:val="0"/>
                <w:color w:val="auto"/>
                <w:sz w:val="24"/>
                <w:szCs w:val="24"/>
                <w:highlight w:val="none"/>
                <w:lang w:val="en-US" w:eastAsia="zh-CN"/>
              </w:rPr>
              <w:t>环境敏感区域</w:t>
            </w:r>
          </w:p>
          <w:p w14:paraId="48CF8AD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经分析，本项目评价范围内</w:t>
            </w:r>
            <w:r>
              <w:rPr>
                <w:rFonts w:hint="eastAsia" w:cs="Times New Roman"/>
                <w:b w:val="0"/>
                <w:bCs w:val="0"/>
                <w:color w:val="auto"/>
                <w:sz w:val="24"/>
                <w:szCs w:val="24"/>
                <w:highlight w:val="none"/>
                <w:lang w:val="en-US" w:eastAsia="zh-CN"/>
              </w:rPr>
              <w:t>无</w:t>
            </w:r>
            <w:r>
              <w:rPr>
                <w:rFonts w:hint="default" w:ascii="Times New Roman" w:hAnsi="Times New Roman" w:eastAsia="仿宋" w:cs="Times New Roman"/>
                <w:b w:val="0"/>
                <w:bCs w:val="0"/>
                <w:color w:val="auto"/>
                <w:sz w:val="24"/>
                <w:szCs w:val="24"/>
                <w:highlight w:val="none"/>
                <w:lang w:val="en-US" w:eastAsia="zh-CN"/>
              </w:rPr>
              <w:t>国家公园、自然保护区、风景名胜区、世界文化和自然遗产地、海洋特别保护区、饮用水水源保护区；不涉及以居住、医疗卫生、文化教育、科研、行政办公为主要功能的区域，以及文物保护单位。</w:t>
            </w:r>
          </w:p>
          <w:p w14:paraId="3F112BB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本项目距离会泽黑颈鹤国家级自然保护区约20km</w:t>
            </w:r>
            <w:r>
              <w:rPr>
                <w:rFonts w:hint="eastAsia" w:cs="Times New Roman"/>
                <w:b w:val="0"/>
                <w:bCs w:val="0"/>
                <w:color w:val="auto"/>
                <w:sz w:val="24"/>
                <w:szCs w:val="24"/>
                <w:highlight w:val="none"/>
                <w:lang w:val="en-US" w:eastAsia="zh-CN"/>
              </w:rPr>
              <w:t>，本项目评价范围内无黑颈鹤分布，无黑颈鹤觅食点、聚集点、迁飞路径。</w:t>
            </w:r>
            <w:r>
              <w:rPr>
                <w:rFonts w:hint="eastAsia"/>
                <w:color w:val="auto"/>
                <w:highlight w:val="none"/>
                <w:lang w:val="en-US" w:eastAsia="zh-CN"/>
              </w:rPr>
              <w:t>经对比，</w:t>
            </w:r>
            <w:r>
              <w:rPr>
                <w:rFonts w:hint="default"/>
                <w:color w:val="auto"/>
                <w:highlight w:val="none"/>
              </w:rPr>
              <w:t>本项目</w:t>
            </w:r>
            <w:r>
              <w:rPr>
                <w:rFonts w:hint="eastAsia"/>
                <w:color w:val="auto"/>
                <w:highlight w:val="none"/>
                <w:lang w:val="en-US" w:eastAsia="zh-CN"/>
              </w:rPr>
              <w:t>评价范围</w:t>
            </w:r>
            <w:r>
              <w:rPr>
                <w:rFonts w:hint="default"/>
                <w:color w:val="auto"/>
                <w:highlight w:val="none"/>
              </w:rPr>
              <w:t>不涉及云南省候鸟迁徙通道重点区域范围（第一批），项目</w:t>
            </w:r>
            <w:r>
              <w:rPr>
                <w:rFonts w:hint="eastAsia"/>
                <w:color w:val="auto"/>
                <w:highlight w:val="none"/>
                <w:lang w:eastAsia="zh-CN"/>
              </w:rPr>
              <w:t>与</w:t>
            </w:r>
            <w:r>
              <w:rPr>
                <w:rFonts w:hint="default"/>
                <w:color w:val="auto"/>
                <w:highlight w:val="none"/>
              </w:rPr>
              <w:t>候鸟迁飞通道的位置关系图，见附图6。</w:t>
            </w:r>
          </w:p>
          <w:p w14:paraId="3230BD7E">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根据</w:t>
            </w:r>
            <w:r>
              <w:rPr>
                <w:rFonts w:hint="default" w:ascii="Times New Roman" w:hAnsi="Times New Roman" w:eastAsia="仿宋" w:cs="Times New Roman"/>
                <w:b w:val="0"/>
                <w:bCs w:val="0"/>
                <w:color w:val="auto"/>
                <w:sz w:val="24"/>
                <w:szCs w:val="24"/>
                <w:highlight w:val="none"/>
                <w:lang w:val="en-US" w:eastAsia="zh-CN"/>
              </w:rPr>
              <w:t>云南省生态环境工程评估中心的“生态环境分区管控单元查询结果”，本项目</w:t>
            </w:r>
            <w:r>
              <w:rPr>
                <w:rFonts w:hint="eastAsia" w:cs="Times New Roman"/>
                <w:b w:val="0"/>
                <w:bCs w:val="0"/>
                <w:color w:val="auto"/>
                <w:sz w:val="24"/>
                <w:szCs w:val="24"/>
                <w:highlight w:val="none"/>
                <w:lang w:val="en-US" w:eastAsia="zh-CN"/>
              </w:rPr>
              <w:t>部分方阵</w:t>
            </w:r>
            <w:r>
              <w:rPr>
                <w:rFonts w:hint="default" w:ascii="Times New Roman" w:hAnsi="Times New Roman" w:eastAsia="仿宋" w:cs="Times New Roman"/>
                <w:b w:val="0"/>
                <w:bCs w:val="0"/>
                <w:color w:val="auto"/>
                <w:sz w:val="24"/>
                <w:szCs w:val="24"/>
                <w:highlight w:val="none"/>
                <w:lang w:val="en-US" w:eastAsia="zh-CN"/>
              </w:rPr>
              <w:t>300m生态调查范围内涉及</w:t>
            </w:r>
            <w:r>
              <w:rPr>
                <w:rFonts w:hint="eastAsia" w:cs="Times New Roman"/>
                <w:b w:val="0"/>
                <w:bCs w:val="0"/>
                <w:color w:val="auto"/>
                <w:sz w:val="24"/>
                <w:szCs w:val="24"/>
                <w:highlight w:val="none"/>
                <w:lang w:val="en-US" w:eastAsia="zh-CN"/>
              </w:rPr>
              <w:t>生态保护红线</w:t>
            </w:r>
            <w:r>
              <w:rPr>
                <w:rFonts w:hint="default" w:ascii="Times New Roman" w:hAnsi="Times New Roman" w:eastAsia="仿宋" w:cs="Times New Roman"/>
                <w:b w:val="0"/>
                <w:bCs w:val="0"/>
                <w:color w:val="auto"/>
                <w:sz w:val="24"/>
                <w:szCs w:val="24"/>
                <w:highlight w:val="none"/>
                <w:lang w:val="en-US" w:eastAsia="zh-CN"/>
              </w:rPr>
              <w:t>。该</w:t>
            </w:r>
            <w:r>
              <w:rPr>
                <w:rFonts w:hint="eastAsia" w:cs="Times New Roman"/>
                <w:b w:val="0"/>
                <w:bCs w:val="0"/>
                <w:color w:val="auto"/>
                <w:sz w:val="24"/>
                <w:szCs w:val="24"/>
                <w:highlight w:val="none"/>
                <w:lang w:val="en-US" w:eastAsia="zh-CN"/>
              </w:rPr>
              <w:t>生态保护红线</w:t>
            </w:r>
            <w:r>
              <w:rPr>
                <w:rFonts w:hint="default" w:ascii="Times New Roman" w:hAnsi="Times New Roman" w:eastAsia="仿宋" w:cs="Times New Roman"/>
                <w:b w:val="0"/>
                <w:bCs w:val="0"/>
                <w:color w:val="auto"/>
                <w:sz w:val="24"/>
                <w:szCs w:val="24"/>
                <w:highlight w:val="none"/>
                <w:lang w:val="en-US" w:eastAsia="zh-CN"/>
              </w:rPr>
              <w:t>为会泽县“金沙江下游</w:t>
            </w:r>
            <w:r>
              <w:rPr>
                <w:rFonts w:hint="eastAsia"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小江流域水土流失控制生态保护红线”。</w:t>
            </w:r>
            <w:r>
              <w:rPr>
                <w:rFonts w:hint="eastAsia" w:cs="Times New Roman"/>
                <w:b w:val="0"/>
                <w:bCs w:val="0"/>
                <w:color w:val="auto"/>
                <w:sz w:val="24"/>
                <w:szCs w:val="24"/>
                <w:highlight w:val="none"/>
                <w:lang w:val="en-US" w:eastAsia="zh-CN"/>
              </w:rPr>
              <w:t>37#方阵与生态保护红线的距离分别为：北侧11.39m、东侧36.99m、西侧10.32m；38#方阵与生态保护红线的距离分别为：西侧4.94m，东侧68.7m；13#方阵与生态保护红线的距离为南侧218.14m；8#方阵与生态保护红线的距离分别为：南侧12.93m，东南侧5.57m。</w:t>
            </w:r>
          </w:p>
          <w:p w14:paraId="6888763B">
            <w:pPr>
              <w:keepNext w:val="0"/>
              <w:keepLines w:val="0"/>
              <w:suppressLineNumbers w:val="0"/>
              <w:snapToGrid w:val="0"/>
              <w:spacing w:before="0" w:beforeAutospacing="0" w:after="0" w:afterAutospacing="0" w:line="360" w:lineRule="auto"/>
              <w:ind w:left="0" w:right="0" w:firstLine="480" w:firstLineChars="200"/>
              <w:rPr>
                <w:rFonts w:hint="eastAsia"/>
                <w:color w:val="auto"/>
                <w:highlight w:val="none"/>
                <w:lang w:val="en-US" w:eastAsia="zh-CN"/>
              </w:rPr>
            </w:pPr>
            <w:r>
              <w:rPr>
                <w:rFonts w:hint="eastAsia"/>
                <w:color w:val="auto"/>
                <w:highlight w:val="none"/>
                <w:lang w:val="en-US" w:eastAsia="zh-CN"/>
              </w:rPr>
              <w:t>项目涉及架空集电线路跨越生态保护红线，涉及36#-37#方阵集电线路，共7段线路跨越生态保护红线，累计跨越长度1746.19m。</w:t>
            </w:r>
            <w:r>
              <w:rPr>
                <w:rFonts w:hint="eastAsia" w:ascii="Times New Roman" w:hAnsi="Times New Roman" w:cs="Times New Roman"/>
                <w:color w:val="auto"/>
                <w:highlight w:val="none"/>
                <w:lang w:val="en-US" w:eastAsia="zh-CN"/>
              </w:rPr>
              <w:t>本项目与生态保护红线位置关系见附图17。</w:t>
            </w:r>
          </w:p>
          <w:p w14:paraId="1E6F3736">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lang w:val="en-US" w:eastAsia="zh-CN"/>
              </w:rPr>
            </w:pPr>
            <w:r>
              <w:rPr>
                <w:rFonts w:hint="eastAsia"/>
                <w:color w:val="auto"/>
                <w:highlight w:val="none"/>
                <w:lang w:val="en-US" w:eastAsia="zh-CN"/>
              </w:rPr>
              <w:t>本项目评价范围内存在公益林和永久基本农田，公益林用途为防护林地，权属为集体林地，主要分布在各光伏方阵外围，植被以云南松为主；基本农田分布在银昆高速两侧，光伏方阵周边基本农田较少。区域基本农田区域生态状况良好，无现状污染和撂荒，主要种植水稻、玉米、蔬菜等。</w:t>
            </w:r>
          </w:p>
          <w:p w14:paraId="55F9A13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rPr>
                <w:rFonts w:hint="default" w:ascii="Times New Roman" w:hAnsi="Times New Roman" w:eastAsia="仿宋" w:cs="Times New Roman"/>
                <w:b/>
                <w:color w:val="auto"/>
                <w:kern w:val="0"/>
                <w:sz w:val="24"/>
                <w:szCs w:val="24"/>
                <w:highlight w:val="none"/>
                <w:lang w:val="en-US" w:eastAsia="zh-CN"/>
              </w:rPr>
            </w:pPr>
            <w:r>
              <w:rPr>
                <w:rFonts w:hint="eastAsia" w:cs="Times New Roman"/>
                <w:b/>
                <w:color w:val="auto"/>
                <w:kern w:val="0"/>
                <w:sz w:val="24"/>
                <w:szCs w:val="24"/>
                <w:highlight w:val="none"/>
                <w:lang w:val="en-US" w:eastAsia="zh-CN"/>
              </w:rPr>
              <w:t xml:space="preserve">3.2 </w:t>
            </w:r>
            <w:r>
              <w:rPr>
                <w:rFonts w:hint="default" w:ascii="Times New Roman" w:hAnsi="Times New Roman" w:eastAsia="仿宋" w:cs="Times New Roman"/>
                <w:b/>
                <w:color w:val="auto"/>
                <w:kern w:val="0"/>
                <w:sz w:val="24"/>
                <w:szCs w:val="24"/>
                <w:highlight w:val="none"/>
                <w:lang w:val="en-US" w:eastAsia="zh-CN"/>
              </w:rPr>
              <w:t>生态环境现状</w:t>
            </w:r>
          </w:p>
          <w:p w14:paraId="030C6CD0">
            <w:pPr>
              <w:keepNext w:val="0"/>
              <w:keepLines w:val="0"/>
              <w:numPr>
                <w:ilvl w:val="0"/>
                <w:numId w:val="0"/>
              </w:numPr>
              <w:suppressLineNumbers w:val="0"/>
              <w:adjustRightInd w:val="0"/>
              <w:snapToGrid w:val="0"/>
              <w:spacing w:before="0" w:beforeAutospacing="0" w:after="0" w:afterAutospacing="0" w:line="360" w:lineRule="auto"/>
              <w:ind w:left="0" w:right="0" w:rightChars="0"/>
              <w:rPr>
                <w:rFonts w:hint="default" w:ascii="Times New Roman" w:hAnsi="Times New Roman" w:eastAsia="仿宋" w:cs="Times New Roman"/>
                <w:b/>
                <w:color w:val="auto"/>
                <w:kern w:val="0"/>
                <w:sz w:val="24"/>
                <w:szCs w:val="24"/>
                <w:highlight w:val="none"/>
              </w:rPr>
            </w:pPr>
            <w:r>
              <w:rPr>
                <w:rFonts w:hint="eastAsia" w:cs="Times New Roman"/>
                <w:b/>
                <w:color w:val="auto"/>
                <w:kern w:val="0"/>
                <w:sz w:val="24"/>
                <w:szCs w:val="24"/>
                <w:highlight w:val="none"/>
                <w:lang w:val="en-US" w:eastAsia="zh-CN"/>
              </w:rPr>
              <w:t xml:space="preserve">3.2.1 </w:t>
            </w:r>
            <w:r>
              <w:rPr>
                <w:rFonts w:hint="default" w:ascii="Times New Roman" w:hAnsi="Times New Roman" w:eastAsia="仿宋" w:cs="Times New Roman"/>
                <w:b/>
                <w:color w:val="auto"/>
                <w:kern w:val="0"/>
                <w:sz w:val="24"/>
                <w:szCs w:val="24"/>
                <w:highlight w:val="none"/>
              </w:rPr>
              <w:t>陆生植物现状调查</w:t>
            </w:r>
          </w:p>
          <w:p w14:paraId="35396197">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1</w:t>
            </w: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调查时间、范围及方法</w:t>
            </w:r>
          </w:p>
          <w:p w14:paraId="0BD4913F">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①调查</w:t>
            </w:r>
            <w:r>
              <w:rPr>
                <w:rFonts w:hint="eastAsia" w:cs="Times New Roman"/>
                <w:b w:val="0"/>
                <w:bCs w:val="0"/>
                <w:color w:val="auto"/>
                <w:sz w:val="24"/>
                <w:szCs w:val="24"/>
                <w:highlight w:val="none"/>
                <w:lang w:val="en-US" w:eastAsia="zh-CN"/>
              </w:rPr>
              <w:t>人员及时间</w:t>
            </w:r>
          </w:p>
          <w:p w14:paraId="76D9022F">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李瑞年（植物学硕士 高级工程师）、赵明旭（植物学博士 高级工程师）陆生植物现状调查时间为2025年10月。</w:t>
            </w:r>
          </w:p>
          <w:p w14:paraId="01611DB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②调查范围</w:t>
            </w:r>
          </w:p>
          <w:p w14:paraId="44D6685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A.临时、永久占地调查范围</w:t>
            </w:r>
          </w:p>
          <w:p w14:paraId="6EE4A2D2">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根据《环境影响评价技术导则 生态影响》（HJ 19—2022）中“6.2.1 生态影响评价应能够充分体现生态完整性和生物多样性保护要求，涵盖评价项目全部活动的直接影响区域和间接影响区域。”本项目考虑到项目施工期及运营期对项目占地及周边生态因子的影响，本项目升压站及边界外延</w:t>
            </w:r>
            <w:r>
              <w:rPr>
                <w:rFonts w:hint="eastAsia" w:cs="Times New Roman"/>
                <w:b w:val="0"/>
                <w:bCs w:val="0"/>
                <w:color w:val="auto"/>
                <w:sz w:val="24"/>
                <w:szCs w:val="24"/>
                <w:highlight w:val="none"/>
                <w:lang w:val="en-US" w:eastAsia="zh-CN"/>
              </w:rPr>
              <w:t>5</w:t>
            </w:r>
            <w:r>
              <w:rPr>
                <w:rFonts w:hint="default" w:ascii="Times New Roman" w:hAnsi="Times New Roman" w:eastAsia="仿宋" w:cs="Times New Roman"/>
                <w:b w:val="0"/>
                <w:bCs w:val="0"/>
                <w:color w:val="auto"/>
                <w:sz w:val="24"/>
                <w:szCs w:val="24"/>
                <w:highlight w:val="none"/>
                <w:lang w:val="en-US" w:eastAsia="zh-CN"/>
              </w:rPr>
              <w:t>00m范围，</w:t>
            </w:r>
            <w:r>
              <w:rPr>
                <w:rFonts w:hint="eastAsia" w:cs="Times New Roman"/>
                <w:b w:val="0"/>
                <w:bCs w:val="0"/>
                <w:color w:val="auto"/>
                <w:sz w:val="24"/>
                <w:szCs w:val="24"/>
                <w:highlight w:val="none"/>
                <w:lang w:val="en-US" w:eastAsia="zh-CN"/>
              </w:rPr>
              <w:t>光伏阵列、</w:t>
            </w:r>
            <w:r>
              <w:rPr>
                <w:rFonts w:hint="default" w:ascii="Times New Roman" w:hAnsi="Times New Roman" w:eastAsia="仿宋" w:cs="Times New Roman"/>
                <w:b w:val="0"/>
                <w:bCs w:val="0"/>
                <w:color w:val="auto"/>
                <w:sz w:val="24"/>
                <w:szCs w:val="24"/>
                <w:highlight w:val="none"/>
                <w:lang w:val="en-US" w:eastAsia="zh-CN"/>
              </w:rPr>
              <w:t>道路工程</w:t>
            </w:r>
            <w:r>
              <w:rPr>
                <w:rFonts w:hint="eastAsia" w:cs="Times New Roman"/>
                <w:b w:val="0"/>
                <w:bCs w:val="0"/>
                <w:color w:val="auto"/>
                <w:sz w:val="24"/>
                <w:szCs w:val="24"/>
                <w:highlight w:val="none"/>
                <w:lang w:val="en-US" w:eastAsia="zh-CN"/>
              </w:rPr>
              <w:t>及集电线路</w:t>
            </w:r>
            <w:r>
              <w:rPr>
                <w:rFonts w:hint="default" w:ascii="Times New Roman" w:hAnsi="Times New Roman" w:eastAsia="仿宋" w:cs="Times New Roman"/>
                <w:b w:val="0"/>
                <w:bCs w:val="0"/>
                <w:color w:val="auto"/>
                <w:sz w:val="24"/>
                <w:szCs w:val="24"/>
                <w:highlight w:val="none"/>
                <w:lang w:val="en-US" w:eastAsia="zh-CN"/>
              </w:rPr>
              <w:t>两侧外延300m范围</w:t>
            </w:r>
            <w:r>
              <w:rPr>
                <w:rFonts w:hint="eastAsia" w:cs="Times New Roman"/>
                <w:b w:val="0"/>
                <w:bCs w:val="0"/>
                <w:color w:val="auto"/>
                <w:sz w:val="24"/>
                <w:szCs w:val="24"/>
                <w:highlight w:val="none"/>
                <w:lang w:val="en-US" w:eastAsia="zh-CN"/>
              </w:rPr>
              <w:t>，集电线路跨越生态保护红线外延1000m范围</w:t>
            </w:r>
            <w:r>
              <w:rPr>
                <w:rFonts w:hint="default" w:ascii="Times New Roman" w:hAnsi="Times New Roman" w:eastAsia="仿宋" w:cs="Times New Roman"/>
                <w:b w:val="0"/>
                <w:bCs w:val="0"/>
                <w:color w:val="auto"/>
                <w:sz w:val="24"/>
                <w:szCs w:val="24"/>
                <w:highlight w:val="none"/>
                <w:lang w:val="en-US" w:eastAsia="zh-CN"/>
              </w:rPr>
              <w:t>，作为本项目占地现状调查范围。</w:t>
            </w:r>
          </w:p>
          <w:p w14:paraId="1603F27E">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③调查内容</w:t>
            </w:r>
          </w:p>
          <w:p w14:paraId="45F1A64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调查评价区内的植被类型及植物物种。重点是珍稀濒危保护物种、特有种以及具有重要经济和科研价值的物种，评价区的植被类型及相关情况。</w:t>
            </w:r>
          </w:p>
          <w:p w14:paraId="60361F1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④调查方法</w:t>
            </w:r>
          </w:p>
          <w:p w14:paraId="397C8830">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植物种类调查采用路线踏查和资料收集相结合的方法。确定调查范围后，首先利用1</w:t>
            </w:r>
            <w:r>
              <w:rPr>
                <w:rFonts w:hint="eastAsia"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50000地形图确定调查范围内的地形情况，用遥感影像确定调查区的植被和植物分布状况，用地理信息系统分析软件ArcGIS设计踏查路线。</w:t>
            </w:r>
            <w:r>
              <w:rPr>
                <w:rFonts w:hint="eastAsia" w:cs="Times New Roman"/>
                <w:b w:val="0"/>
                <w:bCs w:val="0"/>
                <w:color w:val="auto"/>
                <w:sz w:val="24"/>
                <w:szCs w:val="24"/>
                <w:highlight w:val="none"/>
                <w:lang w:val="en-US" w:eastAsia="zh-CN"/>
              </w:rPr>
              <w:t>调查期间未设置样方、样线，调查路径</w:t>
            </w:r>
            <w:r>
              <w:rPr>
                <w:rFonts w:hint="default" w:ascii="Times New Roman" w:hAnsi="Times New Roman" w:eastAsia="仿宋" w:cs="Times New Roman"/>
                <w:b w:val="0"/>
                <w:bCs w:val="0"/>
                <w:color w:val="auto"/>
                <w:sz w:val="24"/>
                <w:szCs w:val="24"/>
                <w:highlight w:val="none"/>
                <w:lang w:val="en-US" w:eastAsia="zh-CN"/>
              </w:rPr>
              <w:t>综合考虑地形因素和植被状况，选择地形变化大，植被类型多，植物生长旺盛，穿插部位有道路可行的地段设置踏查路线。路线穿越每种植被类型的实际距离不少于50米。踏勘过程中记录动植物种类、植被类型等。</w:t>
            </w:r>
          </w:p>
          <w:p w14:paraId="72E9E55E">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（2）陆生植被现状</w:t>
            </w:r>
          </w:p>
          <w:p w14:paraId="254592C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1）植被分类</w:t>
            </w:r>
          </w:p>
          <w:p w14:paraId="4F4F0403">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以《云南植被》采用的分类系统为主，参照《中国植被》、《云南森林》等重要植被专著采用的分类系统，并遵循群落学一生态学的分类原则，对本工程评价区植被进行区划。本工程评价植被区划属于：</w:t>
            </w:r>
          </w:p>
          <w:p w14:paraId="0ACA1BE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Ⅱ亚热带常绿阔叶林区域——IIA 西部</w:t>
            </w:r>
            <w:r>
              <w:rPr>
                <w:rFonts w:hint="eastAsia"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半湿润</w:t>
            </w:r>
            <w:r>
              <w:rPr>
                <w:rFonts w:hint="eastAsia"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常绿阔叶林亚区域——IIAii高原亚热带北部常绿阔叶林地带——IIAii-1滇中、滇东高原常绿阔叶林、云南松林区——IIAii-1d 滇东北高原高、中山云南松林羊草草甸亚区。</w:t>
            </w:r>
          </w:p>
          <w:p w14:paraId="0DF7BA11">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根据现场调查，按《云南植被》分类系统，评价区自然植被共有</w:t>
            </w:r>
            <w:r>
              <w:rPr>
                <w:rFonts w:hint="eastAsia" w:cs="Times New Roman"/>
                <w:b w:val="0"/>
                <w:bCs w:val="0"/>
                <w:color w:val="auto"/>
                <w:sz w:val="24"/>
                <w:szCs w:val="24"/>
                <w:highlight w:val="none"/>
                <w:lang w:val="en-US" w:eastAsia="zh-CN"/>
              </w:rPr>
              <w:t>4</w:t>
            </w:r>
            <w:r>
              <w:rPr>
                <w:rFonts w:hint="default" w:ascii="Times New Roman" w:hAnsi="Times New Roman" w:eastAsia="仿宋" w:cs="Times New Roman"/>
                <w:b w:val="0"/>
                <w:bCs w:val="0"/>
                <w:color w:val="auto"/>
                <w:sz w:val="24"/>
                <w:szCs w:val="24"/>
                <w:highlight w:val="none"/>
                <w:lang w:val="en-US" w:eastAsia="zh-CN"/>
              </w:rPr>
              <w:t>个植被型组、4个植被亚型、</w:t>
            </w:r>
            <w:r>
              <w:rPr>
                <w:rFonts w:hint="eastAsia" w:cs="Times New Roman"/>
                <w:b w:val="0"/>
                <w:bCs w:val="0"/>
                <w:color w:val="auto"/>
                <w:sz w:val="24"/>
                <w:szCs w:val="24"/>
                <w:highlight w:val="none"/>
                <w:lang w:val="en-US" w:eastAsia="zh-CN"/>
              </w:rPr>
              <w:t>7</w:t>
            </w:r>
            <w:r>
              <w:rPr>
                <w:rFonts w:hint="default" w:ascii="Times New Roman" w:hAnsi="Times New Roman" w:eastAsia="仿宋" w:cs="Times New Roman"/>
                <w:b w:val="0"/>
                <w:bCs w:val="0"/>
                <w:color w:val="auto"/>
                <w:sz w:val="24"/>
                <w:szCs w:val="24"/>
                <w:highlight w:val="none"/>
                <w:lang w:val="en-US" w:eastAsia="zh-CN"/>
              </w:rPr>
              <w:t>个</w:t>
            </w:r>
            <w:r>
              <w:rPr>
                <w:rFonts w:hint="eastAsia" w:cs="Times New Roman"/>
                <w:b w:val="0"/>
                <w:bCs w:val="0"/>
                <w:color w:val="auto"/>
                <w:sz w:val="24"/>
                <w:szCs w:val="24"/>
                <w:highlight w:val="none"/>
                <w:lang w:val="en-US" w:eastAsia="zh-CN"/>
              </w:rPr>
              <w:t>群系、9个群丛（群落）</w:t>
            </w:r>
            <w:r>
              <w:rPr>
                <w:rFonts w:hint="default" w:ascii="Times New Roman" w:hAnsi="Times New Roman" w:eastAsia="仿宋" w:cs="Times New Roman"/>
                <w:b w:val="0"/>
                <w:bCs w:val="0"/>
                <w:color w:val="auto"/>
                <w:sz w:val="24"/>
                <w:szCs w:val="24"/>
                <w:highlight w:val="none"/>
                <w:lang w:val="en-US" w:eastAsia="zh-CN"/>
              </w:rPr>
              <w:t>。人工植被包括以种植花椒、板栗、核桃为主的经济林以及以旱地、水田为主的农田植被。详见表 3</w:t>
            </w:r>
            <w:r>
              <w:rPr>
                <w:rFonts w:hint="eastAsia" w:cs="Times New Roman"/>
                <w:b w:val="0"/>
                <w:bCs w:val="0"/>
                <w:color w:val="auto"/>
                <w:sz w:val="24"/>
                <w:szCs w:val="24"/>
                <w:highlight w:val="none"/>
                <w:lang w:val="en-US" w:eastAsia="zh-CN"/>
              </w:rPr>
              <w:t>.2</w:t>
            </w:r>
            <w:r>
              <w:rPr>
                <w:rFonts w:hint="default" w:ascii="Times New Roman" w:hAnsi="Times New Roman" w:eastAsia="仿宋"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1</w:t>
            </w:r>
            <w:r>
              <w:rPr>
                <w:rFonts w:hint="default" w:ascii="Times New Roman" w:hAnsi="Times New Roman" w:eastAsia="仿宋" w:cs="Times New Roman"/>
                <w:b w:val="0"/>
                <w:bCs w:val="0"/>
                <w:color w:val="auto"/>
                <w:sz w:val="24"/>
                <w:szCs w:val="24"/>
                <w:highlight w:val="none"/>
                <w:lang w:val="en-US" w:eastAsia="zh-CN"/>
              </w:rPr>
              <w:t>。</w:t>
            </w:r>
          </w:p>
          <w:p w14:paraId="1B7E025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422" w:firstLineChars="20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 3</w:t>
            </w:r>
            <w:r>
              <w:rPr>
                <w:rFonts w:hint="eastAsia" w:cs="Times New Roman"/>
                <w:b/>
                <w:bCs/>
                <w:color w:val="auto"/>
                <w:sz w:val="21"/>
                <w:szCs w:val="21"/>
                <w:highlight w:val="none"/>
                <w:lang w:val="en-US" w:eastAsia="zh-CN"/>
              </w:rPr>
              <w:t>.2</w:t>
            </w:r>
            <w:r>
              <w:rPr>
                <w:rFonts w:hint="default" w:ascii="Times New Roman" w:hAnsi="Times New Roman" w:eastAsia="仿宋"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1</w:t>
            </w:r>
            <w:r>
              <w:rPr>
                <w:rFonts w:hint="default" w:ascii="Times New Roman" w:hAnsi="Times New Roman" w:eastAsia="仿宋" w:cs="Times New Roman"/>
                <w:b/>
                <w:bCs/>
                <w:color w:val="auto"/>
                <w:sz w:val="21"/>
                <w:szCs w:val="21"/>
                <w:highlight w:val="none"/>
                <w:lang w:val="en-US" w:eastAsia="zh-CN"/>
              </w:rPr>
              <w:t xml:space="preserve"> 工程评价区主要植被类型</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571"/>
              <w:gridCol w:w="1676"/>
              <w:gridCol w:w="1492"/>
              <w:gridCol w:w="2434"/>
              <w:gridCol w:w="1112"/>
            </w:tblGrid>
            <w:tr w14:paraId="3047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tcBorders>
                    <w:tl2br w:val="nil"/>
                    <w:tr2bl w:val="nil"/>
                  </w:tcBorders>
                  <w:noWrap w:val="0"/>
                  <w:vAlign w:val="center"/>
                </w:tcPr>
                <w:p w14:paraId="3F8A19D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sz w:val="21"/>
                      <w:szCs w:val="21"/>
                      <w:highlight w:val="none"/>
                      <w:lang w:eastAsia="zh-CN"/>
                    </w:rPr>
                  </w:pPr>
                  <w:r>
                    <w:rPr>
                      <w:rFonts w:hint="eastAsia" w:cs="Times New Roman"/>
                      <w:color w:val="auto"/>
                      <w:spacing w:val="0"/>
                      <w:sz w:val="21"/>
                      <w:szCs w:val="21"/>
                      <w:highlight w:val="none"/>
                      <w:lang w:val="en-US" w:eastAsia="zh-CN"/>
                    </w:rPr>
                    <w:t>起源</w:t>
                  </w:r>
                </w:p>
              </w:tc>
              <w:tc>
                <w:tcPr>
                  <w:tcW w:w="364" w:type="pct"/>
                  <w:tcBorders>
                    <w:tl2br w:val="nil"/>
                    <w:tr2bl w:val="nil"/>
                  </w:tcBorders>
                  <w:noWrap w:val="0"/>
                  <w:vAlign w:val="center"/>
                </w:tcPr>
                <w:p w14:paraId="759063B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植被</w:t>
                  </w:r>
                </w:p>
                <w:p w14:paraId="12C3683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型</w:t>
                  </w:r>
                </w:p>
              </w:tc>
              <w:tc>
                <w:tcPr>
                  <w:tcW w:w="1069" w:type="pct"/>
                  <w:tcBorders>
                    <w:tl2br w:val="nil"/>
                    <w:tr2bl w:val="nil"/>
                  </w:tcBorders>
                  <w:noWrap w:val="0"/>
                  <w:vAlign w:val="center"/>
                </w:tcPr>
                <w:p w14:paraId="47D4B2A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sz w:val="21"/>
                      <w:szCs w:val="21"/>
                      <w:highlight w:val="none"/>
                      <w:lang w:val="en-US" w:eastAsia="zh-CN"/>
                    </w:rPr>
                  </w:pPr>
                  <w:r>
                    <w:rPr>
                      <w:rFonts w:hint="default" w:ascii="Times New Roman" w:hAnsi="Times New Roman" w:eastAsia="仿宋" w:cs="Times New Roman"/>
                      <w:color w:val="auto"/>
                      <w:spacing w:val="0"/>
                      <w:sz w:val="21"/>
                      <w:szCs w:val="21"/>
                      <w:highlight w:val="none"/>
                    </w:rPr>
                    <w:t>植被</w:t>
                  </w:r>
                  <w:r>
                    <w:rPr>
                      <w:rFonts w:hint="eastAsia" w:cs="Times New Roman"/>
                      <w:color w:val="auto"/>
                      <w:spacing w:val="0"/>
                      <w:sz w:val="21"/>
                      <w:szCs w:val="21"/>
                      <w:highlight w:val="none"/>
                      <w:lang w:val="en-US" w:eastAsia="zh-CN"/>
                    </w:rPr>
                    <w:t>亚型</w:t>
                  </w:r>
                </w:p>
              </w:tc>
              <w:tc>
                <w:tcPr>
                  <w:tcW w:w="952" w:type="pct"/>
                  <w:tcBorders>
                    <w:tl2br w:val="nil"/>
                    <w:tr2bl w:val="nil"/>
                  </w:tcBorders>
                  <w:noWrap w:val="0"/>
                  <w:vAlign w:val="center"/>
                </w:tcPr>
                <w:p w14:paraId="6F46E00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sz w:val="21"/>
                      <w:szCs w:val="21"/>
                      <w:highlight w:val="none"/>
                      <w:lang w:eastAsia="zh-CN"/>
                    </w:rPr>
                  </w:pPr>
                  <w:r>
                    <w:rPr>
                      <w:rFonts w:hint="eastAsia" w:cs="Times New Roman"/>
                      <w:color w:val="auto"/>
                      <w:spacing w:val="0"/>
                      <w:sz w:val="21"/>
                      <w:szCs w:val="21"/>
                      <w:highlight w:val="none"/>
                      <w:lang w:val="en-US" w:eastAsia="zh-CN"/>
                    </w:rPr>
                    <w:t>群系</w:t>
                  </w:r>
                </w:p>
              </w:tc>
              <w:tc>
                <w:tcPr>
                  <w:tcW w:w="1553" w:type="pct"/>
                  <w:tcBorders>
                    <w:tl2br w:val="nil"/>
                    <w:tr2bl w:val="nil"/>
                  </w:tcBorders>
                  <w:shd w:val="clear" w:color="auto" w:fill="auto"/>
                  <w:noWrap w:val="0"/>
                  <w:vAlign w:val="center"/>
                </w:tcPr>
                <w:p w14:paraId="4049B3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群从</w:t>
                  </w:r>
                </w:p>
              </w:tc>
              <w:tc>
                <w:tcPr>
                  <w:tcW w:w="709" w:type="pct"/>
                  <w:tcBorders>
                    <w:tl2br w:val="nil"/>
                    <w:tr2bl w:val="nil"/>
                  </w:tcBorders>
                  <w:noWrap w:val="0"/>
                  <w:vAlign w:val="center"/>
                </w:tcPr>
                <w:p w14:paraId="18E196F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主要分布区域</w:t>
                  </w:r>
                </w:p>
              </w:tc>
            </w:tr>
            <w:tr w14:paraId="6AA3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noWrap w:val="0"/>
                  <w:vAlign w:val="center"/>
                </w:tcPr>
                <w:p w14:paraId="0FEAF3A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一般区域</w:t>
                  </w:r>
                </w:p>
              </w:tc>
            </w:tr>
            <w:tr w14:paraId="1289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restart"/>
                  <w:tcBorders>
                    <w:tl2br w:val="nil"/>
                    <w:tr2bl w:val="nil"/>
                  </w:tcBorders>
                  <w:noWrap w:val="0"/>
                  <w:vAlign w:val="center"/>
                </w:tcPr>
                <w:p w14:paraId="4C6E8C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自然</w:t>
                  </w:r>
                </w:p>
                <w:p w14:paraId="1B35DBC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植被</w:t>
                  </w:r>
                </w:p>
              </w:tc>
              <w:tc>
                <w:tcPr>
                  <w:tcW w:w="364" w:type="pct"/>
                  <w:tcBorders>
                    <w:tl2br w:val="nil"/>
                    <w:tr2bl w:val="nil"/>
                  </w:tcBorders>
                  <w:noWrap w:val="0"/>
                  <w:vAlign w:val="center"/>
                </w:tcPr>
                <w:p w14:paraId="4BAFFFE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rPr>
                  </w:pPr>
                  <w:r>
                    <w:rPr>
                      <w:rFonts w:hint="default"/>
                      <w:color w:val="auto"/>
                      <w:sz w:val="21"/>
                      <w:szCs w:val="21"/>
                      <w:highlight w:val="none"/>
                    </w:rPr>
                    <w:t xml:space="preserve">I. </w:t>
                  </w:r>
                  <w:r>
                    <w:rPr>
                      <w:rFonts w:hint="default" w:ascii="Times New Roman" w:hAnsi="Times New Roman" w:eastAsia="仿宋" w:cs="Times New Roman"/>
                      <w:color w:val="auto"/>
                      <w:spacing w:val="0"/>
                      <w:sz w:val="21"/>
                      <w:szCs w:val="21"/>
                      <w:highlight w:val="none"/>
                    </w:rPr>
                    <mc:AlternateContent>
                      <mc:Choice Requires="wps">
                        <w:drawing>
                          <wp:anchor distT="0" distB="0" distL="114300" distR="114300" simplePos="0" relativeHeight="251663360" behindDoc="0" locked="0" layoutInCell="1" allowOverlap="1">
                            <wp:simplePos x="0" y="0"/>
                            <wp:positionH relativeFrom="page">
                              <wp:posOffset>529590</wp:posOffset>
                            </wp:positionH>
                            <wp:positionV relativeFrom="page">
                              <wp:posOffset>356870</wp:posOffset>
                            </wp:positionV>
                            <wp:extent cx="6350" cy="6350"/>
                            <wp:effectExtent l="0" t="0" r="0" b="0"/>
                            <wp:wrapNone/>
                            <wp:docPr id="39" name="任意多边形 8"/>
                            <wp:cNvGraphicFramePr/>
                            <a:graphic xmlns:a="http://schemas.openxmlformats.org/drawingml/2006/main">
                              <a:graphicData uri="http://schemas.microsoft.com/office/word/2010/wordprocessingShape">
                                <wps:wsp>
                                  <wps:cNvSpPr/>
                                  <wps:spPr>
                                    <a:xfrm>
                                      <a:off x="0" y="0"/>
                                      <a:ext cx="6350" cy="6350"/>
                                    </a:xfrm>
                                    <a:custGeom>
                                      <a:avLst/>
                                      <a:gdLst/>
                                      <a:ahLst/>
                                      <a:cxnLst/>
                                      <a:pathLst>
                                        <a:path w="10" h="10">
                                          <a:moveTo>
                                            <a:pt x="0" y="9"/>
                                          </a:moveTo>
                                          <a:lnTo>
                                            <a:pt x="9" y="9"/>
                                          </a:lnTo>
                                          <a:lnTo>
                                            <a:pt x="9" y="0"/>
                                          </a:lnTo>
                                          <a:lnTo>
                                            <a:pt x="0" y="0"/>
                                          </a:lnTo>
                                          <a:lnTo>
                                            <a:pt x="0" y="9"/>
                                          </a:lnTo>
                                          <a:close/>
                                        </a:path>
                                      </a:pathLst>
                                    </a:custGeom>
                                    <a:solidFill>
                                      <a:srgbClr val="000000"/>
                                    </a:solidFill>
                                    <a:ln>
                                      <a:noFill/>
                                    </a:ln>
                                  </wps:spPr>
                                  <wps:bodyPr wrap="square" upright="1"/>
                                </wps:wsp>
                              </a:graphicData>
                            </a:graphic>
                          </wp:anchor>
                        </w:drawing>
                      </mc:Choice>
                      <mc:Fallback>
                        <w:pict>
                          <v:shape id="任意多边形 8" o:spid="_x0000_s1026" o:spt="100" style="position:absolute;left:0pt;margin-left:41.7pt;margin-top:28.1pt;height:0.5pt;width:0.5pt;mso-position-horizontal-relative:page;mso-position-vertical-relative:page;z-index:251663360;mso-width-relative:page;mso-height-relative:page;" fillcolor="#000000" filled="t" stroked="f" coordsize="10,10" o:gfxdata="UEsDBAoAAAAAAIdO4kAAAAAAAAAAAAAAAAAEAAAAZHJzL1BLAwQUAAAACACHTuJAv7E+BdYAAAAH&#10;AQAADwAAAGRycy9kb3ducmV2LnhtbE2OPU/DMBRFdyT+g/WQWBB1EvoRhTgdKjrAAm0YOrrxI4mw&#10;n6PYbdN/z2OC8ehe3XvK9eSsOOMYek8K0lkCAqnxpqdWwWe9fcxBhKjJaOsJFVwxwLq6vSl1YfyF&#10;dnjex1bwCIVCK+hiHAopQ9Oh02HmByTOvvzodGQcW2lGfeFxZ2WWJEvpdE/80OkBNx023/uTU/B2&#10;fdi8vpiD39XpJLf1h33PFqlS93dp8gwi4hT/yvCrz+pQsdPRn8gEYRXkT3NuKlgsMxCc53PmI/Mq&#10;A1mV8r9/9QNQSwMEFAAAAAgAh07iQCgaYXUVAgAAfQQAAA4AAABkcnMvZTJvRG9jLnhtbK1UwW4T&#10;MRC9I/EPlu9kk1ZUbZRND0TlgqBSywc4Xm/Wku0xHieb3Llz54j4CVTB17SIz2DszSYhHNpD97Ae&#10;z8y+mfc83snl2hq2UgE1uJKPBkPOlJNQabco+cfbq1fnnGEUrhIGnCr5RiG/nL58MWn9WJ1AA6ZS&#10;gRGIw3HrS97E6MdFgbJRVuAAvHIUrCFYEWkbFkUVREvo1hQnw+FZ0UKofACpEMk764J8ixieAgh1&#10;raWagVxa5WKHGpQRkShhoz3yae62rpWMH+oaVWSm5MQ05jcVIXue3sV0IsaLIHyj5bYF8ZQWjjhZ&#10;oR0V3UHNRBRsGfR/UFbLAAh1HEiwRUckK0IsRsMjbW4a4VXmQlKj34mOzwcr36+uA9NVyU8vOHPC&#10;0onf3939/vzl4fvXP79+PPz8xs6TSq3HMSXf+Ouw3SGZifK6DjatRIats7KbnbJqHZkk59npa1Jc&#10;UiBbhFDsP5RLjG8VZBCxeoexO5Sqt0TTW3LtetOLmNypcDJZS7NMJZq8JK+FlbqFHI/7vi4SF6q9&#10;jxp3mEUiUJN9Vh/rV5+Rupw8O4TUx/q1y6FWehUeyTmuJQ2g6ppMxHK3O7KEdagWgtHVlTYm0cSw&#10;mL8xga1EmvX8bMn+k2ZcSnaQPuvKJE+Rzrc70WTNodrQXLR0MUqOn5YiKM6WPuhFQ1dolHFTHk1l&#10;bnB7g9LYH+4z7v6vMf0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7E+BdYAAAAHAQAADwAAAAAA&#10;AAABACAAAAAiAAAAZHJzL2Rvd25yZXYueG1sUEsBAhQAFAAAAAgAh07iQCgaYXUVAgAAfQQAAA4A&#10;AAAAAAAAAQAgAAAAJQEAAGRycy9lMm9Eb2MueG1sUEsFBgAAAAAGAAYAWQEAAKwFAAAAAA==&#10;" path="m0,9l9,9,9,0,0,0,0,9xe">
                            <v:fill on="t" focussize="0,0"/>
                            <v:stroke on="f"/>
                            <v:imagedata o:title=""/>
                            <o:lock v:ext="edit" aspectratio="f"/>
                          </v:shape>
                        </w:pict>
                      </mc:Fallback>
                    </mc:AlternateContent>
                  </w:r>
                  <w:r>
                    <w:rPr>
                      <w:rFonts w:hint="default" w:ascii="Times New Roman" w:hAnsi="Times New Roman" w:eastAsia="仿宋" w:cs="Times New Roman"/>
                      <w:color w:val="auto"/>
                      <w:spacing w:val="0"/>
                      <w:sz w:val="21"/>
                      <w:szCs w:val="21"/>
                      <w:highlight w:val="none"/>
                    </w:rPr>
                    <mc:AlternateContent>
                      <mc:Choice Requires="wps">
                        <w:drawing>
                          <wp:anchor distT="0" distB="0" distL="114300" distR="114300" simplePos="0" relativeHeight="251662336" behindDoc="0" locked="0" layoutInCell="1" allowOverlap="1">
                            <wp:simplePos x="0" y="0"/>
                            <wp:positionH relativeFrom="page">
                              <wp:posOffset>529590</wp:posOffset>
                            </wp:positionH>
                            <wp:positionV relativeFrom="page">
                              <wp:posOffset>535305</wp:posOffset>
                            </wp:positionV>
                            <wp:extent cx="6350" cy="6350"/>
                            <wp:effectExtent l="0" t="0" r="0" b="0"/>
                            <wp:wrapNone/>
                            <wp:docPr id="38" name="任意多边形 9"/>
                            <wp:cNvGraphicFramePr/>
                            <a:graphic xmlns:a="http://schemas.openxmlformats.org/drawingml/2006/main">
                              <a:graphicData uri="http://schemas.microsoft.com/office/word/2010/wordprocessingShape">
                                <wps:wsp>
                                  <wps:cNvSpPr/>
                                  <wps:spPr>
                                    <a:xfrm>
                                      <a:off x="0" y="0"/>
                                      <a:ext cx="6350" cy="6350"/>
                                    </a:xfrm>
                                    <a:custGeom>
                                      <a:avLst/>
                                      <a:gdLst/>
                                      <a:ahLst/>
                                      <a:cxnLst/>
                                      <a:pathLst>
                                        <a:path w="10" h="10">
                                          <a:moveTo>
                                            <a:pt x="0" y="9"/>
                                          </a:moveTo>
                                          <a:lnTo>
                                            <a:pt x="9" y="9"/>
                                          </a:lnTo>
                                          <a:lnTo>
                                            <a:pt x="9" y="0"/>
                                          </a:lnTo>
                                          <a:lnTo>
                                            <a:pt x="0" y="0"/>
                                          </a:lnTo>
                                          <a:lnTo>
                                            <a:pt x="0" y="9"/>
                                          </a:lnTo>
                                          <a:close/>
                                        </a:path>
                                      </a:pathLst>
                                    </a:custGeom>
                                    <a:solidFill>
                                      <a:srgbClr val="000000"/>
                                    </a:solidFill>
                                    <a:ln>
                                      <a:noFill/>
                                    </a:ln>
                                  </wps:spPr>
                                  <wps:bodyPr wrap="square" upright="1"/>
                                </wps:wsp>
                              </a:graphicData>
                            </a:graphic>
                          </wp:anchor>
                        </w:drawing>
                      </mc:Choice>
                      <mc:Fallback>
                        <w:pict>
                          <v:shape id="任意多边形 9" o:spid="_x0000_s1026" o:spt="100" style="position:absolute;left:0pt;margin-left:41.7pt;margin-top:42.15pt;height:0.5pt;width:0.5pt;mso-position-horizontal-relative:page;mso-position-vertical-relative:page;z-index:251662336;mso-width-relative:page;mso-height-relative:page;" fillcolor="#000000" filled="t" stroked="f" coordsize="10,10" o:gfxdata="UEsDBAoAAAAAAIdO4kAAAAAAAAAAAAAAAAAEAAAAZHJzL1BLAwQUAAAACACHTuJARZ3IvNUAAAAH&#10;AQAADwAAAGRycy9kb3ducmV2LnhtbE2OMU/DMBSEdyT+g/WQWBB10qQoCnE6VHSABdowMLrxI4mw&#10;n6PYbdN/z2Oi0+l0p7uvWs/OihNOYfCkIF0kIJBabwbqFHw228cCRIiajLaeUMEFA6zr25tKl8af&#10;aYenfewEj1AotYI+xrGUMrQ9Oh0WfkTi7NtPTke2UyfNpM887qxcJsmTdHogfuj1iJse25/90Sl4&#10;uzxsXl/Ml9816Sy3zYd9X65Spe7v0uQZRMQ5/pfhD5/RoWamgz+SCcIqKLKcm6x5BoLzImd/YF1l&#10;IOtKXvPXv1BLAwQUAAAACACHTuJABsyOVhUCAAB9BAAADgAAAGRycy9lMm9Eb2MueG1srVTBbhMx&#10;EL0j8Q+W72STVlR0lU0PROWCoFLLBzheb9aS7TEeJ5vcuXPniPgJVMHXUMRnMPZmkxAO9EAO67Fn&#10;/Gbem3GmVxtr2FoF1OAqPhmNOVNOQq3dsuLv7q6fveAMo3C1MOBUxbcK+dXs6ZNp50t1Bi2YWgVG&#10;IA7Lzle8jdGXRYGyVVbgCLxy5GwgWBFpG5ZFHURH6NYUZ+PxRdFBqH0AqRDpdN47+Q4xPAYQmkZL&#10;NQe5ssrFHjUoIyJRwlZ75LNcbdMoGd82DarITMWJacxfSkL2In2L2VSUyyB8q+WuBPGYEk44WaEd&#10;Jd1DzUUUbBX0X1BWywAITRxJsEVPJCtCLCbjE21uW+FV5kJSo9+Ljv8PVr5Z3wSm64qfU9+dsNTx&#10;H/f3Pz98fPjy6df3rw/fPrPLpFLnsaTgW38TdjskM1HeNMGmlciwTVZ2u1dWbSKTdHhx/pwUl+TI&#10;FiEUh4tyhfGVggwi1q8x9k2pB0u0gyU3bjC9iOk4JU4m62iWKUWbl3RqYa3uIPvjoa7MhXIfvMYd&#10;R11yRkUOUYNvWH1G6mPy7BDS4BvWPoZKGVT4R8xpLmkAVS9QIpaV2pMlrGO1EIyur7UxiSaG5eKl&#10;CWwt0qznX2ocXfkjzLgU7CBd693ppEj97TuarAXUW5qLjh5GxfH9SgTF2coHvWzpCU0yboqjqcwZ&#10;di8ojf3xPuMe/jVm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nci81QAAAAcBAAAPAAAAAAAA&#10;AAEAIAAAACIAAABkcnMvZG93bnJldi54bWxQSwECFAAUAAAACACHTuJABsyOVhUCAAB9BAAADgAA&#10;AAAAAAABACAAAAAkAQAAZHJzL2Uyb0RvYy54bWxQSwUGAAAAAAYABgBZAQAAqwUAAAAA&#10;" path="m0,9l9,9,9,0,0,0,0,9xe">
                            <v:fill on="t" focussize="0,0"/>
                            <v:stroke on="f"/>
                            <v:imagedata o:title=""/>
                            <o:lock v:ext="edit" aspectratio="f"/>
                          </v:shape>
                        </w:pict>
                      </mc:Fallback>
                    </mc:AlternateContent>
                  </w:r>
                  <w:r>
                    <w:rPr>
                      <w:rFonts w:hint="default" w:ascii="Times New Roman" w:hAnsi="Times New Roman" w:eastAsia="仿宋" w:cs="Times New Roman"/>
                      <w:color w:val="auto"/>
                      <w:spacing w:val="0"/>
                      <w:sz w:val="21"/>
                      <w:szCs w:val="21"/>
                      <w:highlight w:val="none"/>
                    </w:rPr>
                    <mc:AlternateContent>
                      <mc:Choice Requires="wps">
                        <w:drawing>
                          <wp:anchor distT="0" distB="0" distL="114300" distR="114300" simplePos="0" relativeHeight="251661312" behindDoc="0" locked="0" layoutInCell="1" allowOverlap="1">
                            <wp:simplePos x="0" y="0"/>
                            <wp:positionH relativeFrom="page">
                              <wp:posOffset>529590</wp:posOffset>
                            </wp:positionH>
                            <wp:positionV relativeFrom="page">
                              <wp:posOffset>715010</wp:posOffset>
                            </wp:positionV>
                            <wp:extent cx="6350" cy="6350"/>
                            <wp:effectExtent l="0" t="0" r="0" b="0"/>
                            <wp:wrapNone/>
                            <wp:docPr id="43" name="任意多边形 10"/>
                            <wp:cNvGraphicFramePr/>
                            <a:graphic xmlns:a="http://schemas.openxmlformats.org/drawingml/2006/main">
                              <a:graphicData uri="http://schemas.microsoft.com/office/word/2010/wordprocessingShape">
                                <wps:wsp>
                                  <wps:cNvSpPr/>
                                  <wps:spPr>
                                    <a:xfrm>
                                      <a:off x="0" y="0"/>
                                      <a:ext cx="6350" cy="6350"/>
                                    </a:xfrm>
                                    <a:custGeom>
                                      <a:avLst/>
                                      <a:gdLst/>
                                      <a:ahLst/>
                                      <a:cxnLst/>
                                      <a:pathLst>
                                        <a:path w="10" h="10">
                                          <a:moveTo>
                                            <a:pt x="0" y="9"/>
                                          </a:moveTo>
                                          <a:lnTo>
                                            <a:pt x="9" y="9"/>
                                          </a:lnTo>
                                          <a:lnTo>
                                            <a:pt x="9" y="0"/>
                                          </a:lnTo>
                                          <a:lnTo>
                                            <a:pt x="0" y="0"/>
                                          </a:lnTo>
                                          <a:lnTo>
                                            <a:pt x="0" y="9"/>
                                          </a:lnTo>
                                          <a:close/>
                                        </a:path>
                                      </a:pathLst>
                                    </a:custGeom>
                                    <a:solidFill>
                                      <a:srgbClr val="000000"/>
                                    </a:solidFill>
                                    <a:ln>
                                      <a:noFill/>
                                    </a:ln>
                                  </wps:spPr>
                                  <wps:bodyPr wrap="square" upright="1"/>
                                </wps:wsp>
                              </a:graphicData>
                            </a:graphic>
                          </wp:anchor>
                        </w:drawing>
                      </mc:Choice>
                      <mc:Fallback>
                        <w:pict>
                          <v:shape id="任意多边形 10" o:spid="_x0000_s1026" o:spt="100" style="position:absolute;left:0pt;margin-left:41.7pt;margin-top:56.3pt;height:0.5pt;width:0.5pt;mso-position-horizontal-relative:page;mso-position-vertical-relative:page;z-index:251661312;mso-width-relative:page;mso-height-relative:page;" fillcolor="#000000" filled="t" stroked="f" coordsize="10,10" o:gfxdata="UEsDBAoAAAAAAIdO4kAAAAAAAAAAAAAAAAAEAAAAZHJzL1BLAwQUAAAACACHTuJAsjOBodcAAAAJ&#10;AQAADwAAAGRycy9kb3ducmV2LnhtbE2PsU7DMBCGdyTewTokFkQdpyWKQpwOFR1ggTYMjG58JBHx&#10;OYrdNn17rhOM992v/74r17MbxAmn0HvSoBYJCKTG255aDZ/19jEHEaIhawZPqOGCAdbV7U1pCuvP&#10;tMPTPraCSygURkMX41hIGZoOnQkLPyLx7ttPzkQep1bayZy53A0yTZJMOtMTX+jMiJsOm5/90Wl4&#10;uzxsXl/sl9/Vapbb+mN4T5+U1vd3KnkGEXGOf2G46rM6VOx08EeyQQwa8uWKk8xVmoHgQL5icLiC&#10;ZQayKuX/D6pfUEsDBBQAAAAIAIdO4kA+6WOuFQIAAH4EAAAOAAAAZHJzL2Uyb0RvYy54bWytVMFu&#10;EzEQvSPxD5bvZJMWKhpl0wNRuSCo1PIBjtebtWR7jMfJJnfu3DkifgJV9Gso4jMYe7NJSA/tgT2s&#10;xzOzb+Y9j3dysbaGrVRADa7ko8GQM+UkVNotSv7x5vLFa84wClcJA06VfKOQX0yfP5u0fqxOoAFT&#10;qcAIxOG49SVvYvTjokDZKCtwAF45CtYQrIi0DYuiCqIldGuKk+HwrGghVD6AVIjknXVBvkUMTwGE&#10;utZSzUAurXKxQw3KiEiUsNEe+TR3W9dKxg91jSoyU3JiGvObipA9T+9iOhHjRRC+0XLbgnhKC0ec&#10;rNCOiu6gZiIKtgz6AZTVMgBCHQcSbNERyYoQi9HwSJvrRniVuZDU6Hei4/+Dle9XV4HpquQvTzlz&#10;wtKJ/7q9/f35y/33r3/uftz//MZGWabW45iyr/1VINHSDslMnNd1sGklNmydpd3spFXryCQ5z05f&#10;keSSAtkihGL/oVxifKsgg4jVO4zdqVS9JZrekmvXm17E5E6Fk8laGmYq0eQleS2s1A3keNz3dZ6O&#10;nGrvo8YdZp1zRk32WX2sX31G6nKyKoTUx/q1y6FWehUeyTmuJQ2g6ppMxHK3O7KEdagWgtHVpTYm&#10;0cSwmL8xga1EGvb8bMn+k2ZcSnaQPuvKJE+xP9FkzaHa0GC0dDNKjp+WIijOlj7oRUN3aJRxUx6N&#10;ZW5we4XS3B/uM+7+tzH9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IzgaHXAAAACQEAAA8AAAAA&#10;AAAAAQAgAAAAIgAAAGRycy9kb3ducmV2LnhtbFBLAQIUABQAAAAIAIdO4kA+6WOuFQIAAH4EAAAO&#10;AAAAAAAAAAEAIAAAACYBAABkcnMvZTJvRG9jLnhtbFBLBQYAAAAABgAGAFkBAACtBQAAAAA=&#10;" path="m0,9l9,9,9,0,0,0,0,9xe">
                            <v:fill on="t" focussize="0,0"/>
                            <v:stroke on="f"/>
                            <v:imagedata o:title=""/>
                            <o:lock v:ext="edit" aspectratio="f"/>
                          </v:shape>
                        </w:pict>
                      </mc:Fallback>
                    </mc:AlternateContent>
                  </w:r>
                  <w:r>
                    <w:rPr>
                      <w:rFonts w:hint="eastAsia" w:cs="Times New Roman"/>
                      <w:color w:val="auto"/>
                      <w:spacing w:val="0"/>
                      <w:sz w:val="21"/>
                      <w:szCs w:val="21"/>
                      <w:highlight w:val="none"/>
                      <w:lang w:val="en-US" w:eastAsia="zh-CN"/>
                    </w:rPr>
                    <w:t>落叶阔叶林</w:t>
                  </w:r>
                </w:p>
              </w:tc>
              <w:tc>
                <w:tcPr>
                  <w:tcW w:w="1069" w:type="pct"/>
                  <w:tcBorders>
                    <w:tl2br w:val="nil"/>
                    <w:tr2bl w:val="nil"/>
                  </w:tcBorders>
                  <w:noWrap w:val="0"/>
                  <w:vAlign w:val="center"/>
                </w:tcPr>
                <w:p w14:paraId="0F130E1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（I）</w:t>
                  </w:r>
                  <w:r>
                    <w:rPr>
                      <w:rFonts w:hint="eastAsia" w:cs="Times New Roman"/>
                      <w:color w:val="auto"/>
                      <w:spacing w:val="0"/>
                      <w:sz w:val="21"/>
                      <w:szCs w:val="21"/>
                      <w:highlight w:val="none"/>
                      <w:lang w:eastAsia="zh-CN"/>
                    </w:rPr>
                    <w:t>桤</w:t>
                  </w:r>
                  <w:r>
                    <w:rPr>
                      <w:rFonts w:hint="eastAsia" w:cs="Times New Roman"/>
                      <w:color w:val="auto"/>
                      <w:spacing w:val="0"/>
                      <w:sz w:val="21"/>
                      <w:szCs w:val="21"/>
                      <w:highlight w:val="none"/>
                      <w:lang w:val="en-US" w:eastAsia="zh-CN"/>
                    </w:rPr>
                    <w:t>木林</w:t>
                  </w:r>
                </w:p>
              </w:tc>
              <w:tc>
                <w:tcPr>
                  <w:tcW w:w="952" w:type="pct"/>
                  <w:tcBorders>
                    <w:tl2br w:val="nil"/>
                    <w:tr2bl w:val="nil"/>
                  </w:tcBorders>
                  <w:noWrap w:val="0"/>
                  <w:vAlign w:val="center"/>
                </w:tcPr>
                <w:p w14:paraId="4DD34C2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一、</w:t>
                  </w:r>
                  <w:r>
                    <w:rPr>
                      <w:rFonts w:hint="eastAsia" w:cs="Times New Roman"/>
                      <w:color w:val="auto"/>
                      <w:spacing w:val="0"/>
                      <w:sz w:val="21"/>
                      <w:szCs w:val="21"/>
                      <w:highlight w:val="none"/>
                      <w:lang w:val="en-US" w:eastAsia="zh-CN"/>
                    </w:rPr>
                    <w:t>旱冬瓜林</w:t>
                  </w:r>
                </w:p>
              </w:tc>
              <w:tc>
                <w:tcPr>
                  <w:tcW w:w="1553" w:type="pct"/>
                  <w:tcBorders>
                    <w:tl2br w:val="nil"/>
                    <w:tr2bl w:val="nil"/>
                  </w:tcBorders>
                  <w:shd w:val="clear" w:color="auto" w:fill="auto"/>
                  <w:noWrap w:val="0"/>
                  <w:vAlign w:val="center"/>
                </w:tcPr>
                <w:p w14:paraId="06404F3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1、旱冬瓜群落</w:t>
                  </w:r>
                </w:p>
              </w:tc>
              <w:tc>
                <w:tcPr>
                  <w:tcW w:w="709" w:type="pct"/>
                  <w:tcBorders>
                    <w:tl2br w:val="nil"/>
                    <w:tr2bl w:val="nil"/>
                  </w:tcBorders>
                  <w:noWrap w:val="0"/>
                  <w:vAlign w:val="center"/>
                </w:tcPr>
                <w:p w14:paraId="5204EFD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5FF9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7593A05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restart"/>
                  <w:tcBorders>
                    <w:tl2br w:val="nil"/>
                    <w:tr2bl w:val="nil"/>
                  </w:tcBorders>
                  <w:noWrap w:val="0"/>
                  <w:vAlign w:val="center"/>
                </w:tcPr>
                <w:p w14:paraId="0114DE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II. 暖性针叶林</w:t>
                  </w:r>
                </w:p>
              </w:tc>
              <w:tc>
                <w:tcPr>
                  <w:tcW w:w="1069" w:type="pct"/>
                  <w:vMerge w:val="restart"/>
                  <w:tcBorders>
                    <w:tl2br w:val="nil"/>
                    <w:tr2bl w:val="nil"/>
                  </w:tcBorders>
                  <w:noWrap w:val="0"/>
                  <w:vAlign w:val="center"/>
                </w:tcPr>
                <w:p w14:paraId="3D94464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w:t>
                  </w:r>
                  <w:r>
                    <w:rPr>
                      <w:rFonts w:hint="eastAsia"/>
                      <w:color w:val="auto"/>
                      <w:sz w:val="21"/>
                      <w:szCs w:val="21"/>
                      <w:highlight w:val="none"/>
                      <w:lang w:eastAsia="zh-CN"/>
                    </w:rPr>
                    <w:t>Ⅱ</w:t>
                  </w:r>
                  <w:r>
                    <w:rPr>
                      <w:rFonts w:hint="default"/>
                      <w:color w:val="auto"/>
                      <w:sz w:val="21"/>
                      <w:szCs w:val="21"/>
                      <w:highlight w:val="none"/>
                    </w:rPr>
                    <w:t>）</w:t>
                  </w:r>
                  <w:r>
                    <w:rPr>
                      <w:rFonts w:hint="default" w:ascii="Times New Roman" w:hAnsi="Times New Roman" w:eastAsia="仿宋" w:cs="Times New Roman"/>
                      <w:color w:val="auto"/>
                      <w:spacing w:val="0"/>
                      <w:sz w:val="21"/>
                      <w:szCs w:val="21"/>
                      <w:highlight w:val="none"/>
                    </w:rPr>
                    <w:t>暖性针叶林</w:t>
                  </w:r>
                </w:p>
              </w:tc>
              <w:tc>
                <w:tcPr>
                  <w:tcW w:w="952" w:type="pct"/>
                  <w:tcBorders>
                    <w:tl2br w:val="nil"/>
                    <w:tr2bl w:val="nil"/>
                  </w:tcBorders>
                  <w:noWrap w:val="0"/>
                  <w:vAlign w:val="center"/>
                </w:tcPr>
                <w:p w14:paraId="6BE7AC2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二、</w:t>
                  </w:r>
                  <w:r>
                    <w:rPr>
                      <w:rFonts w:hint="eastAsia" w:cs="Times New Roman"/>
                      <w:color w:val="auto"/>
                      <w:spacing w:val="0"/>
                      <w:sz w:val="21"/>
                      <w:szCs w:val="21"/>
                      <w:highlight w:val="none"/>
                      <w:lang w:val="en-US" w:eastAsia="zh-CN"/>
                    </w:rPr>
                    <w:t>云南松林</w:t>
                  </w:r>
                </w:p>
              </w:tc>
              <w:tc>
                <w:tcPr>
                  <w:tcW w:w="1553" w:type="pct"/>
                  <w:tcBorders>
                    <w:tl2br w:val="nil"/>
                    <w:tr2bl w:val="nil"/>
                  </w:tcBorders>
                  <w:shd w:val="clear" w:color="auto" w:fill="auto"/>
                  <w:noWrap w:val="0"/>
                  <w:vAlign w:val="center"/>
                </w:tcPr>
                <w:p w14:paraId="4A8C635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2、云南松群落</w:t>
                  </w:r>
                </w:p>
              </w:tc>
              <w:tc>
                <w:tcPr>
                  <w:tcW w:w="709" w:type="pct"/>
                  <w:tcBorders>
                    <w:tl2br w:val="nil"/>
                    <w:tr2bl w:val="nil"/>
                  </w:tcBorders>
                  <w:noWrap w:val="0"/>
                  <w:vAlign w:val="center"/>
                </w:tcPr>
                <w:p w14:paraId="5750C77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0E76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0" w:type="pct"/>
                  <w:vMerge w:val="continue"/>
                  <w:tcBorders>
                    <w:tl2br w:val="nil"/>
                    <w:tr2bl w:val="nil"/>
                  </w:tcBorders>
                  <w:noWrap w:val="0"/>
                  <w:vAlign w:val="center"/>
                </w:tcPr>
                <w:p w14:paraId="32C3B7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11B4F3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01569D0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952" w:type="pct"/>
                  <w:tcBorders>
                    <w:tl2br w:val="nil"/>
                    <w:tr2bl w:val="nil"/>
                  </w:tcBorders>
                  <w:noWrap w:val="0"/>
                  <w:vAlign w:val="center"/>
                </w:tcPr>
                <w:p w14:paraId="5B5872B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三、</w:t>
                  </w:r>
                  <w:r>
                    <w:rPr>
                      <w:rFonts w:hint="eastAsia" w:cs="Times New Roman"/>
                      <w:color w:val="auto"/>
                      <w:spacing w:val="0"/>
                      <w:sz w:val="21"/>
                      <w:szCs w:val="21"/>
                      <w:highlight w:val="none"/>
                      <w:lang w:val="en-US" w:eastAsia="zh-CN"/>
                    </w:rPr>
                    <w:t>华山松林</w:t>
                  </w:r>
                </w:p>
              </w:tc>
              <w:tc>
                <w:tcPr>
                  <w:tcW w:w="1553" w:type="pct"/>
                  <w:tcBorders>
                    <w:tl2br w:val="nil"/>
                    <w:tr2bl w:val="nil"/>
                  </w:tcBorders>
                  <w:shd w:val="clear" w:color="auto" w:fill="auto"/>
                  <w:noWrap w:val="0"/>
                  <w:vAlign w:val="center"/>
                </w:tcPr>
                <w:p w14:paraId="68835DC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3、华山松群落</w:t>
                  </w:r>
                </w:p>
              </w:tc>
              <w:tc>
                <w:tcPr>
                  <w:tcW w:w="709" w:type="pct"/>
                  <w:tcBorders>
                    <w:tl2br w:val="nil"/>
                    <w:tr2bl w:val="nil"/>
                  </w:tcBorders>
                  <w:noWrap w:val="0"/>
                  <w:vAlign w:val="center"/>
                </w:tcPr>
                <w:p w14:paraId="6BD5125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12F9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0C9B0BF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62DBE70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54B3819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952" w:type="pct"/>
                  <w:tcBorders>
                    <w:tl2br w:val="nil"/>
                    <w:tr2bl w:val="nil"/>
                  </w:tcBorders>
                  <w:noWrap w:val="0"/>
                  <w:vAlign w:val="center"/>
                </w:tcPr>
                <w:p w14:paraId="3903F5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四、</w:t>
                  </w:r>
                  <w:r>
                    <w:rPr>
                      <w:rFonts w:hint="eastAsia" w:cs="Times New Roman"/>
                      <w:color w:val="auto"/>
                      <w:spacing w:val="0"/>
                      <w:sz w:val="21"/>
                      <w:szCs w:val="21"/>
                      <w:highlight w:val="none"/>
                      <w:lang w:val="en-US" w:eastAsia="zh-CN"/>
                    </w:rPr>
                    <w:t>冲天柏林</w:t>
                  </w:r>
                </w:p>
              </w:tc>
              <w:tc>
                <w:tcPr>
                  <w:tcW w:w="1553" w:type="pct"/>
                  <w:tcBorders>
                    <w:tl2br w:val="nil"/>
                    <w:tr2bl w:val="nil"/>
                  </w:tcBorders>
                  <w:shd w:val="clear" w:color="auto" w:fill="auto"/>
                  <w:noWrap w:val="0"/>
                  <w:vAlign w:val="center"/>
                </w:tcPr>
                <w:p w14:paraId="6FC6EA9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4、</w:t>
                  </w:r>
                  <w:r>
                    <w:rPr>
                      <w:rFonts w:hint="eastAsia" w:cs="Times New Roman"/>
                      <w:color w:val="auto"/>
                      <w:spacing w:val="0"/>
                      <w:sz w:val="21"/>
                      <w:szCs w:val="21"/>
                      <w:highlight w:val="none"/>
                      <w:lang w:val="en-US" w:eastAsia="zh-CN"/>
                    </w:rPr>
                    <w:t>冲天</w:t>
                  </w:r>
                  <w:r>
                    <w:rPr>
                      <w:rFonts w:hint="default" w:ascii="Times New Roman" w:hAnsi="Times New Roman" w:eastAsia="仿宋" w:cs="Times New Roman"/>
                      <w:color w:val="auto"/>
                      <w:spacing w:val="0"/>
                      <w:sz w:val="21"/>
                      <w:szCs w:val="21"/>
                      <w:highlight w:val="none"/>
                    </w:rPr>
                    <w:t>柏群落</w:t>
                  </w:r>
                </w:p>
              </w:tc>
              <w:tc>
                <w:tcPr>
                  <w:tcW w:w="709" w:type="pct"/>
                  <w:tcBorders>
                    <w:tl2br w:val="nil"/>
                    <w:tr2bl w:val="nil"/>
                  </w:tcBorders>
                  <w:noWrap w:val="0"/>
                  <w:vAlign w:val="center"/>
                </w:tcPr>
                <w:p w14:paraId="146303D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5B8C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444EA30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395F0FB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517B194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952" w:type="pct"/>
                  <w:tcBorders>
                    <w:tl2br w:val="nil"/>
                    <w:tr2bl w:val="nil"/>
                  </w:tcBorders>
                  <w:noWrap w:val="0"/>
                  <w:vAlign w:val="center"/>
                </w:tcPr>
                <w:p w14:paraId="30E499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五、</w:t>
                  </w:r>
                  <w:r>
                    <w:rPr>
                      <w:rFonts w:hint="eastAsia" w:cs="Times New Roman"/>
                      <w:color w:val="auto"/>
                      <w:spacing w:val="0"/>
                      <w:sz w:val="21"/>
                      <w:szCs w:val="21"/>
                      <w:highlight w:val="none"/>
                      <w:lang w:val="en-US" w:eastAsia="zh-CN"/>
                    </w:rPr>
                    <w:t>云南松林</w:t>
                  </w:r>
                </w:p>
              </w:tc>
              <w:tc>
                <w:tcPr>
                  <w:tcW w:w="1553" w:type="pct"/>
                  <w:tcBorders>
                    <w:tl2br w:val="nil"/>
                    <w:tr2bl w:val="nil"/>
                  </w:tcBorders>
                  <w:shd w:val="clear" w:color="auto" w:fill="auto"/>
                  <w:noWrap w:val="0"/>
                  <w:vAlign w:val="center"/>
                </w:tcPr>
                <w:p w14:paraId="2A7447A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5、云南松、栓皮栎群落</w:t>
                  </w:r>
                </w:p>
              </w:tc>
              <w:tc>
                <w:tcPr>
                  <w:tcW w:w="709" w:type="pct"/>
                  <w:tcBorders>
                    <w:tl2br w:val="nil"/>
                    <w:tr2bl w:val="nil"/>
                  </w:tcBorders>
                  <w:noWrap w:val="0"/>
                  <w:vAlign w:val="center"/>
                </w:tcPr>
                <w:p w14:paraId="4A0F951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218A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16B60C5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tcBorders>
                    <w:tl2br w:val="nil"/>
                    <w:tr2bl w:val="nil"/>
                  </w:tcBorders>
                  <w:noWrap w:val="0"/>
                  <w:vAlign w:val="center"/>
                </w:tcPr>
                <w:p w14:paraId="60B3EFF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rPr>
                  </w:pPr>
                  <w:r>
                    <w:rPr>
                      <w:rFonts w:hint="eastAsia"/>
                      <w:color w:val="auto"/>
                      <w:sz w:val="21"/>
                      <w:szCs w:val="21"/>
                      <w:highlight w:val="none"/>
                    </w:rPr>
                    <w:t>Ⅲ</w:t>
                  </w:r>
                  <w:r>
                    <w:rPr>
                      <w:rFonts w:hint="default"/>
                      <w:color w:val="auto"/>
                      <w:sz w:val="21"/>
                      <w:szCs w:val="21"/>
                      <w:highlight w:val="none"/>
                    </w:rPr>
                    <w:t xml:space="preserve">. </w:t>
                  </w:r>
                  <w:r>
                    <w:rPr>
                      <w:rFonts w:hint="default" w:ascii="Times New Roman" w:hAnsi="Times New Roman" w:eastAsia="仿宋" w:cs="Times New Roman"/>
                      <w:color w:val="auto"/>
                      <w:spacing w:val="0"/>
                      <w:sz w:val="21"/>
                      <w:szCs w:val="21"/>
                      <w:highlight w:val="none"/>
                    </w:rPr>
                    <mc:AlternateContent>
                      <mc:Choice Requires="wps">
                        <w:drawing>
                          <wp:anchor distT="0" distB="0" distL="114300" distR="114300" simplePos="0" relativeHeight="251666432" behindDoc="0" locked="0" layoutInCell="1" allowOverlap="1">
                            <wp:simplePos x="0" y="0"/>
                            <wp:positionH relativeFrom="page">
                              <wp:posOffset>529590</wp:posOffset>
                            </wp:positionH>
                            <wp:positionV relativeFrom="page">
                              <wp:posOffset>349885</wp:posOffset>
                            </wp:positionV>
                            <wp:extent cx="6350" cy="6350"/>
                            <wp:effectExtent l="0" t="0" r="0" b="0"/>
                            <wp:wrapNone/>
                            <wp:docPr id="42" name="任意多边形 11"/>
                            <wp:cNvGraphicFramePr/>
                            <a:graphic xmlns:a="http://schemas.openxmlformats.org/drawingml/2006/main">
                              <a:graphicData uri="http://schemas.microsoft.com/office/word/2010/wordprocessingShape">
                                <wps:wsp>
                                  <wps:cNvSpPr/>
                                  <wps:spPr>
                                    <a:xfrm>
                                      <a:off x="0" y="0"/>
                                      <a:ext cx="6350" cy="6350"/>
                                    </a:xfrm>
                                    <a:custGeom>
                                      <a:avLst/>
                                      <a:gdLst/>
                                      <a:ahLst/>
                                      <a:cxnLst/>
                                      <a:pathLst>
                                        <a:path w="10" h="10">
                                          <a:moveTo>
                                            <a:pt x="0" y="9"/>
                                          </a:moveTo>
                                          <a:lnTo>
                                            <a:pt x="9" y="9"/>
                                          </a:lnTo>
                                          <a:lnTo>
                                            <a:pt x="9" y="0"/>
                                          </a:lnTo>
                                          <a:lnTo>
                                            <a:pt x="0" y="0"/>
                                          </a:lnTo>
                                          <a:lnTo>
                                            <a:pt x="0" y="9"/>
                                          </a:lnTo>
                                          <a:close/>
                                        </a:path>
                                      </a:pathLst>
                                    </a:custGeom>
                                    <a:solidFill>
                                      <a:srgbClr val="000000"/>
                                    </a:solidFill>
                                    <a:ln>
                                      <a:noFill/>
                                    </a:ln>
                                  </wps:spPr>
                                  <wps:bodyPr wrap="square" upright="1"/>
                                </wps:wsp>
                              </a:graphicData>
                            </a:graphic>
                          </wp:anchor>
                        </w:drawing>
                      </mc:Choice>
                      <mc:Fallback>
                        <w:pict>
                          <v:shape id="任意多边形 11" o:spid="_x0000_s1026" o:spt="100" style="position:absolute;left:0pt;margin-left:41.7pt;margin-top:27.55pt;height:0.5pt;width:0.5pt;mso-position-horizontal-relative:page;mso-position-vertical-relative:page;z-index:251666432;mso-width-relative:page;mso-height-relative:page;" fillcolor="#000000" filled="t" stroked="f" coordsize="10,10" o:gfxdata="UEsDBAoAAAAAAIdO4kAAAAAAAAAAAAAAAAAEAAAAZHJzL1BLAwQUAAAACACHTuJAt0k8LNYAAAAH&#10;AQAADwAAAGRycy9kb3ducmV2LnhtbE2OsU7DMBRFdyT+wXpILIg6Lk0VhTgdKjrAAm0YGN34NYka&#10;P0ex26Z/z2Oi49G9uvcUq8n14oxj6DxpULMEBFLtbUeNhu9q85yBCNGQNb0n1HDFAKvy/q4wufUX&#10;2uJ5FxvBIxRyo6GNccilDHWLzoSZH5A4O/jRmcg4NtKO5sLjrpfzJFlKZzrih9YMuG6xPu5OTsPH&#10;9Wn9/mZ//LZSk9xUX/3nPFVaPz6o5BVExCn+l+FPn9WhZKe9P5ENoteQvSy4qSFNFQjOswXznnmp&#10;QJaFvPUvfwFQSwMEFAAAAAgAh07iQF+aVzAVAgAAfgQAAA4AAABkcnMvZTJvRG9jLnhtbK1UwW4T&#10;MRC9I/EPlu9kkwAVjbLpgahcEFRq+QDH681asj3G42STO3fuHBE/gSr4Gor4DMbebJKmB3ogh/V4&#10;Zvxm3vM404uNNWytAmpwJR8NhpwpJ6HSblnyDzeXz15xhlG4ShhwquRbhfxi9vTJtPUTNYYGTKUC&#10;IxCHk9aXvInRT4oCZaOswAF45ShYQ7Ai0jYsiyqIltCtKcbD4VnRQqh8AKkQyTvvgnyHGB4DCHWt&#10;pZqDXFnlYocalBGRKGGjPfJZ7raulYzv6xpVZKbkxDTmLxUhe5G+xWwqJssgfKPlrgXxmBZOOFmh&#10;HRXdQ81FFGwV9AMoq2UAhDoOJNiiI5IVIRaj4Yk2143wKnMhqdHvRcf/Byvfra8C01XJX4w5c8LS&#10;jf+6vf396fPdty9/fn6/+/GVjUZJptbjhLKv/VXY7ZDMxHlTB5tWYsM2WdrtXlq1iUyS8+z5S5Jc&#10;UiBbhFAcDsoVxjcKMohYv8XY3UrVW6LpLblxvelFTO5UOJmspWGmEk1ektfCWt1AjsdDX+eJC9U+&#10;RI07zjrnjJrss/pYv/qM1OXk4SGkPtavXQ610qvwj5zTWtIAqq7JRCx3uydLWMdqIRhdXWpjEk0M&#10;y8VrE9hapGHPvx3Ze2nGpWQH6VhXJnmKdL/djSZrAdWWBqOll1Fy/LgSQXG28kEvG3pDeSDyCRrL&#10;3ODuCaW5P95n3MPfxuw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0k8LNYAAAAHAQAADwAAAAAA&#10;AAABACAAAAAiAAAAZHJzL2Rvd25yZXYueG1sUEsBAhQAFAAAAAgAh07iQF+aVzAVAgAAfgQAAA4A&#10;AAAAAAAAAQAgAAAAJQEAAGRycy9lMm9Eb2MueG1sUEsFBgAAAAAGAAYAWQEAAKwFAAAAAA==&#10;" path="m0,9l9,9,9,0,0,0,0,9xe">
                            <v:fill on="t" focussize="0,0"/>
                            <v:stroke on="f"/>
                            <v:imagedata o:title=""/>
                            <o:lock v:ext="edit" aspectratio="f"/>
                          </v:shape>
                        </w:pict>
                      </mc:Fallback>
                    </mc:AlternateContent>
                  </w:r>
                  <w:r>
                    <w:rPr>
                      <w:rFonts w:hint="default" w:ascii="Times New Roman" w:hAnsi="Times New Roman" w:eastAsia="仿宋" w:cs="Times New Roman"/>
                      <w:color w:val="auto"/>
                      <w:spacing w:val="0"/>
                      <w:sz w:val="21"/>
                      <w:szCs w:val="21"/>
                      <w:highlight w:val="none"/>
                    </w:rPr>
                    <mc:AlternateContent>
                      <mc:Choice Requires="wps">
                        <w:drawing>
                          <wp:anchor distT="0" distB="0" distL="114300" distR="114300" simplePos="0" relativeHeight="251664384" behindDoc="0" locked="0" layoutInCell="1" allowOverlap="1">
                            <wp:simplePos x="0" y="0"/>
                            <wp:positionH relativeFrom="page">
                              <wp:posOffset>529590</wp:posOffset>
                            </wp:positionH>
                            <wp:positionV relativeFrom="page">
                              <wp:posOffset>548005</wp:posOffset>
                            </wp:positionV>
                            <wp:extent cx="6350" cy="6350"/>
                            <wp:effectExtent l="0" t="0" r="0" b="0"/>
                            <wp:wrapNone/>
                            <wp:docPr id="37" name="任意多边形 12"/>
                            <wp:cNvGraphicFramePr/>
                            <a:graphic xmlns:a="http://schemas.openxmlformats.org/drawingml/2006/main">
                              <a:graphicData uri="http://schemas.microsoft.com/office/word/2010/wordprocessingShape">
                                <wps:wsp>
                                  <wps:cNvSpPr/>
                                  <wps:spPr>
                                    <a:xfrm>
                                      <a:off x="0" y="0"/>
                                      <a:ext cx="6350" cy="6350"/>
                                    </a:xfrm>
                                    <a:custGeom>
                                      <a:avLst/>
                                      <a:gdLst/>
                                      <a:ahLst/>
                                      <a:cxnLst/>
                                      <a:pathLst>
                                        <a:path w="10" h="10">
                                          <a:moveTo>
                                            <a:pt x="0" y="9"/>
                                          </a:moveTo>
                                          <a:lnTo>
                                            <a:pt x="9" y="9"/>
                                          </a:lnTo>
                                          <a:lnTo>
                                            <a:pt x="9" y="0"/>
                                          </a:lnTo>
                                          <a:lnTo>
                                            <a:pt x="0" y="0"/>
                                          </a:lnTo>
                                          <a:lnTo>
                                            <a:pt x="0" y="9"/>
                                          </a:lnTo>
                                          <a:close/>
                                        </a:path>
                                      </a:pathLst>
                                    </a:custGeom>
                                    <a:solidFill>
                                      <a:srgbClr val="000000"/>
                                    </a:solidFill>
                                    <a:ln>
                                      <a:noFill/>
                                    </a:ln>
                                  </wps:spPr>
                                  <wps:bodyPr wrap="square" upright="1"/>
                                </wps:wsp>
                              </a:graphicData>
                            </a:graphic>
                          </wp:anchor>
                        </w:drawing>
                      </mc:Choice>
                      <mc:Fallback>
                        <w:pict>
                          <v:shape id="任意多边形 12" o:spid="_x0000_s1026" o:spt="100" style="position:absolute;left:0pt;margin-left:41.7pt;margin-top:43.15pt;height:0.5pt;width:0.5pt;mso-position-horizontal-relative:page;mso-position-vertical-relative:page;z-index:251664384;mso-width-relative:page;mso-height-relative:page;" fillcolor="#000000" filled="t" stroked="f" coordsize="10,10" o:gfxdata="UEsDBAoAAAAAAIdO4kAAAAAAAAAAAAAAAAAEAAAAZHJzL1BLAwQUAAAACACHTuJAokSWh9YAAAAH&#10;AQAADwAAAGRycy9kb3ducmV2LnhtbE2OMU/DMBSEdyT+g/WQWBB10pQ2CnE6VHSABdowdHTjRxJh&#10;P0ex26b/nscE0+l0p7uvXE/OijOOofekIJ0lIJAab3pqFXzW28ccRIiajLaeUMEVA6yr25tSF8Zf&#10;aIfnfWwFj1AotIIuxqGQMjQdOh1mfkDi7MuPTke2YyvNqC887qycJ8lSOt0TP3R6wE2Hzff+5BS8&#10;XR82ry/m4Hd1Oslt/WHf50+pUvd3afIMIuIU/8rwi8/oUDHT0Z/IBGEV5NmCm6zLDATn+YL9kXWV&#10;gaxK+Z+/+gFQSwMEFAAAAAgAh07iQOUNmEwWAgAAfgQAAA4AAABkcnMvZTJvRG9jLnhtbK1UwY7T&#10;MBC9I/EPlu80bVcsbNV0D1TLBcFKu3yA6ziNJdtjPG7T3rlz54j4CbRiv4ZFfAZjp2lLObAHcojH&#10;M5M3857HmV5urGFrFVCDK/loMORMOQmVdsuSv7+9evaSM4zCVcKAUyXfKuSXs6dPpq2fqDE0YCoV&#10;GIE4nLS+5E2MflIUKBtlBQ7AK0fBGoIVkbZhWVRBtIRuTTEeDs+LFkLlA0iFSN55F+Q7xPAYQKhr&#10;LdUc5MoqFzvUoIyIRAkb7ZHPcrd1rWR8V9eoIjMlJ6Yxv6kI2Yv0LmZTMVkG4Rstdy2Ix7RwwskK&#10;7ajoHmouomCroP+CsloGQKjjQIItOiJZEWIxGp5oc9MIrzIXkhr9XnT8f7Dy7fo6MF2V/OwFZ05Y&#10;OvEfd3c/P356+Pr51/23h+9f2GicZGo9Tij7xl+H3Q7JTJw3dbBpJTZsk6Xd7qVVm8gkOc/PnpPk&#10;kgLZIoTi8KFcYXytIIOI9RuM3alUvSWa3pIb15texOROhZPJWhpmKtHkJXktrNUt5Hg89HWRuFDt&#10;Q9S446wLzqjJPquP9avPSF1OHh5C6mP92uVQK70K/8g5rSUNoOqaTMRyt3uyhHWsFoLR1ZU2JtHE&#10;sFy8MoGtRRr2/OzI/pFmXEp2kD7ryiRPkc63O9FkLaDa0mC0dDNKjh9WIijOVj7oZUN3aJRxUx6N&#10;ZW5wd4XS3B/vM+7htzH7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JElofWAAAABwEAAA8AAAAA&#10;AAAAAQAgAAAAIgAAAGRycy9kb3ducmV2LnhtbFBLAQIUABQAAAAIAIdO4kDlDZhMFgIAAH4EAAAO&#10;AAAAAAAAAAEAIAAAACUBAABkcnMvZTJvRG9jLnhtbFBLBQYAAAAABgAGAFkBAACtBQAAAAA=&#10;" path="m0,9l9,9,9,0,0,0,0,9xe">
                            <v:fill on="t" focussize="0,0"/>
                            <v:stroke on="f"/>
                            <v:imagedata o:title=""/>
                            <o:lock v:ext="edit" aspectratio="f"/>
                          </v:shape>
                        </w:pict>
                      </mc:Fallback>
                    </mc:AlternateContent>
                  </w:r>
                  <w:r>
                    <w:rPr>
                      <w:rFonts w:hint="eastAsia" w:cs="Times New Roman"/>
                      <w:color w:val="auto"/>
                      <w:spacing w:val="0"/>
                      <w:sz w:val="21"/>
                      <w:szCs w:val="21"/>
                      <w:highlight w:val="none"/>
                      <w:lang w:val="en-US" w:eastAsia="zh-CN"/>
                    </w:rPr>
                    <w:t>灌丛</w:t>
                  </w:r>
                </w:p>
              </w:tc>
              <w:tc>
                <w:tcPr>
                  <w:tcW w:w="1069" w:type="pct"/>
                  <w:tcBorders>
                    <w:tl2br w:val="nil"/>
                    <w:tr2bl w:val="nil"/>
                  </w:tcBorders>
                  <w:noWrap w:val="0"/>
                  <w:vAlign w:val="center"/>
                </w:tcPr>
                <w:p w14:paraId="78C98C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w:t>
                  </w:r>
                  <w:r>
                    <w:rPr>
                      <w:rFonts w:hint="eastAsia"/>
                      <w:color w:val="auto"/>
                      <w:sz w:val="21"/>
                      <w:szCs w:val="21"/>
                      <w:highlight w:val="none"/>
                    </w:rPr>
                    <w:t>Ⅲ</w:t>
                  </w:r>
                  <w:r>
                    <w:rPr>
                      <w:rFonts w:hint="default"/>
                      <w:color w:val="auto"/>
                      <w:sz w:val="21"/>
                      <w:szCs w:val="21"/>
                      <w:highlight w:val="none"/>
                    </w:rPr>
                    <w:t>）</w:t>
                  </w:r>
                  <w:r>
                    <w:rPr>
                      <w:rFonts w:hint="eastAsia" w:cs="Times New Roman"/>
                      <w:color w:val="auto"/>
                      <w:spacing w:val="0"/>
                      <w:sz w:val="21"/>
                      <w:szCs w:val="21"/>
                      <w:highlight w:val="none"/>
                      <w:lang w:val="en-US" w:eastAsia="zh-CN"/>
                    </w:rPr>
                    <w:t>干热灌丛</w:t>
                  </w:r>
                </w:p>
              </w:tc>
              <w:tc>
                <w:tcPr>
                  <w:tcW w:w="952" w:type="pct"/>
                  <w:tcBorders>
                    <w:tl2br w:val="nil"/>
                    <w:tr2bl w:val="nil"/>
                  </w:tcBorders>
                  <w:noWrap w:val="0"/>
                  <w:vAlign w:val="center"/>
                </w:tcPr>
                <w:p w14:paraId="1E38977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六、</w:t>
                  </w:r>
                  <w:r>
                    <w:rPr>
                      <w:rFonts w:hint="eastAsia" w:cs="Times New Roman"/>
                      <w:color w:val="auto"/>
                      <w:spacing w:val="0"/>
                      <w:sz w:val="21"/>
                      <w:szCs w:val="21"/>
                      <w:highlight w:val="none"/>
                      <w:lang w:val="en-US" w:eastAsia="zh-CN"/>
                    </w:rPr>
                    <w:t>白刺花灌丛</w:t>
                  </w:r>
                </w:p>
              </w:tc>
              <w:tc>
                <w:tcPr>
                  <w:tcW w:w="1553" w:type="pct"/>
                  <w:tcBorders>
                    <w:tl2br w:val="nil"/>
                    <w:tr2bl w:val="nil"/>
                  </w:tcBorders>
                  <w:shd w:val="clear" w:color="auto" w:fill="auto"/>
                  <w:noWrap w:val="0"/>
                  <w:vAlign w:val="center"/>
                </w:tcPr>
                <w:p w14:paraId="0F6F7BC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6、白刺花</w:t>
                  </w:r>
                  <w:r>
                    <w:rPr>
                      <w:rFonts w:hint="eastAsia" w:cs="Times New Roman"/>
                      <w:color w:val="auto"/>
                      <w:spacing w:val="0"/>
                      <w:sz w:val="21"/>
                      <w:szCs w:val="21"/>
                      <w:highlight w:val="none"/>
                      <w:lang w:eastAsia="zh-CN"/>
                    </w:rPr>
                    <w:t>、</w:t>
                  </w:r>
                  <w:r>
                    <w:rPr>
                      <w:rFonts w:hint="default" w:ascii="Times New Roman" w:hAnsi="Times New Roman" w:eastAsia="仿宋" w:cs="Times New Roman"/>
                      <w:color w:val="auto"/>
                      <w:spacing w:val="0"/>
                      <w:sz w:val="21"/>
                      <w:szCs w:val="21"/>
                      <w:highlight w:val="none"/>
                    </w:rPr>
                    <w:t>火棘群落</w:t>
                  </w:r>
                </w:p>
              </w:tc>
              <w:tc>
                <w:tcPr>
                  <w:tcW w:w="709" w:type="pct"/>
                  <w:tcBorders>
                    <w:tl2br w:val="nil"/>
                    <w:tr2bl w:val="nil"/>
                  </w:tcBorders>
                  <w:noWrap w:val="0"/>
                  <w:vAlign w:val="center"/>
                </w:tcPr>
                <w:p w14:paraId="5A03A1C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2491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3429F0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restart"/>
                  <w:tcBorders>
                    <w:tl2br w:val="nil"/>
                    <w:tr2bl w:val="nil"/>
                  </w:tcBorders>
                  <w:noWrap w:val="0"/>
                  <w:vAlign w:val="center"/>
                </w:tcPr>
                <w:p w14:paraId="7C2A20B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IV. 稀树灌木草丛</w:t>
                  </w:r>
                </w:p>
              </w:tc>
              <w:tc>
                <w:tcPr>
                  <w:tcW w:w="1069" w:type="pct"/>
                  <w:vMerge w:val="restart"/>
                  <w:tcBorders>
                    <w:tl2br w:val="nil"/>
                    <w:tr2bl w:val="nil"/>
                  </w:tcBorders>
                  <w:noWrap w:val="0"/>
                  <w:vAlign w:val="center"/>
                </w:tcPr>
                <w:p w14:paraId="7E7C0D0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w:t>
                  </w:r>
                  <w:r>
                    <w:rPr>
                      <w:rFonts w:hint="eastAsia"/>
                      <w:color w:val="auto"/>
                      <w:sz w:val="21"/>
                      <w:szCs w:val="21"/>
                      <w:highlight w:val="none"/>
                      <w:lang w:eastAsia="zh-CN"/>
                    </w:rPr>
                    <w:t>Ⅳ</w:t>
                  </w:r>
                  <w:r>
                    <w:rPr>
                      <w:rFonts w:hint="default"/>
                      <w:color w:val="auto"/>
                      <w:sz w:val="21"/>
                      <w:szCs w:val="21"/>
                      <w:highlight w:val="none"/>
                    </w:rPr>
                    <w:t>）</w:t>
                  </w:r>
                  <w:r>
                    <w:rPr>
                      <w:rFonts w:hint="eastAsia" w:cs="Times New Roman"/>
                      <w:color w:val="auto"/>
                      <w:spacing w:val="0"/>
                      <w:sz w:val="21"/>
                      <w:szCs w:val="21"/>
                      <w:highlight w:val="none"/>
                      <w:lang w:val="en-US" w:eastAsia="zh-CN"/>
                    </w:rPr>
                    <w:t>暖温性稀树灌木草丛</w:t>
                  </w:r>
                </w:p>
              </w:tc>
              <w:tc>
                <w:tcPr>
                  <w:tcW w:w="952" w:type="pct"/>
                  <w:vMerge w:val="restart"/>
                  <w:tcBorders>
                    <w:tl2br w:val="nil"/>
                    <w:tr2bl w:val="nil"/>
                  </w:tcBorders>
                  <w:noWrap w:val="0"/>
                  <w:vAlign w:val="center"/>
                </w:tcPr>
                <w:p w14:paraId="73D76E6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eastAsia"/>
                      <w:color w:val="auto"/>
                      <w:sz w:val="21"/>
                      <w:szCs w:val="21"/>
                      <w:highlight w:val="none"/>
                      <w:lang w:val="en-US" w:eastAsia="zh-CN"/>
                    </w:rPr>
                    <w:t>七</w:t>
                  </w:r>
                  <w:r>
                    <w:rPr>
                      <w:rFonts w:hint="default"/>
                      <w:color w:val="auto"/>
                      <w:sz w:val="21"/>
                      <w:szCs w:val="21"/>
                      <w:highlight w:val="none"/>
                    </w:rPr>
                    <w:t>、</w:t>
                  </w:r>
                  <w:r>
                    <w:rPr>
                      <w:rFonts w:hint="eastAsia" w:cs="Times New Roman"/>
                      <w:color w:val="auto"/>
                      <w:spacing w:val="0"/>
                      <w:sz w:val="21"/>
                      <w:szCs w:val="21"/>
                      <w:highlight w:val="none"/>
                      <w:lang w:val="en-US" w:eastAsia="zh-CN"/>
                    </w:rPr>
                    <w:t>含云南松、珍珠花的中草草丛</w:t>
                  </w:r>
                </w:p>
              </w:tc>
              <w:tc>
                <w:tcPr>
                  <w:tcW w:w="1553" w:type="pct"/>
                  <w:tcBorders>
                    <w:tl2br w:val="nil"/>
                    <w:tr2bl w:val="nil"/>
                  </w:tcBorders>
                  <w:shd w:val="clear" w:color="auto" w:fill="auto"/>
                  <w:noWrap w:val="0"/>
                  <w:vAlign w:val="center"/>
                </w:tcPr>
                <w:p w14:paraId="060A006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7</w:t>
                  </w:r>
                  <w:r>
                    <w:rPr>
                      <w:rFonts w:hint="default" w:ascii="Times New Roman" w:hAnsi="Times New Roman" w:eastAsia="仿宋" w:cs="Times New Roman"/>
                      <w:color w:val="auto"/>
                      <w:spacing w:val="0"/>
                      <w:sz w:val="21"/>
                      <w:szCs w:val="21"/>
                      <w:highlight w:val="none"/>
                    </w:rPr>
                    <w:t>、黄背草、白草、蔗茅群落</w:t>
                  </w:r>
                </w:p>
              </w:tc>
              <w:tc>
                <w:tcPr>
                  <w:tcW w:w="709" w:type="pct"/>
                  <w:tcBorders>
                    <w:tl2br w:val="nil"/>
                    <w:tr2bl w:val="nil"/>
                  </w:tcBorders>
                  <w:noWrap w:val="0"/>
                  <w:vAlign w:val="center"/>
                </w:tcPr>
                <w:p w14:paraId="19393BF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6E4E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2ABE28D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1CC5D7A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7F1F845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952" w:type="pct"/>
                  <w:vMerge w:val="continue"/>
                  <w:tcBorders>
                    <w:tl2br w:val="nil"/>
                    <w:tr2bl w:val="nil"/>
                  </w:tcBorders>
                  <w:noWrap w:val="0"/>
                  <w:vAlign w:val="center"/>
                </w:tcPr>
                <w:p w14:paraId="33E7394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p>
              </w:tc>
              <w:tc>
                <w:tcPr>
                  <w:tcW w:w="1553" w:type="pct"/>
                  <w:tcBorders>
                    <w:tl2br w:val="nil"/>
                    <w:tr2bl w:val="nil"/>
                  </w:tcBorders>
                  <w:shd w:val="clear" w:color="auto" w:fill="auto"/>
                  <w:noWrap w:val="0"/>
                  <w:vAlign w:val="center"/>
                </w:tcPr>
                <w:p w14:paraId="3D0FD96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8</w:t>
                  </w:r>
                  <w:r>
                    <w:rPr>
                      <w:rFonts w:hint="default" w:ascii="Times New Roman" w:hAnsi="Times New Roman" w:eastAsia="仿宋" w:cs="Times New Roman"/>
                      <w:color w:val="auto"/>
                      <w:spacing w:val="0"/>
                      <w:sz w:val="21"/>
                      <w:szCs w:val="21"/>
                      <w:highlight w:val="none"/>
                    </w:rPr>
                    <w:t>、卷柏群落</w:t>
                  </w:r>
                </w:p>
              </w:tc>
              <w:tc>
                <w:tcPr>
                  <w:tcW w:w="709" w:type="pct"/>
                  <w:tcBorders>
                    <w:tl2br w:val="nil"/>
                    <w:tr2bl w:val="nil"/>
                  </w:tcBorders>
                  <w:noWrap w:val="0"/>
                  <w:vAlign w:val="center"/>
                </w:tcPr>
                <w:p w14:paraId="30CF0FF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37F6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6193E2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761B304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3F272D1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952" w:type="pct"/>
                  <w:vMerge w:val="continue"/>
                  <w:tcBorders>
                    <w:tl2br w:val="nil"/>
                    <w:tr2bl w:val="nil"/>
                  </w:tcBorders>
                  <w:noWrap w:val="0"/>
                  <w:vAlign w:val="center"/>
                </w:tcPr>
                <w:p w14:paraId="5429A3F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553" w:type="pct"/>
                  <w:tcBorders>
                    <w:tl2br w:val="nil"/>
                    <w:tr2bl w:val="nil"/>
                  </w:tcBorders>
                  <w:shd w:val="clear" w:color="auto" w:fill="auto"/>
                  <w:noWrap w:val="0"/>
                  <w:vAlign w:val="center"/>
                </w:tcPr>
                <w:p w14:paraId="327B89D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9</w:t>
                  </w:r>
                  <w:r>
                    <w:rPr>
                      <w:rFonts w:hint="default" w:ascii="Times New Roman" w:hAnsi="Times New Roman" w:eastAsia="仿宋" w:cs="Times New Roman"/>
                      <w:color w:val="auto"/>
                      <w:spacing w:val="0"/>
                      <w:sz w:val="21"/>
                      <w:szCs w:val="21"/>
                      <w:highlight w:val="none"/>
                    </w:rPr>
                    <w:t>、毛蕨菜群落</w:t>
                  </w:r>
                </w:p>
              </w:tc>
              <w:tc>
                <w:tcPr>
                  <w:tcW w:w="709" w:type="pct"/>
                  <w:tcBorders>
                    <w:tl2br w:val="nil"/>
                    <w:tr2bl w:val="nil"/>
                  </w:tcBorders>
                  <w:noWrap w:val="0"/>
                  <w:vAlign w:val="center"/>
                </w:tcPr>
                <w:p w14:paraId="5BC5FA2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零星分布</w:t>
                  </w:r>
                </w:p>
              </w:tc>
            </w:tr>
            <w:tr w14:paraId="068E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350" w:type="pct"/>
                  <w:vMerge w:val="restart"/>
                  <w:tcBorders>
                    <w:tl2br w:val="nil"/>
                    <w:tr2bl w:val="nil"/>
                  </w:tcBorders>
                  <w:noWrap w:val="0"/>
                  <w:vAlign w:val="center"/>
                </w:tcPr>
                <w:p w14:paraId="7DDCD7E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人工</w:t>
                  </w:r>
                </w:p>
                <w:p w14:paraId="3FCDC25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植被</w:t>
                  </w:r>
                </w:p>
              </w:tc>
              <w:tc>
                <w:tcPr>
                  <w:tcW w:w="364" w:type="pct"/>
                  <w:vMerge w:val="restart"/>
                  <w:tcBorders>
                    <w:tl2br w:val="nil"/>
                    <w:tr2bl w:val="nil"/>
                  </w:tcBorders>
                  <w:noWrap w:val="0"/>
                  <w:vAlign w:val="center"/>
                </w:tcPr>
                <w:p w14:paraId="7DB530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 xml:space="preserve">I. </w:t>
                  </w:r>
                  <w:r>
                    <w:rPr>
                      <w:rFonts w:hint="eastAsia" w:cs="Times New Roman"/>
                      <w:color w:val="auto"/>
                      <w:spacing w:val="0"/>
                      <w:sz w:val="21"/>
                      <w:szCs w:val="21"/>
                      <w:highlight w:val="none"/>
                      <w:lang w:val="en-US" w:eastAsia="zh-CN"/>
                    </w:rPr>
                    <w:t>木本经济林</w:t>
                  </w:r>
                </w:p>
              </w:tc>
              <w:tc>
                <w:tcPr>
                  <w:tcW w:w="1069" w:type="pct"/>
                  <w:vMerge w:val="restart"/>
                  <w:tcBorders>
                    <w:tl2br w:val="nil"/>
                    <w:tr2bl w:val="nil"/>
                  </w:tcBorders>
                  <w:noWrap w:val="0"/>
                  <w:vAlign w:val="center"/>
                </w:tcPr>
                <w:p w14:paraId="25BB356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（I）</w:t>
                  </w:r>
                  <w:r>
                    <w:rPr>
                      <w:rFonts w:hint="eastAsia" w:cs="Times New Roman"/>
                      <w:color w:val="auto"/>
                      <w:spacing w:val="0"/>
                      <w:sz w:val="21"/>
                      <w:szCs w:val="21"/>
                      <w:highlight w:val="none"/>
                      <w:lang w:val="en-US" w:eastAsia="zh-CN"/>
                    </w:rPr>
                    <w:t>落叶经济林木</w:t>
                  </w:r>
                </w:p>
              </w:tc>
              <w:tc>
                <w:tcPr>
                  <w:tcW w:w="952" w:type="pct"/>
                  <w:tcBorders>
                    <w:tl2br w:val="nil"/>
                    <w:tr2bl w:val="nil"/>
                  </w:tcBorders>
                  <w:noWrap w:val="0"/>
                  <w:vAlign w:val="center"/>
                </w:tcPr>
                <w:p w14:paraId="5ABC4DB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一、</w:t>
                  </w:r>
                  <w:r>
                    <w:rPr>
                      <w:rFonts w:hint="eastAsia" w:cs="Times New Roman"/>
                      <w:color w:val="auto"/>
                      <w:spacing w:val="0"/>
                      <w:sz w:val="21"/>
                      <w:szCs w:val="21"/>
                      <w:highlight w:val="none"/>
                      <w:lang w:val="en-US" w:eastAsia="zh-CN"/>
                    </w:rPr>
                    <w:t>落叶香料植物</w:t>
                  </w:r>
                </w:p>
              </w:tc>
              <w:tc>
                <w:tcPr>
                  <w:tcW w:w="1553" w:type="pct"/>
                  <w:tcBorders>
                    <w:tl2br w:val="nil"/>
                    <w:tr2bl w:val="nil"/>
                  </w:tcBorders>
                  <w:shd w:val="clear" w:color="auto" w:fill="auto"/>
                  <w:noWrap w:val="0"/>
                  <w:vAlign w:val="center"/>
                </w:tcPr>
                <w:p w14:paraId="1A50D4C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1、</w:t>
                  </w:r>
                  <w:r>
                    <w:rPr>
                      <w:rFonts w:hint="default" w:ascii="Times New Roman" w:hAnsi="Times New Roman" w:eastAsia="仿宋" w:cs="Times New Roman"/>
                      <w:color w:val="auto"/>
                      <w:spacing w:val="0"/>
                      <w:sz w:val="21"/>
                      <w:szCs w:val="21"/>
                      <w:highlight w:val="none"/>
                    </w:rPr>
                    <w:t>花椒</w:t>
                  </w:r>
                </w:p>
              </w:tc>
              <w:tc>
                <w:tcPr>
                  <w:tcW w:w="709" w:type="pct"/>
                  <w:tcBorders>
                    <w:tl2br w:val="nil"/>
                    <w:tr2bl w:val="nil"/>
                  </w:tcBorders>
                  <w:noWrap w:val="0"/>
                  <w:vAlign w:val="center"/>
                </w:tcPr>
                <w:p w14:paraId="17F9400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54EB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 w:hRule="atLeast"/>
                <w:jc w:val="center"/>
              </w:trPr>
              <w:tc>
                <w:tcPr>
                  <w:tcW w:w="350" w:type="pct"/>
                  <w:vMerge w:val="continue"/>
                  <w:tcBorders>
                    <w:tl2br w:val="nil"/>
                    <w:tr2bl w:val="nil"/>
                  </w:tcBorders>
                  <w:noWrap w:val="0"/>
                  <w:vAlign w:val="center"/>
                </w:tcPr>
                <w:p w14:paraId="463F228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35D3F8E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sz w:val="21"/>
                      <w:szCs w:val="21"/>
                      <w:highlight w:val="none"/>
                      <w:lang w:val="en-US" w:eastAsia="zh-CN"/>
                    </w:rPr>
                  </w:pPr>
                </w:p>
              </w:tc>
              <w:tc>
                <w:tcPr>
                  <w:tcW w:w="1069" w:type="pct"/>
                  <w:vMerge w:val="continue"/>
                  <w:tcBorders>
                    <w:tl2br w:val="nil"/>
                    <w:tr2bl w:val="nil"/>
                  </w:tcBorders>
                  <w:noWrap w:val="0"/>
                  <w:vAlign w:val="center"/>
                </w:tcPr>
                <w:p w14:paraId="69B09C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p>
              </w:tc>
              <w:tc>
                <w:tcPr>
                  <w:tcW w:w="952" w:type="pct"/>
                  <w:tcBorders>
                    <w:tl2br w:val="nil"/>
                    <w:tr2bl w:val="nil"/>
                  </w:tcBorders>
                  <w:noWrap w:val="0"/>
                  <w:vAlign w:val="center"/>
                </w:tcPr>
                <w:p w14:paraId="43C9158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二、</w:t>
                  </w:r>
                  <w:r>
                    <w:rPr>
                      <w:rFonts w:hint="eastAsia" w:cs="Times New Roman"/>
                      <w:color w:val="auto"/>
                      <w:spacing w:val="0"/>
                      <w:sz w:val="21"/>
                      <w:szCs w:val="21"/>
                      <w:highlight w:val="none"/>
                      <w:lang w:val="en-US" w:eastAsia="zh-CN"/>
                    </w:rPr>
                    <w:t>落叶果木植物</w:t>
                  </w:r>
                </w:p>
              </w:tc>
              <w:tc>
                <w:tcPr>
                  <w:tcW w:w="1553" w:type="pct"/>
                  <w:tcBorders>
                    <w:tl2br w:val="nil"/>
                    <w:tr2bl w:val="nil"/>
                  </w:tcBorders>
                  <w:shd w:val="clear" w:color="auto" w:fill="auto"/>
                  <w:noWrap w:val="0"/>
                  <w:vAlign w:val="center"/>
                </w:tcPr>
                <w:p w14:paraId="14E461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2、</w:t>
                  </w:r>
                  <w:r>
                    <w:rPr>
                      <w:rFonts w:hint="default" w:ascii="Times New Roman" w:hAnsi="Times New Roman" w:eastAsia="仿宋" w:cs="Times New Roman"/>
                      <w:color w:val="auto"/>
                      <w:spacing w:val="0"/>
                      <w:sz w:val="21"/>
                      <w:szCs w:val="21"/>
                      <w:highlight w:val="none"/>
                    </w:rPr>
                    <w:t>板栗</w:t>
                  </w:r>
                </w:p>
              </w:tc>
              <w:tc>
                <w:tcPr>
                  <w:tcW w:w="709" w:type="pct"/>
                  <w:vMerge w:val="restart"/>
                  <w:tcBorders>
                    <w:tl2br w:val="nil"/>
                    <w:tr2bl w:val="nil"/>
                  </w:tcBorders>
                  <w:noWrap w:val="0"/>
                  <w:vAlign w:val="center"/>
                </w:tcPr>
                <w:p w14:paraId="2C5D0B5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村庄附近</w:t>
                  </w:r>
                </w:p>
              </w:tc>
            </w:tr>
            <w:tr w14:paraId="3A82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 w:hRule="atLeast"/>
                <w:jc w:val="center"/>
              </w:trPr>
              <w:tc>
                <w:tcPr>
                  <w:tcW w:w="350" w:type="pct"/>
                  <w:vMerge w:val="continue"/>
                  <w:tcBorders>
                    <w:tl2br w:val="nil"/>
                    <w:tr2bl w:val="nil"/>
                  </w:tcBorders>
                  <w:noWrap w:val="0"/>
                  <w:vAlign w:val="center"/>
                </w:tcPr>
                <w:p w14:paraId="7775EB3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color w:val="auto"/>
                      <w:sz w:val="21"/>
                      <w:szCs w:val="21"/>
                      <w:highlight w:val="none"/>
                    </w:rPr>
                  </w:pPr>
                </w:p>
              </w:tc>
              <w:tc>
                <w:tcPr>
                  <w:tcW w:w="364" w:type="pct"/>
                  <w:vMerge w:val="continue"/>
                  <w:tcBorders>
                    <w:tl2br w:val="nil"/>
                    <w:tr2bl w:val="nil"/>
                  </w:tcBorders>
                  <w:noWrap w:val="0"/>
                  <w:vAlign w:val="center"/>
                </w:tcPr>
                <w:p w14:paraId="74F4DE9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color w:val="auto"/>
                      <w:sz w:val="21"/>
                      <w:szCs w:val="21"/>
                      <w:highlight w:val="none"/>
                    </w:rPr>
                  </w:pPr>
                </w:p>
              </w:tc>
              <w:tc>
                <w:tcPr>
                  <w:tcW w:w="1069" w:type="pct"/>
                  <w:vMerge w:val="continue"/>
                  <w:tcBorders>
                    <w:tl2br w:val="nil"/>
                    <w:tr2bl w:val="nil"/>
                  </w:tcBorders>
                  <w:noWrap w:val="0"/>
                  <w:vAlign w:val="center"/>
                </w:tcPr>
                <w:p w14:paraId="5909B1E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color w:val="auto"/>
                      <w:sz w:val="21"/>
                      <w:szCs w:val="21"/>
                      <w:highlight w:val="none"/>
                    </w:rPr>
                  </w:pPr>
                </w:p>
              </w:tc>
              <w:tc>
                <w:tcPr>
                  <w:tcW w:w="952" w:type="pct"/>
                  <w:tcBorders>
                    <w:tl2br w:val="nil"/>
                    <w:tr2bl w:val="nil"/>
                  </w:tcBorders>
                  <w:noWrap w:val="0"/>
                  <w:vAlign w:val="center"/>
                </w:tcPr>
                <w:p w14:paraId="16BB652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cs="Times New Roman"/>
                      <w:color w:val="auto"/>
                      <w:spacing w:val="0"/>
                      <w:sz w:val="21"/>
                      <w:szCs w:val="21"/>
                      <w:highlight w:val="none"/>
                      <w:lang w:val="en-US" w:eastAsia="zh-CN"/>
                    </w:rPr>
                  </w:pPr>
                  <w:r>
                    <w:rPr>
                      <w:rFonts w:hint="default"/>
                      <w:color w:val="auto"/>
                      <w:sz w:val="21"/>
                      <w:szCs w:val="21"/>
                      <w:highlight w:val="none"/>
                    </w:rPr>
                    <w:t>三、</w:t>
                  </w:r>
                  <w:r>
                    <w:rPr>
                      <w:rFonts w:hint="eastAsia" w:cs="Times New Roman"/>
                      <w:color w:val="auto"/>
                      <w:spacing w:val="0"/>
                      <w:sz w:val="21"/>
                      <w:szCs w:val="21"/>
                      <w:highlight w:val="none"/>
                      <w:lang w:val="en-US" w:eastAsia="zh-CN"/>
                    </w:rPr>
                    <w:t>落叶油料植物</w:t>
                  </w:r>
                </w:p>
              </w:tc>
              <w:tc>
                <w:tcPr>
                  <w:tcW w:w="1553" w:type="pct"/>
                  <w:tcBorders>
                    <w:tl2br w:val="nil"/>
                    <w:tr2bl w:val="nil"/>
                  </w:tcBorders>
                  <w:shd w:val="clear" w:color="auto" w:fill="auto"/>
                  <w:noWrap w:val="0"/>
                  <w:vAlign w:val="center"/>
                </w:tcPr>
                <w:p w14:paraId="2B48A04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3、</w:t>
                  </w:r>
                  <w:r>
                    <w:rPr>
                      <w:rFonts w:hint="default" w:ascii="Times New Roman" w:hAnsi="Times New Roman" w:eastAsia="仿宋" w:cs="Times New Roman"/>
                      <w:color w:val="auto"/>
                      <w:spacing w:val="0"/>
                      <w:sz w:val="21"/>
                      <w:szCs w:val="21"/>
                      <w:highlight w:val="none"/>
                    </w:rPr>
                    <w:t>核桃</w:t>
                  </w:r>
                </w:p>
              </w:tc>
              <w:tc>
                <w:tcPr>
                  <w:tcW w:w="709" w:type="pct"/>
                  <w:vMerge w:val="continue"/>
                  <w:tcBorders>
                    <w:tl2br w:val="nil"/>
                    <w:tr2bl w:val="nil"/>
                  </w:tcBorders>
                  <w:noWrap w:val="0"/>
                  <w:vAlign w:val="center"/>
                </w:tcPr>
                <w:p w14:paraId="70C956E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cs="Times New Roman"/>
                      <w:color w:val="auto"/>
                      <w:spacing w:val="0"/>
                      <w:sz w:val="21"/>
                      <w:szCs w:val="21"/>
                      <w:highlight w:val="none"/>
                      <w:lang w:val="en-US" w:eastAsia="zh-CN"/>
                    </w:rPr>
                  </w:pPr>
                </w:p>
              </w:tc>
            </w:tr>
            <w:tr w14:paraId="458E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4FA627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restart"/>
                  <w:tcBorders>
                    <w:tl2br w:val="nil"/>
                    <w:tr2bl w:val="nil"/>
                  </w:tcBorders>
                  <w:noWrap w:val="0"/>
                  <w:vAlign w:val="center"/>
                </w:tcPr>
                <w:p w14:paraId="180785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 xml:space="preserve">II. </w:t>
                  </w:r>
                  <w:r>
                    <w:rPr>
                      <w:rFonts w:hint="eastAsia" w:cs="Times New Roman"/>
                      <w:color w:val="auto"/>
                      <w:spacing w:val="0"/>
                      <w:sz w:val="21"/>
                      <w:szCs w:val="21"/>
                      <w:highlight w:val="none"/>
                      <w:lang w:val="en-US" w:eastAsia="zh-CN"/>
                    </w:rPr>
                    <w:t>草本经济作物</w:t>
                  </w:r>
                </w:p>
              </w:tc>
              <w:tc>
                <w:tcPr>
                  <w:tcW w:w="1069" w:type="pct"/>
                  <w:vMerge w:val="restart"/>
                  <w:tcBorders>
                    <w:tl2br w:val="nil"/>
                    <w:tr2bl w:val="nil"/>
                  </w:tcBorders>
                  <w:noWrap w:val="0"/>
                  <w:vAlign w:val="center"/>
                </w:tcPr>
                <w:p w14:paraId="024A10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color w:val="auto"/>
                      <w:sz w:val="21"/>
                      <w:szCs w:val="21"/>
                      <w:highlight w:val="none"/>
                    </w:rPr>
                    <w:t>（I）</w:t>
                  </w:r>
                  <w:r>
                    <w:rPr>
                      <w:rFonts w:hint="eastAsia" w:cs="Times New Roman"/>
                      <w:color w:val="auto"/>
                      <w:spacing w:val="0"/>
                      <w:sz w:val="21"/>
                      <w:szCs w:val="21"/>
                      <w:highlight w:val="none"/>
                      <w:lang w:val="en-US" w:eastAsia="zh-CN"/>
                    </w:rPr>
                    <w:t>中生草本作物</w:t>
                  </w:r>
                </w:p>
              </w:tc>
              <w:tc>
                <w:tcPr>
                  <w:tcW w:w="952" w:type="pct"/>
                  <w:vMerge w:val="restart"/>
                  <w:tcBorders>
                    <w:tl2br w:val="nil"/>
                    <w:tr2bl w:val="nil"/>
                  </w:tcBorders>
                  <w:noWrap w:val="0"/>
                  <w:vAlign w:val="center"/>
                </w:tcPr>
                <w:p w14:paraId="557A6C9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禾类作物</w:t>
                  </w:r>
                </w:p>
              </w:tc>
              <w:tc>
                <w:tcPr>
                  <w:tcW w:w="1553" w:type="pct"/>
                  <w:tcBorders>
                    <w:tl2br w:val="nil"/>
                    <w:tr2bl w:val="nil"/>
                  </w:tcBorders>
                  <w:shd w:val="clear" w:color="auto" w:fill="auto"/>
                  <w:noWrap w:val="0"/>
                  <w:vAlign w:val="center"/>
                </w:tcPr>
                <w:p w14:paraId="2C1F950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4</w:t>
                  </w:r>
                  <w:r>
                    <w:rPr>
                      <w:rFonts w:hint="default" w:ascii="Times New Roman" w:hAnsi="Times New Roman" w:eastAsia="仿宋" w:cs="Times New Roman"/>
                      <w:color w:val="auto"/>
                      <w:spacing w:val="0"/>
                      <w:sz w:val="21"/>
                      <w:szCs w:val="21"/>
                      <w:highlight w:val="none"/>
                    </w:rPr>
                    <w:t>、玉米</w:t>
                  </w:r>
                </w:p>
              </w:tc>
              <w:tc>
                <w:tcPr>
                  <w:tcW w:w="709" w:type="pct"/>
                  <w:tcBorders>
                    <w:tl2br w:val="nil"/>
                    <w:tr2bl w:val="nil"/>
                  </w:tcBorders>
                  <w:noWrap w:val="0"/>
                  <w:vAlign w:val="center"/>
                </w:tcPr>
                <w:p w14:paraId="5D2941B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广泛分布</w:t>
                  </w:r>
                </w:p>
              </w:tc>
            </w:tr>
            <w:tr w14:paraId="15DD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noWrap w:val="0"/>
                  <w:vAlign w:val="center"/>
                </w:tcPr>
                <w:p w14:paraId="2F078A8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364" w:type="pct"/>
                  <w:vMerge w:val="continue"/>
                  <w:tcBorders>
                    <w:tl2br w:val="nil"/>
                    <w:tr2bl w:val="nil"/>
                  </w:tcBorders>
                  <w:noWrap w:val="0"/>
                  <w:vAlign w:val="center"/>
                </w:tcPr>
                <w:p w14:paraId="264B208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0D3BE51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仿宋" w:cs="Times New Roman"/>
                      <w:color w:val="auto"/>
                      <w:spacing w:val="0"/>
                      <w:sz w:val="21"/>
                      <w:szCs w:val="21"/>
                      <w:highlight w:val="none"/>
                      <w:lang w:val="en-US" w:eastAsia="zh-CN"/>
                    </w:rPr>
                  </w:pPr>
                </w:p>
              </w:tc>
              <w:tc>
                <w:tcPr>
                  <w:tcW w:w="952" w:type="pct"/>
                  <w:vMerge w:val="continue"/>
                  <w:tcBorders>
                    <w:tl2br w:val="nil"/>
                    <w:tr2bl w:val="nil"/>
                  </w:tcBorders>
                  <w:noWrap w:val="0"/>
                  <w:vAlign w:val="center"/>
                </w:tcPr>
                <w:p w14:paraId="62BBDC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553" w:type="pct"/>
                  <w:tcBorders>
                    <w:tl2br w:val="nil"/>
                    <w:tr2bl w:val="nil"/>
                  </w:tcBorders>
                  <w:shd w:val="clear" w:color="auto" w:fill="auto"/>
                  <w:noWrap w:val="0"/>
                  <w:vAlign w:val="center"/>
                </w:tcPr>
                <w:p w14:paraId="55C8E47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5</w:t>
                  </w:r>
                  <w:r>
                    <w:rPr>
                      <w:rFonts w:hint="default" w:ascii="Times New Roman" w:hAnsi="Times New Roman" w:eastAsia="仿宋" w:cs="Times New Roman"/>
                      <w:color w:val="auto"/>
                      <w:spacing w:val="0"/>
                      <w:sz w:val="21"/>
                      <w:szCs w:val="21"/>
                      <w:highlight w:val="none"/>
                    </w:rPr>
                    <w:t>、水稻、小麦</w:t>
                  </w:r>
                </w:p>
              </w:tc>
              <w:tc>
                <w:tcPr>
                  <w:tcW w:w="709" w:type="pct"/>
                  <w:tcBorders>
                    <w:tl2br w:val="nil"/>
                    <w:tr2bl w:val="nil"/>
                  </w:tcBorders>
                  <w:noWrap w:val="0"/>
                  <w:vAlign w:val="center"/>
                </w:tcPr>
                <w:p w14:paraId="36281F0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分布于河流两岸</w:t>
                  </w:r>
                </w:p>
              </w:tc>
            </w:tr>
            <w:tr w14:paraId="1BFC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noWrap w:val="0"/>
                  <w:vAlign w:val="center"/>
                </w:tcPr>
                <w:p w14:paraId="244B472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生态保护红线区域</w:t>
                  </w:r>
                </w:p>
              </w:tc>
            </w:tr>
            <w:tr w14:paraId="0E8B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50" w:type="pct"/>
                  <w:vMerge w:val="restart"/>
                  <w:tcBorders>
                    <w:tl2br w:val="nil"/>
                    <w:tr2bl w:val="nil"/>
                  </w:tcBorders>
                  <w:noWrap w:val="0"/>
                  <w:vAlign w:val="center"/>
                </w:tcPr>
                <w:p w14:paraId="0B752B9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自然</w:t>
                  </w:r>
                </w:p>
                <w:p w14:paraId="495AD60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ascii="Times New Roman" w:hAnsi="Times New Roman" w:eastAsia="仿宋" w:cs="Times New Roman"/>
                      <w:color w:val="auto"/>
                      <w:spacing w:val="0"/>
                      <w:sz w:val="21"/>
                      <w:szCs w:val="21"/>
                      <w:highlight w:val="none"/>
                    </w:rPr>
                    <w:t>植被</w:t>
                  </w:r>
                </w:p>
              </w:tc>
              <w:tc>
                <w:tcPr>
                  <w:tcW w:w="364" w:type="pct"/>
                  <w:vMerge w:val="restart"/>
                  <w:tcBorders>
                    <w:tl2br w:val="nil"/>
                    <w:tr2bl w:val="nil"/>
                  </w:tcBorders>
                  <w:noWrap w:val="0"/>
                  <w:vAlign w:val="center"/>
                </w:tcPr>
                <w:p w14:paraId="3636E62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color w:val="auto"/>
                      <w:sz w:val="21"/>
                      <w:szCs w:val="21"/>
                      <w:highlight w:val="none"/>
                    </w:rPr>
                    <w:t>暖性针叶林</w:t>
                  </w:r>
                </w:p>
              </w:tc>
              <w:tc>
                <w:tcPr>
                  <w:tcW w:w="1069" w:type="pct"/>
                  <w:vMerge w:val="restart"/>
                  <w:tcBorders>
                    <w:tl2br w:val="nil"/>
                    <w:tr2bl w:val="nil"/>
                  </w:tcBorders>
                  <w:noWrap w:val="0"/>
                  <w:vAlign w:val="center"/>
                </w:tcPr>
                <w:p w14:paraId="074CE02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暖性针叶林</w:t>
                  </w:r>
                </w:p>
              </w:tc>
              <w:tc>
                <w:tcPr>
                  <w:tcW w:w="952" w:type="pct"/>
                  <w:tcBorders>
                    <w:tl2br w:val="nil"/>
                    <w:tr2bl w:val="nil"/>
                  </w:tcBorders>
                  <w:noWrap w:val="0"/>
                  <w:vAlign w:val="center"/>
                </w:tcPr>
                <w:p w14:paraId="1F83BE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云南松林</w:t>
                  </w:r>
                </w:p>
              </w:tc>
              <w:tc>
                <w:tcPr>
                  <w:tcW w:w="1553" w:type="pct"/>
                  <w:tcBorders>
                    <w:tl2br w:val="nil"/>
                    <w:tr2bl w:val="nil"/>
                  </w:tcBorders>
                  <w:shd w:val="clear" w:color="auto" w:fill="auto"/>
                  <w:noWrap w:val="0"/>
                  <w:vAlign w:val="center"/>
                </w:tcPr>
                <w:p w14:paraId="70F918A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1、</w:t>
                  </w:r>
                  <w:r>
                    <w:rPr>
                      <w:rFonts w:hint="default" w:ascii="Times New Roman" w:hAnsi="Times New Roman" w:eastAsia="仿宋" w:cs="Times New Roman"/>
                      <w:color w:val="auto"/>
                      <w:spacing w:val="0"/>
                      <w:sz w:val="21"/>
                      <w:szCs w:val="21"/>
                      <w:highlight w:val="none"/>
                    </w:rPr>
                    <w:t>云南松群落</w:t>
                  </w:r>
                </w:p>
              </w:tc>
              <w:tc>
                <w:tcPr>
                  <w:tcW w:w="709" w:type="pct"/>
                  <w:vMerge w:val="restart"/>
                  <w:tcBorders>
                    <w:tl2br w:val="nil"/>
                    <w:tr2bl w:val="nil"/>
                  </w:tcBorders>
                  <w:noWrap w:val="0"/>
                  <w:vAlign w:val="center"/>
                </w:tcPr>
                <w:p w14:paraId="706BCCE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生态保护红线</w:t>
                  </w:r>
                  <w:r>
                    <w:rPr>
                      <w:rFonts w:hint="eastAsia" w:ascii="Times New Roman" w:hAnsi="Times New Roman" w:cs="Times New Roman"/>
                      <w:color w:val="auto"/>
                      <w:spacing w:val="0"/>
                      <w:sz w:val="21"/>
                      <w:szCs w:val="21"/>
                      <w:highlight w:val="none"/>
                      <w:lang w:val="en-US" w:eastAsia="zh-CN"/>
                    </w:rPr>
                    <w:t>区域</w:t>
                  </w:r>
                  <w:r>
                    <w:rPr>
                      <w:rFonts w:hint="default" w:ascii="Times New Roman" w:hAnsi="Times New Roman" w:eastAsia="仿宋" w:cs="Times New Roman"/>
                      <w:color w:val="auto"/>
                      <w:spacing w:val="0"/>
                      <w:sz w:val="21"/>
                      <w:szCs w:val="21"/>
                      <w:highlight w:val="none"/>
                    </w:rPr>
                    <w:t>广泛分布</w:t>
                  </w:r>
                </w:p>
              </w:tc>
            </w:tr>
            <w:tr w14:paraId="3DE6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350" w:type="pct"/>
                  <w:vMerge w:val="continue"/>
                  <w:tcBorders>
                    <w:tl2br w:val="nil"/>
                    <w:tr2bl w:val="nil"/>
                  </w:tcBorders>
                  <w:noWrap w:val="0"/>
                  <w:vAlign w:val="center"/>
                </w:tcPr>
                <w:p w14:paraId="3432B2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eastAsia" w:cs="Times New Roman"/>
                      <w:color w:val="auto"/>
                      <w:spacing w:val="0"/>
                      <w:sz w:val="21"/>
                      <w:szCs w:val="21"/>
                      <w:highlight w:val="none"/>
                      <w:lang w:val="en-US" w:eastAsia="zh-CN"/>
                    </w:rPr>
                  </w:pPr>
                </w:p>
              </w:tc>
              <w:tc>
                <w:tcPr>
                  <w:tcW w:w="364" w:type="pct"/>
                  <w:vMerge w:val="continue"/>
                  <w:tcBorders>
                    <w:tl2br w:val="nil"/>
                    <w:tr2bl w:val="nil"/>
                  </w:tcBorders>
                  <w:noWrap w:val="0"/>
                  <w:vAlign w:val="center"/>
                </w:tcPr>
                <w:p w14:paraId="56B0040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1069" w:type="pct"/>
                  <w:vMerge w:val="continue"/>
                  <w:tcBorders>
                    <w:tl2br w:val="nil"/>
                    <w:tr2bl w:val="nil"/>
                  </w:tcBorders>
                  <w:noWrap w:val="0"/>
                  <w:vAlign w:val="center"/>
                </w:tcPr>
                <w:p w14:paraId="5ADCCFF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c>
                <w:tcPr>
                  <w:tcW w:w="952" w:type="pct"/>
                  <w:tcBorders>
                    <w:tl2br w:val="nil"/>
                    <w:tr2bl w:val="nil"/>
                  </w:tcBorders>
                  <w:noWrap w:val="0"/>
                  <w:vAlign w:val="center"/>
                </w:tcPr>
                <w:p w14:paraId="429275A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旱冬瓜林</w:t>
                  </w:r>
                </w:p>
              </w:tc>
              <w:tc>
                <w:tcPr>
                  <w:tcW w:w="1553" w:type="pct"/>
                  <w:tcBorders>
                    <w:tl2br w:val="nil"/>
                    <w:tr2bl w:val="nil"/>
                  </w:tcBorders>
                  <w:shd w:val="clear" w:color="auto" w:fill="auto"/>
                  <w:noWrap w:val="0"/>
                  <w:vAlign w:val="center"/>
                </w:tcPr>
                <w:p w14:paraId="362D57C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2、</w:t>
                  </w:r>
                  <w:r>
                    <w:rPr>
                      <w:rFonts w:hint="default" w:ascii="Times New Roman" w:hAnsi="Times New Roman" w:eastAsia="仿宋" w:cs="Times New Roman"/>
                      <w:color w:val="auto"/>
                      <w:spacing w:val="0"/>
                      <w:sz w:val="21"/>
                      <w:szCs w:val="21"/>
                      <w:highlight w:val="none"/>
                    </w:rPr>
                    <w:t>华山松群落</w:t>
                  </w:r>
                </w:p>
              </w:tc>
              <w:tc>
                <w:tcPr>
                  <w:tcW w:w="709" w:type="pct"/>
                  <w:vMerge w:val="continue"/>
                  <w:tcBorders>
                    <w:tl2br w:val="nil"/>
                    <w:tr2bl w:val="nil"/>
                  </w:tcBorders>
                  <w:noWrap w:val="0"/>
                  <w:vAlign w:val="center"/>
                </w:tcPr>
                <w:p w14:paraId="7A15DD8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sz w:val="21"/>
                      <w:szCs w:val="21"/>
                      <w:highlight w:val="none"/>
                    </w:rPr>
                  </w:pPr>
                </w:p>
              </w:tc>
            </w:tr>
          </w:tbl>
          <w:p w14:paraId="37833CF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2）植被分布面积</w:t>
            </w:r>
          </w:p>
          <w:p w14:paraId="1664730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评价区总面积4281.10hm</w:t>
            </w:r>
            <w:r>
              <w:rPr>
                <w:rFonts w:hint="default" w:ascii="Times New Roman" w:hAnsi="Times New Roman" w:eastAsia="仿宋" w:cs="Times New Roman"/>
                <w:b w:val="0"/>
                <w:bCs w:val="0"/>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lang w:val="en-US" w:eastAsia="zh-CN"/>
              </w:rPr>
              <w:t>，自然植被面积1492.83hm</w:t>
            </w:r>
            <w:r>
              <w:rPr>
                <w:rFonts w:hint="default" w:ascii="Times New Roman" w:hAnsi="Times New Roman" w:eastAsia="仿宋" w:cs="Times New Roman"/>
                <w:b w:val="0"/>
                <w:bCs w:val="0"/>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lang w:val="en-US" w:eastAsia="zh-CN"/>
              </w:rPr>
              <w:t>，占评价区面积的34.87%；人工植被面积1364.48hm</w:t>
            </w:r>
            <w:r>
              <w:rPr>
                <w:rFonts w:hint="default" w:ascii="Times New Roman" w:hAnsi="Times New Roman" w:eastAsia="仿宋" w:cs="Times New Roman"/>
                <w:b w:val="0"/>
                <w:bCs w:val="0"/>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lang w:val="en-US" w:eastAsia="zh-CN"/>
              </w:rPr>
              <w:t>，占评价区面积40.22%；非植被面积为635.36hm</w:t>
            </w:r>
            <w:r>
              <w:rPr>
                <w:rFonts w:hint="default" w:ascii="Times New Roman" w:hAnsi="Times New Roman" w:eastAsia="仿宋" w:cs="Times New Roman"/>
                <w:b w:val="0"/>
                <w:bCs w:val="0"/>
                <w:color w:val="auto"/>
                <w:sz w:val="24"/>
                <w:szCs w:val="24"/>
                <w:highlight w:val="none"/>
                <w:vertAlign w:val="superscript"/>
                <w:lang w:val="en-US" w:eastAsia="zh-CN"/>
              </w:rPr>
              <w:t>2</w:t>
            </w:r>
            <w:r>
              <w:rPr>
                <w:rFonts w:hint="default" w:ascii="Times New Roman" w:hAnsi="Times New Roman" w:eastAsia="仿宋" w:cs="Times New Roman"/>
                <w:b w:val="0"/>
                <w:bCs w:val="0"/>
                <w:color w:val="auto"/>
                <w:sz w:val="24"/>
                <w:szCs w:val="24"/>
                <w:highlight w:val="none"/>
                <w:lang w:val="en-US" w:eastAsia="zh-CN"/>
              </w:rPr>
              <w:t>，占评价区面积24.91%。评价区各类植被类型分布面积见表3</w:t>
            </w:r>
            <w:r>
              <w:rPr>
                <w:rFonts w:hint="eastAsia" w:cs="Times New Roman"/>
                <w:b w:val="0"/>
                <w:bCs w:val="0"/>
                <w:color w:val="auto"/>
                <w:sz w:val="24"/>
                <w:szCs w:val="24"/>
                <w:highlight w:val="none"/>
                <w:lang w:val="en-US" w:eastAsia="zh-CN"/>
              </w:rPr>
              <w:t>.2</w:t>
            </w:r>
            <w:r>
              <w:rPr>
                <w:rFonts w:hint="default" w:ascii="Times New Roman" w:hAnsi="Times New Roman" w:eastAsia="仿宋"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2</w:t>
            </w:r>
            <w:r>
              <w:rPr>
                <w:rFonts w:hint="default" w:ascii="Times New Roman" w:hAnsi="Times New Roman" w:eastAsia="仿宋" w:cs="Times New Roman"/>
                <w:b w:val="0"/>
                <w:bCs w:val="0"/>
                <w:color w:val="auto"/>
                <w:sz w:val="24"/>
                <w:szCs w:val="24"/>
                <w:highlight w:val="none"/>
                <w:lang w:val="en-US" w:eastAsia="zh-CN"/>
              </w:rPr>
              <w:t>~3</w:t>
            </w:r>
            <w:r>
              <w:rPr>
                <w:rFonts w:hint="eastAsia" w:cs="Times New Roman"/>
                <w:b w:val="0"/>
                <w:bCs w:val="0"/>
                <w:color w:val="auto"/>
                <w:sz w:val="24"/>
                <w:szCs w:val="24"/>
                <w:highlight w:val="none"/>
                <w:lang w:val="en-US" w:eastAsia="zh-CN"/>
              </w:rPr>
              <w:t>.2</w:t>
            </w:r>
            <w:r>
              <w:rPr>
                <w:rFonts w:hint="default" w:ascii="Times New Roman" w:hAnsi="Times New Roman" w:eastAsia="仿宋"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3</w:t>
            </w:r>
            <w:r>
              <w:rPr>
                <w:rFonts w:hint="default" w:ascii="Times New Roman" w:hAnsi="Times New Roman" w:eastAsia="仿宋" w:cs="Times New Roman"/>
                <w:b w:val="0"/>
                <w:bCs w:val="0"/>
                <w:color w:val="auto"/>
                <w:sz w:val="24"/>
                <w:szCs w:val="24"/>
                <w:highlight w:val="none"/>
                <w:lang w:val="en-US" w:eastAsia="zh-CN"/>
              </w:rPr>
              <w:t>，植被类型分布图见附图10。</w:t>
            </w:r>
          </w:p>
          <w:p w14:paraId="3AC2169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3.2-2</w:t>
            </w:r>
            <w:r>
              <w:rPr>
                <w:rFonts w:hint="default" w:ascii="Times New Roman" w:hAnsi="Times New Roman" w:eastAsia="仿宋" w:cs="Times New Roman"/>
                <w:b/>
                <w:bCs/>
                <w:color w:val="auto"/>
                <w:sz w:val="21"/>
                <w:szCs w:val="21"/>
                <w:highlight w:val="none"/>
                <w:lang w:val="en-US" w:eastAsia="zh-CN"/>
              </w:rPr>
              <w:t>工程评价范围内植被类型现状及占比情况   单位：hm</w:t>
            </w:r>
            <w:r>
              <w:rPr>
                <w:rFonts w:hint="default" w:ascii="Times New Roman" w:hAnsi="Times New Roman" w:eastAsia="仿宋" w:cs="Times New Roman"/>
                <w:b/>
                <w:bCs/>
                <w:color w:val="auto"/>
                <w:sz w:val="21"/>
                <w:szCs w:val="21"/>
                <w:highlight w:val="none"/>
                <w:vertAlign w:val="superscript"/>
                <w:lang w:val="en-US" w:eastAsia="zh-CN"/>
              </w:rPr>
              <w:t>2</w:t>
            </w:r>
          </w:p>
          <w:tbl>
            <w:tblPr>
              <w:tblStyle w:val="17"/>
              <w:tblW w:w="484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78"/>
              <w:gridCol w:w="1927"/>
              <w:gridCol w:w="2095"/>
            </w:tblGrid>
            <w:tr w14:paraId="26951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jc w:val="center"/>
              </w:trPr>
              <w:tc>
                <w:tcPr>
                  <w:tcW w:w="3579" w:type="dxa"/>
                  <w:noWrap w:val="0"/>
                  <w:vAlign w:val="center"/>
                </w:tcPr>
                <w:p w14:paraId="5A319685">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植被类型</w:t>
                  </w:r>
                </w:p>
              </w:tc>
              <w:tc>
                <w:tcPr>
                  <w:tcW w:w="1928" w:type="dxa"/>
                  <w:noWrap w:val="0"/>
                  <w:vAlign w:val="center"/>
                </w:tcPr>
                <w:p w14:paraId="5AD5134D">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面积</w:t>
                  </w:r>
                </w:p>
              </w:tc>
              <w:tc>
                <w:tcPr>
                  <w:tcW w:w="2096" w:type="dxa"/>
                  <w:noWrap w:val="0"/>
                  <w:vAlign w:val="center"/>
                </w:tcPr>
                <w:p w14:paraId="2364E887">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占比（%）</w:t>
                  </w:r>
                </w:p>
              </w:tc>
            </w:tr>
            <w:tr w14:paraId="7101F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jc w:val="center"/>
              </w:trPr>
              <w:tc>
                <w:tcPr>
                  <w:tcW w:w="3579" w:type="dxa"/>
                  <w:noWrap w:val="0"/>
                  <w:vAlign w:val="center"/>
                </w:tcPr>
                <w:p w14:paraId="6F7174A2">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落叶阔叶林</w:t>
                  </w:r>
                </w:p>
              </w:tc>
              <w:tc>
                <w:tcPr>
                  <w:tcW w:w="1928" w:type="dxa"/>
                  <w:noWrap w:val="0"/>
                  <w:vAlign w:val="center"/>
                </w:tcPr>
                <w:p w14:paraId="175EF289">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27.15</w:t>
                  </w:r>
                </w:p>
              </w:tc>
              <w:tc>
                <w:tcPr>
                  <w:tcW w:w="2096" w:type="dxa"/>
                  <w:noWrap w:val="0"/>
                  <w:vAlign w:val="center"/>
                </w:tcPr>
                <w:p w14:paraId="0DEA7150">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0.63</w:t>
                  </w:r>
                </w:p>
              </w:tc>
            </w:tr>
            <w:tr w14:paraId="465B7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jc w:val="center"/>
              </w:trPr>
              <w:tc>
                <w:tcPr>
                  <w:tcW w:w="3579" w:type="dxa"/>
                  <w:noWrap w:val="0"/>
                  <w:vAlign w:val="center"/>
                </w:tcPr>
                <w:p w14:paraId="3D020F20">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暖性针叶林</w:t>
                  </w:r>
                </w:p>
              </w:tc>
              <w:tc>
                <w:tcPr>
                  <w:tcW w:w="1928" w:type="dxa"/>
                  <w:noWrap w:val="0"/>
                  <w:vAlign w:val="center"/>
                </w:tcPr>
                <w:p w14:paraId="6382ED13">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1252.63</w:t>
                  </w:r>
                </w:p>
              </w:tc>
              <w:tc>
                <w:tcPr>
                  <w:tcW w:w="2096" w:type="dxa"/>
                  <w:noWrap w:val="0"/>
                  <w:vAlign w:val="center"/>
                </w:tcPr>
                <w:p w14:paraId="09DA0645">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29.26</w:t>
                  </w:r>
                </w:p>
              </w:tc>
            </w:tr>
            <w:tr w14:paraId="49E3B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3579" w:type="dxa"/>
                  <w:noWrap w:val="0"/>
                  <w:vAlign w:val="center"/>
                </w:tcPr>
                <w:p w14:paraId="5F69D928">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稀树灌木草丛</w:t>
                  </w:r>
                </w:p>
              </w:tc>
              <w:tc>
                <w:tcPr>
                  <w:tcW w:w="1928" w:type="dxa"/>
                  <w:noWrap w:val="0"/>
                  <w:vAlign w:val="center"/>
                </w:tcPr>
                <w:p w14:paraId="6459013F">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182.38</w:t>
                  </w:r>
                </w:p>
              </w:tc>
              <w:tc>
                <w:tcPr>
                  <w:tcW w:w="2096" w:type="dxa"/>
                  <w:noWrap w:val="0"/>
                  <w:vAlign w:val="center"/>
                </w:tcPr>
                <w:p w14:paraId="1CE2F739">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4.26</w:t>
                  </w:r>
                </w:p>
              </w:tc>
            </w:tr>
            <w:tr w14:paraId="24C6F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3579" w:type="dxa"/>
                  <w:noWrap w:val="0"/>
                  <w:vAlign w:val="center"/>
                </w:tcPr>
                <w:p w14:paraId="3FED2DFC">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灌丛</w:t>
                  </w:r>
                </w:p>
              </w:tc>
              <w:tc>
                <w:tcPr>
                  <w:tcW w:w="1928" w:type="dxa"/>
                  <w:noWrap w:val="0"/>
                  <w:vAlign w:val="center"/>
                </w:tcPr>
                <w:p w14:paraId="00BB3F81">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30.67</w:t>
                  </w:r>
                </w:p>
              </w:tc>
              <w:tc>
                <w:tcPr>
                  <w:tcW w:w="2096" w:type="dxa"/>
                  <w:noWrap w:val="0"/>
                  <w:vAlign w:val="center"/>
                </w:tcPr>
                <w:p w14:paraId="0F0581CD">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0.72</w:t>
                  </w:r>
                </w:p>
              </w:tc>
            </w:tr>
            <w:tr w14:paraId="60055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jc w:val="center"/>
              </w:trPr>
              <w:tc>
                <w:tcPr>
                  <w:tcW w:w="3579" w:type="dxa"/>
                  <w:noWrap w:val="0"/>
                  <w:vAlign w:val="center"/>
                </w:tcPr>
                <w:p w14:paraId="0BDFFC11">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lang w:val="en-US"/>
                    </w:rPr>
                  </w:pPr>
                  <w:r>
                    <w:rPr>
                      <w:rFonts w:hint="eastAsia" w:cs="Times New Roman"/>
                      <w:color w:val="auto"/>
                      <w:spacing w:val="-2"/>
                      <w:sz w:val="21"/>
                      <w:szCs w:val="21"/>
                      <w:highlight w:val="none"/>
                      <w:lang w:val="en-US" w:eastAsia="zh-CN"/>
                    </w:rPr>
                    <w:t>草本经济作物</w:t>
                  </w:r>
                </w:p>
              </w:tc>
              <w:tc>
                <w:tcPr>
                  <w:tcW w:w="1928" w:type="dxa"/>
                  <w:noWrap w:val="0"/>
                  <w:vAlign w:val="center"/>
                </w:tcPr>
                <w:p w14:paraId="03EF56D6">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1714.35</w:t>
                  </w:r>
                </w:p>
              </w:tc>
              <w:tc>
                <w:tcPr>
                  <w:tcW w:w="2096" w:type="dxa"/>
                  <w:noWrap w:val="0"/>
                  <w:vAlign w:val="center"/>
                </w:tcPr>
                <w:p w14:paraId="59B2CDFD">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40.04</w:t>
                  </w:r>
                </w:p>
              </w:tc>
            </w:tr>
            <w:tr w14:paraId="18C87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3579" w:type="dxa"/>
                  <w:noWrap w:val="0"/>
                  <w:vAlign w:val="center"/>
                </w:tcPr>
                <w:p w14:paraId="2491DB8C">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pacing w:val="-3"/>
                      <w:sz w:val="21"/>
                      <w:szCs w:val="21"/>
                      <w:highlight w:val="none"/>
                      <w:lang w:val="en-US" w:eastAsia="zh-CN"/>
                    </w:rPr>
                  </w:pPr>
                  <w:r>
                    <w:rPr>
                      <w:rFonts w:hint="eastAsia" w:cs="Times New Roman"/>
                      <w:color w:val="auto"/>
                      <w:spacing w:val="0"/>
                      <w:sz w:val="21"/>
                      <w:szCs w:val="21"/>
                      <w:highlight w:val="none"/>
                      <w:lang w:val="en-US" w:eastAsia="zh-CN"/>
                    </w:rPr>
                    <w:t>木本经济林</w:t>
                  </w:r>
                </w:p>
              </w:tc>
              <w:tc>
                <w:tcPr>
                  <w:tcW w:w="1928" w:type="dxa"/>
                  <w:noWrap w:val="0"/>
                  <w:vAlign w:val="center"/>
                </w:tcPr>
                <w:p w14:paraId="27147563">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71.83</w:t>
                  </w:r>
                </w:p>
              </w:tc>
              <w:tc>
                <w:tcPr>
                  <w:tcW w:w="2096" w:type="dxa"/>
                  <w:noWrap w:val="0"/>
                  <w:vAlign w:val="center"/>
                </w:tcPr>
                <w:p w14:paraId="01396965">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w:t>
                  </w:r>
                  <w:r>
                    <w:rPr>
                      <w:rFonts w:hint="eastAsia" w:cs="Times New Roman"/>
                      <w:color w:val="auto"/>
                      <w:spacing w:val="-2"/>
                      <w:sz w:val="21"/>
                      <w:szCs w:val="21"/>
                      <w:highlight w:val="none"/>
                      <w:lang w:val="en-US" w:eastAsia="zh-CN"/>
                    </w:rPr>
                    <w:t>68</w:t>
                  </w:r>
                </w:p>
              </w:tc>
            </w:tr>
            <w:tr w14:paraId="1FCDA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3579" w:type="dxa"/>
                  <w:noWrap w:val="0"/>
                  <w:vAlign w:val="center"/>
                </w:tcPr>
                <w:p w14:paraId="785BD9E4">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cs="Times New Roman"/>
                      <w:color w:val="auto"/>
                      <w:spacing w:val="-2"/>
                      <w:sz w:val="21"/>
                      <w:szCs w:val="21"/>
                      <w:highlight w:val="none"/>
                      <w:lang w:val="en-US" w:eastAsia="zh-CN"/>
                    </w:rPr>
                    <w:t>非植被</w:t>
                  </w:r>
                </w:p>
              </w:tc>
              <w:tc>
                <w:tcPr>
                  <w:tcW w:w="1928" w:type="dxa"/>
                  <w:noWrap w:val="0"/>
                  <w:vAlign w:val="center"/>
                </w:tcPr>
                <w:p w14:paraId="3478BDE1">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109.22</w:t>
                  </w:r>
                </w:p>
              </w:tc>
              <w:tc>
                <w:tcPr>
                  <w:tcW w:w="2096" w:type="dxa"/>
                  <w:noWrap w:val="0"/>
                  <w:vAlign w:val="center"/>
                </w:tcPr>
                <w:p w14:paraId="72285B45">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2.56</w:t>
                  </w:r>
                </w:p>
              </w:tc>
            </w:tr>
            <w:tr w14:paraId="3E790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3579" w:type="dxa"/>
                  <w:noWrap w:val="0"/>
                  <w:vAlign w:val="center"/>
                </w:tcPr>
                <w:p w14:paraId="1158C023">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其他</w:t>
                  </w:r>
                </w:p>
              </w:tc>
              <w:tc>
                <w:tcPr>
                  <w:tcW w:w="1928" w:type="dxa"/>
                  <w:noWrap w:val="0"/>
                  <w:vAlign w:val="center"/>
                </w:tcPr>
                <w:p w14:paraId="13E24328">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892.87</w:t>
                  </w:r>
                </w:p>
              </w:tc>
              <w:tc>
                <w:tcPr>
                  <w:tcW w:w="2096" w:type="dxa"/>
                  <w:noWrap w:val="0"/>
                  <w:vAlign w:val="center"/>
                </w:tcPr>
                <w:p w14:paraId="1826276F">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center"/>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20.86</w:t>
                  </w:r>
                </w:p>
              </w:tc>
            </w:tr>
            <w:tr w14:paraId="6BEAF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3579" w:type="dxa"/>
                  <w:noWrap w:val="0"/>
                  <w:vAlign w:val="center"/>
                </w:tcPr>
                <w:p w14:paraId="3A4F26A3">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合计</w:t>
                  </w:r>
                </w:p>
              </w:tc>
              <w:tc>
                <w:tcPr>
                  <w:tcW w:w="1928" w:type="dxa"/>
                  <w:noWrap w:val="0"/>
                  <w:vAlign w:val="center"/>
                </w:tcPr>
                <w:p w14:paraId="56EFF148">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b w:val="0"/>
                      <w:bCs w:val="0"/>
                      <w:color w:val="auto"/>
                      <w:sz w:val="21"/>
                      <w:szCs w:val="21"/>
                      <w:highlight w:val="none"/>
                      <w:lang w:val="en-US" w:eastAsia="zh-CN"/>
                    </w:rPr>
                    <w:t>4281.10</w:t>
                  </w:r>
                </w:p>
              </w:tc>
              <w:tc>
                <w:tcPr>
                  <w:tcW w:w="2096" w:type="dxa"/>
                  <w:noWrap w:val="0"/>
                  <w:vAlign w:val="center"/>
                </w:tcPr>
                <w:p w14:paraId="5155B393">
                  <w:pPr>
                    <w:keepNext w:val="0"/>
                    <w:keepLines w:val="0"/>
                    <w:pageBreakBefore w:val="0"/>
                    <w:kinsoku/>
                    <w:wordWrap/>
                    <w:overflowPunct/>
                    <w:topLinePunct w:val="0"/>
                    <w:autoSpaceDE/>
                    <w:autoSpaceDN/>
                    <w:bidi w:val="0"/>
                    <w:adjustRightInd/>
                    <w:snapToGrid/>
                    <w:spacing w:line="240" w:lineRule="auto"/>
                    <w:ind w:left="0"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pacing w:val="-1"/>
                      <w:sz w:val="21"/>
                      <w:szCs w:val="21"/>
                      <w:highlight w:val="none"/>
                      <w:lang w:val="en-US" w:eastAsia="zh-CN"/>
                    </w:rPr>
                    <w:t>100</w:t>
                  </w:r>
                </w:p>
              </w:tc>
            </w:tr>
          </w:tbl>
          <w:p w14:paraId="542A6F6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3）主要植被分布特性</w:t>
            </w:r>
          </w:p>
          <w:p w14:paraId="75CC8E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①自然植被</w:t>
            </w:r>
          </w:p>
          <w:p w14:paraId="24DCE70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A.落叶阔叶林</w:t>
            </w:r>
          </w:p>
          <w:p w14:paraId="4067BA9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I  旱冬瓜群落</w:t>
            </w:r>
            <w:r>
              <w:rPr>
                <w:rFonts w:hint="eastAsia" w:cs="Times New Roman"/>
                <w:b/>
                <w:color w:val="auto"/>
                <w:sz w:val="24"/>
                <w:szCs w:val="24"/>
                <w:highlight w:val="none"/>
                <w:lang w:eastAsia="zh-CN"/>
              </w:rPr>
              <w:t>（</w:t>
            </w:r>
            <w:r>
              <w:rPr>
                <w:rFonts w:hint="default" w:ascii="Times New Roman" w:hAnsi="Times New Roman" w:eastAsia="仿宋" w:cs="Times New Roman"/>
                <w:b/>
                <w:i/>
                <w:color w:val="auto"/>
                <w:sz w:val="24"/>
                <w:szCs w:val="24"/>
                <w:highlight w:val="none"/>
              </w:rPr>
              <w:t>From</w:t>
            </w:r>
            <w:r>
              <w:rPr>
                <w:rFonts w:hint="default" w:ascii="Times New Roman" w:hAnsi="Times New Roman" w:eastAsia="仿宋" w:cs="Times New Roman"/>
                <w:b/>
                <w:i/>
                <w:color w:val="auto"/>
                <w:spacing w:val="-17"/>
                <w:sz w:val="24"/>
                <w:szCs w:val="24"/>
                <w:highlight w:val="none"/>
              </w:rPr>
              <w:t xml:space="preserve"> </w:t>
            </w:r>
            <w:r>
              <w:rPr>
                <w:rFonts w:hint="default" w:ascii="Times New Roman" w:hAnsi="Times New Roman" w:eastAsia="仿宋" w:cs="Times New Roman"/>
                <w:b/>
                <w:i/>
                <w:color w:val="auto"/>
                <w:sz w:val="24"/>
                <w:szCs w:val="24"/>
                <w:highlight w:val="none"/>
              </w:rPr>
              <w:t>Alnus nepalensis</w:t>
            </w:r>
            <w:r>
              <w:rPr>
                <w:rFonts w:hint="eastAsia" w:cs="Times New Roman"/>
                <w:b/>
                <w:i/>
                <w:color w:val="auto"/>
                <w:sz w:val="24"/>
                <w:szCs w:val="24"/>
                <w:highlight w:val="none"/>
                <w:lang w:eastAsia="zh-CN"/>
              </w:rPr>
              <w:t>）</w:t>
            </w:r>
          </w:p>
          <w:p w14:paraId="2D34CE5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80" w:right="17" w:firstLine="507"/>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在评价区范围内，旱冬瓜林面积不大，多为常绿阔叶林或暖性针叶林被破坏</w:t>
            </w:r>
            <w:r>
              <w:rPr>
                <w:rFonts w:hint="default" w:ascii="Times New Roman" w:hAnsi="Times New Roman" w:eastAsia="仿宋" w:cs="Times New Roman"/>
                <w:color w:val="auto"/>
                <w:spacing w:val="1"/>
                <w:sz w:val="24"/>
                <w:szCs w:val="24"/>
                <w:highlight w:val="none"/>
              </w:rPr>
              <w:t>后形成的次生林，常与针叶林或部分常绿阔叶林树种混生，呈现与其</w:t>
            </w:r>
            <w:r>
              <w:rPr>
                <w:rFonts w:hint="default" w:ascii="Times New Roman" w:hAnsi="Times New Roman" w:eastAsia="仿宋" w:cs="Times New Roman"/>
                <w:color w:val="auto"/>
                <w:sz w:val="24"/>
                <w:szCs w:val="24"/>
                <w:highlight w:val="none"/>
              </w:rPr>
              <w:t>它植被类型</w:t>
            </w:r>
            <w:r>
              <w:rPr>
                <w:rFonts w:hint="default" w:ascii="Times New Roman" w:hAnsi="Times New Roman" w:eastAsia="仿宋" w:cs="Times New Roman"/>
                <w:color w:val="auto"/>
                <w:spacing w:val="1"/>
                <w:sz w:val="24"/>
                <w:szCs w:val="24"/>
                <w:highlight w:val="none"/>
              </w:rPr>
              <w:t>过渡交替状态，其产生及群落组成与人为活动或者所处的小生境密切</w:t>
            </w:r>
            <w:r>
              <w:rPr>
                <w:rFonts w:hint="default" w:ascii="Times New Roman" w:hAnsi="Times New Roman" w:eastAsia="仿宋" w:cs="Times New Roman"/>
                <w:color w:val="auto"/>
                <w:sz w:val="24"/>
                <w:szCs w:val="24"/>
                <w:highlight w:val="none"/>
              </w:rPr>
              <w:t>相关，因而</w:t>
            </w:r>
            <w:r>
              <w:rPr>
                <w:rFonts w:hint="default" w:ascii="Times New Roman" w:hAnsi="Times New Roman" w:eastAsia="仿宋" w:cs="Times New Roman"/>
                <w:color w:val="auto"/>
                <w:spacing w:val="1"/>
                <w:sz w:val="24"/>
                <w:szCs w:val="24"/>
                <w:highlight w:val="none"/>
              </w:rPr>
              <w:t>多分布于人为干扰强烈的村庄周边。群落结构分为乔木层、灌木层和草本</w:t>
            </w:r>
            <w:r>
              <w:rPr>
                <w:rFonts w:hint="default" w:ascii="Times New Roman" w:hAnsi="Times New Roman" w:eastAsia="仿宋" w:cs="Times New Roman"/>
                <w:color w:val="auto"/>
                <w:sz w:val="24"/>
                <w:szCs w:val="24"/>
                <w:highlight w:val="none"/>
              </w:rPr>
              <w:t>层。群</w:t>
            </w:r>
            <w:r>
              <w:rPr>
                <w:rFonts w:hint="default" w:ascii="Times New Roman" w:hAnsi="Times New Roman" w:eastAsia="仿宋" w:cs="Times New Roman"/>
                <w:color w:val="auto"/>
                <w:spacing w:val="-1"/>
                <w:sz w:val="24"/>
                <w:szCs w:val="24"/>
                <w:highlight w:val="none"/>
              </w:rPr>
              <w:t>落高度</w:t>
            </w:r>
            <w:r>
              <w:rPr>
                <w:rFonts w:hint="default" w:ascii="Times New Roman" w:hAnsi="Times New Roman" w:eastAsia="仿宋" w:cs="Times New Roman"/>
                <w:color w:val="auto"/>
                <w:spacing w:val="-23"/>
                <w:sz w:val="24"/>
                <w:szCs w:val="24"/>
                <w:highlight w:val="none"/>
              </w:rPr>
              <w:t xml:space="preserve"> </w:t>
            </w:r>
            <w:r>
              <w:rPr>
                <w:rFonts w:hint="default" w:ascii="Times New Roman" w:hAnsi="Times New Roman" w:eastAsia="仿宋" w:cs="Times New Roman"/>
                <w:color w:val="auto"/>
                <w:spacing w:val="-1"/>
                <w:sz w:val="24"/>
                <w:szCs w:val="24"/>
                <w:highlight w:val="none"/>
              </w:rPr>
              <w:t>8</w:t>
            </w:r>
            <w:r>
              <w:rPr>
                <w:rFonts w:hint="eastAsia"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12m</w:t>
            </w:r>
            <w:r>
              <w:rPr>
                <w:rFonts w:hint="default" w:ascii="Times New Roman" w:hAnsi="Times New Roman" w:eastAsia="仿宋" w:cs="Times New Roman"/>
                <w:color w:val="auto"/>
                <w:spacing w:val="-31"/>
                <w:sz w:val="24"/>
                <w:szCs w:val="24"/>
                <w:highlight w:val="none"/>
              </w:rPr>
              <w:t xml:space="preserve"> </w:t>
            </w:r>
            <w:r>
              <w:rPr>
                <w:rFonts w:hint="default" w:ascii="Times New Roman" w:hAnsi="Times New Roman" w:eastAsia="仿宋" w:cs="Times New Roman"/>
                <w:color w:val="auto"/>
                <w:spacing w:val="-1"/>
                <w:sz w:val="24"/>
                <w:szCs w:val="24"/>
                <w:highlight w:val="none"/>
              </w:rPr>
              <w:t>，群落总盖度</w:t>
            </w:r>
            <w:r>
              <w:rPr>
                <w:rFonts w:hint="default" w:ascii="Times New Roman" w:hAnsi="Times New Roman" w:eastAsia="仿宋" w:cs="Times New Roman"/>
                <w:color w:val="auto"/>
                <w:spacing w:val="-28"/>
                <w:sz w:val="24"/>
                <w:szCs w:val="24"/>
                <w:highlight w:val="none"/>
              </w:rPr>
              <w:t xml:space="preserve"> </w:t>
            </w:r>
            <w:r>
              <w:rPr>
                <w:rFonts w:hint="default" w:ascii="Times New Roman" w:hAnsi="Times New Roman" w:eastAsia="仿宋" w:cs="Times New Roman"/>
                <w:color w:val="auto"/>
                <w:spacing w:val="-1"/>
                <w:sz w:val="24"/>
                <w:szCs w:val="24"/>
                <w:highlight w:val="none"/>
              </w:rPr>
              <w:t>60%。乔</w:t>
            </w:r>
            <w:r>
              <w:rPr>
                <w:rFonts w:hint="default" w:ascii="Times New Roman" w:hAnsi="Times New Roman" w:eastAsia="仿宋" w:cs="Times New Roman"/>
                <w:color w:val="auto"/>
                <w:spacing w:val="-2"/>
                <w:sz w:val="24"/>
                <w:szCs w:val="24"/>
                <w:highlight w:val="none"/>
              </w:rPr>
              <w:t>木层以落叶树种为主，高</w:t>
            </w:r>
            <w:r>
              <w:rPr>
                <w:rFonts w:hint="default" w:ascii="Times New Roman" w:hAnsi="Times New Roman" w:eastAsia="仿宋" w:cs="Times New Roman"/>
                <w:color w:val="auto"/>
                <w:spacing w:val="-23"/>
                <w:sz w:val="24"/>
                <w:szCs w:val="24"/>
                <w:highlight w:val="none"/>
              </w:rPr>
              <w:t xml:space="preserve"> </w:t>
            </w:r>
            <w:r>
              <w:rPr>
                <w:rFonts w:hint="default" w:ascii="Times New Roman" w:hAnsi="Times New Roman" w:eastAsia="仿宋" w:cs="Times New Roman"/>
                <w:color w:val="auto"/>
                <w:spacing w:val="-2"/>
                <w:sz w:val="24"/>
                <w:szCs w:val="24"/>
                <w:highlight w:val="none"/>
              </w:rPr>
              <w:t>8-12mm，层盖度</w:t>
            </w:r>
            <w:r>
              <w:rPr>
                <w:rFonts w:hint="default" w:ascii="Times New Roman" w:hAnsi="Times New Roman" w:eastAsia="仿宋" w:cs="Times New Roman"/>
                <w:color w:val="auto"/>
                <w:spacing w:val="5"/>
                <w:sz w:val="24"/>
                <w:szCs w:val="24"/>
                <w:highlight w:val="none"/>
              </w:rPr>
              <w:t>约为 60%，主要落叶成分旱冬瓜</w:t>
            </w:r>
            <w:r>
              <w:rPr>
                <w:rFonts w:hint="eastAsia" w:cs="Times New Roman"/>
                <w:color w:val="auto"/>
                <w:spacing w:val="5"/>
                <w:sz w:val="24"/>
                <w:szCs w:val="24"/>
                <w:highlight w:val="none"/>
                <w:lang w:eastAsia="zh-CN"/>
              </w:rPr>
              <w:t>（</w:t>
            </w:r>
            <w:r>
              <w:rPr>
                <w:rFonts w:hint="default" w:ascii="Times New Roman" w:hAnsi="Times New Roman" w:eastAsia="仿宋" w:cs="Times New Roman"/>
                <w:i/>
                <w:color w:val="auto"/>
                <w:sz w:val="24"/>
                <w:szCs w:val="24"/>
                <w:highlight w:val="none"/>
              </w:rPr>
              <w:t>Alnus</w:t>
            </w:r>
            <w:r>
              <w:rPr>
                <w:rFonts w:hint="default" w:ascii="Times New Roman" w:hAnsi="Times New Roman" w:eastAsia="仿宋" w:cs="Times New Roman"/>
                <w:i/>
                <w:color w:val="auto"/>
                <w:spacing w:val="44"/>
                <w:sz w:val="24"/>
                <w:szCs w:val="24"/>
                <w:highlight w:val="none"/>
              </w:rPr>
              <w:t xml:space="preserve"> </w:t>
            </w:r>
            <w:r>
              <w:rPr>
                <w:rFonts w:hint="default" w:ascii="Times New Roman" w:hAnsi="Times New Roman" w:eastAsia="仿宋" w:cs="Times New Roman"/>
                <w:i/>
                <w:color w:val="auto"/>
                <w:sz w:val="24"/>
                <w:szCs w:val="24"/>
                <w:highlight w:val="none"/>
              </w:rPr>
              <w:t>nepalensis</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5"/>
                <w:sz w:val="24"/>
                <w:szCs w:val="24"/>
                <w:highlight w:val="none"/>
              </w:rPr>
              <w:t>。其他伴生一些云南松</w:t>
            </w:r>
            <w:r>
              <w:rPr>
                <w:rFonts w:hint="eastAsia" w:cs="Times New Roman"/>
                <w:color w:val="auto"/>
                <w:spacing w:val="5"/>
                <w:sz w:val="24"/>
                <w:szCs w:val="24"/>
                <w:highlight w:val="none"/>
                <w:lang w:eastAsia="zh-CN"/>
              </w:rPr>
              <w:t>（</w:t>
            </w:r>
            <w:r>
              <w:rPr>
                <w:rFonts w:hint="default" w:ascii="Times New Roman" w:hAnsi="Times New Roman" w:eastAsia="仿宋" w:cs="Times New Roman"/>
                <w:i/>
                <w:color w:val="auto"/>
                <w:sz w:val="24"/>
                <w:szCs w:val="24"/>
                <w:highlight w:val="none"/>
              </w:rPr>
              <w:t xml:space="preserve">Pinus </w:t>
            </w:r>
            <w:r>
              <w:rPr>
                <w:rFonts w:hint="default" w:ascii="Times New Roman" w:hAnsi="Times New Roman" w:eastAsia="仿宋" w:cs="Times New Roman"/>
                <w:i/>
                <w:color w:val="auto"/>
                <w:spacing w:val="-5"/>
                <w:sz w:val="24"/>
                <w:szCs w:val="24"/>
                <w:highlight w:val="none"/>
              </w:rPr>
              <w:t>yunnanensis</w:t>
            </w:r>
            <w:r>
              <w:rPr>
                <w:rFonts w:hint="eastAsia" w:cs="Times New Roman"/>
                <w:i/>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、杉木</w:t>
            </w:r>
            <w:r>
              <w:rPr>
                <w:rFonts w:hint="eastAsia"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 xml:space="preserve"> </w:t>
            </w:r>
            <w:r>
              <w:rPr>
                <w:rFonts w:hint="default" w:ascii="Times New Roman" w:hAnsi="Times New Roman" w:eastAsia="仿宋" w:cs="Times New Roman"/>
                <w:i/>
                <w:color w:val="auto"/>
                <w:spacing w:val="-5"/>
                <w:sz w:val="24"/>
                <w:szCs w:val="24"/>
                <w:highlight w:val="none"/>
              </w:rPr>
              <w:t>Cumninghamialanceolata</w:t>
            </w:r>
            <w:r>
              <w:rPr>
                <w:rFonts w:hint="eastAsia" w:cs="Times New Roman"/>
                <w:i/>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等。灌木层树种不多，盖度约为</w:t>
            </w:r>
            <w:r>
              <w:rPr>
                <w:rFonts w:hint="default" w:ascii="Times New Roman" w:hAnsi="Times New Roman" w:eastAsia="仿宋" w:cs="Times New Roman"/>
                <w:color w:val="auto"/>
                <w:spacing w:val="-48"/>
                <w:sz w:val="24"/>
                <w:szCs w:val="24"/>
                <w:highlight w:val="none"/>
              </w:rPr>
              <w:t xml:space="preserve"> </w:t>
            </w:r>
            <w:r>
              <w:rPr>
                <w:rFonts w:hint="default" w:ascii="Times New Roman" w:hAnsi="Times New Roman" w:eastAsia="仿宋" w:cs="Times New Roman"/>
                <w:color w:val="auto"/>
                <w:spacing w:val="-5"/>
                <w:sz w:val="24"/>
                <w:szCs w:val="24"/>
                <w:highlight w:val="none"/>
              </w:rPr>
              <w:t>30%，</w:t>
            </w:r>
            <w:r>
              <w:rPr>
                <w:rFonts w:hint="default" w:ascii="Times New Roman" w:hAnsi="Times New Roman" w:eastAsia="仿宋" w:cs="Times New Roman"/>
                <w:color w:val="auto"/>
                <w:sz w:val="24"/>
                <w:szCs w:val="24"/>
                <w:highlight w:val="none"/>
              </w:rPr>
              <w:t>主要为马桑</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Coriaria</w:t>
            </w:r>
            <w:r>
              <w:rPr>
                <w:rFonts w:hint="default" w:ascii="Times New Roman" w:hAnsi="Times New Roman" w:eastAsia="仿宋" w:cs="Times New Roman"/>
                <w:i/>
                <w:color w:val="auto"/>
                <w:spacing w:val="39"/>
                <w:w w:val="101"/>
                <w:sz w:val="24"/>
                <w:szCs w:val="24"/>
                <w:highlight w:val="none"/>
              </w:rPr>
              <w:t xml:space="preserve"> </w:t>
            </w:r>
            <w:r>
              <w:rPr>
                <w:rFonts w:hint="default" w:ascii="Times New Roman" w:hAnsi="Times New Roman" w:eastAsia="仿宋" w:cs="Times New Roman"/>
                <w:i/>
                <w:color w:val="auto"/>
                <w:sz w:val="24"/>
                <w:szCs w:val="24"/>
                <w:highlight w:val="none"/>
              </w:rPr>
              <w:t>nepalensis</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、南烛</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Vaccinium</w:t>
            </w:r>
            <w:r>
              <w:rPr>
                <w:rFonts w:hint="default" w:ascii="Times New Roman" w:hAnsi="Times New Roman" w:eastAsia="仿宋" w:cs="Times New Roman"/>
                <w:i/>
                <w:color w:val="auto"/>
                <w:spacing w:val="36"/>
                <w:w w:val="101"/>
                <w:sz w:val="24"/>
                <w:szCs w:val="24"/>
                <w:highlight w:val="none"/>
              </w:rPr>
              <w:t xml:space="preserve"> </w:t>
            </w:r>
            <w:r>
              <w:rPr>
                <w:rFonts w:hint="default" w:ascii="Times New Roman" w:hAnsi="Times New Roman" w:eastAsia="仿宋" w:cs="Times New Roman"/>
                <w:i/>
                <w:color w:val="auto"/>
                <w:sz w:val="24"/>
                <w:szCs w:val="24"/>
                <w:highlight w:val="none"/>
              </w:rPr>
              <w:t>bracteatum</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、水麻</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 xml:space="preserve">Debregeasia </w:t>
            </w:r>
            <w:r>
              <w:rPr>
                <w:rFonts w:hint="default" w:ascii="Times New Roman" w:hAnsi="Times New Roman" w:eastAsia="仿宋" w:cs="Times New Roman"/>
                <w:i/>
                <w:color w:val="auto"/>
                <w:spacing w:val="-2"/>
                <w:sz w:val="24"/>
                <w:szCs w:val="24"/>
                <w:highlight w:val="none"/>
              </w:rPr>
              <w:t>orientalis</w:t>
            </w:r>
            <w:r>
              <w:rPr>
                <w:rFonts w:hint="eastAsia" w:cs="Times New Roman"/>
                <w:i/>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、山矾</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pacing w:val="-2"/>
                <w:sz w:val="24"/>
                <w:szCs w:val="24"/>
                <w:highlight w:val="none"/>
              </w:rPr>
              <w:t>Symplocos sumuntia</w:t>
            </w:r>
            <w:r>
              <w:rPr>
                <w:rFonts w:hint="eastAsia" w:cs="Times New Roman"/>
                <w:i/>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、粉枝莓</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pacing w:val="-2"/>
                <w:sz w:val="24"/>
                <w:szCs w:val="24"/>
                <w:highlight w:val="none"/>
              </w:rPr>
              <w:t>Rubus biflorus var. biflorus</w:t>
            </w:r>
            <w:r>
              <w:rPr>
                <w:rFonts w:hint="eastAsia" w:cs="Times New Roman"/>
                <w:i/>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、乌鸦果</w:t>
            </w:r>
            <w:r>
              <w:rPr>
                <w:rFonts w:hint="default" w:ascii="Times New Roman" w:hAnsi="Times New Roman" w:eastAsia="仿宋" w:cs="Times New Roman"/>
                <w:color w:val="auto"/>
                <w:sz w:val="24"/>
                <w:szCs w:val="24"/>
                <w:highlight w:val="none"/>
              </w:rPr>
              <w:t xml:space="preserve"> </w:t>
            </w:r>
            <w:r>
              <w:rPr>
                <w:rFonts w:hint="default" w:ascii="Times New Roman" w:hAnsi="Times New Roman" w:eastAsia="仿宋" w:cs="Times New Roman"/>
                <w:color w:val="auto"/>
                <w:spacing w:val="-3"/>
                <w:sz w:val="24"/>
                <w:szCs w:val="24"/>
                <w:highlight w:val="none"/>
              </w:rPr>
              <w:t>(</w:t>
            </w:r>
            <w:r>
              <w:rPr>
                <w:rFonts w:hint="default" w:ascii="Times New Roman" w:hAnsi="Times New Roman" w:eastAsia="仿宋" w:cs="Times New Roman"/>
                <w:i/>
                <w:color w:val="auto"/>
                <w:spacing w:val="-3"/>
                <w:sz w:val="24"/>
                <w:szCs w:val="24"/>
                <w:highlight w:val="none"/>
              </w:rPr>
              <w:t>Vaccinium</w:t>
            </w:r>
            <w:r>
              <w:rPr>
                <w:rFonts w:hint="default" w:ascii="Times New Roman" w:hAnsi="Times New Roman" w:eastAsia="仿宋" w:cs="Times New Roman"/>
                <w:i/>
                <w:color w:val="auto"/>
                <w:spacing w:val="-56"/>
                <w:sz w:val="24"/>
                <w:szCs w:val="24"/>
                <w:highlight w:val="none"/>
              </w:rPr>
              <w:t xml:space="preserve"> </w:t>
            </w:r>
            <w:r>
              <w:rPr>
                <w:rFonts w:hint="default" w:ascii="Times New Roman" w:hAnsi="Times New Roman" w:eastAsia="仿宋" w:cs="Times New Roman"/>
                <w:i/>
                <w:color w:val="auto"/>
                <w:spacing w:val="-3"/>
                <w:sz w:val="24"/>
                <w:szCs w:val="24"/>
                <w:highlight w:val="none"/>
              </w:rPr>
              <w:t>fragile</w:t>
            </w:r>
            <w:r>
              <w:rPr>
                <w:rFonts w:hint="eastAsia" w:cs="Times New Roman"/>
                <w:i/>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、密蒙花</w:t>
            </w:r>
            <w:r>
              <w:rPr>
                <w:rFonts w:hint="eastAsia" w:cs="Times New Roman"/>
                <w:color w:val="auto"/>
                <w:spacing w:val="-3"/>
                <w:sz w:val="24"/>
                <w:szCs w:val="24"/>
                <w:highlight w:val="none"/>
                <w:lang w:eastAsia="zh-CN"/>
              </w:rPr>
              <w:t>（</w:t>
            </w:r>
            <w:r>
              <w:rPr>
                <w:rFonts w:hint="default" w:ascii="Times New Roman" w:hAnsi="Times New Roman" w:eastAsia="仿宋" w:cs="Times New Roman"/>
                <w:i/>
                <w:color w:val="auto"/>
                <w:spacing w:val="-3"/>
                <w:sz w:val="24"/>
                <w:szCs w:val="24"/>
                <w:highlight w:val="none"/>
              </w:rPr>
              <w:t>Buddleja officinalis</w:t>
            </w:r>
            <w:r>
              <w:rPr>
                <w:rFonts w:hint="eastAsia" w:cs="Times New Roman"/>
                <w:i/>
                <w:color w:val="auto"/>
                <w:spacing w:val="-3"/>
                <w:sz w:val="24"/>
                <w:szCs w:val="24"/>
                <w:highlight w:val="none"/>
                <w:lang w:eastAsia="zh-CN"/>
              </w:rPr>
              <w:t>）</w:t>
            </w:r>
            <w:r>
              <w:rPr>
                <w:rFonts w:hint="default" w:ascii="Times New Roman" w:hAnsi="Times New Roman" w:eastAsia="仿宋" w:cs="Times New Roman"/>
                <w:color w:val="auto"/>
                <w:spacing w:val="-4"/>
                <w:sz w:val="24"/>
                <w:szCs w:val="24"/>
                <w:highlight w:val="none"/>
              </w:rPr>
              <w:t>等。草本层的种类少，</w:t>
            </w:r>
            <w:r>
              <w:rPr>
                <w:rFonts w:hint="default" w:ascii="Times New Roman" w:hAnsi="Times New Roman" w:eastAsia="仿宋" w:cs="Times New Roman"/>
                <w:color w:val="auto"/>
                <w:spacing w:val="52"/>
                <w:sz w:val="24"/>
                <w:szCs w:val="24"/>
                <w:highlight w:val="none"/>
              </w:rPr>
              <w:t xml:space="preserve"> </w:t>
            </w:r>
            <w:r>
              <w:rPr>
                <w:rFonts w:hint="default" w:ascii="Times New Roman" w:hAnsi="Times New Roman" w:eastAsia="仿宋" w:cs="Times New Roman"/>
                <w:color w:val="auto"/>
                <w:spacing w:val="-4"/>
                <w:sz w:val="24"/>
                <w:szCs w:val="24"/>
                <w:highlight w:val="none"/>
              </w:rPr>
              <w:t>盖度高</w:t>
            </w:r>
            <w:r>
              <w:rPr>
                <w:rFonts w:hint="default" w:ascii="Times New Roman" w:hAnsi="Times New Roman" w:eastAsia="仿宋" w:cs="Times New Roman"/>
                <w:color w:val="auto"/>
                <w:spacing w:val="-56"/>
                <w:sz w:val="24"/>
                <w:szCs w:val="24"/>
                <w:highlight w:val="none"/>
              </w:rPr>
              <w:t xml:space="preserve"> </w:t>
            </w:r>
            <w:r>
              <w:rPr>
                <w:rFonts w:hint="default" w:ascii="Times New Roman" w:hAnsi="Times New Roman" w:eastAsia="仿宋" w:cs="Times New Roman"/>
                <w:color w:val="auto"/>
                <w:spacing w:val="-4"/>
                <w:sz w:val="24"/>
                <w:szCs w:val="24"/>
                <w:highlight w:val="none"/>
              </w:rPr>
              <w:t>40%</w:t>
            </w:r>
            <w:r>
              <w:rPr>
                <w:rFonts w:hint="default" w:ascii="Times New Roman" w:hAnsi="Times New Roman" w:eastAsia="仿宋" w:cs="Times New Roman"/>
                <w:color w:val="auto"/>
                <w:spacing w:val="2"/>
                <w:sz w:val="24"/>
                <w:szCs w:val="24"/>
                <w:highlight w:val="none"/>
              </w:rPr>
              <w:t>左右，主要为蒿</w:t>
            </w:r>
            <w:r>
              <w:rPr>
                <w:rFonts w:hint="eastAsia" w:cs="Times New Roman"/>
                <w:color w:val="auto"/>
                <w:spacing w:val="2"/>
                <w:sz w:val="24"/>
                <w:szCs w:val="24"/>
                <w:highlight w:val="none"/>
                <w:lang w:eastAsia="zh-CN"/>
              </w:rPr>
              <w:t>（</w:t>
            </w:r>
            <w:r>
              <w:rPr>
                <w:rFonts w:hint="default" w:ascii="Times New Roman" w:hAnsi="Times New Roman" w:eastAsia="仿宋" w:cs="Times New Roman"/>
                <w:color w:val="auto"/>
                <w:spacing w:val="-13"/>
                <w:sz w:val="24"/>
                <w:szCs w:val="24"/>
                <w:highlight w:val="none"/>
              </w:rPr>
              <w:t xml:space="preserve"> </w:t>
            </w:r>
            <w:r>
              <w:rPr>
                <w:rFonts w:hint="default" w:ascii="Times New Roman" w:hAnsi="Times New Roman" w:eastAsia="仿宋" w:cs="Times New Roman"/>
                <w:i/>
                <w:color w:val="auto"/>
                <w:sz w:val="24"/>
                <w:szCs w:val="24"/>
                <w:highlight w:val="none"/>
              </w:rPr>
              <w:t>Artemisia</w:t>
            </w:r>
            <w:r>
              <w:rPr>
                <w:rFonts w:hint="default" w:ascii="Times New Roman" w:hAnsi="Times New Roman" w:eastAsia="仿宋" w:cs="Times New Roman"/>
                <w:i/>
                <w:color w:val="auto"/>
                <w:spacing w:val="-41"/>
                <w:sz w:val="24"/>
                <w:szCs w:val="24"/>
                <w:highlight w:val="none"/>
              </w:rPr>
              <w:t xml:space="preserve"> </w:t>
            </w:r>
            <w:r>
              <w:rPr>
                <w:rFonts w:hint="default" w:ascii="Times New Roman" w:hAnsi="Times New Roman" w:eastAsia="仿宋" w:cs="Times New Roman"/>
                <w:i/>
                <w:color w:val="auto"/>
                <w:sz w:val="24"/>
                <w:szCs w:val="24"/>
                <w:highlight w:val="none"/>
              </w:rPr>
              <w:t>parviflora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34"/>
                <w:sz w:val="24"/>
                <w:szCs w:val="24"/>
                <w:highlight w:val="none"/>
              </w:rPr>
              <w:t xml:space="preserve"> </w:t>
            </w:r>
            <w:r>
              <w:rPr>
                <w:rFonts w:hint="default" w:ascii="Times New Roman" w:hAnsi="Times New Roman" w:eastAsia="仿宋" w:cs="Times New Roman"/>
                <w:color w:val="auto"/>
                <w:spacing w:val="2"/>
                <w:sz w:val="24"/>
                <w:szCs w:val="24"/>
                <w:highlight w:val="none"/>
              </w:rPr>
              <w:t>、紫茎泽兰</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Eaupatorinmadenophorm</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、鬼针</w:t>
            </w:r>
            <w:r>
              <w:rPr>
                <w:rFonts w:hint="default" w:ascii="Times New Roman" w:hAnsi="Times New Roman" w:eastAsia="仿宋" w:cs="Times New Roman"/>
                <w:color w:val="auto"/>
                <w:sz w:val="24"/>
                <w:szCs w:val="24"/>
                <w:highlight w:val="none"/>
              </w:rPr>
              <w:t>草</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Bidens</w:t>
            </w:r>
            <w:r>
              <w:rPr>
                <w:rFonts w:hint="default" w:ascii="Times New Roman" w:hAnsi="Times New Roman" w:eastAsia="仿宋" w:cs="Times New Roman"/>
                <w:i/>
                <w:color w:val="auto"/>
                <w:spacing w:val="-40"/>
                <w:sz w:val="24"/>
                <w:szCs w:val="24"/>
                <w:highlight w:val="none"/>
              </w:rPr>
              <w:t xml:space="preserve"> </w:t>
            </w:r>
            <w:r>
              <w:rPr>
                <w:rFonts w:hint="default" w:ascii="Times New Roman" w:hAnsi="Times New Roman" w:eastAsia="仿宋" w:cs="Times New Roman"/>
                <w:i/>
                <w:color w:val="auto"/>
                <w:sz w:val="24"/>
                <w:szCs w:val="24"/>
                <w:highlight w:val="none"/>
              </w:rPr>
              <w:t>pilosa</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、细柄草</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Capillipedium</w:t>
            </w:r>
            <w:r>
              <w:rPr>
                <w:rFonts w:hint="default" w:ascii="Times New Roman" w:hAnsi="Times New Roman" w:eastAsia="仿宋" w:cs="Times New Roman"/>
                <w:i/>
                <w:color w:val="auto"/>
                <w:spacing w:val="-40"/>
                <w:sz w:val="24"/>
                <w:szCs w:val="24"/>
                <w:highlight w:val="none"/>
              </w:rPr>
              <w:t xml:space="preserve"> </w:t>
            </w:r>
            <w:r>
              <w:rPr>
                <w:rFonts w:hint="default" w:ascii="Times New Roman" w:hAnsi="Times New Roman" w:eastAsia="仿宋" w:cs="Times New Roman"/>
                <w:i/>
                <w:color w:val="auto"/>
                <w:sz w:val="24"/>
                <w:szCs w:val="24"/>
                <w:highlight w:val="none"/>
              </w:rPr>
              <w:t>parviflorum</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、凤</w:t>
            </w:r>
            <w:r>
              <w:rPr>
                <w:rFonts w:hint="default" w:ascii="Times New Roman" w:hAnsi="Times New Roman" w:eastAsia="仿宋" w:cs="Times New Roman"/>
                <w:color w:val="auto"/>
                <w:spacing w:val="-1"/>
                <w:sz w:val="24"/>
                <w:szCs w:val="24"/>
                <w:highlight w:val="none"/>
              </w:rPr>
              <w:t>尾蕨</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pacing w:val="-1"/>
                <w:sz w:val="24"/>
                <w:szCs w:val="24"/>
                <w:highlight w:val="none"/>
              </w:rPr>
              <w:t>Pteris cretica</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、野拔</w:t>
            </w:r>
            <w:r>
              <w:rPr>
                <w:rFonts w:hint="default" w:ascii="Times New Roman" w:hAnsi="Times New Roman" w:eastAsia="仿宋" w:cs="Times New Roman"/>
                <w:color w:val="auto"/>
                <w:sz w:val="24"/>
                <w:szCs w:val="24"/>
                <w:highlight w:val="none"/>
              </w:rPr>
              <w:t>子</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Elsholtzianigulosa</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、荩草</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Arthraxon hispidus</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、毛轴蕨</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Pter</w:t>
            </w:r>
            <w:r>
              <w:rPr>
                <w:rFonts w:hint="default" w:ascii="Times New Roman" w:hAnsi="Times New Roman" w:eastAsia="仿宋" w:cs="Times New Roman"/>
                <w:i/>
                <w:color w:val="auto"/>
                <w:spacing w:val="-1"/>
                <w:sz w:val="24"/>
                <w:szCs w:val="24"/>
                <w:highlight w:val="none"/>
              </w:rPr>
              <w:t>idiumrevolutum</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、珠</w:t>
            </w:r>
            <w:r>
              <w:rPr>
                <w:rFonts w:hint="default" w:ascii="Times New Roman" w:hAnsi="Times New Roman" w:eastAsia="仿宋" w:cs="Times New Roman"/>
                <w:color w:val="auto"/>
                <w:sz w:val="24"/>
                <w:szCs w:val="24"/>
                <w:highlight w:val="none"/>
              </w:rPr>
              <w:t>光香青</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Anaphalis margarita</w:t>
            </w:r>
            <w:r>
              <w:rPr>
                <w:rFonts w:hint="default" w:ascii="Times New Roman" w:hAnsi="Times New Roman" w:eastAsia="仿宋" w:cs="Times New Roman"/>
                <w:i/>
                <w:color w:val="auto"/>
                <w:spacing w:val="-1"/>
                <w:sz w:val="24"/>
                <w:szCs w:val="24"/>
                <w:highlight w:val="none"/>
              </w:rPr>
              <w:t>cea</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w:t>
            </w:r>
            <w:r>
              <w:rPr>
                <w:rFonts w:hint="eastAsia" w:cs="Times New Roman"/>
                <w:color w:val="auto"/>
                <w:spacing w:val="-1"/>
                <w:sz w:val="24"/>
                <w:szCs w:val="24"/>
                <w:highlight w:val="none"/>
                <w:lang w:eastAsia="zh-CN"/>
              </w:rPr>
              <w:t>千里</w:t>
            </w:r>
            <w:r>
              <w:rPr>
                <w:rFonts w:hint="default" w:ascii="Times New Roman" w:hAnsi="Times New Roman" w:eastAsia="仿宋" w:cs="Times New Roman"/>
                <w:color w:val="auto"/>
                <w:spacing w:val="-1"/>
                <w:sz w:val="24"/>
                <w:szCs w:val="24"/>
                <w:highlight w:val="none"/>
              </w:rPr>
              <w:t>光</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pacing w:val="-1"/>
                <w:sz w:val="24"/>
                <w:szCs w:val="24"/>
                <w:highlight w:val="none"/>
              </w:rPr>
              <w:t>Senecio</w:t>
            </w:r>
            <w:r>
              <w:rPr>
                <w:rFonts w:hint="default" w:ascii="Times New Roman" w:hAnsi="Times New Roman" w:eastAsia="仿宋" w:cs="Times New Roman"/>
                <w:i/>
                <w:color w:val="auto"/>
                <w:spacing w:val="-14"/>
                <w:sz w:val="24"/>
                <w:szCs w:val="24"/>
                <w:highlight w:val="none"/>
              </w:rPr>
              <w:t xml:space="preserve"> </w:t>
            </w:r>
            <w:r>
              <w:rPr>
                <w:rFonts w:hint="default" w:ascii="Times New Roman" w:hAnsi="Times New Roman" w:eastAsia="仿宋" w:cs="Times New Roman"/>
                <w:i/>
                <w:color w:val="auto"/>
                <w:spacing w:val="-1"/>
                <w:sz w:val="24"/>
                <w:szCs w:val="24"/>
                <w:highlight w:val="none"/>
              </w:rPr>
              <w:t>scandens</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、地石榴</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pacing w:val="-1"/>
                <w:sz w:val="24"/>
                <w:szCs w:val="24"/>
                <w:highlight w:val="none"/>
              </w:rPr>
              <w:t>Ficus tikoua</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w:t>
            </w:r>
            <w:r>
              <w:rPr>
                <w:rFonts w:hint="default" w:ascii="Times New Roman" w:hAnsi="Times New Roman" w:eastAsia="仿宋" w:cs="Times New Roman"/>
                <w:color w:val="auto"/>
                <w:spacing w:val="6"/>
                <w:sz w:val="24"/>
                <w:szCs w:val="24"/>
                <w:highlight w:val="none"/>
              </w:rPr>
              <w:t>西南委陵菜</w:t>
            </w:r>
            <w:r>
              <w:rPr>
                <w:rFonts w:hint="eastAsia" w:cs="Times New Roman"/>
                <w:color w:val="auto"/>
                <w:spacing w:val="6"/>
                <w:sz w:val="24"/>
                <w:szCs w:val="24"/>
                <w:highlight w:val="none"/>
                <w:lang w:eastAsia="zh-CN"/>
              </w:rPr>
              <w:t>（</w:t>
            </w:r>
            <w:r>
              <w:rPr>
                <w:rFonts w:hint="default" w:ascii="Times New Roman" w:hAnsi="Times New Roman" w:eastAsia="仿宋" w:cs="Times New Roman"/>
                <w:i/>
                <w:color w:val="auto"/>
                <w:sz w:val="24"/>
                <w:szCs w:val="24"/>
                <w:highlight w:val="none"/>
              </w:rPr>
              <w:t>Potentilla</w:t>
            </w:r>
            <w:r>
              <w:rPr>
                <w:rFonts w:hint="default" w:ascii="Times New Roman" w:hAnsi="Times New Roman" w:eastAsia="仿宋" w:cs="Times New Roman"/>
                <w:i/>
                <w:color w:val="auto"/>
                <w:spacing w:val="-36"/>
                <w:sz w:val="24"/>
                <w:szCs w:val="24"/>
                <w:highlight w:val="none"/>
              </w:rPr>
              <w:t xml:space="preserve"> </w:t>
            </w:r>
            <w:r>
              <w:rPr>
                <w:rFonts w:hint="default" w:ascii="Times New Roman" w:hAnsi="Times New Roman" w:eastAsia="仿宋" w:cs="Times New Roman"/>
                <w:i/>
                <w:color w:val="auto"/>
                <w:sz w:val="24"/>
                <w:szCs w:val="24"/>
                <w:highlight w:val="none"/>
              </w:rPr>
              <w:t>fulgens</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6"/>
                <w:sz w:val="24"/>
                <w:szCs w:val="24"/>
                <w:highlight w:val="none"/>
              </w:rPr>
              <w:t>等。</w:t>
            </w:r>
          </w:p>
          <w:p w14:paraId="7A96151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72" w:firstLineChars="200"/>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color w:val="auto"/>
                <w:spacing w:val="-2"/>
                <w:sz w:val="24"/>
                <w:szCs w:val="24"/>
                <w:highlight w:val="none"/>
                <w:lang w:val="en-US" w:eastAsia="zh-CN"/>
              </w:rPr>
              <w:t>B.</w:t>
            </w:r>
            <w:r>
              <w:rPr>
                <w:rFonts w:hint="default" w:ascii="Times New Roman" w:hAnsi="Times New Roman" w:eastAsia="仿宋" w:cs="Times New Roman"/>
                <w:color w:val="auto"/>
                <w:spacing w:val="-2"/>
                <w:sz w:val="24"/>
                <w:szCs w:val="24"/>
                <w:highlight w:val="none"/>
              </w:rPr>
              <w:t>暖性针叶林</w:t>
            </w:r>
          </w:p>
          <w:p w14:paraId="08B25F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eastAsia" w:cs="Times New Roman"/>
                <w:b/>
                <w:color w:val="auto"/>
                <w:sz w:val="24"/>
                <w:szCs w:val="24"/>
                <w:highlight w:val="none"/>
                <w:lang w:eastAsia="zh-CN"/>
              </w:rPr>
              <w:t>Ⅱ</w:t>
            </w:r>
            <w:r>
              <w:rPr>
                <w:rFonts w:hint="default" w:ascii="Times New Roman" w:hAnsi="Times New Roman" w:eastAsia="仿宋" w:cs="Times New Roman"/>
                <w:b/>
                <w:color w:val="auto"/>
                <w:spacing w:val="16"/>
                <w:w w:val="101"/>
                <w:sz w:val="24"/>
                <w:szCs w:val="24"/>
                <w:highlight w:val="none"/>
              </w:rPr>
              <w:t xml:space="preserve"> </w:t>
            </w:r>
            <w:r>
              <w:rPr>
                <w:rFonts w:hint="default" w:ascii="Times New Roman" w:hAnsi="Times New Roman" w:eastAsia="仿宋" w:cs="Times New Roman"/>
                <w:b/>
                <w:color w:val="auto"/>
                <w:sz w:val="24"/>
                <w:szCs w:val="24"/>
                <w:highlight w:val="none"/>
              </w:rPr>
              <w:t>云南松群落</w:t>
            </w:r>
            <w:r>
              <w:rPr>
                <w:rFonts w:hint="eastAsia" w:cs="Times New Roman"/>
                <w:b/>
                <w:color w:val="auto"/>
                <w:sz w:val="24"/>
                <w:szCs w:val="24"/>
                <w:highlight w:val="none"/>
                <w:lang w:eastAsia="zh-CN"/>
              </w:rPr>
              <w:t>（</w:t>
            </w:r>
            <w:r>
              <w:rPr>
                <w:rFonts w:hint="default" w:ascii="Times New Roman" w:hAnsi="Times New Roman" w:eastAsia="仿宋" w:cs="Times New Roman"/>
                <w:b/>
                <w:color w:val="auto"/>
                <w:sz w:val="24"/>
                <w:szCs w:val="24"/>
                <w:highlight w:val="none"/>
              </w:rPr>
              <w:t>Form.</w:t>
            </w:r>
            <w:r>
              <w:rPr>
                <w:rFonts w:hint="default" w:ascii="Times New Roman" w:hAnsi="Times New Roman" w:eastAsia="仿宋" w:cs="Times New Roman"/>
                <w:b/>
                <w:i/>
                <w:color w:val="auto"/>
                <w:sz w:val="24"/>
                <w:szCs w:val="24"/>
                <w:highlight w:val="none"/>
              </w:rPr>
              <w:t>Pinus</w:t>
            </w:r>
            <w:r>
              <w:rPr>
                <w:rFonts w:hint="default" w:ascii="Times New Roman" w:hAnsi="Times New Roman" w:eastAsia="仿宋" w:cs="Times New Roman"/>
                <w:b/>
                <w:i/>
                <w:color w:val="auto"/>
                <w:spacing w:val="-23"/>
                <w:sz w:val="24"/>
                <w:szCs w:val="24"/>
                <w:highlight w:val="none"/>
              </w:rPr>
              <w:t xml:space="preserve"> </w:t>
            </w:r>
            <w:r>
              <w:rPr>
                <w:rFonts w:hint="default" w:ascii="Times New Roman" w:hAnsi="Times New Roman" w:eastAsia="仿宋" w:cs="Times New Roman"/>
                <w:b/>
                <w:i/>
                <w:color w:val="auto"/>
                <w:sz w:val="24"/>
                <w:szCs w:val="24"/>
                <w:highlight w:val="none"/>
              </w:rPr>
              <w:t>yunnanens</w:t>
            </w:r>
            <w:r>
              <w:rPr>
                <w:rFonts w:hint="default" w:ascii="Times New Roman" w:hAnsi="Times New Roman" w:eastAsia="仿宋" w:cs="Times New Roman"/>
                <w:b/>
                <w:i/>
                <w:color w:val="auto"/>
                <w:spacing w:val="-1"/>
                <w:sz w:val="24"/>
                <w:szCs w:val="24"/>
                <w:highlight w:val="none"/>
              </w:rPr>
              <w:t>is</w:t>
            </w:r>
            <w:r>
              <w:rPr>
                <w:rFonts w:hint="eastAsia" w:cs="Times New Roman"/>
                <w:b/>
                <w:i/>
                <w:color w:val="auto"/>
                <w:spacing w:val="-1"/>
                <w:sz w:val="24"/>
                <w:szCs w:val="24"/>
                <w:highlight w:val="none"/>
                <w:lang w:eastAsia="zh-CN"/>
              </w:rPr>
              <w:t>）</w:t>
            </w:r>
          </w:p>
          <w:p w14:paraId="566295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08"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7"/>
                <w:sz w:val="24"/>
                <w:szCs w:val="24"/>
                <w:highlight w:val="none"/>
              </w:rPr>
              <w:t>评价区广泛分布的森林植被为云南松纯林，群落结构分为三层，群落高度</w:t>
            </w:r>
            <w:r>
              <w:rPr>
                <w:rFonts w:hint="default" w:ascii="Times New Roman" w:hAnsi="Times New Roman" w:eastAsia="仿宋" w:cs="Times New Roman"/>
                <w:color w:val="auto"/>
                <w:spacing w:val="-2"/>
                <w:sz w:val="24"/>
                <w:szCs w:val="24"/>
                <w:highlight w:val="none"/>
              </w:rPr>
              <w:t>12</w:t>
            </w:r>
            <w:r>
              <w:rPr>
                <w:rFonts w:hint="eastAsia"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15m，总盖度</w:t>
            </w:r>
            <w:r>
              <w:rPr>
                <w:rFonts w:hint="default" w:ascii="Times New Roman" w:hAnsi="Times New Roman" w:eastAsia="仿宋" w:cs="Times New Roman"/>
                <w:color w:val="auto"/>
                <w:spacing w:val="-47"/>
                <w:sz w:val="24"/>
                <w:szCs w:val="24"/>
                <w:highlight w:val="none"/>
              </w:rPr>
              <w:t xml:space="preserve"> </w:t>
            </w:r>
            <w:r>
              <w:rPr>
                <w:rFonts w:hint="eastAsia" w:cs="Times New Roman"/>
                <w:color w:val="auto"/>
                <w:spacing w:val="-47"/>
                <w:sz w:val="24"/>
                <w:szCs w:val="24"/>
                <w:highlight w:val="none"/>
                <w:lang w:eastAsia="zh-CN"/>
              </w:rPr>
              <w:t>70%～90%</w:t>
            </w:r>
            <w:r>
              <w:rPr>
                <w:rFonts w:hint="default" w:ascii="Times New Roman" w:hAnsi="Times New Roman" w:eastAsia="仿宋" w:cs="Times New Roman"/>
                <w:color w:val="auto"/>
                <w:spacing w:val="-2"/>
                <w:sz w:val="24"/>
                <w:szCs w:val="24"/>
                <w:highlight w:val="none"/>
              </w:rPr>
              <w:t>。乔木层高度为</w:t>
            </w:r>
            <w:r>
              <w:rPr>
                <w:rFonts w:hint="default" w:ascii="Times New Roman" w:hAnsi="Times New Roman" w:eastAsia="仿宋" w:cs="Times New Roman"/>
                <w:color w:val="auto"/>
                <w:spacing w:val="-32"/>
                <w:sz w:val="24"/>
                <w:szCs w:val="24"/>
                <w:highlight w:val="none"/>
              </w:rPr>
              <w:t xml:space="preserve"> </w:t>
            </w:r>
            <w:r>
              <w:rPr>
                <w:rFonts w:hint="default" w:ascii="Times New Roman" w:hAnsi="Times New Roman" w:eastAsia="仿宋" w:cs="Times New Roman"/>
                <w:color w:val="auto"/>
                <w:spacing w:val="-2"/>
                <w:sz w:val="24"/>
                <w:szCs w:val="24"/>
                <w:highlight w:val="none"/>
              </w:rPr>
              <w:t>10-12m，盖度为</w:t>
            </w:r>
            <w:r>
              <w:rPr>
                <w:rFonts w:hint="default" w:ascii="Times New Roman" w:hAnsi="Times New Roman" w:eastAsia="仿宋" w:cs="Times New Roman"/>
                <w:color w:val="auto"/>
                <w:spacing w:val="-48"/>
                <w:sz w:val="24"/>
                <w:szCs w:val="24"/>
                <w:highlight w:val="none"/>
              </w:rPr>
              <w:t xml:space="preserve"> </w:t>
            </w:r>
            <w:r>
              <w:rPr>
                <w:rFonts w:hint="default" w:ascii="Times New Roman" w:hAnsi="Times New Roman" w:eastAsia="仿宋" w:cs="Times New Roman"/>
                <w:color w:val="auto"/>
                <w:spacing w:val="-2"/>
                <w:sz w:val="24"/>
                <w:szCs w:val="24"/>
                <w:highlight w:val="none"/>
              </w:rPr>
              <w:t>50%，乔木层以云南松</w:t>
            </w:r>
            <w:r>
              <w:rPr>
                <w:rFonts w:hint="default" w:ascii="Times New Roman" w:hAnsi="Times New Roman" w:eastAsia="仿宋" w:cs="Times New Roman"/>
                <w:color w:val="auto"/>
                <w:spacing w:val="6"/>
                <w:sz w:val="24"/>
                <w:szCs w:val="24"/>
                <w:highlight w:val="none"/>
              </w:rPr>
              <w:t>占绝对优势；灌木层高度1</w:t>
            </w:r>
            <w:r>
              <w:rPr>
                <w:rFonts w:hint="eastAsia" w:cs="Times New Roman"/>
                <w:color w:val="auto"/>
                <w:spacing w:val="6"/>
                <w:sz w:val="24"/>
                <w:szCs w:val="24"/>
                <w:highlight w:val="none"/>
                <w:lang w:eastAsia="zh-CN"/>
              </w:rPr>
              <w:t>～</w:t>
            </w:r>
            <w:r>
              <w:rPr>
                <w:rFonts w:hint="default" w:ascii="Times New Roman" w:hAnsi="Times New Roman" w:eastAsia="仿宋" w:cs="Times New Roman"/>
                <w:color w:val="auto"/>
                <w:spacing w:val="6"/>
                <w:sz w:val="24"/>
                <w:szCs w:val="24"/>
                <w:highlight w:val="none"/>
              </w:rPr>
              <w:t>2m，盖度为50%，主要种类有</w:t>
            </w:r>
            <w:r>
              <w:rPr>
                <w:rFonts w:hint="default" w:ascii="Times New Roman" w:hAnsi="Times New Roman" w:eastAsia="仿宋" w:cs="Times New Roman"/>
                <w:color w:val="auto"/>
                <w:spacing w:val="5"/>
                <w:sz w:val="24"/>
                <w:szCs w:val="24"/>
                <w:highlight w:val="none"/>
              </w:rPr>
              <w:t>杜鹃</w:t>
            </w:r>
            <w:r>
              <w:rPr>
                <w:rFonts w:hint="eastAsia" w:cs="Times New Roman"/>
                <w:color w:val="auto"/>
                <w:spacing w:val="5"/>
                <w:sz w:val="24"/>
                <w:szCs w:val="24"/>
                <w:highlight w:val="none"/>
                <w:lang w:eastAsia="zh-CN"/>
              </w:rPr>
              <w:t>（</w:t>
            </w:r>
            <w:r>
              <w:rPr>
                <w:rFonts w:hint="default" w:ascii="Times New Roman" w:hAnsi="Times New Roman" w:eastAsia="仿宋" w:cs="Times New Roman"/>
                <w:i/>
                <w:color w:val="auto"/>
                <w:sz w:val="24"/>
                <w:szCs w:val="24"/>
                <w:highlight w:val="none"/>
              </w:rPr>
              <w:t>Rhododendron simsii</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1"/>
                <w:sz w:val="24"/>
                <w:szCs w:val="24"/>
                <w:highlight w:val="none"/>
              </w:rPr>
              <w:t>、荚蒾</w:t>
            </w:r>
            <w:r>
              <w:rPr>
                <w:rFonts w:hint="eastAsia" w:cs="Times New Roman"/>
                <w:color w:val="auto"/>
                <w:spacing w:val="11"/>
                <w:sz w:val="24"/>
                <w:szCs w:val="24"/>
                <w:highlight w:val="none"/>
                <w:lang w:eastAsia="zh-CN"/>
              </w:rPr>
              <w:t>（</w:t>
            </w:r>
            <w:r>
              <w:rPr>
                <w:rFonts w:hint="default" w:ascii="Times New Roman" w:hAnsi="Times New Roman" w:eastAsia="仿宋" w:cs="Times New Roman"/>
                <w:i/>
                <w:color w:val="auto"/>
                <w:sz w:val="24"/>
                <w:szCs w:val="24"/>
                <w:highlight w:val="none"/>
              </w:rPr>
              <w:t>Viburnum</w:t>
            </w:r>
            <w:r>
              <w:rPr>
                <w:rFonts w:hint="default" w:ascii="Times New Roman" w:hAnsi="Times New Roman" w:eastAsia="仿宋" w:cs="Times New Roman"/>
                <w:i/>
                <w:color w:val="auto"/>
                <w:spacing w:val="56"/>
                <w:w w:val="101"/>
                <w:sz w:val="24"/>
                <w:szCs w:val="24"/>
                <w:highlight w:val="none"/>
              </w:rPr>
              <w:t xml:space="preserve"> </w:t>
            </w:r>
            <w:r>
              <w:rPr>
                <w:rFonts w:hint="default" w:ascii="Times New Roman" w:hAnsi="Times New Roman" w:eastAsia="仿宋" w:cs="Times New Roman"/>
                <w:i/>
                <w:color w:val="auto"/>
                <w:sz w:val="24"/>
                <w:szCs w:val="24"/>
                <w:highlight w:val="none"/>
              </w:rPr>
              <w:t>dilatatum</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1"/>
                <w:sz w:val="24"/>
                <w:szCs w:val="24"/>
                <w:highlight w:val="none"/>
              </w:rPr>
              <w:t>、马桑</w:t>
            </w:r>
            <w:r>
              <w:rPr>
                <w:rFonts w:hint="default" w:ascii="Times New Roman" w:hAnsi="Times New Roman" w:eastAsia="仿宋" w:cs="Times New Roman"/>
                <w:color w:val="auto"/>
                <w:spacing w:val="-67"/>
                <w:sz w:val="24"/>
                <w:szCs w:val="24"/>
                <w:highlight w:val="none"/>
              </w:rPr>
              <w:t xml:space="preserve"> </w:t>
            </w:r>
            <w:r>
              <w:rPr>
                <w:rFonts w:hint="default" w:ascii="Times New Roman" w:hAnsi="Times New Roman" w:eastAsia="仿宋" w:cs="Times New Roman"/>
                <w:color w:val="auto"/>
                <w:spacing w:val="11"/>
                <w:sz w:val="24"/>
                <w:szCs w:val="24"/>
                <w:highlight w:val="none"/>
              </w:rPr>
              <w:t>、金丝桃</w:t>
            </w:r>
            <w:r>
              <w:rPr>
                <w:rFonts w:hint="eastAsia" w:cs="Times New Roman"/>
                <w:color w:val="auto"/>
                <w:spacing w:val="11"/>
                <w:sz w:val="24"/>
                <w:szCs w:val="24"/>
                <w:highlight w:val="none"/>
                <w:lang w:eastAsia="zh-CN"/>
              </w:rPr>
              <w:t>（</w:t>
            </w:r>
            <w:r>
              <w:rPr>
                <w:rFonts w:hint="default" w:ascii="Times New Roman" w:hAnsi="Times New Roman" w:eastAsia="仿宋" w:cs="Times New Roman"/>
                <w:i/>
                <w:color w:val="auto"/>
                <w:sz w:val="24"/>
                <w:szCs w:val="24"/>
                <w:highlight w:val="none"/>
              </w:rPr>
              <w:t>Hypericum</w:t>
            </w:r>
            <w:r>
              <w:rPr>
                <w:rFonts w:hint="default" w:ascii="Times New Roman" w:hAnsi="Times New Roman" w:eastAsia="仿宋" w:cs="Times New Roman"/>
                <w:i/>
                <w:color w:val="auto"/>
                <w:spacing w:val="11"/>
                <w:sz w:val="24"/>
                <w:szCs w:val="24"/>
                <w:highlight w:val="none"/>
              </w:rPr>
              <w:t xml:space="preserve"> </w:t>
            </w:r>
            <w:r>
              <w:rPr>
                <w:rFonts w:hint="default" w:ascii="Times New Roman" w:hAnsi="Times New Roman" w:eastAsia="仿宋" w:cs="Times New Roman"/>
                <w:i/>
                <w:color w:val="auto"/>
                <w:sz w:val="24"/>
                <w:szCs w:val="24"/>
                <w:highlight w:val="none"/>
              </w:rPr>
              <w:t>forrestii</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1"/>
                <w:sz w:val="24"/>
                <w:szCs w:val="24"/>
                <w:highlight w:val="none"/>
              </w:rPr>
              <w:t xml:space="preserve"> 、</w:t>
            </w:r>
            <w:r>
              <w:rPr>
                <w:rFonts w:hint="default" w:ascii="Times New Roman" w:hAnsi="Times New Roman" w:eastAsia="仿宋" w:cs="Times New Roman"/>
                <w:color w:val="auto"/>
                <w:spacing w:val="10"/>
                <w:sz w:val="24"/>
                <w:szCs w:val="24"/>
                <w:highlight w:val="none"/>
              </w:rPr>
              <w:t>蔷薇</w:t>
            </w:r>
            <w:r>
              <w:rPr>
                <w:rFonts w:hint="default" w:ascii="Times New Roman" w:hAnsi="Times New Roman" w:eastAsia="仿宋" w:cs="Times New Roman"/>
                <w:i/>
                <w:color w:val="auto"/>
                <w:spacing w:val="-4"/>
                <w:sz w:val="24"/>
                <w:szCs w:val="24"/>
                <w:highlight w:val="none"/>
              </w:rPr>
              <w:t xml:space="preserve">Rosa sp. </w:t>
            </w:r>
            <w:r>
              <w:rPr>
                <w:rFonts w:hint="default" w:ascii="Times New Roman" w:hAnsi="Times New Roman" w:eastAsia="仿宋" w:cs="Times New Roman"/>
                <w:color w:val="auto"/>
                <w:spacing w:val="-4"/>
                <w:sz w:val="24"/>
                <w:szCs w:val="24"/>
                <w:highlight w:val="none"/>
              </w:rPr>
              <w:t>)</w:t>
            </w:r>
            <w:r>
              <w:rPr>
                <w:rFonts w:hint="default" w:ascii="Times New Roman" w:hAnsi="Times New Roman" w:eastAsia="仿宋" w:cs="Times New Roman"/>
                <w:i/>
                <w:color w:val="auto"/>
                <w:spacing w:val="-4"/>
                <w:sz w:val="25"/>
                <w:szCs w:val="25"/>
                <w:highlight w:val="none"/>
              </w:rPr>
              <w:t>、</w:t>
            </w:r>
            <w:r>
              <w:rPr>
                <w:rFonts w:hint="default" w:ascii="Times New Roman" w:hAnsi="Times New Roman" w:eastAsia="仿宋" w:cs="Times New Roman"/>
                <w:color w:val="auto"/>
                <w:spacing w:val="-4"/>
                <w:sz w:val="24"/>
                <w:szCs w:val="24"/>
                <w:highlight w:val="none"/>
              </w:rPr>
              <w:t>悬钩子</w:t>
            </w:r>
            <w:r>
              <w:rPr>
                <w:rFonts w:hint="eastAsia" w:cs="Times New Roman"/>
                <w:color w:val="auto"/>
                <w:spacing w:val="-4"/>
                <w:sz w:val="24"/>
                <w:szCs w:val="24"/>
                <w:highlight w:val="none"/>
                <w:lang w:eastAsia="zh-CN"/>
              </w:rPr>
              <w:t>（</w:t>
            </w:r>
            <w:r>
              <w:rPr>
                <w:rFonts w:hint="default" w:ascii="Times New Roman" w:hAnsi="Times New Roman" w:eastAsia="仿宋" w:cs="Times New Roman"/>
                <w:i/>
                <w:color w:val="auto"/>
                <w:spacing w:val="-4"/>
                <w:sz w:val="24"/>
                <w:szCs w:val="24"/>
                <w:highlight w:val="none"/>
              </w:rPr>
              <w:t>Rubus corchorifoli</w:t>
            </w:r>
            <w:r>
              <w:rPr>
                <w:rFonts w:hint="default" w:ascii="Times New Roman" w:hAnsi="Times New Roman" w:eastAsia="仿宋" w:cs="Times New Roman"/>
                <w:i/>
                <w:color w:val="auto"/>
                <w:spacing w:val="-5"/>
                <w:sz w:val="24"/>
                <w:szCs w:val="24"/>
                <w:highlight w:val="none"/>
              </w:rPr>
              <w:t>us</w:t>
            </w:r>
            <w:r>
              <w:rPr>
                <w:rFonts w:hint="eastAsia" w:cs="Times New Roman"/>
                <w:i/>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、石楠</w:t>
            </w:r>
            <w:r>
              <w:rPr>
                <w:rFonts w:hint="eastAsia"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Photinia serratifolia</w:t>
            </w:r>
            <w:r>
              <w:rPr>
                <w:rFonts w:hint="eastAsia"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rPr>
              <w:t>、火棘</w:t>
            </w:r>
            <w:r>
              <w:rPr>
                <w:rFonts w:hint="eastAsia" w:cs="Times New Roman"/>
                <w:color w:val="auto"/>
                <w:spacing w:val="-5"/>
                <w:sz w:val="24"/>
                <w:szCs w:val="24"/>
                <w:highlight w:val="none"/>
                <w:lang w:eastAsia="zh-CN"/>
              </w:rPr>
              <w:t>（</w:t>
            </w:r>
            <w:r>
              <w:rPr>
                <w:rFonts w:hint="default" w:ascii="Times New Roman" w:hAnsi="Times New Roman" w:eastAsia="仿宋" w:cs="Times New Roman"/>
                <w:i/>
                <w:color w:val="auto"/>
                <w:spacing w:val="-5"/>
                <w:sz w:val="24"/>
                <w:szCs w:val="24"/>
                <w:highlight w:val="none"/>
              </w:rPr>
              <w:t>Pyracantha</w:t>
            </w:r>
            <w:r>
              <w:rPr>
                <w:rFonts w:hint="default" w:ascii="Times New Roman" w:hAnsi="Times New Roman" w:eastAsia="仿宋" w:cs="Times New Roman"/>
                <w:i/>
                <w:color w:val="auto"/>
                <w:sz w:val="24"/>
                <w:szCs w:val="24"/>
                <w:highlight w:val="none"/>
              </w:rPr>
              <w:t xml:space="preserve"> fortuneana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8"/>
                <w:sz w:val="24"/>
                <w:szCs w:val="24"/>
                <w:highlight w:val="none"/>
              </w:rPr>
              <w:t>等；草本层高度 0.5</w:t>
            </w:r>
            <w:r>
              <w:rPr>
                <w:rFonts w:hint="eastAsia" w:cs="Times New Roman"/>
                <w:color w:val="auto"/>
                <w:spacing w:val="8"/>
                <w:sz w:val="24"/>
                <w:szCs w:val="24"/>
                <w:highlight w:val="none"/>
                <w:lang w:eastAsia="zh-CN"/>
              </w:rPr>
              <w:t>～</w:t>
            </w:r>
            <w:r>
              <w:rPr>
                <w:rFonts w:hint="default" w:ascii="Times New Roman" w:hAnsi="Times New Roman" w:eastAsia="仿宋" w:cs="Times New Roman"/>
                <w:color w:val="auto"/>
                <w:spacing w:val="8"/>
                <w:sz w:val="24"/>
                <w:szCs w:val="24"/>
                <w:highlight w:val="none"/>
              </w:rPr>
              <w:t>0.7m，盖度为 30%，常见种类有凤</w:t>
            </w:r>
            <w:r>
              <w:rPr>
                <w:rFonts w:hint="default" w:ascii="Times New Roman" w:hAnsi="Times New Roman" w:eastAsia="仿宋" w:cs="Times New Roman"/>
                <w:color w:val="auto"/>
                <w:spacing w:val="7"/>
                <w:sz w:val="24"/>
                <w:szCs w:val="24"/>
                <w:highlight w:val="none"/>
              </w:rPr>
              <w:t>尾蕨</w:t>
            </w:r>
            <w:r>
              <w:rPr>
                <w:rFonts w:hint="eastAsia" w:cs="Times New Roman"/>
                <w:color w:val="auto"/>
                <w:spacing w:val="7"/>
                <w:sz w:val="24"/>
                <w:szCs w:val="24"/>
                <w:highlight w:val="none"/>
                <w:lang w:eastAsia="zh-CN"/>
              </w:rPr>
              <w:t>（</w:t>
            </w:r>
            <w:r>
              <w:rPr>
                <w:rFonts w:hint="default" w:ascii="Times New Roman" w:hAnsi="Times New Roman" w:eastAsia="仿宋" w:cs="Times New Roman"/>
                <w:i/>
                <w:color w:val="auto"/>
                <w:sz w:val="24"/>
                <w:szCs w:val="24"/>
                <w:highlight w:val="none"/>
              </w:rPr>
              <w:t>Pteris cretica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0"/>
                <w:sz w:val="24"/>
                <w:szCs w:val="24"/>
                <w:highlight w:val="none"/>
              </w:rPr>
              <w:t xml:space="preserve"> 、野拔子</w:t>
            </w:r>
            <w:r>
              <w:rPr>
                <w:rFonts w:hint="eastAsia" w:cs="Times New Roman"/>
                <w:color w:val="auto"/>
                <w:spacing w:val="10"/>
                <w:sz w:val="24"/>
                <w:szCs w:val="24"/>
                <w:highlight w:val="none"/>
                <w:lang w:eastAsia="zh-CN"/>
              </w:rPr>
              <w:t>（</w:t>
            </w:r>
            <w:r>
              <w:rPr>
                <w:rFonts w:hint="default" w:ascii="Times New Roman" w:hAnsi="Times New Roman" w:eastAsia="仿宋" w:cs="Times New Roman"/>
                <w:i/>
                <w:color w:val="auto"/>
                <w:sz w:val="24"/>
                <w:szCs w:val="24"/>
                <w:highlight w:val="none"/>
              </w:rPr>
              <w:t>Elsholtzia</w:t>
            </w:r>
            <w:r>
              <w:rPr>
                <w:rFonts w:hint="default" w:ascii="Times New Roman" w:hAnsi="Times New Roman" w:eastAsia="仿宋" w:cs="Times New Roman"/>
                <w:i/>
                <w:color w:val="auto"/>
                <w:spacing w:val="70"/>
                <w:w w:val="101"/>
                <w:sz w:val="24"/>
                <w:szCs w:val="24"/>
                <w:highlight w:val="none"/>
              </w:rPr>
              <w:t xml:space="preserve"> </w:t>
            </w:r>
            <w:r>
              <w:rPr>
                <w:rFonts w:hint="default" w:ascii="Times New Roman" w:hAnsi="Times New Roman" w:eastAsia="仿宋" w:cs="Times New Roman"/>
                <w:i/>
                <w:color w:val="auto"/>
                <w:sz w:val="24"/>
                <w:szCs w:val="24"/>
                <w:highlight w:val="none"/>
              </w:rPr>
              <w:t>nigulosa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1"/>
                <w:sz w:val="24"/>
                <w:szCs w:val="24"/>
                <w:highlight w:val="none"/>
              </w:rPr>
              <w:t xml:space="preserve"> </w:t>
            </w:r>
            <w:r>
              <w:rPr>
                <w:rFonts w:hint="default" w:ascii="Times New Roman" w:hAnsi="Times New Roman" w:eastAsia="仿宋" w:cs="Times New Roman"/>
                <w:color w:val="auto"/>
                <w:spacing w:val="10"/>
                <w:sz w:val="24"/>
                <w:szCs w:val="24"/>
                <w:highlight w:val="none"/>
              </w:rPr>
              <w:t>、龙胆草</w:t>
            </w:r>
            <w:r>
              <w:rPr>
                <w:rFonts w:hint="eastAsia" w:cs="Times New Roman"/>
                <w:color w:val="auto"/>
                <w:spacing w:val="10"/>
                <w:sz w:val="24"/>
                <w:szCs w:val="24"/>
                <w:highlight w:val="none"/>
                <w:lang w:eastAsia="zh-CN"/>
              </w:rPr>
              <w:t>（</w:t>
            </w:r>
            <w:r>
              <w:rPr>
                <w:rFonts w:hint="default" w:ascii="Times New Roman" w:hAnsi="Times New Roman" w:eastAsia="仿宋" w:cs="Times New Roman"/>
                <w:i/>
                <w:color w:val="auto"/>
                <w:sz w:val="24"/>
                <w:szCs w:val="24"/>
                <w:highlight w:val="none"/>
              </w:rPr>
              <w:t>Adenophora</w:t>
            </w:r>
            <w:r>
              <w:rPr>
                <w:rFonts w:hint="default" w:ascii="Times New Roman" w:hAnsi="Times New Roman" w:eastAsia="仿宋" w:cs="Times New Roman"/>
                <w:i/>
                <w:color w:val="auto"/>
                <w:spacing w:val="60"/>
                <w:sz w:val="24"/>
                <w:szCs w:val="24"/>
                <w:highlight w:val="none"/>
              </w:rPr>
              <w:t xml:space="preserve"> </w:t>
            </w:r>
            <w:r>
              <w:rPr>
                <w:rFonts w:hint="default" w:ascii="Times New Roman" w:hAnsi="Times New Roman" w:eastAsia="仿宋" w:cs="Times New Roman"/>
                <w:i/>
                <w:color w:val="auto"/>
                <w:sz w:val="24"/>
                <w:szCs w:val="24"/>
                <w:highlight w:val="none"/>
              </w:rPr>
              <w:t>capillaris</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0"/>
                <w:sz w:val="24"/>
                <w:szCs w:val="24"/>
                <w:highlight w:val="none"/>
              </w:rPr>
              <w:t xml:space="preserve"> 、蹄盖蕨</w:t>
            </w:r>
            <w:r>
              <w:rPr>
                <w:rFonts w:hint="eastAsia" w:cs="Times New Roman"/>
                <w:color w:val="auto"/>
                <w:spacing w:val="10"/>
                <w:sz w:val="24"/>
                <w:szCs w:val="24"/>
                <w:highlight w:val="none"/>
                <w:lang w:eastAsia="zh-CN"/>
              </w:rPr>
              <w:t>（</w:t>
            </w:r>
            <w:r>
              <w:rPr>
                <w:rFonts w:hint="default" w:ascii="Times New Roman" w:hAnsi="Times New Roman" w:eastAsia="仿宋" w:cs="Times New Roman"/>
                <w:i/>
                <w:color w:val="auto"/>
                <w:sz w:val="24"/>
                <w:szCs w:val="24"/>
                <w:highlight w:val="none"/>
              </w:rPr>
              <w:t>Athyrium</w:t>
            </w:r>
            <w:r>
              <w:rPr>
                <w:rFonts w:hint="default" w:ascii="Times New Roman" w:hAnsi="Times New Roman" w:eastAsia="仿宋" w:cs="Times New Roman"/>
                <w:i/>
                <w:color w:val="auto"/>
                <w:spacing w:val="-44"/>
                <w:sz w:val="24"/>
                <w:szCs w:val="24"/>
                <w:highlight w:val="none"/>
              </w:rPr>
              <w:t xml:space="preserve"> </w:t>
            </w:r>
            <w:r>
              <w:rPr>
                <w:rFonts w:hint="default" w:ascii="Times New Roman" w:hAnsi="Times New Roman" w:eastAsia="仿宋" w:cs="Times New Roman"/>
                <w:i/>
                <w:color w:val="auto"/>
                <w:sz w:val="24"/>
                <w:szCs w:val="24"/>
                <w:highlight w:val="none"/>
              </w:rPr>
              <w:t>foliolosum</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、臭牡丹</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Clerodendrum</w:t>
            </w:r>
            <w:r>
              <w:rPr>
                <w:rFonts w:hint="default" w:ascii="Times New Roman" w:hAnsi="Times New Roman" w:eastAsia="仿宋" w:cs="Times New Roman"/>
                <w:i/>
                <w:color w:val="auto"/>
                <w:spacing w:val="2"/>
                <w:sz w:val="24"/>
                <w:szCs w:val="24"/>
                <w:highlight w:val="none"/>
              </w:rPr>
              <w:t xml:space="preserve"> </w:t>
            </w:r>
            <w:r>
              <w:rPr>
                <w:rFonts w:hint="default" w:ascii="Times New Roman" w:hAnsi="Times New Roman" w:eastAsia="仿宋" w:cs="Times New Roman"/>
                <w:i/>
                <w:color w:val="auto"/>
                <w:sz w:val="24"/>
                <w:szCs w:val="24"/>
                <w:highlight w:val="none"/>
              </w:rPr>
              <w:t>bungei</w:t>
            </w:r>
            <w:r>
              <w:rPr>
                <w:rFonts w:hint="default" w:ascii="Times New Roman" w:hAnsi="Times New Roman" w:eastAsia="仿宋" w:cs="Times New Roman"/>
                <w:i/>
                <w:color w:val="auto"/>
                <w:spacing w:val="2"/>
                <w:sz w:val="24"/>
                <w:szCs w:val="24"/>
                <w:highlight w:val="none"/>
              </w:rPr>
              <w:t xml:space="preserve"> </w:t>
            </w:r>
            <w:r>
              <w:rPr>
                <w:rFonts w:hint="eastAsia" w:cs="Times New Roman"/>
                <w:i/>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、地石榴</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Ficus</w:t>
            </w:r>
            <w:r>
              <w:rPr>
                <w:rFonts w:hint="default" w:ascii="Times New Roman" w:hAnsi="Times New Roman" w:eastAsia="仿宋" w:cs="Times New Roman"/>
                <w:i/>
                <w:color w:val="auto"/>
                <w:spacing w:val="2"/>
                <w:sz w:val="24"/>
                <w:szCs w:val="24"/>
                <w:highlight w:val="none"/>
              </w:rPr>
              <w:t xml:space="preserve"> </w:t>
            </w:r>
            <w:r>
              <w:rPr>
                <w:rFonts w:hint="default" w:ascii="Times New Roman" w:hAnsi="Times New Roman" w:eastAsia="仿宋" w:cs="Times New Roman"/>
                <w:i/>
                <w:color w:val="auto"/>
                <w:sz w:val="24"/>
                <w:szCs w:val="24"/>
                <w:highlight w:val="none"/>
              </w:rPr>
              <w:t>tikoua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、蛇莓</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pacing w:val="-1"/>
                <w:sz w:val="24"/>
                <w:szCs w:val="24"/>
                <w:highlight w:val="none"/>
              </w:rPr>
              <w:t>Duchesnea indica</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、扭黄茅</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pacing w:val="-1"/>
                <w:sz w:val="24"/>
                <w:szCs w:val="24"/>
                <w:highlight w:val="none"/>
              </w:rPr>
              <w:t>Heteropogon contortus</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、白莲蒿</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pacing w:val="-1"/>
                <w:sz w:val="24"/>
                <w:szCs w:val="24"/>
                <w:highlight w:val="none"/>
              </w:rPr>
              <w:t>Artemisia sacrorum</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w:t>
            </w:r>
            <w:r>
              <w:rPr>
                <w:rFonts w:hint="default" w:ascii="Times New Roman" w:hAnsi="Times New Roman" w:eastAsia="仿宋" w:cs="Times New Roman"/>
                <w:color w:val="auto"/>
                <w:spacing w:val="8"/>
                <w:sz w:val="24"/>
                <w:szCs w:val="24"/>
                <w:highlight w:val="none"/>
              </w:rPr>
              <w:t>白草(</w:t>
            </w:r>
            <w:r>
              <w:rPr>
                <w:rFonts w:hint="default" w:ascii="Times New Roman" w:hAnsi="Times New Roman" w:eastAsia="仿宋" w:cs="Times New Roman"/>
                <w:i/>
                <w:color w:val="auto"/>
                <w:sz w:val="24"/>
                <w:szCs w:val="24"/>
                <w:highlight w:val="none"/>
              </w:rPr>
              <w:t>Pennisetum</w:t>
            </w:r>
            <w:r>
              <w:rPr>
                <w:rFonts w:hint="default" w:ascii="Times New Roman" w:hAnsi="Times New Roman" w:eastAsia="仿宋" w:cs="Times New Roman"/>
                <w:i/>
                <w:color w:val="auto"/>
                <w:spacing w:val="8"/>
                <w:sz w:val="24"/>
                <w:szCs w:val="24"/>
                <w:highlight w:val="none"/>
              </w:rPr>
              <w:t xml:space="preserve">  </w:t>
            </w:r>
            <w:r>
              <w:rPr>
                <w:rFonts w:hint="default" w:ascii="Times New Roman" w:hAnsi="Times New Roman" w:eastAsia="仿宋" w:cs="Times New Roman"/>
                <w:i/>
                <w:color w:val="auto"/>
                <w:sz w:val="24"/>
                <w:szCs w:val="24"/>
                <w:highlight w:val="none"/>
              </w:rPr>
              <w:t>centrasiaticum</w:t>
            </w:r>
            <w:r>
              <w:rPr>
                <w:rFonts w:hint="default" w:ascii="Times New Roman" w:hAnsi="Times New Roman" w:eastAsia="仿宋" w:cs="Times New Roman"/>
                <w:i/>
                <w:color w:val="auto"/>
                <w:spacing w:val="8"/>
                <w:sz w:val="24"/>
                <w:szCs w:val="24"/>
                <w:highlight w:val="none"/>
              </w:rPr>
              <w:t xml:space="preserve">  </w:t>
            </w:r>
            <w:r>
              <w:rPr>
                <w:rFonts w:hint="default" w:ascii="Times New Roman" w:hAnsi="Times New Roman" w:eastAsia="仿宋" w:cs="Times New Roman"/>
                <w:color w:val="auto"/>
                <w:spacing w:val="8"/>
                <w:sz w:val="24"/>
                <w:szCs w:val="24"/>
                <w:highlight w:val="none"/>
              </w:rPr>
              <w:t>、铁</w:t>
            </w:r>
            <w:r>
              <w:rPr>
                <w:rFonts w:hint="default" w:ascii="Times New Roman" w:hAnsi="Times New Roman" w:eastAsia="仿宋" w:cs="Times New Roman"/>
                <w:color w:val="auto"/>
                <w:spacing w:val="-67"/>
                <w:sz w:val="24"/>
                <w:szCs w:val="24"/>
                <w:highlight w:val="none"/>
              </w:rPr>
              <w:t xml:space="preserve"> </w:t>
            </w:r>
            <w:r>
              <w:rPr>
                <w:rFonts w:hint="default" w:ascii="Times New Roman" w:hAnsi="Times New Roman" w:eastAsia="仿宋" w:cs="Times New Roman"/>
                <w:color w:val="auto"/>
                <w:spacing w:val="8"/>
                <w:sz w:val="24"/>
                <w:szCs w:val="24"/>
                <w:highlight w:val="none"/>
              </w:rPr>
              <w:t>线莲</w:t>
            </w:r>
            <w:r>
              <w:rPr>
                <w:rFonts w:hint="eastAsia" w:cs="Times New Roman"/>
                <w:color w:val="auto"/>
                <w:spacing w:val="8"/>
                <w:sz w:val="24"/>
                <w:szCs w:val="24"/>
                <w:highlight w:val="none"/>
                <w:lang w:eastAsia="zh-CN"/>
              </w:rPr>
              <w:t>（</w:t>
            </w:r>
            <w:r>
              <w:rPr>
                <w:rFonts w:hint="default" w:ascii="Times New Roman" w:hAnsi="Times New Roman" w:eastAsia="仿宋" w:cs="Times New Roman"/>
                <w:i/>
                <w:color w:val="auto"/>
                <w:sz w:val="24"/>
                <w:szCs w:val="24"/>
                <w:highlight w:val="none"/>
              </w:rPr>
              <w:t>Clematis</w:t>
            </w:r>
            <w:r>
              <w:rPr>
                <w:rFonts w:hint="default" w:ascii="Times New Roman" w:hAnsi="Times New Roman" w:eastAsia="仿宋" w:cs="Times New Roman"/>
                <w:i/>
                <w:color w:val="auto"/>
                <w:spacing w:val="21"/>
                <w:w w:val="101"/>
                <w:sz w:val="24"/>
                <w:szCs w:val="24"/>
                <w:highlight w:val="none"/>
              </w:rPr>
              <w:t xml:space="preserve"> </w:t>
            </w:r>
            <w:r>
              <w:rPr>
                <w:rFonts w:hint="default" w:ascii="Times New Roman" w:hAnsi="Times New Roman" w:eastAsia="仿宋" w:cs="Times New Roman"/>
                <w:i/>
                <w:color w:val="auto"/>
                <w:sz w:val="24"/>
                <w:szCs w:val="24"/>
                <w:highlight w:val="none"/>
              </w:rPr>
              <w:t>florida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8"/>
                <w:sz w:val="24"/>
                <w:szCs w:val="24"/>
                <w:highlight w:val="none"/>
              </w:rPr>
              <w:t xml:space="preserve"> 、</w:t>
            </w:r>
            <w:r>
              <w:rPr>
                <w:rFonts w:hint="default" w:ascii="Times New Roman" w:hAnsi="Times New Roman" w:eastAsia="仿宋" w:cs="Times New Roman"/>
                <w:color w:val="auto"/>
                <w:spacing w:val="-69"/>
                <w:sz w:val="24"/>
                <w:szCs w:val="24"/>
                <w:highlight w:val="none"/>
              </w:rPr>
              <w:t xml:space="preserve"> </w:t>
            </w:r>
            <w:r>
              <w:rPr>
                <w:rFonts w:hint="default" w:ascii="Times New Roman" w:hAnsi="Times New Roman" w:eastAsia="仿宋" w:cs="Times New Roman"/>
                <w:color w:val="auto"/>
                <w:spacing w:val="8"/>
                <w:sz w:val="24"/>
                <w:szCs w:val="24"/>
                <w:highlight w:val="none"/>
              </w:rPr>
              <w:t>川</w:t>
            </w:r>
            <w:r>
              <w:rPr>
                <w:rFonts w:hint="default" w:ascii="Times New Roman" w:hAnsi="Times New Roman" w:eastAsia="仿宋" w:cs="Times New Roman"/>
                <w:color w:val="auto"/>
                <w:spacing w:val="-69"/>
                <w:sz w:val="24"/>
                <w:szCs w:val="24"/>
                <w:highlight w:val="none"/>
              </w:rPr>
              <w:t xml:space="preserve"> </w:t>
            </w:r>
            <w:r>
              <w:rPr>
                <w:rFonts w:hint="default" w:ascii="Times New Roman" w:hAnsi="Times New Roman" w:eastAsia="仿宋" w:cs="Times New Roman"/>
                <w:color w:val="auto"/>
                <w:spacing w:val="8"/>
                <w:sz w:val="24"/>
                <w:szCs w:val="24"/>
                <w:highlight w:val="none"/>
              </w:rPr>
              <w:t>续</w:t>
            </w:r>
            <w:r>
              <w:rPr>
                <w:rFonts w:hint="default" w:ascii="Times New Roman" w:hAnsi="Times New Roman" w:eastAsia="仿宋" w:cs="Times New Roman"/>
                <w:color w:val="auto"/>
                <w:spacing w:val="-63"/>
                <w:sz w:val="24"/>
                <w:szCs w:val="24"/>
                <w:highlight w:val="none"/>
              </w:rPr>
              <w:t xml:space="preserve"> </w:t>
            </w:r>
            <w:r>
              <w:rPr>
                <w:rFonts w:hint="default" w:ascii="Times New Roman" w:hAnsi="Times New Roman" w:eastAsia="仿宋" w:cs="Times New Roman"/>
                <w:color w:val="auto"/>
                <w:spacing w:val="8"/>
                <w:sz w:val="24"/>
                <w:szCs w:val="24"/>
                <w:highlight w:val="none"/>
              </w:rPr>
              <w:t>断</w:t>
            </w:r>
            <w:r>
              <w:rPr>
                <w:rFonts w:hint="eastAsia" w:cs="Times New Roman"/>
                <w:color w:val="auto"/>
                <w:spacing w:val="8"/>
                <w:sz w:val="24"/>
                <w:szCs w:val="24"/>
                <w:highlight w:val="none"/>
                <w:lang w:eastAsia="zh-CN"/>
              </w:rPr>
              <w:t>（</w:t>
            </w:r>
            <w:r>
              <w:rPr>
                <w:rFonts w:hint="default" w:ascii="Times New Roman" w:hAnsi="Times New Roman" w:eastAsia="仿宋" w:cs="Times New Roman"/>
                <w:i/>
                <w:color w:val="auto"/>
                <w:sz w:val="24"/>
                <w:szCs w:val="24"/>
                <w:highlight w:val="none"/>
              </w:rPr>
              <w:t>Dipsacus asperoides</w:t>
            </w:r>
            <w:r>
              <w:rPr>
                <w:rFonts w:hint="default" w:ascii="Times New Roman" w:hAnsi="Times New Roman" w:eastAsia="仿宋" w:cs="Times New Roman"/>
                <w:i/>
                <w:color w:val="auto"/>
                <w:spacing w:val="11"/>
                <w:sz w:val="24"/>
                <w:szCs w:val="24"/>
                <w:highlight w:val="none"/>
              </w:rPr>
              <w:t xml:space="preserve"> </w:t>
            </w:r>
            <w:r>
              <w:rPr>
                <w:rFonts w:hint="eastAsia" w:cs="Times New Roman"/>
                <w:i/>
                <w:color w:val="auto"/>
                <w:spacing w:val="11"/>
                <w:sz w:val="24"/>
                <w:szCs w:val="24"/>
                <w:highlight w:val="none"/>
                <w:lang w:eastAsia="zh-CN"/>
              </w:rPr>
              <w:t>）</w:t>
            </w:r>
            <w:r>
              <w:rPr>
                <w:rFonts w:hint="default" w:ascii="Times New Roman" w:hAnsi="Times New Roman" w:eastAsia="仿宋" w:cs="Times New Roman"/>
                <w:color w:val="auto"/>
                <w:spacing w:val="-9"/>
                <w:sz w:val="24"/>
                <w:szCs w:val="24"/>
                <w:highlight w:val="none"/>
              </w:rPr>
              <w:t xml:space="preserve"> </w:t>
            </w:r>
            <w:r>
              <w:rPr>
                <w:rFonts w:hint="default" w:ascii="Times New Roman" w:hAnsi="Times New Roman" w:eastAsia="仿宋" w:cs="Times New Roman"/>
                <w:color w:val="auto"/>
                <w:spacing w:val="11"/>
                <w:sz w:val="24"/>
                <w:szCs w:val="24"/>
                <w:highlight w:val="none"/>
              </w:rPr>
              <w:t>、莎草</w:t>
            </w:r>
            <w:r>
              <w:rPr>
                <w:rFonts w:hint="eastAsia" w:cs="Times New Roman"/>
                <w:color w:val="auto"/>
                <w:spacing w:val="11"/>
                <w:sz w:val="24"/>
                <w:szCs w:val="24"/>
                <w:highlight w:val="none"/>
                <w:lang w:eastAsia="zh-CN"/>
              </w:rPr>
              <w:t>（</w:t>
            </w:r>
            <w:r>
              <w:rPr>
                <w:rFonts w:hint="default" w:ascii="Times New Roman" w:hAnsi="Times New Roman" w:eastAsia="仿宋" w:cs="Times New Roman"/>
                <w:i/>
                <w:color w:val="auto"/>
                <w:sz w:val="24"/>
                <w:szCs w:val="24"/>
                <w:highlight w:val="none"/>
              </w:rPr>
              <w:t>Cyperus</w:t>
            </w:r>
            <w:r>
              <w:rPr>
                <w:rFonts w:hint="default" w:ascii="Times New Roman" w:hAnsi="Times New Roman" w:eastAsia="仿宋" w:cs="Times New Roman"/>
                <w:i/>
                <w:color w:val="auto"/>
                <w:spacing w:val="11"/>
                <w:sz w:val="24"/>
                <w:szCs w:val="24"/>
                <w:highlight w:val="none"/>
              </w:rPr>
              <w:t xml:space="preserve">  </w:t>
            </w:r>
            <w:r>
              <w:rPr>
                <w:rFonts w:hint="default" w:ascii="Times New Roman" w:hAnsi="Times New Roman" w:eastAsia="仿宋" w:cs="Times New Roman"/>
                <w:i/>
                <w:color w:val="auto"/>
                <w:sz w:val="24"/>
                <w:szCs w:val="24"/>
                <w:highlight w:val="none"/>
              </w:rPr>
              <w:t>rotundus</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1"/>
                <w:sz w:val="24"/>
                <w:szCs w:val="24"/>
                <w:highlight w:val="none"/>
              </w:rPr>
              <w:t xml:space="preserve"> </w:t>
            </w:r>
            <w:r>
              <w:rPr>
                <w:rFonts w:hint="default" w:ascii="Times New Roman" w:hAnsi="Times New Roman" w:eastAsia="仿宋" w:cs="Times New Roman"/>
                <w:color w:val="auto"/>
                <w:spacing w:val="11"/>
                <w:sz w:val="24"/>
                <w:szCs w:val="24"/>
                <w:highlight w:val="none"/>
              </w:rPr>
              <w:t>、画眉草</w:t>
            </w:r>
            <w:r>
              <w:rPr>
                <w:rFonts w:hint="eastAsia" w:cs="Times New Roman"/>
                <w:color w:val="auto"/>
                <w:spacing w:val="11"/>
                <w:sz w:val="24"/>
                <w:szCs w:val="24"/>
                <w:highlight w:val="none"/>
                <w:lang w:eastAsia="zh-CN"/>
              </w:rPr>
              <w:t>（</w:t>
            </w:r>
            <w:r>
              <w:rPr>
                <w:rFonts w:hint="default" w:ascii="Times New Roman" w:hAnsi="Times New Roman" w:eastAsia="仿宋" w:cs="Times New Roman"/>
                <w:i/>
                <w:color w:val="auto"/>
                <w:sz w:val="24"/>
                <w:szCs w:val="24"/>
                <w:highlight w:val="none"/>
              </w:rPr>
              <w:t>Eragrostis</w:t>
            </w:r>
            <w:r>
              <w:rPr>
                <w:rFonts w:hint="default" w:ascii="Times New Roman" w:hAnsi="Times New Roman" w:eastAsia="仿宋" w:cs="Times New Roman"/>
                <w:i/>
                <w:color w:val="auto"/>
                <w:spacing w:val="25"/>
                <w:sz w:val="24"/>
                <w:szCs w:val="24"/>
                <w:highlight w:val="none"/>
              </w:rPr>
              <w:t xml:space="preserve"> </w:t>
            </w:r>
            <w:r>
              <w:rPr>
                <w:rFonts w:hint="default" w:ascii="Times New Roman" w:hAnsi="Times New Roman" w:eastAsia="仿宋" w:cs="Times New Roman"/>
                <w:i/>
                <w:color w:val="auto"/>
                <w:sz w:val="24"/>
                <w:szCs w:val="24"/>
                <w:highlight w:val="none"/>
              </w:rPr>
              <w:t>pilosa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1"/>
                <w:sz w:val="24"/>
                <w:szCs w:val="24"/>
                <w:highlight w:val="none"/>
              </w:rPr>
              <w:t>、滇茄</w:t>
            </w:r>
            <w:r>
              <w:rPr>
                <w:rFonts w:hint="eastAsia" w:cs="Times New Roman"/>
                <w:color w:val="auto"/>
                <w:spacing w:val="11"/>
                <w:sz w:val="24"/>
                <w:szCs w:val="24"/>
                <w:highlight w:val="none"/>
                <w:lang w:eastAsia="zh-CN"/>
              </w:rPr>
              <w:t>（</w:t>
            </w:r>
            <w:r>
              <w:rPr>
                <w:rFonts w:hint="default" w:ascii="Times New Roman" w:hAnsi="Times New Roman" w:eastAsia="仿宋" w:cs="Times New Roman"/>
                <w:i/>
                <w:color w:val="auto"/>
                <w:sz w:val="24"/>
                <w:szCs w:val="24"/>
                <w:highlight w:val="none"/>
              </w:rPr>
              <w:t xml:space="preserve">Atropa </w:t>
            </w:r>
            <w:r>
              <w:rPr>
                <w:rFonts w:hint="default" w:ascii="Times New Roman" w:hAnsi="Times New Roman" w:eastAsia="仿宋" w:cs="Times New Roman"/>
                <w:i/>
                <w:color w:val="auto"/>
                <w:spacing w:val="-2"/>
                <w:sz w:val="24"/>
                <w:szCs w:val="24"/>
                <w:highlight w:val="none"/>
              </w:rPr>
              <w:t>belladonna</w:t>
            </w:r>
            <w:r>
              <w:rPr>
                <w:rFonts w:hint="eastAsia" w:cs="Times New Roman"/>
                <w:i/>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等。</w:t>
            </w:r>
          </w:p>
          <w:p w14:paraId="6B38AA7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eastAsia" w:cs="Times New Roman"/>
                <w:b/>
                <w:color w:val="auto"/>
                <w:spacing w:val="-1"/>
                <w:sz w:val="24"/>
                <w:szCs w:val="24"/>
                <w:highlight w:val="none"/>
                <w:lang w:eastAsia="zh-CN"/>
              </w:rPr>
              <w:t>Ⅲ</w:t>
            </w:r>
            <w:r>
              <w:rPr>
                <w:rFonts w:hint="default" w:ascii="Times New Roman" w:hAnsi="Times New Roman" w:eastAsia="仿宋" w:cs="Times New Roman"/>
                <w:b/>
                <w:color w:val="auto"/>
                <w:spacing w:val="-1"/>
                <w:sz w:val="24"/>
                <w:szCs w:val="24"/>
                <w:highlight w:val="none"/>
              </w:rPr>
              <w:t xml:space="preserve">  华山松群落</w:t>
            </w:r>
            <w:r>
              <w:rPr>
                <w:rFonts w:hint="eastAsia" w:cs="Times New Roman"/>
                <w:b/>
                <w:color w:val="auto"/>
                <w:spacing w:val="-1"/>
                <w:sz w:val="24"/>
                <w:szCs w:val="24"/>
                <w:highlight w:val="none"/>
                <w:lang w:eastAsia="zh-CN"/>
              </w:rPr>
              <w:t>（</w:t>
            </w:r>
            <w:r>
              <w:rPr>
                <w:rFonts w:hint="default" w:ascii="Times New Roman" w:hAnsi="Times New Roman" w:eastAsia="仿宋" w:cs="Times New Roman"/>
                <w:b/>
                <w:color w:val="auto"/>
                <w:spacing w:val="-1"/>
                <w:sz w:val="24"/>
                <w:szCs w:val="24"/>
                <w:highlight w:val="none"/>
              </w:rPr>
              <w:t xml:space="preserve">From </w:t>
            </w:r>
            <w:r>
              <w:rPr>
                <w:rFonts w:hint="default" w:ascii="Times New Roman" w:hAnsi="Times New Roman" w:eastAsia="仿宋" w:cs="Times New Roman"/>
                <w:b/>
                <w:i/>
                <w:color w:val="auto"/>
                <w:spacing w:val="-1"/>
                <w:sz w:val="24"/>
                <w:szCs w:val="24"/>
                <w:highlight w:val="none"/>
              </w:rPr>
              <w:t>Pinus armandi</w:t>
            </w:r>
            <w:r>
              <w:rPr>
                <w:rFonts w:hint="eastAsia" w:cs="Times New Roman"/>
                <w:b/>
                <w:i/>
                <w:color w:val="auto"/>
                <w:spacing w:val="-1"/>
                <w:sz w:val="24"/>
                <w:szCs w:val="24"/>
                <w:highlight w:val="none"/>
                <w:lang w:eastAsia="zh-CN"/>
              </w:rPr>
              <w:t>）</w:t>
            </w:r>
          </w:p>
          <w:p w14:paraId="28C62D9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93" w:right="33" w:firstLine="495"/>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5"/>
                <w:sz w:val="24"/>
                <w:szCs w:val="24"/>
                <w:highlight w:val="none"/>
              </w:rPr>
              <w:t>华山松群落在评价区广泛分布，华山松形成单优势种类。群落结构分为三层，</w:t>
            </w:r>
            <w:r>
              <w:rPr>
                <w:rFonts w:hint="default" w:ascii="Times New Roman" w:hAnsi="Times New Roman" w:eastAsia="仿宋" w:cs="Times New Roman"/>
                <w:color w:val="auto"/>
                <w:spacing w:val="-3"/>
                <w:sz w:val="24"/>
                <w:szCs w:val="24"/>
                <w:highlight w:val="none"/>
              </w:rPr>
              <w:t>群落总盖度</w:t>
            </w:r>
            <w:r>
              <w:rPr>
                <w:rFonts w:hint="default" w:ascii="Times New Roman" w:hAnsi="Times New Roman" w:eastAsia="仿宋" w:cs="Times New Roman"/>
                <w:color w:val="auto"/>
                <w:spacing w:val="-51"/>
                <w:sz w:val="24"/>
                <w:szCs w:val="24"/>
                <w:highlight w:val="none"/>
              </w:rPr>
              <w:t xml:space="preserve"> </w:t>
            </w:r>
            <w:r>
              <w:rPr>
                <w:rFonts w:hint="default" w:ascii="Times New Roman" w:hAnsi="Times New Roman" w:eastAsia="仿宋" w:cs="Times New Roman"/>
                <w:color w:val="auto"/>
                <w:spacing w:val="-3"/>
                <w:sz w:val="24"/>
                <w:szCs w:val="24"/>
                <w:highlight w:val="none"/>
              </w:rPr>
              <w:t>90%，乔木层高度为</w:t>
            </w:r>
            <w:r>
              <w:rPr>
                <w:rFonts w:hint="default" w:ascii="Times New Roman" w:hAnsi="Times New Roman" w:eastAsia="仿宋" w:cs="Times New Roman"/>
                <w:color w:val="auto"/>
                <w:spacing w:val="-47"/>
                <w:sz w:val="24"/>
                <w:szCs w:val="24"/>
                <w:highlight w:val="none"/>
              </w:rPr>
              <w:t xml:space="preserve"> </w:t>
            </w:r>
            <w:r>
              <w:rPr>
                <w:rFonts w:hint="default" w:ascii="Times New Roman" w:hAnsi="Times New Roman" w:eastAsia="仿宋" w:cs="Times New Roman"/>
                <w:color w:val="auto"/>
                <w:spacing w:val="-3"/>
                <w:sz w:val="24"/>
                <w:szCs w:val="24"/>
                <w:highlight w:val="none"/>
              </w:rPr>
              <w:t>5</w:t>
            </w:r>
            <w:r>
              <w:rPr>
                <w:rFonts w:hint="eastAsia"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9m</w:t>
            </w:r>
            <w:r>
              <w:rPr>
                <w:rFonts w:hint="eastAsia"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盖度为</w:t>
            </w:r>
            <w:r>
              <w:rPr>
                <w:rFonts w:hint="default" w:ascii="Times New Roman" w:hAnsi="Times New Roman" w:eastAsia="仿宋" w:cs="Times New Roman"/>
                <w:color w:val="auto"/>
                <w:spacing w:val="-50"/>
                <w:sz w:val="24"/>
                <w:szCs w:val="24"/>
                <w:highlight w:val="none"/>
              </w:rPr>
              <w:t xml:space="preserve"> </w:t>
            </w:r>
            <w:r>
              <w:rPr>
                <w:rFonts w:hint="eastAsia" w:cs="Times New Roman"/>
                <w:color w:val="auto"/>
                <w:spacing w:val="-50"/>
                <w:sz w:val="24"/>
                <w:szCs w:val="24"/>
                <w:highlight w:val="none"/>
                <w:lang w:eastAsia="zh-CN"/>
              </w:rPr>
              <w:t>90%～95%</w:t>
            </w:r>
            <w:r>
              <w:rPr>
                <w:rFonts w:hint="default" w:ascii="Times New Roman" w:hAnsi="Times New Roman" w:eastAsia="仿宋" w:cs="Times New Roman"/>
                <w:color w:val="auto"/>
                <w:spacing w:val="-3"/>
                <w:sz w:val="24"/>
                <w:szCs w:val="24"/>
                <w:highlight w:val="none"/>
              </w:rPr>
              <w:t>，</w:t>
            </w:r>
            <w:r>
              <w:rPr>
                <w:rFonts w:hint="default" w:ascii="Times New Roman" w:hAnsi="Times New Roman" w:eastAsia="仿宋" w:cs="Times New Roman"/>
                <w:color w:val="auto"/>
                <w:spacing w:val="-4"/>
                <w:sz w:val="24"/>
                <w:szCs w:val="24"/>
                <w:highlight w:val="none"/>
              </w:rPr>
              <w:t>乔木层以华山松占绝对优</w:t>
            </w:r>
            <w:r>
              <w:rPr>
                <w:rFonts w:hint="default" w:ascii="Times New Roman" w:hAnsi="Times New Roman" w:eastAsia="仿宋" w:cs="Times New Roman"/>
                <w:color w:val="auto"/>
                <w:sz w:val="24"/>
                <w:szCs w:val="24"/>
                <w:highlight w:val="none"/>
              </w:rPr>
              <w:t>势，其中混生有云南松</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Pinus</w:t>
            </w:r>
            <w:r>
              <w:rPr>
                <w:rFonts w:hint="default" w:ascii="Times New Roman" w:hAnsi="Times New Roman" w:eastAsia="仿宋" w:cs="Times New Roman"/>
                <w:i/>
                <w:color w:val="auto"/>
                <w:spacing w:val="-17"/>
                <w:sz w:val="24"/>
                <w:szCs w:val="24"/>
                <w:highlight w:val="none"/>
              </w:rPr>
              <w:t xml:space="preserve"> </w:t>
            </w:r>
            <w:r>
              <w:rPr>
                <w:rFonts w:hint="default" w:ascii="Times New Roman" w:hAnsi="Times New Roman" w:eastAsia="仿宋" w:cs="Times New Roman"/>
                <w:i/>
                <w:color w:val="auto"/>
                <w:sz w:val="24"/>
                <w:szCs w:val="24"/>
                <w:highlight w:val="none"/>
              </w:rPr>
              <w:t>yunnanensis</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、干香柏</w:t>
            </w:r>
            <w:r>
              <w:rPr>
                <w:rFonts w:hint="eastAsia" w:cs="Times New Roman"/>
                <w:color w:val="auto"/>
                <w:sz w:val="24"/>
                <w:szCs w:val="24"/>
                <w:highlight w:val="none"/>
                <w:lang w:eastAsia="zh-CN"/>
              </w:rPr>
              <w:t>（</w:t>
            </w:r>
            <w:r>
              <w:rPr>
                <w:rFonts w:hint="default" w:ascii="Times New Roman" w:hAnsi="Times New Roman" w:eastAsia="仿宋" w:cs="Times New Roman"/>
                <w:i/>
                <w:color w:val="auto"/>
                <w:sz w:val="24"/>
                <w:szCs w:val="24"/>
                <w:highlight w:val="none"/>
              </w:rPr>
              <w:t>Cupressus duclouxiana</w:t>
            </w:r>
            <w:r>
              <w:rPr>
                <w:rFonts w:hint="eastAsia" w:cs="Times New Roman"/>
                <w:i/>
                <w:color w:val="auto"/>
                <w:sz w:val="24"/>
                <w:szCs w:val="24"/>
                <w:highlight w:val="none"/>
                <w:lang w:eastAsia="zh-CN"/>
              </w:rPr>
              <w:t>）</w:t>
            </w:r>
            <w:r>
              <w:rPr>
                <w:rFonts w:hint="default" w:ascii="Times New Roman" w:hAnsi="Times New Roman" w:eastAsia="仿宋" w:cs="Times New Roman"/>
                <w:color w:val="auto"/>
                <w:sz w:val="24"/>
                <w:szCs w:val="24"/>
                <w:highlight w:val="none"/>
              </w:rPr>
              <w:t>等乔木</w:t>
            </w:r>
            <w:r>
              <w:rPr>
                <w:rFonts w:hint="default" w:ascii="Times New Roman" w:hAnsi="Times New Roman" w:eastAsia="仿宋" w:cs="Times New Roman"/>
                <w:color w:val="auto"/>
                <w:spacing w:val="4"/>
                <w:sz w:val="24"/>
                <w:szCs w:val="24"/>
                <w:highlight w:val="none"/>
              </w:rPr>
              <w:t>树种；灌木层高度 0.8m，盖度为 80%，主要种类有栒子</w:t>
            </w:r>
            <w:r>
              <w:rPr>
                <w:rFonts w:hint="eastAsia" w:cs="Times New Roman"/>
                <w:color w:val="auto"/>
                <w:spacing w:val="4"/>
                <w:sz w:val="24"/>
                <w:szCs w:val="24"/>
                <w:highlight w:val="none"/>
                <w:lang w:eastAsia="zh-CN"/>
              </w:rPr>
              <w:t>（</w:t>
            </w:r>
            <w:r>
              <w:rPr>
                <w:rFonts w:hint="default" w:ascii="Times New Roman" w:hAnsi="Times New Roman" w:eastAsia="仿宋" w:cs="Times New Roman"/>
                <w:i/>
                <w:color w:val="auto"/>
                <w:sz w:val="24"/>
                <w:szCs w:val="24"/>
                <w:highlight w:val="none"/>
              </w:rPr>
              <w:t>Cotoneaster</w:t>
            </w:r>
            <w:r>
              <w:rPr>
                <w:rFonts w:hint="default" w:ascii="Times New Roman" w:hAnsi="Times New Roman" w:eastAsia="仿宋" w:cs="Times New Roman"/>
                <w:i/>
                <w:color w:val="auto"/>
                <w:spacing w:val="50"/>
                <w:sz w:val="24"/>
                <w:szCs w:val="24"/>
                <w:highlight w:val="none"/>
              </w:rPr>
              <w:t xml:space="preserve"> </w:t>
            </w:r>
            <w:r>
              <w:rPr>
                <w:rFonts w:hint="default" w:ascii="Times New Roman" w:hAnsi="Times New Roman" w:eastAsia="仿宋" w:cs="Times New Roman"/>
                <w:i/>
                <w:color w:val="auto"/>
                <w:sz w:val="24"/>
                <w:szCs w:val="24"/>
                <w:highlight w:val="none"/>
              </w:rPr>
              <w:t>hissaricus Pojark</w:t>
            </w:r>
            <w:r>
              <w:rPr>
                <w:rFonts w:hint="default" w:ascii="Times New Roman" w:hAnsi="Times New Roman" w:eastAsia="仿宋" w:cs="Times New Roman"/>
                <w:i/>
                <w:color w:val="auto"/>
                <w:spacing w:val="1"/>
                <w:sz w:val="24"/>
                <w:szCs w:val="24"/>
                <w:highlight w:val="none"/>
              </w:rPr>
              <w:t xml:space="preserve">. </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、金丝桃</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z w:val="24"/>
                <w:szCs w:val="24"/>
                <w:highlight w:val="none"/>
              </w:rPr>
              <w:t>Hypericum</w:t>
            </w:r>
            <w:r>
              <w:rPr>
                <w:rFonts w:hint="default" w:ascii="Times New Roman" w:hAnsi="Times New Roman" w:eastAsia="仿宋" w:cs="Times New Roman"/>
                <w:i/>
                <w:color w:val="auto"/>
                <w:spacing w:val="-27"/>
                <w:sz w:val="24"/>
                <w:szCs w:val="24"/>
                <w:highlight w:val="none"/>
              </w:rPr>
              <w:t xml:space="preserve"> </w:t>
            </w:r>
            <w:r>
              <w:rPr>
                <w:rFonts w:hint="default" w:ascii="Times New Roman" w:hAnsi="Times New Roman" w:eastAsia="仿宋" w:cs="Times New Roman"/>
                <w:i/>
                <w:color w:val="auto"/>
                <w:sz w:val="24"/>
                <w:szCs w:val="24"/>
                <w:highlight w:val="none"/>
              </w:rPr>
              <w:t>forrestii</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
                <w:sz w:val="24"/>
                <w:szCs w:val="24"/>
                <w:highlight w:val="none"/>
              </w:rPr>
              <w:t>、杜鹃、阔叶十大功劳</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z w:val="24"/>
                <w:szCs w:val="24"/>
                <w:highlight w:val="none"/>
              </w:rPr>
              <w:t>Mahonia</w:t>
            </w:r>
            <w:r>
              <w:rPr>
                <w:rFonts w:hint="default" w:ascii="Times New Roman" w:hAnsi="Times New Roman" w:eastAsia="仿宋" w:cs="Times New Roman"/>
                <w:i/>
                <w:color w:val="auto"/>
                <w:spacing w:val="1"/>
                <w:sz w:val="24"/>
                <w:szCs w:val="24"/>
                <w:highlight w:val="none"/>
              </w:rPr>
              <w:t xml:space="preserve"> </w:t>
            </w:r>
            <w:r>
              <w:rPr>
                <w:rFonts w:hint="default" w:ascii="Times New Roman" w:hAnsi="Times New Roman" w:eastAsia="仿宋" w:cs="Times New Roman"/>
                <w:i/>
                <w:color w:val="auto"/>
                <w:sz w:val="24"/>
                <w:szCs w:val="24"/>
                <w:highlight w:val="none"/>
              </w:rPr>
              <w:t>bealei</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1"/>
                <w:sz w:val="24"/>
                <w:szCs w:val="24"/>
                <w:highlight w:val="none"/>
              </w:rPr>
              <w:t>；草</w:t>
            </w:r>
            <w:r>
              <w:rPr>
                <w:rFonts w:hint="default" w:ascii="Times New Roman" w:hAnsi="Times New Roman" w:eastAsia="仿宋" w:cs="Times New Roman"/>
                <w:color w:val="auto"/>
                <w:sz w:val="24"/>
                <w:szCs w:val="24"/>
                <w:highlight w:val="none"/>
              </w:rPr>
              <w:t>本层高度</w:t>
            </w:r>
            <w:r>
              <w:rPr>
                <w:rFonts w:hint="default" w:ascii="Times New Roman" w:hAnsi="Times New Roman" w:eastAsia="仿宋" w:cs="Times New Roman"/>
                <w:color w:val="auto"/>
                <w:spacing w:val="-51"/>
                <w:sz w:val="24"/>
                <w:szCs w:val="24"/>
                <w:highlight w:val="none"/>
              </w:rPr>
              <w:t xml:space="preserve"> </w:t>
            </w:r>
            <w:r>
              <w:rPr>
                <w:rFonts w:hint="default" w:ascii="Times New Roman" w:hAnsi="Times New Roman" w:eastAsia="仿宋" w:cs="Times New Roman"/>
                <w:color w:val="auto"/>
                <w:sz w:val="24"/>
                <w:szCs w:val="24"/>
                <w:highlight w:val="none"/>
              </w:rPr>
              <w:t>0.2</w:t>
            </w:r>
            <w:r>
              <w:rPr>
                <w:rFonts w:hint="eastAsia"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0.7m，盖度为</w:t>
            </w:r>
            <w:r>
              <w:rPr>
                <w:rFonts w:hint="default" w:ascii="Times New Roman" w:hAnsi="Times New Roman" w:eastAsia="仿宋" w:cs="Times New Roman"/>
                <w:color w:val="auto"/>
                <w:spacing w:val="-39"/>
                <w:sz w:val="24"/>
                <w:szCs w:val="24"/>
                <w:highlight w:val="none"/>
              </w:rPr>
              <w:t xml:space="preserve"> </w:t>
            </w:r>
            <w:r>
              <w:rPr>
                <w:rFonts w:hint="eastAsia" w:cs="Times New Roman"/>
                <w:color w:val="auto"/>
                <w:spacing w:val="-39"/>
                <w:sz w:val="24"/>
                <w:szCs w:val="24"/>
                <w:highlight w:val="none"/>
                <w:lang w:eastAsia="zh-CN"/>
              </w:rPr>
              <w:t>75%—90%</w:t>
            </w:r>
            <w:r>
              <w:rPr>
                <w:rFonts w:hint="default" w:ascii="Times New Roman" w:hAnsi="Times New Roman" w:eastAsia="仿宋" w:cs="Times New Roman"/>
                <w:color w:val="auto"/>
                <w:sz w:val="24"/>
                <w:szCs w:val="24"/>
                <w:highlight w:val="none"/>
              </w:rPr>
              <w:t>，常见种类有云南</w:t>
            </w:r>
            <w:r>
              <w:rPr>
                <w:rFonts w:hint="default" w:ascii="Times New Roman" w:hAnsi="Times New Roman" w:eastAsia="仿宋" w:cs="Times New Roman"/>
                <w:color w:val="auto"/>
                <w:spacing w:val="-1"/>
                <w:sz w:val="24"/>
                <w:szCs w:val="24"/>
                <w:highlight w:val="none"/>
              </w:rPr>
              <w:t>羊茅</w:t>
            </w:r>
            <w:r>
              <w:rPr>
                <w:rFonts w:hint="eastAsia" w:cs="Times New Roman"/>
                <w:color w:val="auto"/>
                <w:spacing w:val="-1"/>
                <w:sz w:val="24"/>
                <w:szCs w:val="24"/>
                <w:highlight w:val="none"/>
                <w:lang w:eastAsia="zh-CN"/>
              </w:rPr>
              <w:t>（</w:t>
            </w:r>
            <w:r>
              <w:rPr>
                <w:rFonts w:hint="default" w:ascii="Times New Roman" w:hAnsi="Times New Roman" w:eastAsia="仿宋" w:cs="Times New Roman"/>
                <w:i/>
                <w:color w:val="auto"/>
                <w:spacing w:val="-1"/>
                <w:sz w:val="24"/>
                <w:szCs w:val="24"/>
                <w:highlight w:val="none"/>
              </w:rPr>
              <w:t>Festuca vierhapperi</w:t>
            </w:r>
            <w:r>
              <w:rPr>
                <w:rFonts w:hint="eastAsia" w:cs="Times New Roman"/>
                <w:i/>
                <w:color w:val="auto"/>
                <w:spacing w:val="-1"/>
                <w:sz w:val="24"/>
                <w:szCs w:val="24"/>
                <w:highlight w:val="none"/>
                <w:lang w:eastAsia="zh-CN"/>
              </w:rPr>
              <w:t>）</w:t>
            </w:r>
            <w:r>
              <w:rPr>
                <w:rFonts w:hint="default" w:ascii="Times New Roman" w:hAnsi="Times New Roman" w:eastAsia="仿宋" w:cs="Times New Roman"/>
                <w:color w:val="auto"/>
                <w:spacing w:val="-35"/>
                <w:sz w:val="24"/>
                <w:szCs w:val="24"/>
                <w:highlight w:val="none"/>
              </w:rPr>
              <w:t xml:space="preserve"> </w:t>
            </w:r>
            <w:r>
              <w:rPr>
                <w:rFonts w:hint="default" w:ascii="Times New Roman" w:hAnsi="Times New Roman" w:eastAsia="仿宋" w:cs="Times New Roman"/>
                <w:color w:val="auto"/>
                <w:spacing w:val="-1"/>
                <w:sz w:val="24"/>
                <w:szCs w:val="24"/>
                <w:highlight w:val="none"/>
              </w:rPr>
              <w:t>、</w:t>
            </w:r>
            <w:r>
              <w:rPr>
                <w:rFonts w:hint="default" w:ascii="Times New Roman" w:hAnsi="Times New Roman" w:eastAsia="仿宋" w:cs="Times New Roman"/>
                <w:color w:val="auto"/>
                <w:spacing w:val="2"/>
                <w:sz w:val="24"/>
                <w:szCs w:val="24"/>
                <w:highlight w:val="none"/>
              </w:rPr>
              <w:t>画眉草、野古草</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Arundinella</w:t>
            </w:r>
            <w:r>
              <w:rPr>
                <w:rFonts w:hint="default" w:ascii="Times New Roman" w:hAnsi="Times New Roman" w:eastAsia="仿宋" w:cs="Times New Roman"/>
                <w:i/>
                <w:color w:val="auto"/>
                <w:spacing w:val="53"/>
                <w:w w:val="101"/>
                <w:sz w:val="24"/>
                <w:szCs w:val="24"/>
                <w:highlight w:val="none"/>
              </w:rPr>
              <w:t xml:space="preserve"> </w:t>
            </w:r>
            <w:r>
              <w:rPr>
                <w:rFonts w:hint="default" w:ascii="Times New Roman" w:hAnsi="Times New Roman" w:eastAsia="仿宋" w:cs="Times New Roman"/>
                <w:i/>
                <w:color w:val="auto"/>
                <w:sz w:val="24"/>
                <w:szCs w:val="24"/>
                <w:highlight w:val="none"/>
              </w:rPr>
              <w:t>anomala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、早熟禾</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Poa</w:t>
            </w:r>
            <w:r>
              <w:rPr>
                <w:rFonts w:hint="default" w:ascii="Times New Roman" w:hAnsi="Times New Roman" w:eastAsia="仿宋" w:cs="Times New Roman"/>
                <w:i/>
                <w:color w:val="auto"/>
                <w:spacing w:val="36"/>
                <w:sz w:val="24"/>
                <w:szCs w:val="24"/>
                <w:highlight w:val="none"/>
              </w:rPr>
              <w:t xml:space="preserve"> </w:t>
            </w:r>
            <w:r>
              <w:rPr>
                <w:rFonts w:hint="default" w:ascii="Times New Roman" w:hAnsi="Times New Roman" w:eastAsia="仿宋" w:cs="Times New Roman"/>
                <w:i/>
                <w:color w:val="auto"/>
                <w:sz w:val="24"/>
                <w:szCs w:val="24"/>
                <w:highlight w:val="none"/>
              </w:rPr>
              <w:t>annua</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、沿阶草</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Ophiopogon bodinieri</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、野拔子</w:t>
            </w:r>
            <w:r>
              <w:rPr>
                <w:rFonts w:hint="eastAsia" w:cs="Times New Roman"/>
                <w:color w:val="auto"/>
                <w:spacing w:val="2"/>
                <w:sz w:val="24"/>
                <w:szCs w:val="24"/>
                <w:highlight w:val="none"/>
                <w:lang w:eastAsia="zh-CN"/>
              </w:rPr>
              <w:t>（</w:t>
            </w:r>
            <w:r>
              <w:rPr>
                <w:rFonts w:hint="default" w:ascii="Times New Roman" w:hAnsi="Times New Roman" w:eastAsia="仿宋" w:cs="Times New Roman"/>
                <w:i/>
                <w:color w:val="auto"/>
                <w:sz w:val="24"/>
                <w:szCs w:val="24"/>
                <w:highlight w:val="none"/>
              </w:rPr>
              <w:t>Elsholtzia</w:t>
            </w:r>
            <w:r>
              <w:rPr>
                <w:rFonts w:hint="default" w:ascii="Times New Roman" w:hAnsi="Times New Roman" w:eastAsia="仿宋" w:cs="Times New Roman"/>
                <w:i/>
                <w:color w:val="auto"/>
                <w:spacing w:val="2"/>
                <w:sz w:val="24"/>
                <w:szCs w:val="24"/>
                <w:highlight w:val="none"/>
              </w:rPr>
              <w:t xml:space="preserve"> </w:t>
            </w:r>
            <w:r>
              <w:rPr>
                <w:rFonts w:hint="default" w:ascii="Times New Roman" w:hAnsi="Times New Roman" w:eastAsia="仿宋" w:cs="Times New Roman"/>
                <w:i/>
                <w:color w:val="auto"/>
                <w:sz w:val="24"/>
                <w:szCs w:val="24"/>
                <w:highlight w:val="none"/>
              </w:rPr>
              <w:t>rugulosaHemsl</w:t>
            </w:r>
            <w:r>
              <w:rPr>
                <w:rFonts w:hint="eastAsia" w:cs="Times New Roman"/>
                <w:i/>
                <w:color w:val="auto"/>
                <w:sz w:val="24"/>
                <w:szCs w:val="24"/>
                <w:highlight w:val="none"/>
                <w:lang w:eastAsia="zh-CN"/>
              </w:rPr>
              <w:t>）</w:t>
            </w:r>
            <w:r>
              <w:rPr>
                <w:rFonts w:hint="default" w:ascii="Times New Roman" w:hAnsi="Times New Roman" w:eastAsia="仿宋" w:cs="Times New Roman"/>
                <w:color w:val="auto"/>
                <w:spacing w:val="2"/>
                <w:sz w:val="24"/>
                <w:szCs w:val="24"/>
                <w:highlight w:val="none"/>
              </w:rPr>
              <w:t>、毛蕨菜等。</w:t>
            </w:r>
          </w:p>
          <w:p w14:paraId="4250CCA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eastAsia" w:cs="Times New Roman"/>
                <w:b/>
                <w:color w:val="auto"/>
                <w:sz w:val="24"/>
                <w:szCs w:val="24"/>
                <w:highlight w:val="none"/>
                <w:lang w:eastAsia="zh-CN"/>
              </w:rPr>
              <w:t>Ⅳ</w:t>
            </w:r>
            <w:r>
              <w:rPr>
                <w:rFonts w:hint="default" w:ascii="Times New Roman" w:hAnsi="Times New Roman" w:eastAsia="仿宋" w:cs="Times New Roman"/>
                <w:b/>
                <w:color w:val="auto"/>
                <w:spacing w:val="5"/>
                <w:sz w:val="24"/>
                <w:szCs w:val="24"/>
                <w:highlight w:val="none"/>
              </w:rPr>
              <w:t xml:space="preserve"> </w:t>
            </w:r>
            <w:r>
              <w:rPr>
                <w:rFonts w:hint="eastAsia" w:cs="Times New Roman"/>
                <w:b/>
                <w:color w:val="auto"/>
                <w:spacing w:val="5"/>
                <w:sz w:val="24"/>
                <w:szCs w:val="24"/>
                <w:highlight w:val="none"/>
                <w:lang w:val="en-US" w:eastAsia="zh-CN"/>
              </w:rPr>
              <w:t>冲天柏</w:t>
            </w:r>
            <w:r>
              <w:rPr>
                <w:rFonts w:hint="eastAsia" w:cs="Times New Roman"/>
                <w:b/>
                <w:color w:val="auto"/>
                <w:spacing w:val="5"/>
                <w:sz w:val="24"/>
                <w:szCs w:val="24"/>
                <w:highlight w:val="none"/>
                <w:lang w:eastAsia="zh-CN"/>
              </w:rPr>
              <w:t>（</w:t>
            </w:r>
            <w:r>
              <w:rPr>
                <w:rFonts w:hint="default" w:ascii="Times New Roman" w:hAnsi="Times New Roman" w:eastAsia="仿宋" w:cs="Times New Roman"/>
                <w:b/>
                <w:color w:val="auto"/>
                <w:spacing w:val="5"/>
                <w:sz w:val="24"/>
                <w:szCs w:val="24"/>
                <w:highlight w:val="none"/>
              </w:rPr>
              <w:t>干香柏</w:t>
            </w:r>
            <w:r>
              <w:rPr>
                <w:rFonts w:hint="eastAsia" w:cs="Times New Roman"/>
                <w:b/>
                <w:color w:val="auto"/>
                <w:spacing w:val="5"/>
                <w:sz w:val="24"/>
                <w:szCs w:val="24"/>
                <w:highlight w:val="none"/>
                <w:lang w:eastAsia="zh-CN"/>
              </w:rPr>
              <w:t>）</w:t>
            </w:r>
            <w:r>
              <w:rPr>
                <w:rFonts w:hint="default" w:ascii="Times New Roman" w:hAnsi="Times New Roman" w:eastAsia="仿宋" w:cs="Times New Roman"/>
                <w:b/>
                <w:color w:val="auto"/>
                <w:spacing w:val="5"/>
                <w:sz w:val="24"/>
                <w:szCs w:val="24"/>
                <w:highlight w:val="none"/>
              </w:rPr>
              <w:t>群落</w:t>
            </w:r>
            <w:r>
              <w:rPr>
                <w:rFonts w:hint="eastAsia" w:cs="Times New Roman"/>
                <w:b/>
                <w:color w:val="auto"/>
                <w:spacing w:val="5"/>
                <w:sz w:val="24"/>
                <w:szCs w:val="24"/>
                <w:highlight w:val="none"/>
                <w:lang w:eastAsia="zh-CN"/>
              </w:rPr>
              <w:t>（</w:t>
            </w:r>
            <w:r>
              <w:rPr>
                <w:rFonts w:hint="default" w:ascii="Times New Roman" w:hAnsi="Times New Roman" w:eastAsia="仿宋" w:cs="Times New Roman"/>
                <w:b/>
                <w:color w:val="auto"/>
                <w:sz w:val="24"/>
                <w:szCs w:val="24"/>
                <w:highlight w:val="none"/>
              </w:rPr>
              <w:t>From</w:t>
            </w:r>
            <w:r>
              <w:rPr>
                <w:rFonts w:hint="default" w:ascii="Times New Roman" w:hAnsi="Times New Roman" w:eastAsia="仿宋" w:cs="Times New Roman"/>
                <w:b/>
                <w:color w:val="auto"/>
                <w:spacing w:val="5"/>
                <w:sz w:val="24"/>
                <w:szCs w:val="24"/>
                <w:highlight w:val="none"/>
              </w:rPr>
              <w:t xml:space="preserve"> </w:t>
            </w:r>
            <w:r>
              <w:rPr>
                <w:rFonts w:hint="default" w:ascii="Times New Roman" w:hAnsi="Times New Roman" w:eastAsia="仿宋" w:cs="Times New Roman"/>
                <w:b/>
                <w:i/>
                <w:color w:val="auto"/>
                <w:sz w:val="24"/>
                <w:szCs w:val="24"/>
                <w:highlight w:val="none"/>
              </w:rPr>
              <w:t>Cupressus</w:t>
            </w:r>
            <w:r>
              <w:rPr>
                <w:rFonts w:hint="default" w:ascii="Times New Roman" w:hAnsi="Times New Roman" w:eastAsia="仿宋" w:cs="Times New Roman"/>
                <w:b/>
                <w:i/>
                <w:color w:val="auto"/>
                <w:spacing w:val="5"/>
                <w:sz w:val="24"/>
                <w:szCs w:val="24"/>
                <w:highlight w:val="none"/>
              </w:rPr>
              <w:t xml:space="preserve"> </w:t>
            </w:r>
            <w:r>
              <w:rPr>
                <w:rFonts w:hint="default" w:ascii="Times New Roman" w:hAnsi="Times New Roman" w:eastAsia="仿宋" w:cs="Times New Roman"/>
                <w:b/>
                <w:i/>
                <w:color w:val="auto"/>
                <w:sz w:val="24"/>
                <w:szCs w:val="24"/>
                <w:highlight w:val="none"/>
              </w:rPr>
              <w:t>duclouxianaHickel</w:t>
            </w:r>
            <w:r>
              <w:rPr>
                <w:rFonts w:hint="eastAsia" w:cs="Times New Roman"/>
                <w:b/>
                <w:i/>
                <w:color w:val="auto"/>
                <w:sz w:val="24"/>
                <w:szCs w:val="24"/>
                <w:highlight w:val="none"/>
                <w:lang w:eastAsia="zh-CN"/>
              </w:rPr>
              <w:t>）</w:t>
            </w:r>
          </w:p>
          <w:p w14:paraId="0DD60D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5"/>
                <w:szCs w:val="25"/>
                <w:highlight w:val="none"/>
              </w:rPr>
            </w:pPr>
            <w:r>
              <w:rPr>
                <w:rFonts w:hint="default" w:ascii="Times New Roman" w:hAnsi="Times New Roman" w:eastAsia="仿宋" w:cs="Times New Roman"/>
                <w:color w:val="auto"/>
                <w:spacing w:val="0"/>
                <w:sz w:val="24"/>
                <w:szCs w:val="24"/>
                <w:highlight w:val="none"/>
              </w:rPr>
              <w:t>该群落均为人工种植，分布于评价区西侧，群落高度2</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6m，群落盖度</w:t>
            </w:r>
            <w:r>
              <w:rPr>
                <w:rFonts w:hint="eastAsia" w:cs="Times New Roman"/>
                <w:color w:val="auto"/>
                <w:spacing w:val="0"/>
                <w:sz w:val="24"/>
                <w:szCs w:val="24"/>
                <w:highlight w:val="none"/>
                <w:lang w:eastAsia="zh-CN"/>
              </w:rPr>
              <w:t>70%～80%</w:t>
            </w:r>
            <w:r>
              <w:rPr>
                <w:rFonts w:hint="default" w:ascii="Times New Roman" w:hAnsi="Times New Roman" w:eastAsia="仿宋" w:cs="Times New Roman"/>
                <w:color w:val="auto"/>
                <w:spacing w:val="0"/>
                <w:sz w:val="24"/>
                <w:szCs w:val="24"/>
                <w:highlight w:val="none"/>
              </w:rPr>
              <w:t>。乔木层盖度</w:t>
            </w:r>
            <w:r>
              <w:rPr>
                <w:rFonts w:hint="eastAsia" w:cs="Times New Roman"/>
                <w:color w:val="auto"/>
                <w:spacing w:val="0"/>
                <w:sz w:val="24"/>
                <w:szCs w:val="24"/>
                <w:highlight w:val="none"/>
                <w:lang w:eastAsia="zh-CN"/>
              </w:rPr>
              <w:t>30%～60%</w:t>
            </w:r>
            <w:r>
              <w:rPr>
                <w:rFonts w:hint="default" w:ascii="Times New Roman" w:hAnsi="Times New Roman" w:eastAsia="仿宋" w:cs="Times New Roman"/>
                <w:color w:val="auto"/>
                <w:spacing w:val="0"/>
                <w:sz w:val="24"/>
                <w:szCs w:val="24"/>
                <w:highlight w:val="none"/>
              </w:rPr>
              <w:t>，高度 2</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6m， 以干香柏纯林居多。灌木层0.5</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2m，盖度</w:t>
            </w:r>
            <w:r>
              <w:rPr>
                <w:rFonts w:hint="eastAsia" w:cs="Times New Roman"/>
                <w:color w:val="auto"/>
                <w:spacing w:val="0"/>
                <w:sz w:val="24"/>
                <w:szCs w:val="24"/>
                <w:highlight w:val="none"/>
                <w:lang w:eastAsia="zh-CN"/>
              </w:rPr>
              <w:t>30%～40%</w:t>
            </w:r>
            <w:r>
              <w:rPr>
                <w:rFonts w:hint="default" w:ascii="Times New Roman" w:hAnsi="Times New Roman" w:eastAsia="仿宋" w:cs="Times New Roman"/>
                <w:color w:val="auto"/>
                <w:spacing w:val="0"/>
                <w:sz w:val="24"/>
                <w:szCs w:val="24"/>
                <w:highlight w:val="none"/>
              </w:rPr>
              <w:t>，常见物种有火棘</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Pyracantha fortuneana</w:t>
            </w:r>
            <w:r>
              <w:rPr>
                <w:rFonts w:hint="eastAsia" w:cs="Times New Roman"/>
                <w:i/>
                <w:color w:val="auto"/>
                <w:spacing w:val="0"/>
                <w:sz w:val="24"/>
                <w:szCs w:val="24"/>
                <w:highlight w:val="none"/>
                <w:lang w:eastAsia="zh-CN"/>
              </w:rPr>
              <w:t>）</w:t>
            </w:r>
            <w:r>
              <w:rPr>
                <w:rFonts w:hint="default" w:ascii="Times New Roman" w:hAnsi="Times New Roman" w:eastAsia="仿宋" w:cs="Times New Roman"/>
                <w:i/>
                <w:color w:val="auto"/>
                <w:spacing w:val="0"/>
                <w:sz w:val="25"/>
                <w:szCs w:val="25"/>
                <w:highlight w:val="none"/>
              </w:rPr>
              <w:t>、</w:t>
            </w:r>
            <w:r>
              <w:rPr>
                <w:rFonts w:hint="default" w:ascii="Times New Roman" w:hAnsi="Times New Roman" w:eastAsia="仿宋" w:cs="Times New Roman"/>
                <w:color w:val="auto"/>
                <w:spacing w:val="0"/>
                <w:sz w:val="24"/>
                <w:szCs w:val="24"/>
                <w:highlight w:val="none"/>
              </w:rPr>
              <w:t>白刺花</w:t>
            </w:r>
            <w:r>
              <w:rPr>
                <w:rFonts w:hint="default" w:ascii="Times New Roman" w:hAnsi="Times New Roman" w:eastAsia="仿宋" w:cs="Times New Roman"/>
                <w:i/>
                <w:color w:val="auto"/>
                <w:spacing w:val="0"/>
                <w:sz w:val="24"/>
                <w:szCs w:val="24"/>
                <w:highlight w:val="none"/>
              </w:rPr>
              <w:t>Sophora davidii</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、清香木</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Pistacia</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weinmannifolia</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、小铁仔</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Myrsine africana</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、川滇金丝桃等。草本层0.4</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 xml:space="preserve">0.5m，盖度 </w:t>
            </w:r>
            <w:r>
              <w:rPr>
                <w:rFonts w:hint="eastAsia" w:cs="Times New Roman"/>
                <w:color w:val="auto"/>
                <w:spacing w:val="0"/>
                <w:sz w:val="24"/>
                <w:szCs w:val="24"/>
                <w:highlight w:val="none"/>
                <w:lang w:eastAsia="zh-CN"/>
              </w:rPr>
              <w:t>70%～80%</w:t>
            </w:r>
            <w:r>
              <w:rPr>
                <w:rFonts w:hint="default" w:ascii="Times New Roman" w:hAnsi="Times New Roman" w:eastAsia="仿宋" w:cs="Times New Roman"/>
                <w:color w:val="auto"/>
                <w:spacing w:val="0"/>
                <w:sz w:val="24"/>
                <w:szCs w:val="24"/>
                <w:highlight w:val="none"/>
              </w:rPr>
              <w:t>，常见黄背草</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Themeda japonica</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、白茅</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Imperata cylindrica</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、龙胆草</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Adenophora capillaris</w:t>
            </w:r>
            <w:r>
              <w:rPr>
                <w:rFonts w:hint="eastAsia" w:cs="Times New Roman"/>
                <w:i/>
                <w:color w:val="auto"/>
                <w:spacing w:val="0"/>
                <w:sz w:val="24"/>
                <w:szCs w:val="24"/>
                <w:highlight w:val="none"/>
                <w:lang w:eastAsia="zh-CN"/>
              </w:rPr>
              <w:t>）</w:t>
            </w:r>
            <w:r>
              <w:rPr>
                <w:rFonts w:hint="default" w:ascii="Times New Roman" w:hAnsi="Times New Roman" w:eastAsia="仿宋" w:cs="Times New Roman"/>
                <w:i/>
                <w:color w:val="auto"/>
                <w:spacing w:val="0"/>
                <w:sz w:val="25"/>
                <w:szCs w:val="25"/>
                <w:highlight w:val="none"/>
              </w:rPr>
              <w:t>、</w:t>
            </w:r>
            <w:r>
              <w:rPr>
                <w:rFonts w:hint="default" w:ascii="Times New Roman" w:hAnsi="Times New Roman" w:eastAsia="仿宋" w:cs="Times New Roman"/>
                <w:color w:val="auto"/>
                <w:spacing w:val="0"/>
                <w:sz w:val="24"/>
                <w:szCs w:val="24"/>
                <w:highlight w:val="none"/>
              </w:rPr>
              <w:t>毛蕨菜等。常见有层间植物铁线莲牵牛</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Ipomoea nil</w:t>
            </w:r>
            <w:r>
              <w:rPr>
                <w:rFonts w:hint="eastAsia" w:cs="Times New Roman"/>
                <w:i/>
                <w:color w:val="auto"/>
                <w:spacing w:val="0"/>
                <w:sz w:val="24"/>
                <w:szCs w:val="24"/>
                <w:highlight w:val="none"/>
                <w:lang w:eastAsia="zh-CN"/>
              </w:rPr>
              <w:t>）</w:t>
            </w:r>
            <w:r>
              <w:rPr>
                <w:rFonts w:hint="default" w:ascii="Times New Roman" w:hAnsi="Times New Roman" w:eastAsia="仿宋" w:cs="Times New Roman"/>
                <w:i/>
                <w:color w:val="auto"/>
                <w:spacing w:val="0"/>
                <w:sz w:val="25"/>
                <w:szCs w:val="25"/>
                <w:highlight w:val="none"/>
              </w:rPr>
              <w:t>、</w:t>
            </w:r>
            <w:r>
              <w:rPr>
                <w:rFonts w:hint="default" w:ascii="Times New Roman" w:hAnsi="Times New Roman" w:eastAsia="仿宋" w:cs="Times New Roman"/>
                <w:color w:val="auto"/>
                <w:spacing w:val="0"/>
                <w:sz w:val="24"/>
                <w:szCs w:val="24"/>
                <w:highlight w:val="none"/>
              </w:rPr>
              <w:t>地石榴</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Ficus tikouaBur</w:t>
            </w:r>
            <w:r>
              <w:rPr>
                <w:rFonts w:hint="default" w:ascii="Times New Roman" w:hAnsi="Times New Roman" w:eastAsia="仿宋" w:cs="Times New Roman"/>
                <w:i/>
                <w:color w:val="auto"/>
                <w:spacing w:val="0"/>
                <w:sz w:val="24"/>
                <w:szCs w:val="24"/>
                <w:highlight w:val="none"/>
                <w:lang w:val="en-US" w:eastAsia="zh-CN"/>
              </w:rPr>
              <w:t>eau</w:t>
            </w:r>
            <w:r>
              <w:rPr>
                <w:rFonts w:hint="eastAsia" w:cs="Times New Roman"/>
                <w:i/>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等</w:t>
            </w:r>
            <w:r>
              <w:rPr>
                <w:rFonts w:hint="default" w:ascii="Times New Roman" w:hAnsi="Times New Roman" w:eastAsia="仿宋" w:cs="Times New Roman"/>
                <w:i/>
                <w:color w:val="auto"/>
                <w:spacing w:val="0"/>
                <w:sz w:val="25"/>
                <w:szCs w:val="25"/>
                <w:highlight w:val="none"/>
              </w:rPr>
              <w:t>。</w:t>
            </w:r>
          </w:p>
          <w:p w14:paraId="5F83BA4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pacing w:val="-1"/>
                <w:sz w:val="24"/>
                <w:szCs w:val="24"/>
                <w:highlight w:val="none"/>
              </w:rPr>
              <w:t>V</w:t>
            </w:r>
            <w:r>
              <w:rPr>
                <w:rFonts w:hint="default" w:ascii="Times New Roman" w:hAnsi="Times New Roman" w:eastAsia="仿宋" w:cs="Times New Roman"/>
                <w:b/>
                <w:color w:val="auto"/>
                <w:spacing w:val="15"/>
                <w:sz w:val="24"/>
                <w:szCs w:val="24"/>
                <w:highlight w:val="none"/>
              </w:rPr>
              <w:t xml:space="preserve"> </w:t>
            </w:r>
            <w:r>
              <w:rPr>
                <w:rFonts w:hint="default" w:ascii="Times New Roman" w:hAnsi="Times New Roman" w:eastAsia="仿宋" w:cs="Times New Roman"/>
                <w:b/>
                <w:color w:val="auto"/>
                <w:spacing w:val="-1"/>
                <w:sz w:val="24"/>
                <w:szCs w:val="24"/>
                <w:highlight w:val="none"/>
              </w:rPr>
              <w:t>云南松、栓皮栎群落</w:t>
            </w:r>
            <w:r>
              <w:rPr>
                <w:rFonts w:hint="eastAsia" w:cs="Times New Roman"/>
                <w:b/>
                <w:color w:val="auto"/>
                <w:spacing w:val="-1"/>
                <w:sz w:val="24"/>
                <w:szCs w:val="24"/>
                <w:highlight w:val="none"/>
                <w:lang w:eastAsia="zh-CN"/>
              </w:rPr>
              <w:t>（</w:t>
            </w:r>
            <w:r>
              <w:rPr>
                <w:rFonts w:hint="default" w:ascii="Times New Roman" w:hAnsi="Times New Roman" w:eastAsia="仿宋" w:cs="Times New Roman"/>
                <w:b/>
                <w:color w:val="auto"/>
                <w:spacing w:val="-1"/>
                <w:sz w:val="24"/>
                <w:szCs w:val="24"/>
                <w:highlight w:val="none"/>
              </w:rPr>
              <w:t>Form.</w:t>
            </w:r>
            <w:r>
              <w:rPr>
                <w:rFonts w:hint="default" w:ascii="Times New Roman" w:hAnsi="Times New Roman" w:eastAsia="仿宋" w:cs="Times New Roman"/>
                <w:b/>
                <w:i/>
                <w:color w:val="auto"/>
                <w:spacing w:val="-1"/>
                <w:sz w:val="24"/>
                <w:szCs w:val="24"/>
                <w:highlight w:val="none"/>
              </w:rPr>
              <w:t>Pinus</w:t>
            </w:r>
            <w:r>
              <w:rPr>
                <w:rFonts w:hint="default" w:ascii="Times New Roman" w:hAnsi="Times New Roman" w:eastAsia="仿宋" w:cs="Times New Roman"/>
                <w:b/>
                <w:i/>
                <w:color w:val="auto"/>
                <w:spacing w:val="-22"/>
                <w:sz w:val="24"/>
                <w:szCs w:val="24"/>
                <w:highlight w:val="none"/>
              </w:rPr>
              <w:t xml:space="preserve"> </w:t>
            </w:r>
            <w:r>
              <w:rPr>
                <w:rFonts w:hint="default" w:ascii="Times New Roman" w:hAnsi="Times New Roman" w:eastAsia="仿宋" w:cs="Times New Roman"/>
                <w:b/>
                <w:i/>
                <w:color w:val="auto"/>
                <w:spacing w:val="-1"/>
                <w:sz w:val="24"/>
                <w:szCs w:val="24"/>
                <w:highlight w:val="none"/>
              </w:rPr>
              <w:t>yunnanensis</w:t>
            </w:r>
            <w:r>
              <w:rPr>
                <w:rFonts w:hint="default" w:ascii="Times New Roman" w:hAnsi="Times New Roman" w:eastAsia="仿宋" w:cs="Times New Roman"/>
                <w:b/>
                <w:i/>
                <w:color w:val="auto"/>
                <w:spacing w:val="-24"/>
                <w:sz w:val="24"/>
                <w:szCs w:val="24"/>
                <w:highlight w:val="none"/>
              </w:rPr>
              <w:t xml:space="preserve"> </w:t>
            </w:r>
            <w:r>
              <w:rPr>
                <w:rFonts w:hint="default" w:ascii="Times New Roman" w:hAnsi="Times New Roman" w:eastAsia="仿宋" w:cs="Times New Roman"/>
                <w:b/>
                <w:i/>
                <w:color w:val="auto"/>
                <w:spacing w:val="-1"/>
                <w:sz w:val="25"/>
                <w:szCs w:val="25"/>
                <w:highlight w:val="none"/>
              </w:rPr>
              <w:t>、</w:t>
            </w:r>
            <w:r>
              <w:rPr>
                <w:rFonts w:hint="default" w:ascii="Times New Roman" w:hAnsi="Times New Roman" w:eastAsia="仿宋" w:cs="Times New Roman"/>
                <w:b/>
                <w:i/>
                <w:color w:val="auto"/>
                <w:spacing w:val="-1"/>
                <w:sz w:val="24"/>
                <w:szCs w:val="24"/>
                <w:highlight w:val="none"/>
              </w:rPr>
              <w:t>Quercus variabilis</w:t>
            </w:r>
            <w:r>
              <w:rPr>
                <w:rFonts w:hint="eastAsia" w:cs="Times New Roman"/>
                <w:b/>
                <w:i/>
                <w:color w:val="auto"/>
                <w:spacing w:val="-1"/>
                <w:sz w:val="24"/>
                <w:szCs w:val="24"/>
                <w:highlight w:val="none"/>
                <w:lang w:eastAsia="zh-CN"/>
              </w:rPr>
              <w:t>）</w:t>
            </w:r>
          </w:p>
          <w:p w14:paraId="4231A8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 xml:space="preserve">群落高 8~ 10m，盖度80%。乔木层高8~ 10m，盖度 </w:t>
            </w:r>
            <w:r>
              <w:rPr>
                <w:rFonts w:hint="eastAsia" w:cs="Times New Roman"/>
                <w:color w:val="auto"/>
                <w:spacing w:val="0"/>
                <w:sz w:val="24"/>
                <w:szCs w:val="24"/>
                <w:highlight w:val="none"/>
                <w:lang w:eastAsia="zh-CN"/>
              </w:rPr>
              <w:t>60%～70%</w:t>
            </w:r>
            <w:r>
              <w:rPr>
                <w:rFonts w:hint="default" w:ascii="Times New Roman" w:hAnsi="Times New Roman" w:eastAsia="仿宋" w:cs="Times New Roman"/>
                <w:color w:val="auto"/>
                <w:spacing w:val="0"/>
                <w:sz w:val="24"/>
                <w:szCs w:val="24"/>
                <w:highlight w:val="none"/>
              </w:rPr>
              <w:t>，以云南松和栓皮栎</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Quercus variabilis</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为优势种，有少数华山松混生。灌木层高 1.5m，盖度10%，常见灌木有小铁仔、金丝桃、荚蒾</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Viburnum dilatatum</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、马桑等，草本层高0.3m，盖度 20%，常见植物有凤尾蕨</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Pteriscretica</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、蓟</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Cirsium japonicum</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、毛蕨菜、白蒿等。层间主要常见有铁线莲。</w:t>
            </w:r>
          </w:p>
          <w:p w14:paraId="19BF5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val="en-US" w:eastAsia="zh-CN"/>
              </w:rPr>
              <w:t>C.</w:t>
            </w:r>
            <w:r>
              <w:rPr>
                <w:rFonts w:hint="eastAsia" w:cs="Times New Roman"/>
                <w:color w:val="auto"/>
                <w:spacing w:val="-2"/>
                <w:sz w:val="24"/>
                <w:szCs w:val="24"/>
                <w:highlight w:val="none"/>
                <w:lang w:val="en-US" w:eastAsia="zh-CN"/>
              </w:rPr>
              <w:t>干热</w:t>
            </w:r>
            <w:r>
              <w:rPr>
                <w:rFonts w:hint="default" w:ascii="Times New Roman" w:hAnsi="Times New Roman" w:eastAsia="仿宋" w:cs="Times New Roman"/>
                <w:color w:val="auto"/>
                <w:spacing w:val="-2"/>
                <w:sz w:val="24"/>
                <w:szCs w:val="24"/>
                <w:highlight w:val="none"/>
              </w:rPr>
              <w:t>灌丛</w:t>
            </w:r>
          </w:p>
          <w:p w14:paraId="6CD1C4F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pacing w:val="-2"/>
                <w:sz w:val="24"/>
                <w:szCs w:val="24"/>
                <w:highlight w:val="none"/>
              </w:rPr>
              <w:t>Ⅵ</w:t>
            </w:r>
            <w:r>
              <w:rPr>
                <w:rFonts w:hint="eastAsia" w:cs="Times New Roman"/>
                <w:b/>
                <w:color w:val="auto"/>
                <w:spacing w:val="62"/>
                <w:w w:val="101"/>
                <w:sz w:val="24"/>
                <w:szCs w:val="24"/>
                <w:highlight w:val="none"/>
                <w:lang w:val="en-US" w:eastAsia="zh-CN"/>
              </w:rPr>
              <w:t xml:space="preserve"> </w:t>
            </w:r>
            <w:r>
              <w:rPr>
                <w:rFonts w:hint="default" w:ascii="Times New Roman" w:hAnsi="Times New Roman" w:eastAsia="仿宋" w:cs="Times New Roman"/>
                <w:b/>
                <w:color w:val="auto"/>
                <w:spacing w:val="-2"/>
                <w:sz w:val="24"/>
                <w:szCs w:val="24"/>
                <w:highlight w:val="none"/>
              </w:rPr>
              <w:t>白刺花灌丛</w:t>
            </w:r>
            <w:r>
              <w:rPr>
                <w:rFonts w:hint="eastAsia" w:cs="Times New Roman"/>
                <w:b/>
                <w:color w:val="auto"/>
                <w:spacing w:val="-2"/>
                <w:sz w:val="24"/>
                <w:szCs w:val="24"/>
                <w:highlight w:val="none"/>
                <w:lang w:eastAsia="zh-CN"/>
              </w:rPr>
              <w:t>（</w:t>
            </w:r>
            <w:r>
              <w:rPr>
                <w:rFonts w:hint="default" w:ascii="Times New Roman" w:hAnsi="Times New Roman" w:eastAsia="仿宋" w:cs="Times New Roman"/>
                <w:b/>
                <w:i w:val="0"/>
                <w:iCs w:val="0"/>
                <w:color w:val="auto"/>
                <w:spacing w:val="-2"/>
                <w:sz w:val="24"/>
                <w:szCs w:val="24"/>
                <w:highlight w:val="none"/>
              </w:rPr>
              <w:t>From</w:t>
            </w:r>
            <w:r>
              <w:rPr>
                <w:rFonts w:hint="default" w:ascii="Times New Roman" w:hAnsi="Times New Roman" w:eastAsia="仿宋" w:cs="Times New Roman"/>
                <w:b/>
                <w:color w:val="auto"/>
                <w:spacing w:val="-2"/>
                <w:sz w:val="24"/>
                <w:szCs w:val="24"/>
                <w:highlight w:val="none"/>
              </w:rPr>
              <w:t xml:space="preserve"> </w:t>
            </w:r>
            <w:r>
              <w:rPr>
                <w:rFonts w:hint="default" w:ascii="Times New Roman" w:hAnsi="Times New Roman" w:eastAsia="仿宋" w:cs="Times New Roman"/>
                <w:b/>
                <w:i/>
                <w:color w:val="auto"/>
                <w:spacing w:val="-2"/>
                <w:sz w:val="24"/>
                <w:szCs w:val="24"/>
                <w:highlight w:val="none"/>
              </w:rPr>
              <w:t>Sophora davidii</w:t>
            </w:r>
            <w:r>
              <w:rPr>
                <w:rFonts w:hint="eastAsia" w:cs="Times New Roman"/>
                <w:b/>
                <w:i/>
                <w:color w:val="auto"/>
                <w:spacing w:val="-2"/>
                <w:sz w:val="24"/>
                <w:szCs w:val="24"/>
                <w:highlight w:val="none"/>
                <w:lang w:eastAsia="zh-CN"/>
              </w:rPr>
              <w:t>）</w:t>
            </w:r>
          </w:p>
          <w:p w14:paraId="703483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该群落在评价区广泛分布，群落高约2m，群落盖度约75%，群落结构简单，分为灌木层和草本层。灌木层高2m，盖度30%，以白刺花为优势种，</w:t>
            </w:r>
            <w:r>
              <w:rPr>
                <w:rFonts w:hint="eastAsia" w:cs="Times New Roman"/>
                <w:color w:val="auto"/>
                <w:spacing w:val="0"/>
                <w:sz w:val="24"/>
                <w:szCs w:val="24"/>
                <w:highlight w:val="none"/>
                <w:lang w:eastAsia="zh-CN"/>
              </w:rPr>
              <w:t>其他</w:t>
            </w:r>
            <w:r>
              <w:rPr>
                <w:rFonts w:hint="default" w:ascii="Times New Roman" w:hAnsi="Times New Roman" w:eastAsia="仿宋" w:cs="Times New Roman"/>
                <w:color w:val="auto"/>
                <w:spacing w:val="0"/>
                <w:sz w:val="24"/>
                <w:szCs w:val="24"/>
                <w:highlight w:val="none"/>
              </w:rPr>
              <w:t>常见物种有醉鱼草、悬钩子、戟叶酸模等。草本层高度约0.5</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1m，盖度达60%，以白茅、黄背草等禾本科植物为优势，</w:t>
            </w:r>
            <w:r>
              <w:rPr>
                <w:rFonts w:hint="eastAsia" w:cs="Times New Roman"/>
                <w:color w:val="auto"/>
                <w:spacing w:val="0"/>
                <w:sz w:val="24"/>
                <w:szCs w:val="24"/>
                <w:highlight w:val="none"/>
                <w:lang w:eastAsia="zh-CN"/>
              </w:rPr>
              <w:t>其他</w:t>
            </w:r>
            <w:r>
              <w:rPr>
                <w:rFonts w:hint="default" w:ascii="Times New Roman" w:hAnsi="Times New Roman" w:eastAsia="仿宋" w:cs="Times New Roman"/>
                <w:color w:val="auto"/>
                <w:spacing w:val="0"/>
                <w:sz w:val="24"/>
                <w:szCs w:val="24"/>
                <w:highlight w:val="none"/>
              </w:rPr>
              <w:t>常见植物有白莲蒿、鬼针草、画眉草、荩草</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Arthraxon hispidus</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、鼠尾粟、牛筋草、小蓬草</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Conyza canadensis</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、砖子苗</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 xml:space="preserve">Mariscus sumatrensis </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、早熟禾、狗尾草</w:t>
            </w:r>
            <w:r>
              <w:rPr>
                <w:rFonts w:hint="eastAsia" w:cs="Times New Roman"/>
                <w:color w:val="auto"/>
                <w:spacing w:val="0"/>
                <w:sz w:val="24"/>
                <w:szCs w:val="24"/>
                <w:highlight w:val="none"/>
                <w:lang w:eastAsia="zh-CN"/>
              </w:rPr>
              <w:t>（</w:t>
            </w:r>
            <w:r>
              <w:rPr>
                <w:rFonts w:hint="default" w:ascii="Times New Roman" w:hAnsi="Times New Roman" w:eastAsia="仿宋" w:cs="Times New Roman"/>
                <w:i/>
                <w:color w:val="auto"/>
                <w:spacing w:val="0"/>
                <w:sz w:val="24"/>
                <w:szCs w:val="24"/>
                <w:highlight w:val="none"/>
              </w:rPr>
              <w:t>Setaria viridis</w:t>
            </w:r>
            <w:r>
              <w:rPr>
                <w:rFonts w:hint="eastAsia" w:cs="Times New Roman"/>
                <w:i/>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等。层间植物有牵牛花、铁线莲等。</w:t>
            </w:r>
          </w:p>
          <w:p w14:paraId="2A3156D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lang w:val="en-US" w:eastAsia="zh-CN"/>
              </w:rPr>
              <w:t>D.</w:t>
            </w:r>
            <w:r>
              <w:rPr>
                <w:rFonts w:hint="default" w:ascii="Times New Roman" w:hAnsi="Times New Roman" w:eastAsia="仿宋" w:cs="Times New Roman"/>
                <w:color w:val="auto"/>
                <w:spacing w:val="-1"/>
                <w:sz w:val="24"/>
                <w:szCs w:val="24"/>
                <w:highlight w:val="none"/>
              </w:rPr>
              <w:t>暖温性稀树灌木草丛</w:t>
            </w:r>
          </w:p>
          <w:p w14:paraId="53F240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105" w:right="103" w:firstLine="48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pacing w:val="-4"/>
                <w:sz w:val="24"/>
                <w:szCs w:val="24"/>
                <w:highlight w:val="none"/>
              </w:rPr>
              <w:t>Ⅶ</w:t>
            </w:r>
            <w:r>
              <w:rPr>
                <w:rFonts w:hint="default" w:ascii="Times New Roman" w:hAnsi="Times New Roman" w:eastAsia="仿宋" w:cs="Times New Roman"/>
                <w:b/>
                <w:color w:val="auto"/>
                <w:spacing w:val="-4"/>
                <w:sz w:val="24"/>
                <w:szCs w:val="24"/>
                <w:highlight w:val="none"/>
                <w:lang w:val="en-US" w:eastAsia="zh-CN"/>
              </w:rPr>
              <w:t xml:space="preserve"> </w:t>
            </w:r>
            <w:r>
              <w:rPr>
                <w:rFonts w:hint="default" w:ascii="Times New Roman" w:hAnsi="Times New Roman" w:eastAsia="仿宋" w:cs="Times New Roman"/>
                <w:b/>
                <w:color w:val="auto"/>
                <w:spacing w:val="-4"/>
                <w:sz w:val="24"/>
                <w:szCs w:val="24"/>
                <w:highlight w:val="none"/>
              </w:rPr>
              <w:t>黄</w:t>
            </w:r>
            <w:r>
              <w:rPr>
                <w:rFonts w:hint="default" w:ascii="Times New Roman" w:hAnsi="Times New Roman" w:eastAsia="仿宋" w:cs="Times New Roman"/>
                <w:color w:val="auto"/>
                <w:spacing w:val="-51"/>
                <w:sz w:val="24"/>
                <w:szCs w:val="24"/>
                <w:highlight w:val="none"/>
              </w:rPr>
              <w:t xml:space="preserve"> </w:t>
            </w:r>
            <w:r>
              <w:rPr>
                <w:rFonts w:hint="default" w:ascii="Times New Roman" w:hAnsi="Times New Roman" w:eastAsia="仿宋" w:cs="Times New Roman"/>
                <w:b/>
                <w:color w:val="auto"/>
                <w:spacing w:val="-4"/>
                <w:sz w:val="24"/>
                <w:szCs w:val="24"/>
                <w:highlight w:val="none"/>
              </w:rPr>
              <w:t>背</w:t>
            </w:r>
            <w:r>
              <w:rPr>
                <w:rFonts w:hint="default" w:ascii="Times New Roman" w:hAnsi="Times New Roman" w:eastAsia="仿宋" w:cs="Times New Roman"/>
                <w:color w:val="auto"/>
                <w:spacing w:val="-54"/>
                <w:sz w:val="24"/>
                <w:szCs w:val="24"/>
                <w:highlight w:val="none"/>
              </w:rPr>
              <w:t xml:space="preserve"> </w:t>
            </w:r>
            <w:r>
              <w:rPr>
                <w:rFonts w:hint="default" w:ascii="Times New Roman" w:hAnsi="Times New Roman" w:eastAsia="仿宋" w:cs="Times New Roman"/>
                <w:b/>
                <w:color w:val="auto"/>
                <w:spacing w:val="-4"/>
                <w:sz w:val="24"/>
                <w:szCs w:val="24"/>
                <w:highlight w:val="none"/>
              </w:rPr>
              <w:t>草、白</w:t>
            </w:r>
            <w:r>
              <w:rPr>
                <w:rFonts w:hint="default" w:ascii="Times New Roman" w:hAnsi="Times New Roman" w:eastAsia="仿宋" w:cs="Times New Roman"/>
                <w:color w:val="auto"/>
                <w:spacing w:val="-54"/>
                <w:sz w:val="24"/>
                <w:szCs w:val="24"/>
                <w:highlight w:val="none"/>
              </w:rPr>
              <w:t xml:space="preserve"> </w:t>
            </w:r>
            <w:r>
              <w:rPr>
                <w:rFonts w:hint="default" w:ascii="Times New Roman" w:hAnsi="Times New Roman" w:eastAsia="仿宋" w:cs="Times New Roman"/>
                <w:b/>
                <w:color w:val="auto"/>
                <w:spacing w:val="-4"/>
                <w:sz w:val="24"/>
                <w:szCs w:val="24"/>
                <w:highlight w:val="none"/>
              </w:rPr>
              <w:t>草</w:t>
            </w:r>
            <w:r>
              <w:rPr>
                <w:rFonts w:hint="default" w:ascii="Times New Roman" w:hAnsi="Times New Roman" w:eastAsia="仿宋" w:cs="Times New Roman"/>
                <w:color w:val="auto"/>
                <w:spacing w:val="-39"/>
                <w:sz w:val="24"/>
                <w:szCs w:val="24"/>
                <w:highlight w:val="none"/>
              </w:rPr>
              <w:t xml:space="preserve"> </w:t>
            </w:r>
            <w:r>
              <w:rPr>
                <w:rFonts w:hint="default" w:ascii="Times New Roman" w:hAnsi="Times New Roman" w:eastAsia="仿宋" w:cs="Times New Roman"/>
                <w:b/>
                <w:color w:val="auto"/>
                <w:spacing w:val="-4"/>
                <w:sz w:val="24"/>
                <w:szCs w:val="24"/>
                <w:highlight w:val="none"/>
              </w:rPr>
              <w:t>、</w:t>
            </w:r>
            <w:r>
              <w:rPr>
                <w:rFonts w:hint="default" w:ascii="Times New Roman" w:hAnsi="Times New Roman" w:eastAsia="仿宋" w:cs="Times New Roman"/>
                <w:color w:val="auto"/>
                <w:spacing w:val="-55"/>
                <w:sz w:val="24"/>
                <w:szCs w:val="24"/>
                <w:highlight w:val="none"/>
              </w:rPr>
              <w:t xml:space="preserve"> </w:t>
            </w:r>
            <w:r>
              <w:rPr>
                <w:rFonts w:hint="default" w:ascii="Times New Roman" w:hAnsi="Times New Roman" w:eastAsia="仿宋" w:cs="Times New Roman"/>
                <w:b/>
                <w:color w:val="auto"/>
                <w:spacing w:val="-4"/>
                <w:sz w:val="24"/>
                <w:szCs w:val="24"/>
                <w:highlight w:val="none"/>
              </w:rPr>
              <w:t>蔗</w:t>
            </w:r>
            <w:r>
              <w:rPr>
                <w:rFonts w:hint="default" w:ascii="Times New Roman" w:hAnsi="Times New Roman" w:eastAsia="仿宋" w:cs="Times New Roman"/>
                <w:color w:val="auto"/>
                <w:spacing w:val="-55"/>
                <w:sz w:val="24"/>
                <w:szCs w:val="24"/>
                <w:highlight w:val="none"/>
              </w:rPr>
              <w:t xml:space="preserve"> </w:t>
            </w:r>
            <w:r>
              <w:rPr>
                <w:rFonts w:hint="default" w:ascii="Times New Roman" w:hAnsi="Times New Roman" w:eastAsia="仿宋" w:cs="Times New Roman"/>
                <w:b/>
                <w:color w:val="auto"/>
                <w:spacing w:val="-4"/>
                <w:sz w:val="24"/>
                <w:szCs w:val="24"/>
                <w:highlight w:val="none"/>
              </w:rPr>
              <w:t>茅</w:t>
            </w:r>
            <w:r>
              <w:rPr>
                <w:rFonts w:hint="default" w:ascii="Times New Roman" w:hAnsi="Times New Roman" w:eastAsia="仿宋" w:cs="Times New Roman"/>
                <w:color w:val="auto"/>
                <w:spacing w:val="-56"/>
                <w:sz w:val="24"/>
                <w:szCs w:val="24"/>
                <w:highlight w:val="none"/>
              </w:rPr>
              <w:t xml:space="preserve"> </w:t>
            </w:r>
            <w:r>
              <w:rPr>
                <w:rFonts w:hint="default" w:ascii="Times New Roman" w:hAnsi="Times New Roman" w:eastAsia="仿宋" w:cs="Times New Roman"/>
                <w:b/>
                <w:color w:val="auto"/>
                <w:spacing w:val="-4"/>
                <w:sz w:val="24"/>
                <w:szCs w:val="24"/>
                <w:highlight w:val="none"/>
              </w:rPr>
              <w:t>群</w:t>
            </w:r>
            <w:r>
              <w:rPr>
                <w:rFonts w:hint="default" w:ascii="Times New Roman" w:hAnsi="Times New Roman" w:eastAsia="仿宋" w:cs="Times New Roman"/>
                <w:color w:val="auto"/>
                <w:spacing w:val="-53"/>
                <w:sz w:val="24"/>
                <w:szCs w:val="24"/>
                <w:highlight w:val="none"/>
              </w:rPr>
              <w:t xml:space="preserve"> </w:t>
            </w:r>
            <w:r>
              <w:rPr>
                <w:rFonts w:hint="default" w:ascii="Times New Roman" w:hAnsi="Times New Roman" w:eastAsia="仿宋" w:cs="Times New Roman"/>
                <w:b/>
                <w:color w:val="auto"/>
                <w:spacing w:val="-4"/>
                <w:sz w:val="24"/>
                <w:szCs w:val="24"/>
                <w:highlight w:val="none"/>
              </w:rPr>
              <w:t>落</w:t>
            </w:r>
            <w:r>
              <w:rPr>
                <w:rFonts w:hint="default" w:ascii="Times New Roman" w:hAnsi="Times New Roman" w:eastAsia="仿宋" w:cs="Times New Roman"/>
                <w:color w:val="auto"/>
                <w:spacing w:val="-53"/>
                <w:sz w:val="24"/>
                <w:szCs w:val="24"/>
                <w:highlight w:val="none"/>
              </w:rPr>
              <w:t xml:space="preserve"> </w:t>
            </w:r>
            <w:r>
              <w:rPr>
                <w:rFonts w:hint="default" w:ascii="Times New Roman" w:hAnsi="Times New Roman" w:eastAsia="仿宋" w:cs="Times New Roman"/>
                <w:b/>
                <w:color w:val="auto"/>
                <w:spacing w:val="-4"/>
                <w:sz w:val="24"/>
                <w:szCs w:val="24"/>
                <w:highlight w:val="none"/>
              </w:rPr>
              <w:t>(From</w:t>
            </w:r>
            <w:r>
              <w:rPr>
                <w:rFonts w:hint="default" w:ascii="Times New Roman" w:hAnsi="Times New Roman" w:eastAsia="仿宋" w:cs="Times New Roman"/>
                <w:b/>
                <w:color w:val="auto"/>
                <w:spacing w:val="-4"/>
                <w:sz w:val="24"/>
                <w:szCs w:val="24"/>
                <w:highlight w:val="none"/>
                <w:lang w:val="en-US" w:eastAsia="zh-CN"/>
              </w:rPr>
              <w:t xml:space="preserve"> </w:t>
            </w:r>
            <w:r>
              <w:rPr>
                <w:rFonts w:hint="default" w:ascii="Times New Roman" w:hAnsi="Times New Roman" w:eastAsia="仿宋" w:cs="Times New Roman"/>
                <w:b/>
                <w:i/>
                <w:color w:val="auto"/>
                <w:spacing w:val="-4"/>
                <w:sz w:val="24"/>
                <w:szCs w:val="24"/>
                <w:highlight w:val="none"/>
              </w:rPr>
              <w:t>Themeda</w:t>
            </w:r>
            <w:r>
              <w:rPr>
                <w:rFonts w:hint="default" w:ascii="Times New Roman" w:hAnsi="Times New Roman" w:eastAsia="仿宋" w:cs="Times New Roman"/>
                <w:b/>
                <w:i/>
                <w:color w:val="auto"/>
                <w:spacing w:val="41"/>
                <w:sz w:val="24"/>
                <w:szCs w:val="24"/>
                <w:highlight w:val="none"/>
              </w:rPr>
              <w:t xml:space="preserve"> </w:t>
            </w:r>
            <w:r>
              <w:rPr>
                <w:rFonts w:hint="default" w:ascii="Times New Roman" w:hAnsi="Times New Roman" w:eastAsia="仿宋" w:cs="Times New Roman"/>
                <w:b/>
                <w:i/>
                <w:color w:val="auto"/>
                <w:spacing w:val="-4"/>
                <w:sz w:val="24"/>
                <w:szCs w:val="24"/>
                <w:highlight w:val="none"/>
              </w:rPr>
              <w:t>japon</w:t>
            </w:r>
            <w:r>
              <w:rPr>
                <w:rFonts w:hint="default" w:ascii="Times New Roman" w:hAnsi="Times New Roman" w:eastAsia="仿宋" w:cs="Times New Roman"/>
                <w:b/>
                <w:i/>
                <w:color w:val="auto"/>
                <w:spacing w:val="-5"/>
                <w:sz w:val="24"/>
                <w:szCs w:val="24"/>
                <w:highlight w:val="none"/>
              </w:rPr>
              <w:t>ica</w:t>
            </w:r>
            <w:r>
              <w:rPr>
                <w:rFonts w:hint="default" w:ascii="Times New Roman" w:hAnsi="Times New Roman" w:eastAsia="仿宋" w:cs="Times New Roman"/>
                <w:b/>
                <w:i/>
                <w:color w:val="auto"/>
                <w:spacing w:val="27"/>
                <w:sz w:val="24"/>
                <w:szCs w:val="24"/>
                <w:highlight w:val="none"/>
              </w:rPr>
              <w:t xml:space="preserve"> </w:t>
            </w:r>
            <w:r>
              <w:rPr>
                <w:rFonts w:hint="default" w:ascii="Times New Roman" w:hAnsi="Times New Roman" w:eastAsia="仿宋" w:cs="Times New Roman"/>
                <w:b/>
                <w:i/>
                <w:color w:val="auto"/>
                <w:spacing w:val="-5"/>
                <w:sz w:val="25"/>
                <w:szCs w:val="25"/>
                <w:highlight w:val="none"/>
              </w:rPr>
              <w:t>、</w:t>
            </w:r>
            <w:r>
              <w:rPr>
                <w:rFonts w:hint="default" w:ascii="Times New Roman" w:hAnsi="Times New Roman" w:eastAsia="仿宋" w:cs="Times New Roman"/>
                <w:b/>
                <w:i/>
                <w:color w:val="auto"/>
                <w:spacing w:val="-5"/>
                <w:sz w:val="24"/>
                <w:szCs w:val="24"/>
                <w:highlight w:val="none"/>
              </w:rPr>
              <w:t>Pennisetum</w:t>
            </w:r>
            <w:r>
              <w:rPr>
                <w:rFonts w:hint="default" w:ascii="Times New Roman" w:hAnsi="Times New Roman" w:eastAsia="仿宋" w:cs="Times New Roman"/>
                <w:b/>
                <w:i/>
                <w:color w:val="auto"/>
                <w:sz w:val="24"/>
                <w:szCs w:val="24"/>
                <w:highlight w:val="none"/>
              </w:rPr>
              <w:t xml:space="preserve"> </w:t>
            </w:r>
            <w:r>
              <w:rPr>
                <w:rFonts w:hint="default" w:ascii="Times New Roman" w:hAnsi="Times New Roman" w:eastAsia="仿宋" w:cs="Times New Roman"/>
                <w:b/>
                <w:i/>
                <w:color w:val="auto"/>
                <w:spacing w:val="-1"/>
                <w:sz w:val="24"/>
                <w:szCs w:val="24"/>
                <w:highlight w:val="none"/>
              </w:rPr>
              <w:t>centrasiaticum</w:t>
            </w:r>
            <w:r>
              <w:rPr>
                <w:rFonts w:hint="default" w:ascii="Times New Roman" w:hAnsi="Times New Roman" w:eastAsia="仿宋" w:cs="Times New Roman"/>
                <w:b/>
                <w:i/>
                <w:color w:val="auto"/>
                <w:spacing w:val="-1"/>
                <w:sz w:val="29"/>
                <w:szCs w:val="29"/>
                <w:highlight w:val="none"/>
              </w:rPr>
              <w:t>、</w:t>
            </w:r>
            <w:r>
              <w:rPr>
                <w:rFonts w:hint="default" w:ascii="Times New Roman" w:hAnsi="Times New Roman" w:eastAsia="仿宋" w:cs="Times New Roman"/>
                <w:b/>
                <w:i/>
                <w:color w:val="auto"/>
                <w:spacing w:val="-1"/>
                <w:sz w:val="24"/>
                <w:szCs w:val="24"/>
                <w:highlight w:val="none"/>
              </w:rPr>
              <w:t>Erianthus rufipilus</w:t>
            </w:r>
            <w:r>
              <w:rPr>
                <w:rFonts w:hint="default" w:ascii="Times New Roman" w:hAnsi="Times New Roman" w:eastAsia="仿宋" w:cs="Times New Roman"/>
                <w:b/>
                <w:color w:val="auto"/>
                <w:spacing w:val="-1"/>
                <w:sz w:val="24"/>
                <w:szCs w:val="24"/>
                <w:highlight w:val="none"/>
              </w:rPr>
              <w:t>)</w:t>
            </w:r>
          </w:p>
          <w:p w14:paraId="4D6035F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评价区内广泛分布的暖温性稀树灌木草丛为黄背草、白草、蔗茅群落，广泛分布于评价区内的荒坡、旱地边缘，为原生植被遭人为破坏后形成的次生植被类型。群落显著的主</w:t>
            </w:r>
            <w:r>
              <w:rPr>
                <w:rFonts w:hint="eastAsia" w:cs="Times New Roman"/>
                <w:color w:val="auto"/>
                <w:spacing w:val="0"/>
                <w:sz w:val="24"/>
                <w:szCs w:val="24"/>
                <w:highlight w:val="none"/>
                <w:lang w:eastAsia="zh-CN"/>
              </w:rPr>
              <w:t>要是</w:t>
            </w:r>
            <w:r>
              <w:rPr>
                <w:rFonts w:hint="default" w:ascii="Times New Roman" w:hAnsi="Times New Roman" w:eastAsia="仿宋" w:cs="Times New Roman"/>
                <w:color w:val="auto"/>
                <w:spacing w:val="0"/>
                <w:sz w:val="24"/>
                <w:szCs w:val="24"/>
                <w:highlight w:val="none"/>
              </w:rPr>
              <w:t>禾本科的种类形成优势，灌木较为稀少。灌木层高0.5</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2m，层盖度 10%，主要有马桑、清香木、火棘等；草本层高0.3</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1.5m，层盖度</w:t>
            </w:r>
            <w:r>
              <w:rPr>
                <w:rFonts w:hint="eastAsia" w:cs="Times New Roman"/>
                <w:color w:val="auto"/>
                <w:spacing w:val="0"/>
                <w:sz w:val="24"/>
                <w:szCs w:val="24"/>
                <w:highlight w:val="none"/>
                <w:lang w:eastAsia="zh-CN"/>
              </w:rPr>
              <w:t>70%～90%</w:t>
            </w:r>
            <w:r>
              <w:rPr>
                <w:rFonts w:hint="default" w:ascii="Times New Roman" w:hAnsi="Times New Roman" w:eastAsia="仿宋" w:cs="Times New Roman"/>
                <w:color w:val="auto"/>
                <w:spacing w:val="0"/>
                <w:sz w:val="24"/>
                <w:szCs w:val="24"/>
                <w:highlight w:val="none"/>
              </w:rPr>
              <w:t>，构成群落的主要种类为黄背草、白草、蔗茅、白蒿、荩草、铁线莲、牛筋草、画眉草、蒿等。</w:t>
            </w:r>
          </w:p>
          <w:p w14:paraId="73FAE2B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pacing w:val="-1"/>
                <w:sz w:val="24"/>
                <w:szCs w:val="24"/>
                <w:highlight w:val="none"/>
              </w:rPr>
              <w:t>Ⅷ 卷柏群落</w:t>
            </w:r>
            <w:r>
              <w:rPr>
                <w:rFonts w:hint="eastAsia" w:cs="Times New Roman"/>
                <w:b/>
                <w:color w:val="auto"/>
                <w:spacing w:val="-1"/>
                <w:sz w:val="24"/>
                <w:szCs w:val="24"/>
                <w:highlight w:val="none"/>
                <w:lang w:eastAsia="zh-CN"/>
              </w:rPr>
              <w:t>（</w:t>
            </w:r>
            <w:r>
              <w:rPr>
                <w:rFonts w:hint="default" w:ascii="Times New Roman" w:hAnsi="Times New Roman" w:eastAsia="仿宋" w:cs="Times New Roman"/>
                <w:b/>
                <w:color w:val="auto"/>
                <w:spacing w:val="-1"/>
                <w:sz w:val="24"/>
                <w:szCs w:val="24"/>
                <w:highlight w:val="none"/>
              </w:rPr>
              <w:t xml:space="preserve">From </w:t>
            </w:r>
            <w:r>
              <w:rPr>
                <w:rFonts w:hint="default" w:ascii="Times New Roman" w:hAnsi="Times New Roman" w:eastAsia="仿宋" w:cs="Times New Roman"/>
                <w:b/>
                <w:i/>
                <w:color w:val="auto"/>
                <w:spacing w:val="-1"/>
                <w:sz w:val="24"/>
                <w:szCs w:val="24"/>
                <w:highlight w:val="none"/>
              </w:rPr>
              <w:t>Selaginella sp.</w:t>
            </w:r>
            <w:r>
              <w:rPr>
                <w:rFonts w:hint="eastAsia" w:cs="Times New Roman"/>
                <w:b/>
                <w:i/>
                <w:color w:val="auto"/>
                <w:spacing w:val="-1"/>
                <w:sz w:val="24"/>
                <w:szCs w:val="24"/>
                <w:highlight w:val="none"/>
                <w:lang w:eastAsia="zh-CN"/>
              </w:rPr>
              <w:t>）</w:t>
            </w:r>
          </w:p>
          <w:p w14:paraId="1CD6209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该群落主要分布于灌丛群落边缘、道路两侧等坡度大且较为干旱的区域，在评价区内分布较少，群落面积小。群落高约0.2m，盖度</w:t>
            </w:r>
            <w:r>
              <w:rPr>
                <w:rFonts w:hint="eastAsia" w:cs="Times New Roman"/>
                <w:color w:val="auto"/>
                <w:spacing w:val="0"/>
                <w:sz w:val="24"/>
                <w:szCs w:val="24"/>
                <w:highlight w:val="none"/>
                <w:lang w:eastAsia="zh-CN"/>
              </w:rPr>
              <w:t>35%～40%</w:t>
            </w:r>
            <w:r>
              <w:rPr>
                <w:rFonts w:hint="default" w:ascii="Times New Roman" w:hAnsi="Times New Roman" w:eastAsia="仿宋" w:cs="Times New Roman"/>
                <w:color w:val="auto"/>
                <w:spacing w:val="0"/>
                <w:sz w:val="24"/>
                <w:szCs w:val="24"/>
                <w:highlight w:val="none"/>
              </w:rPr>
              <w:t>，仅有草本层，以卷柏为优势种，其他物种常见有野拔子、黄背草等。</w:t>
            </w:r>
          </w:p>
          <w:p w14:paraId="20917334">
            <w:pPr>
              <w:keepNext w:val="0"/>
              <w:keepLines w:val="0"/>
              <w:suppressLineNumbers w:val="0"/>
              <w:spacing w:before="18" w:beforeLines="0" w:beforeAutospacing="0" w:after="0" w:afterLines="0" w:afterAutospacing="0" w:line="213" w:lineRule="auto"/>
              <w:ind w:left="0"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pacing w:val="-1"/>
                <w:sz w:val="24"/>
                <w:szCs w:val="24"/>
                <w:highlight w:val="none"/>
              </w:rPr>
              <w:t>Ⅸ 毛蕨菜群落</w:t>
            </w:r>
            <w:r>
              <w:rPr>
                <w:rFonts w:hint="eastAsia" w:cs="Times New Roman"/>
                <w:b/>
                <w:color w:val="auto"/>
                <w:spacing w:val="-1"/>
                <w:sz w:val="24"/>
                <w:szCs w:val="24"/>
                <w:highlight w:val="none"/>
                <w:lang w:eastAsia="zh-CN"/>
              </w:rPr>
              <w:t>（</w:t>
            </w:r>
            <w:r>
              <w:rPr>
                <w:rFonts w:hint="default" w:ascii="Times New Roman" w:hAnsi="Times New Roman" w:eastAsia="仿宋" w:cs="Times New Roman"/>
                <w:b/>
                <w:color w:val="auto"/>
                <w:spacing w:val="-1"/>
                <w:sz w:val="24"/>
                <w:szCs w:val="24"/>
                <w:highlight w:val="none"/>
              </w:rPr>
              <w:t>From</w:t>
            </w:r>
            <w:r>
              <w:rPr>
                <w:rFonts w:hint="default" w:ascii="Times New Roman" w:hAnsi="Times New Roman" w:eastAsia="仿宋" w:cs="Times New Roman"/>
                <w:b/>
                <w:color w:val="auto"/>
                <w:spacing w:val="22"/>
                <w:sz w:val="24"/>
                <w:szCs w:val="24"/>
                <w:highlight w:val="none"/>
              </w:rPr>
              <w:t xml:space="preserve"> </w:t>
            </w:r>
            <w:r>
              <w:rPr>
                <w:rFonts w:hint="default" w:ascii="Times New Roman" w:hAnsi="Times New Roman" w:eastAsia="仿宋" w:cs="Times New Roman"/>
                <w:b/>
                <w:i/>
                <w:color w:val="auto"/>
                <w:spacing w:val="-1"/>
                <w:sz w:val="24"/>
                <w:szCs w:val="24"/>
                <w:highlight w:val="none"/>
              </w:rPr>
              <w:t>Callipteris esculente</w:t>
            </w:r>
            <w:r>
              <w:rPr>
                <w:rFonts w:hint="eastAsia" w:cs="Times New Roman"/>
                <w:b/>
                <w:i/>
                <w:color w:val="auto"/>
                <w:spacing w:val="-1"/>
                <w:sz w:val="24"/>
                <w:szCs w:val="24"/>
                <w:highlight w:val="none"/>
                <w:lang w:eastAsia="zh-CN"/>
              </w:rPr>
              <w:t>）</w:t>
            </w:r>
          </w:p>
          <w:p w14:paraId="55E28B8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56"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该群落主要分布于荒坡、道路两侧等区域，在评价区内分布较少，群落面积小。群落高约0.5m，盖度</w:t>
            </w:r>
            <w:r>
              <w:rPr>
                <w:rFonts w:hint="eastAsia" w:cs="Times New Roman"/>
                <w:color w:val="auto"/>
                <w:spacing w:val="0"/>
                <w:sz w:val="24"/>
                <w:szCs w:val="24"/>
                <w:highlight w:val="none"/>
                <w:lang w:eastAsia="zh-CN"/>
              </w:rPr>
              <w:t>70%～80%</w:t>
            </w:r>
            <w:r>
              <w:rPr>
                <w:rFonts w:hint="default" w:ascii="Times New Roman" w:hAnsi="Times New Roman" w:eastAsia="仿宋" w:cs="Times New Roman"/>
                <w:color w:val="auto"/>
                <w:spacing w:val="0"/>
                <w:sz w:val="24"/>
                <w:szCs w:val="24"/>
                <w:highlight w:val="none"/>
              </w:rPr>
              <w:t>，群落以毛蕨菜为优势种，其他物种常见有野拔子、黄背草、鬼针草、飞蓬等草本植物。</w:t>
            </w:r>
          </w:p>
          <w:p w14:paraId="11834F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56"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eastAsia" w:ascii="Times New Roman" w:hAnsi="Times New Roman" w:eastAsia="仿宋" w:cs="Times New Roman"/>
                <w:color w:val="auto"/>
                <w:spacing w:val="0"/>
                <w:sz w:val="24"/>
                <w:szCs w:val="24"/>
                <w:highlight w:val="none"/>
                <w:lang w:val="en-US" w:eastAsia="zh-CN"/>
              </w:rPr>
              <w:t>E</w:t>
            </w:r>
            <w:r>
              <w:rPr>
                <w:rFonts w:hint="default" w:ascii="Times New Roman" w:hAnsi="Times New Roman" w:eastAsia="仿宋" w:cs="Times New Roman"/>
                <w:color w:val="auto"/>
                <w:spacing w:val="0"/>
                <w:sz w:val="24"/>
                <w:szCs w:val="24"/>
                <w:highlight w:val="none"/>
                <w:lang w:val="en-US" w:eastAsia="zh-CN"/>
              </w:rPr>
              <w:t>.</w:t>
            </w:r>
            <w:r>
              <w:rPr>
                <w:rFonts w:hint="eastAsia" w:ascii="Times New Roman" w:hAnsi="Times New Roman" w:eastAsia="仿宋" w:cs="Times New Roman"/>
                <w:color w:val="auto"/>
                <w:spacing w:val="0"/>
                <w:sz w:val="24"/>
                <w:szCs w:val="24"/>
                <w:highlight w:val="none"/>
                <w:lang w:val="en-US" w:eastAsia="zh-CN"/>
              </w:rPr>
              <w:t>木本经济林</w:t>
            </w:r>
          </w:p>
          <w:p w14:paraId="6EF0D5B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56"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评价区村庄附近分布少量以种植花椒、板栗、核桃为主的经济林。</w:t>
            </w:r>
          </w:p>
          <w:p w14:paraId="1B1076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56"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lang w:val="en-US" w:eastAsia="zh-CN"/>
              </w:rPr>
              <w:t>G.</w:t>
            </w:r>
            <w:r>
              <w:rPr>
                <w:rFonts w:hint="eastAsia" w:ascii="Times New Roman" w:hAnsi="Times New Roman" w:eastAsia="仿宋" w:cs="Times New Roman"/>
                <w:color w:val="auto"/>
                <w:spacing w:val="0"/>
                <w:sz w:val="24"/>
                <w:szCs w:val="24"/>
                <w:highlight w:val="none"/>
                <w:lang w:val="en-US" w:eastAsia="zh-CN"/>
              </w:rPr>
              <w:t>草本经济作物</w:t>
            </w:r>
          </w:p>
          <w:p w14:paraId="0EFA150C">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评价区旱地植被广泛分布，主要种植玉米、土豆、荞麦和各类蔬菜。水田植被主要分布于中寨河两岸，主要种植水稻及冬小麦。</w:t>
            </w:r>
          </w:p>
          <w:p w14:paraId="38E95630">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lang w:val="en-US" w:eastAsia="zh-CN"/>
              </w:rPr>
              <w:t>4）</w:t>
            </w:r>
            <w:r>
              <w:rPr>
                <w:rFonts w:hint="default"/>
                <w:color w:val="auto"/>
                <w:highlight w:val="none"/>
              </w:rPr>
              <w:t>植物资源</w:t>
            </w:r>
          </w:p>
          <w:p w14:paraId="63FCA006">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据调查记录的统计结果，本项目评价区内蕨类植物共有10科、11属、14种；裸子植物3科，4属，6种；被子植物72科，144属，212种。</w:t>
            </w:r>
          </w:p>
          <w:p w14:paraId="025AA76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 xml:space="preserve">评价区的植物种类主要是滇中高原分布的常见种，且种类不多，主要有华山松 </w:t>
            </w:r>
            <w:r>
              <w:rPr>
                <w:rFonts w:hint="default" w:ascii="Times New Roman" w:hAnsi="Times New Roman" w:eastAsia="仿宋" w:cs="Times New Roman"/>
                <w:i/>
                <w:color w:val="auto"/>
                <w:spacing w:val="0"/>
                <w:sz w:val="24"/>
                <w:szCs w:val="24"/>
                <w:highlight w:val="none"/>
              </w:rPr>
              <w:t>Pinus yunnanensis</w:t>
            </w:r>
            <w:r>
              <w:rPr>
                <w:rFonts w:hint="default" w:ascii="Times New Roman" w:hAnsi="Times New Roman" w:eastAsia="仿宋" w:cs="Times New Roman"/>
                <w:color w:val="auto"/>
                <w:spacing w:val="0"/>
                <w:sz w:val="24"/>
                <w:szCs w:val="24"/>
                <w:highlight w:val="none"/>
              </w:rPr>
              <w:t xml:space="preserve">、云南松 </w:t>
            </w:r>
            <w:r>
              <w:rPr>
                <w:rFonts w:hint="default" w:ascii="Times New Roman" w:hAnsi="Times New Roman" w:eastAsia="仿宋" w:cs="Times New Roman"/>
                <w:i/>
                <w:color w:val="auto"/>
                <w:spacing w:val="0"/>
                <w:sz w:val="24"/>
                <w:szCs w:val="24"/>
                <w:highlight w:val="none"/>
              </w:rPr>
              <w:t>Pinus yunnanensis</w:t>
            </w:r>
            <w:r>
              <w:rPr>
                <w:rFonts w:hint="default" w:ascii="Times New Roman" w:hAnsi="Times New Roman" w:eastAsia="仿宋" w:cs="Times New Roman"/>
                <w:color w:val="auto"/>
                <w:spacing w:val="0"/>
                <w:sz w:val="24"/>
                <w:szCs w:val="24"/>
                <w:highlight w:val="none"/>
              </w:rPr>
              <w:t xml:space="preserve">、香柏 </w:t>
            </w:r>
            <w:r>
              <w:rPr>
                <w:rFonts w:hint="default" w:ascii="Times New Roman" w:hAnsi="Times New Roman" w:eastAsia="仿宋" w:cs="Times New Roman"/>
                <w:i/>
                <w:color w:val="auto"/>
                <w:spacing w:val="0"/>
                <w:sz w:val="24"/>
                <w:szCs w:val="24"/>
                <w:highlight w:val="none"/>
              </w:rPr>
              <w:t>Cupressus duclouxiana</w:t>
            </w:r>
            <w:r>
              <w:rPr>
                <w:rFonts w:hint="default" w:ascii="Times New Roman" w:hAnsi="Times New Roman" w:eastAsia="仿宋" w:cs="Times New Roman"/>
                <w:color w:val="auto"/>
                <w:spacing w:val="0"/>
                <w:sz w:val="24"/>
                <w:szCs w:val="24"/>
                <w:highlight w:val="none"/>
              </w:rPr>
              <w:t xml:space="preserve">、侧柏 </w:t>
            </w:r>
            <w:r>
              <w:rPr>
                <w:rFonts w:hint="default" w:ascii="Times New Roman" w:hAnsi="Times New Roman" w:eastAsia="仿宋" w:cs="Times New Roman"/>
                <w:i/>
                <w:color w:val="auto"/>
                <w:spacing w:val="0"/>
                <w:sz w:val="24"/>
                <w:szCs w:val="24"/>
                <w:highlight w:val="none"/>
              </w:rPr>
              <w:t>Platycladus  orientalis</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color w:val="auto"/>
                <w:spacing w:val="0"/>
                <w:sz w:val="24"/>
                <w:szCs w:val="24"/>
                <w:highlight w:val="none"/>
              </w:rPr>
              <w:t xml:space="preserve">、 柳 杉 </w:t>
            </w:r>
            <w:r>
              <w:rPr>
                <w:rFonts w:hint="default" w:ascii="Times New Roman" w:hAnsi="Times New Roman" w:eastAsia="仿宋" w:cs="Times New Roman"/>
                <w:i/>
                <w:color w:val="auto"/>
                <w:spacing w:val="0"/>
                <w:sz w:val="24"/>
                <w:szCs w:val="24"/>
                <w:highlight w:val="none"/>
              </w:rPr>
              <w:t xml:space="preserve">Cryptomeria fortunei </w:t>
            </w:r>
            <w:r>
              <w:rPr>
                <w:rFonts w:hint="default" w:ascii="Times New Roman" w:hAnsi="Times New Roman" w:eastAsia="仿宋" w:cs="Times New Roman"/>
                <w:color w:val="auto"/>
                <w:spacing w:val="0"/>
                <w:sz w:val="24"/>
                <w:szCs w:val="24"/>
                <w:highlight w:val="none"/>
              </w:rPr>
              <w:t xml:space="preserve">、 杉 木 </w:t>
            </w:r>
            <w:r>
              <w:rPr>
                <w:rFonts w:hint="default" w:ascii="Times New Roman" w:hAnsi="Times New Roman" w:eastAsia="仿宋" w:cs="Times New Roman"/>
                <w:i/>
                <w:color w:val="auto"/>
                <w:spacing w:val="0"/>
                <w:sz w:val="24"/>
                <w:szCs w:val="24"/>
                <w:highlight w:val="none"/>
              </w:rPr>
              <w:t>Cunninghamia</w:t>
            </w:r>
            <w:r>
              <w:rPr>
                <w:rFonts w:hint="default" w:ascii="Times New Roman" w:hAnsi="Times New Roman" w:eastAsia="仿宋" w:cs="Times New Roman"/>
                <w:i/>
                <w:color w:val="auto"/>
                <w:spacing w:val="0"/>
                <w:sz w:val="24"/>
                <w:szCs w:val="24"/>
                <w:highlight w:val="none"/>
                <w:lang w:val="en-US" w:eastAsia="zh-CN"/>
              </w:rPr>
              <w:t xml:space="preserve"> </w:t>
            </w:r>
            <w:r>
              <w:rPr>
                <w:rFonts w:hint="default" w:ascii="Times New Roman" w:hAnsi="Times New Roman" w:eastAsia="仿宋" w:cs="Times New Roman"/>
                <w:i/>
                <w:color w:val="auto"/>
                <w:spacing w:val="0"/>
                <w:sz w:val="24"/>
                <w:szCs w:val="24"/>
                <w:highlight w:val="none"/>
              </w:rPr>
              <w:t xml:space="preserve">lanceolata  </w:t>
            </w:r>
            <w:r>
              <w:rPr>
                <w:rFonts w:hint="default" w:ascii="Times New Roman" w:hAnsi="Times New Roman" w:eastAsia="仿宋" w:cs="Times New Roman"/>
                <w:color w:val="auto"/>
                <w:spacing w:val="0"/>
                <w:sz w:val="24"/>
                <w:szCs w:val="24"/>
                <w:highlight w:val="none"/>
              </w:rPr>
              <w:t xml:space="preserve">、滇山茶 </w:t>
            </w:r>
            <w:r>
              <w:rPr>
                <w:rFonts w:hint="default" w:ascii="Times New Roman" w:hAnsi="Times New Roman" w:eastAsia="仿宋" w:cs="Times New Roman"/>
                <w:i/>
                <w:color w:val="auto"/>
                <w:spacing w:val="0"/>
                <w:sz w:val="24"/>
                <w:szCs w:val="24"/>
                <w:highlight w:val="none"/>
              </w:rPr>
              <w:t>Camellia reticulata</w:t>
            </w:r>
            <w:r>
              <w:rPr>
                <w:rFonts w:hint="default" w:ascii="Times New Roman" w:hAnsi="Times New Roman" w:eastAsia="仿宋" w:cs="Times New Roman"/>
                <w:color w:val="auto"/>
                <w:spacing w:val="0"/>
                <w:sz w:val="24"/>
                <w:szCs w:val="24"/>
                <w:highlight w:val="none"/>
              </w:rPr>
              <w:t xml:space="preserve">、金丝桃 </w:t>
            </w:r>
            <w:r>
              <w:rPr>
                <w:rFonts w:hint="default" w:ascii="Times New Roman" w:hAnsi="Times New Roman" w:eastAsia="仿宋" w:cs="Times New Roman"/>
                <w:i/>
                <w:color w:val="auto"/>
                <w:spacing w:val="0"/>
                <w:sz w:val="24"/>
                <w:szCs w:val="24"/>
                <w:highlight w:val="none"/>
              </w:rPr>
              <w:t>Hypericum monogynum</w:t>
            </w:r>
            <w:r>
              <w:rPr>
                <w:rFonts w:hint="default" w:ascii="Times New Roman" w:hAnsi="Times New Roman" w:eastAsia="仿宋" w:cs="Times New Roman"/>
                <w:color w:val="auto"/>
                <w:spacing w:val="0"/>
                <w:sz w:val="24"/>
                <w:szCs w:val="24"/>
                <w:highlight w:val="none"/>
              </w:rPr>
              <w:t xml:space="preserve">、鞍叶羊蹄甲 </w:t>
            </w:r>
            <w:r>
              <w:rPr>
                <w:rFonts w:hint="default" w:ascii="Times New Roman" w:hAnsi="Times New Roman" w:eastAsia="仿宋" w:cs="Times New Roman"/>
                <w:i/>
                <w:color w:val="auto"/>
                <w:spacing w:val="0"/>
                <w:sz w:val="24"/>
                <w:szCs w:val="24"/>
                <w:highlight w:val="none"/>
              </w:rPr>
              <w:t>Bauhinia brachycarpa</w:t>
            </w:r>
            <w:r>
              <w:rPr>
                <w:rFonts w:hint="default" w:ascii="Times New Roman" w:hAnsi="Times New Roman" w:eastAsia="仿宋" w:cs="Times New Roman"/>
                <w:color w:val="auto"/>
                <w:spacing w:val="0"/>
                <w:sz w:val="24"/>
                <w:szCs w:val="24"/>
                <w:highlight w:val="none"/>
              </w:rPr>
              <w:t xml:space="preserve">、拔毒散 </w:t>
            </w:r>
            <w:r>
              <w:rPr>
                <w:rFonts w:hint="default" w:ascii="Times New Roman" w:hAnsi="Times New Roman" w:eastAsia="仿宋" w:cs="Times New Roman"/>
                <w:i/>
                <w:color w:val="auto"/>
                <w:spacing w:val="0"/>
                <w:sz w:val="24"/>
                <w:szCs w:val="24"/>
                <w:highlight w:val="none"/>
              </w:rPr>
              <w:t xml:space="preserve">Sidaszechuensis </w:t>
            </w:r>
            <w:r>
              <w:rPr>
                <w:rFonts w:hint="default" w:ascii="Times New Roman" w:hAnsi="Times New Roman" w:eastAsia="仿宋" w:cs="Times New Roman"/>
                <w:color w:val="auto"/>
                <w:spacing w:val="0"/>
                <w:sz w:val="24"/>
                <w:szCs w:val="24"/>
                <w:highlight w:val="none"/>
              </w:rPr>
              <w:t xml:space="preserve">Matsuda、地桃花 </w:t>
            </w:r>
            <w:r>
              <w:rPr>
                <w:rFonts w:hint="default" w:ascii="Times New Roman" w:hAnsi="Times New Roman" w:eastAsia="仿宋" w:cs="Times New Roman"/>
                <w:i/>
                <w:color w:val="auto"/>
                <w:spacing w:val="0"/>
                <w:sz w:val="24"/>
                <w:szCs w:val="24"/>
                <w:highlight w:val="none"/>
              </w:rPr>
              <w:t xml:space="preserve">Urenalobata </w:t>
            </w:r>
            <w:r>
              <w:rPr>
                <w:rFonts w:hint="default" w:ascii="Times New Roman" w:hAnsi="Times New Roman" w:eastAsia="仿宋" w:cs="Times New Roman"/>
                <w:color w:val="auto"/>
                <w:spacing w:val="0"/>
                <w:sz w:val="24"/>
                <w:szCs w:val="24"/>
                <w:highlight w:val="none"/>
              </w:rPr>
              <w:t xml:space="preserve">Linn.  小叶栒子 </w:t>
            </w:r>
            <w:r>
              <w:rPr>
                <w:rFonts w:hint="default" w:ascii="Times New Roman" w:hAnsi="Times New Roman" w:eastAsia="仿宋" w:cs="Times New Roman"/>
                <w:i/>
                <w:color w:val="auto"/>
                <w:spacing w:val="0"/>
                <w:sz w:val="24"/>
                <w:szCs w:val="24"/>
                <w:highlight w:val="none"/>
              </w:rPr>
              <w:t>Cotoneaster microphyllus</w:t>
            </w:r>
            <w:r>
              <w:rPr>
                <w:rFonts w:hint="default" w:ascii="Times New Roman" w:hAnsi="Times New Roman" w:eastAsia="仿宋" w:cs="Times New Roman"/>
                <w:color w:val="auto"/>
                <w:spacing w:val="0"/>
                <w:sz w:val="24"/>
                <w:szCs w:val="24"/>
                <w:highlight w:val="none"/>
              </w:rPr>
              <w:t xml:space="preserve">、匍匐栒子 </w:t>
            </w:r>
            <w:r>
              <w:rPr>
                <w:rFonts w:hint="default" w:ascii="Times New Roman" w:hAnsi="Times New Roman" w:eastAsia="仿宋" w:cs="Times New Roman"/>
                <w:i/>
                <w:color w:val="auto"/>
                <w:spacing w:val="0"/>
                <w:sz w:val="24"/>
                <w:szCs w:val="24"/>
                <w:highlight w:val="none"/>
              </w:rPr>
              <w:t>Cotoneaster adpressus</w:t>
            </w:r>
            <w:r>
              <w:rPr>
                <w:rFonts w:hint="default" w:ascii="Times New Roman" w:hAnsi="Times New Roman" w:eastAsia="仿宋" w:cs="Times New Roman"/>
                <w:color w:val="auto"/>
                <w:spacing w:val="0"/>
                <w:sz w:val="24"/>
                <w:szCs w:val="24"/>
                <w:highlight w:val="none"/>
              </w:rPr>
              <w:t>、蛇莓</w:t>
            </w:r>
            <w:r>
              <w:rPr>
                <w:rFonts w:hint="default" w:ascii="Times New Roman" w:hAnsi="Times New Roman" w:eastAsia="仿宋" w:cs="Times New Roman"/>
                <w:i/>
                <w:color w:val="auto"/>
                <w:spacing w:val="0"/>
                <w:sz w:val="24"/>
                <w:szCs w:val="24"/>
                <w:highlight w:val="none"/>
              </w:rPr>
              <w:t>Duchesnea indica</w:t>
            </w:r>
            <w:r>
              <w:rPr>
                <w:rFonts w:hint="default" w:ascii="Times New Roman" w:hAnsi="Times New Roman" w:eastAsia="仿宋" w:cs="Times New Roman"/>
                <w:color w:val="auto"/>
                <w:spacing w:val="0"/>
                <w:sz w:val="24"/>
                <w:szCs w:val="24"/>
                <w:highlight w:val="none"/>
              </w:rPr>
              <w:t xml:space="preserve">、黄毛草莓 </w:t>
            </w:r>
            <w:r>
              <w:rPr>
                <w:rFonts w:hint="default" w:ascii="Times New Roman" w:hAnsi="Times New Roman" w:eastAsia="仿宋" w:cs="Times New Roman"/>
                <w:i/>
                <w:color w:val="auto"/>
                <w:spacing w:val="0"/>
                <w:sz w:val="24"/>
                <w:szCs w:val="24"/>
                <w:highlight w:val="none"/>
              </w:rPr>
              <w:t>Fragaria nilgerrensis</w:t>
            </w:r>
            <w:r>
              <w:rPr>
                <w:rFonts w:hint="default" w:ascii="Times New Roman" w:hAnsi="Times New Roman" w:eastAsia="仿宋" w:cs="Times New Roman"/>
                <w:color w:val="auto"/>
                <w:spacing w:val="0"/>
                <w:sz w:val="24"/>
                <w:szCs w:val="24"/>
                <w:highlight w:val="none"/>
              </w:rPr>
              <w:t xml:space="preserve">、绣线梅 </w:t>
            </w:r>
            <w:r>
              <w:rPr>
                <w:rFonts w:hint="default" w:ascii="Times New Roman" w:hAnsi="Times New Roman" w:eastAsia="仿宋" w:cs="Times New Roman"/>
                <w:i/>
                <w:color w:val="auto"/>
                <w:spacing w:val="0"/>
                <w:sz w:val="24"/>
                <w:szCs w:val="24"/>
                <w:highlight w:val="none"/>
              </w:rPr>
              <w:t>Neillia thyrsiflora</w:t>
            </w:r>
            <w:r>
              <w:rPr>
                <w:rFonts w:hint="default" w:ascii="Times New Roman" w:hAnsi="Times New Roman" w:eastAsia="仿宋" w:cs="Times New Roman"/>
                <w:color w:val="auto"/>
                <w:spacing w:val="0"/>
                <w:sz w:val="24"/>
                <w:szCs w:val="24"/>
                <w:highlight w:val="none"/>
              </w:rPr>
              <w:t xml:space="preserve">、西南委陵菜 </w:t>
            </w:r>
            <w:r>
              <w:rPr>
                <w:rFonts w:hint="default" w:ascii="Times New Roman" w:hAnsi="Times New Roman" w:eastAsia="仿宋" w:cs="Times New Roman"/>
                <w:i/>
                <w:color w:val="auto"/>
                <w:spacing w:val="0"/>
                <w:sz w:val="24"/>
                <w:szCs w:val="24"/>
                <w:highlight w:val="none"/>
              </w:rPr>
              <w:t>Potentilla fulgens</w:t>
            </w:r>
            <w:r>
              <w:rPr>
                <w:rFonts w:hint="default" w:ascii="Times New Roman" w:hAnsi="Times New Roman" w:eastAsia="仿宋" w:cs="Times New Roman"/>
                <w:color w:val="auto"/>
                <w:spacing w:val="0"/>
                <w:sz w:val="24"/>
                <w:szCs w:val="24"/>
                <w:highlight w:val="none"/>
              </w:rPr>
              <w:t xml:space="preserve">、翻白叶 </w:t>
            </w:r>
            <w:r>
              <w:rPr>
                <w:rFonts w:hint="default" w:ascii="Times New Roman" w:hAnsi="Times New Roman" w:eastAsia="仿宋" w:cs="Times New Roman"/>
                <w:i/>
                <w:color w:val="auto"/>
                <w:spacing w:val="0"/>
                <w:sz w:val="24"/>
                <w:szCs w:val="24"/>
                <w:highlight w:val="none"/>
              </w:rPr>
              <w:t xml:space="preserve">Potentilla griffithii  </w:t>
            </w:r>
            <w:r>
              <w:rPr>
                <w:rFonts w:hint="default" w:ascii="Times New Roman" w:hAnsi="Times New Roman" w:eastAsia="仿宋" w:cs="Times New Roman"/>
                <w:color w:val="auto"/>
                <w:spacing w:val="0"/>
                <w:sz w:val="24"/>
                <w:szCs w:val="24"/>
                <w:highlight w:val="none"/>
              </w:rPr>
              <w:t xml:space="preserve">、青刺尖 </w:t>
            </w:r>
            <w:r>
              <w:rPr>
                <w:rFonts w:hint="default" w:ascii="Times New Roman" w:hAnsi="Times New Roman" w:eastAsia="仿宋" w:cs="Times New Roman"/>
                <w:i/>
                <w:color w:val="auto"/>
                <w:spacing w:val="0"/>
                <w:sz w:val="24"/>
                <w:szCs w:val="24"/>
                <w:highlight w:val="none"/>
              </w:rPr>
              <w:t>Prinsepia utilis</w:t>
            </w:r>
            <w:r>
              <w:rPr>
                <w:rFonts w:hint="default" w:ascii="Times New Roman" w:hAnsi="Times New Roman" w:eastAsia="仿宋" w:cs="Times New Roman"/>
                <w:color w:val="auto"/>
                <w:spacing w:val="0"/>
                <w:sz w:val="24"/>
                <w:szCs w:val="24"/>
                <w:highlight w:val="none"/>
              </w:rPr>
              <w:t xml:space="preserve">、火棘 </w:t>
            </w:r>
            <w:r>
              <w:rPr>
                <w:rFonts w:hint="default" w:ascii="Times New Roman" w:hAnsi="Times New Roman" w:eastAsia="仿宋" w:cs="Times New Roman"/>
                <w:i/>
                <w:color w:val="auto"/>
                <w:spacing w:val="0"/>
                <w:sz w:val="24"/>
                <w:szCs w:val="24"/>
                <w:highlight w:val="none"/>
              </w:rPr>
              <w:t xml:space="preserve">Pyracantha fortuneana </w:t>
            </w:r>
            <w:r>
              <w:rPr>
                <w:rFonts w:hint="default" w:ascii="Times New Roman" w:hAnsi="Times New Roman" w:eastAsia="仿宋" w:cs="Times New Roman"/>
                <w:color w:val="auto"/>
                <w:spacing w:val="0"/>
                <w:sz w:val="24"/>
                <w:szCs w:val="24"/>
                <w:highlight w:val="none"/>
              </w:rPr>
              <w:t xml:space="preserve">、小果蔷薇 </w:t>
            </w:r>
            <w:r>
              <w:rPr>
                <w:rFonts w:hint="default" w:ascii="Times New Roman" w:hAnsi="Times New Roman" w:eastAsia="仿宋" w:cs="Times New Roman"/>
                <w:i/>
                <w:color w:val="auto"/>
                <w:spacing w:val="0"/>
                <w:sz w:val="24"/>
                <w:szCs w:val="24"/>
                <w:highlight w:val="none"/>
              </w:rPr>
              <w:t xml:space="preserve">Rosa  cymosa </w:t>
            </w:r>
            <w:r>
              <w:rPr>
                <w:rFonts w:hint="default" w:ascii="Times New Roman" w:hAnsi="Times New Roman" w:eastAsia="仿宋" w:cs="Times New Roman"/>
                <w:color w:val="auto"/>
                <w:spacing w:val="0"/>
                <w:sz w:val="24"/>
                <w:szCs w:val="24"/>
                <w:highlight w:val="none"/>
              </w:rPr>
              <w:t xml:space="preserve">、 西 南 悬钩 子 </w:t>
            </w:r>
            <w:r>
              <w:rPr>
                <w:rFonts w:hint="default" w:ascii="Times New Roman" w:hAnsi="Times New Roman" w:eastAsia="仿宋" w:cs="Times New Roman"/>
                <w:i/>
                <w:color w:val="auto"/>
                <w:spacing w:val="0"/>
                <w:sz w:val="24"/>
                <w:szCs w:val="24"/>
                <w:highlight w:val="none"/>
              </w:rPr>
              <w:t>Rubus assamensis</w:t>
            </w:r>
            <w:r>
              <w:rPr>
                <w:rFonts w:hint="default" w:ascii="Times New Roman" w:hAnsi="Times New Roman" w:eastAsia="仿宋" w:cs="Times New Roman"/>
                <w:color w:val="auto"/>
                <w:spacing w:val="0"/>
                <w:sz w:val="24"/>
                <w:szCs w:val="24"/>
                <w:highlight w:val="none"/>
              </w:rPr>
              <w:t>、粉枝莓</w:t>
            </w:r>
            <w:r>
              <w:rPr>
                <w:rFonts w:hint="default" w:ascii="Times New Roman" w:hAnsi="Times New Roman" w:eastAsia="仿宋" w:cs="Times New Roman"/>
                <w:i/>
                <w:color w:val="auto"/>
                <w:spacing w:val="0"/>
                <w:sz w:val="24"/>
                <w:szCs w:val="24"/>
                <w:highlight w:val="none"/>
              </w:rPr>
              <w:t>Rubus biflorus</w:t>
            </w:r>
            <w:r>
              <w:rPr>
                <w:rFonts w:hint="default" w:ascii="Times New Roman" w:hAnsi="Times New Roman" w:eastAsia="仿宋" w:cs="Times New Roman"/>
                <w:color w:val="auto"/>
                <w:spacing w:val="0"/>
                <w:sz w:val="24"/>
                <w:szCs w:val="24"/>
                <w:highlight w:val="none"/>
              </w:rPr>
              <w:t>、银荆</w:t>
            </w:r>
            <w:r>
              <w:rPr>
                <w:rFonts w:hint="default" w:ascii="Times New Roman" w:hAnsi="Times New Roman" w:eastAsia="仿宋" w:cs="Times New Roman"/>
                <w:i/>
                <w:color w:val="auto"/>
                <w:spacing w:val="0"/>
                <w:sz w:val="24"/>
                <w:szCs w:val="24"/>
                <w:highlight w:val="none"/>
              </w:rPr>
              <w:t>Acacia dealbata</w:t>
            </w:r>
            <w:r>
              <w:rPr>
                <w:rFonts w:hint="default" w:ascii="Times New Roman" w:hAnsi="Times New Roman" w:eastAsia="仿宋" w:cs="Times New Roman"/>
                <w:color w:val="auto"/>
                <w:spacing w:val="0"/>
                <w:sz w:val="24"/>
                <w:szCs w:val="24"/>
                <w:highlight w:val="none"/>
              </w:rPr>
              <w:t xml:space="preserve">、滇杨 </w:t>
            </w:r>
            <w:r>
              <w:rPr>
                <w:rFonts w:hint="default" w:ascii="Times New Roman" w:hAnsi="Times New Roman" w:eastAsia="仿宋" w:cs="Times New Roman"/>
                <w:i/>
                <w:color w:val="auto"/>
                <w:spacing w:val="0"/>
                <w:sz w:val="24"/>
                <w:szCs w:val="24"/>
                <w:highlight w:val="none"/>
              </w:rPr>
              <w:t>Populus yunnanensis</w:t>
            </w:r>
            <w:r>
              <w:rPr>
                <w:rFonts w:hint="default" w:ascii="Times New Roman" w:hAnsi="Times New Roman" w:eastAsia="仿宋" w:cs="Times New Roman"/>
                <w:color w:val="auto"/>
                <w:spacing w:val="0"/>
                <w:sz w:val="24"/>
                <w:szCs w:val="24"/>
                <w:highlight w:val="none"/>
              </w:rPr>
              <w:t xml:space="preserve">、波叶山蚂蝗 </w:t>
            </w:r>
            <w:r>
              <w:rPr>
                <w:rFonts w:hint="default" w:ascii="Times New Roman" w:hAnsi="Times New Roman" w:eastAsia="仿宋" w:cs="Times New Roman"/>
                <w:i/>
                <w:color w:val="auto"/>
                <w:spacing w:val="0"/>
                <w:sz w:val="24"/>
                <w:szCs w:val="24"/>
                <w:highlight w:val="none"/>
              </w:rPr>
              <w:t>Desmodium sequax</w:t>
            </w:r>
            <w:r>
              <w:rPr>
                <w:rFonts w:hint="default" w:ascii="Times New Roman" w:hAnsi="Times New Roman" w:eastAsia="仿宋" w:cs="Times New Roman"/>
                <w:color w:val="auto"/>
                <w:spacing w:val="0"/>
                <w:sz w:val="24"/>
                <w:szCs w:val="24"/>
                <w:highlight w:val="none"/>
              </w:rPr>
              <w:t xml:space="preserve">、云南山蚂蝗 </w:t>
            </w:r>
            <w:r>
              <w:rPr>
                <w:rFonts w:hint="default" w:ascii="Times New Roman" w:hAnsi="Times New Roman" w:eastAsia="仿宋" w:cs="Times New Roman"/>
                <w:i/>
                <w:color w:val="auto"/>
                <w:spacing w:val="0"/>
                <w:sz w:val="24"/>
                <w:szCs w:val="24"/>
                <w:highlight w:val="none"/>
              </w:rPr>
              <w:t>Desmodium</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yunnanense</w:t>
            </w:r>
            <w:r>
              <w:rPr>
                <w:rFonts w:hint="default" w:ascii="Times New Roman" w:hAnsi="Times New Roman" w:eastAsia="仿宋" w:cs="Times New Roman"/>
                <w:color w:val="auto"/>
                <w:spacing w:val="0"/>
                <w:sz w:val="24"/>
                <w:szCs w:val="24"/>
                <w:highlight w:val="none"/>
              </w:rPr>
              <w:t>、白刺花</w:t>
            </w:r>
            <w:r>
              <w:rPr>
                <w:rFonts w:hint="default" w:ascii="Times New Roman" w:hAnsi="Times New Roman" w:eastAsia="仿宋" w:cs="Times New Roman"/>
                <w:i/>
                <w:color w:val="auto"/>
                <w:spacing w:val="0"/>
                <w:sz w:val="24"/>
                <w:szCs w:val="24"/>
                <w:highlight w:val="none"/>
              </w:rPr>
              <w:t>Sophora davidii</w:t>
            </w:r>
            <w:r>
              <w:rPr>
                <w:rFonts w:hint="default" w:ascii="Times New Roman" w:hAnsi="Times New Roman" w:eastAsia="仿宋" w:cs="Times New Roman"/>
                <w:color w:val="auto"/>
                <w:spacing w:val="0"/>
                <w:sz w:val="24"/>
                <w:szCs w:val="24"/>
                <w:highlight w:val="none"/>
              </w:rPr>
              <w:t xml:space="preserve">、旱冬瓜 </w:t>
            </w:r>
            <w:r>
              <w:rPr>
                <w:rFonts w:hint="default" w:ascii="Times New Roman" w:hAnsi="Times New Roman" w:eastAsia="仿宋" w:cs="Times New Roman"/>
                <w:i/>
                <w:color w:val="auto"/>
                <w:spacing w:val="0"/>
                <w:sz w:val="24"/>
                <w:szCs w:val="24"/>
                <w:highlight w:val="none"/>
              </w:rPr>
              <w:t>Alnus nepalensis</w:t>
            </w:r>
            <w:r>
              <w:rPr>
                <w:rFonts w:hint="default" w:ascii="Times New Roman" w:hAnsi="Times New Roman" w:eastAsia="仿宋" w:cs="Times New Roman"/>
                <w:color w:val="auto"/>
                <w:spacing w:val="0"/>
                <w:sz w:val="24"/>
                <w:szCs w:val="24"/>
                <w:highlight w:val="none"/>
              </w:rPr>
              <w:t xml:space="preserve">、滇榛 </w:t>
            </w:r>
            <w:r>
              <w:rPr>
                <w:rFonts w:hint="default" w:ascii="Times New Roman" w:hAnsi="Times New Roman" w:eastAsia="仿宋" w:cs="Times New Roman"/>
                <w:i/>
                <w:color w:val="auto"/>
                <w:spacing w:val="0"/>
                <w:sz w:val="24"/>
                <w:szCs w:val="24"/>
                <w:highlight w:val="none"/>
              </w:rPr>
              <w:t>Corylus yunnanensis</w:t>
            </w:r>
            <w:r>
              <w:rPr>
                <w:rFonts w:hint="default" w:ascii="Times New Roman" w:hAnsi="Times New Roman" w:eastAsia="仿宋" w:cs="Times New Roman"/>
                <w:color w:val="auto"/>
                <w:spacing w:val="0"/>
                <w:sz w:val="24"/>
                <w:szCs w:val="24"/>
                <w:highlight w:val="none"/>
              </w:rPr>
              <w:t xml:space="preserve">、锥连栎 </w:t>
            </w:r>
            <w:r>
              <w:rPr>
                <w:rFonts w:hint="default" w:ascii="Times New Roman" w:hAnsi="Times New Roman" w:eastAsia="仿宋" w:cs="Times New Roman"/>
                <w:i/>
                <w:color w:val="auto"/>
                <w:spacing w:val="0"/>
                <w:sz w:val="24"/>
                <w:szCs w:val="24"/>
                <w:highlight w:val="none"/>
              </w:rPr>
              <w:t>Quercus franchetii</w:t>
            </w:r>
            <w:r>
              <w:rPr>
                <w:rFonts w:hint="default" w:ascii="Times New Roman" w:hAnsi="Times New Roman" w:eastAsia="仿宋" w:cs="Times New Roman"/>
                <w:color w:val="auto"/>
                <w:spacing w:val="0"/>
                <w:sz w:val="24"/>
                <w:szCs w:val="24"/>
                <w:highlight w:val="none"/>
              </w:rPr>
              <w:t xml:space="preserve">、栓皮栎 </w:t>
            </w:r>
            <w:r>
              <w:rPr>
                <w:rFonts w:hint="default" w:ascii="Times New Roman" w:hAnsi="Times New Roman" w:eastAsia="仿宋" w:cs="Times New Roman"/>
                <w:i/>
                <w:color w:val="auto"/>
                <w:spacing w:val="0"/>
                <w:sz w:val="24"/>
                <w:szCs w:val="24"/>
                <w:highlight w:val="none"/>
              </w:rPr>
              <w:t>Quercus variabilis</w:t>
            </w:r>
            <w:r>
              <w:rPr>
                <w:rFonts w:hint="default" w:ascii="Times New Roman" w:hAnsi="Times New Roman" w:eastAsia="仿宋" w:cs="Times New Roman"/>
                <w:color w:val="auto"/>
                <w:spacing w:val="0"/>
                <w:sz w:val="24"/>
                <w:szCs w:val="24"/>
                <w:highlight w:val="none"/>
              </w:rPr>
              <w:t xml:space="preserve">、麻栎 </w:t>
            </w:r>
            <w:r>
              <w:rPr>
                <w:rFonts w:hint="default" w:ascii="Times New Roman" w:hAnsi="Times New Roman" w:eastAsia="仿宋" w:cs="Times New Roman"/>
                <w:i/>
                <w:color w:val="auto"/>
                <w:spacing w:val="0"/>
                <w:sz w:val="24"/>
                <w:szCs w:val="24"/>
                <w:highlight w:val="none"/>
              </w:rPr>
              <w:t>Quercus acutissima</w:t>
            </w:r>
            <w:r>
              <w:rPr>
                <w:rFonts w:hint="default" w:ascii="Times New Roman" w:hAnsi="Times New Roman" w:eastAsia="仿宋" w:cs="Times New Roman"/>
                <w:color w:val="auto"/>
                <w:spacing w:val="0"/>
                <w:sz w:val="24"/>
                <w:szCs w:val="24"/>
                <w:highlight w:val="none"/>
              </w:rPr>
              <w:t xml:space="preserve">、构树 </w:t>
            </w:r>
            <w:r>
              <w:rPr>
                <w:rFonts w:hint="default" w:ascii="Times New Roman" w:hAnsi="Times New Roman" w:eastAsia="仿宋" w:cs="Times New Roman"/>
                <w:i/>
                <w:color w:val="auto"/>
                <w:spacing w:val="0"/>
                <w:sz w:val="24"/>
                <w:szCs w:val="24"/>
                <w:highlight w:val="none"/>
              </w:rPr>
              <w:t xml:space="preserve">Broussonetia papyrifera </w:t>
            </w:r>
            <w:r>
              <w:rPr>
                <w:rFonts w:hint="default" w:ascii="Times New Roman" w:hAnsi="Times New Roman" w:eastAsia="仿宋" w:cs="Times New Roman"/>
                <w:color w:val="auto"/>
                <w:spacing w:val="0"/>
                <w:sz w:val="24"/>
                <w:szCs w:val="24"/>
                <w:highlight w:val="none"/>
              </w:rPr>
              <w:t xml:space="preserve">、地石榴 </w:t>
            </w:r>
            <w:r>
              <w:rPr>
                <w:rFonts w:hint="default" w:ascii="Times New Roman" w:hAnsi="Times New Roman" w:eastAsia="仿宋" w:cs="Times New Roman"/>
                <w:i/>
                <w:color w:val="auto"/>
                <w:spacing w:val="0"/>
                <w:sz w:val="24"/>
                <w:szCs w:val="24"/>
                <w:highlight w:val="none"/>
              </w:rPr>
              <w:t xml:space="preserve">Ficus  tikoua </w:t>
            </w:r>
            <w:r>
              <w:rPr>
                <w:rFonts w:hint="default" w:ascii="Times New Roman" w:hAnsi="Times New Roman" w:eastAsia="仿宋" w:cs="Times New Roman"/>
                <w:color w:val="auto"/>
                <w:spacing w:val="0"/>
                <w:sz w:val="24"/>
                <w:szCs w:val="24"/>
                <w:highlight w:val="none"/>
              </w:rPr>
              <w:t xml:space="preserve">、薄叶鼠李 </w:t>
            </w:r>
            <w:r>
              <w:rPr>
                <w:rFonts w:hint="default" w:ascii="Times New Roman" w:hAnsi="Times New Roman" w:eastAsia="仿宋" w:cs="Times New Roman"/>
                <w:i/>
                <w:color w:val="auto"/>
                <w:spacing w:val="0"/>
                <w:sz w:val="24"/>
                <w:szCs w:val="24"/>
                <w:highlight w:val="none"/>
              </w:rPr>
              <w:t xml:space="preserve">Rhamnus leptophylla </w:t>
            </w:r>
            <w:r>
              <w:rPr>
                <w:rFonts w:hint="default" w:ascii="Times New Roman" w:hAnsi="Times New Roman" w:eastAsia="仿宋" w:cs="Times New Roman"/>
                <w:color w:val="auto"/>
                <w:spacing w:val="0"/>
                <w:sz w:val="24"/>
                <w:szCs w:val="24"/>
                <w:highlight w:val="none"/>
              </w:rPr>
              <w:t>、帚枝鼠李</w:t>
            </w:r>
            <w:r>
              <w:rPr>
                <w:rFonts w:hint="default" w:ascii="Times New Roman" w:hAnsi="Times New Roman" w:eastAsia="仿宋" w:cs="Times New Roman"/>
                <w:i/>
                <w:color w:val="auto"/>
                <w:spacing w:val="0"/>
                <w:sz w:val="24"/>
                <w:szCs w:val="24"/>
                <w:highlight w:val="none"/>
              </w:rPr>
              <w:t>Rhamnus</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virgata</w:t>
            </w:r>
            <w:r>
              <w:rPr>
                <w:rFonts w:hint="default" w:ascii="Times New Roman" w:hAnsi="Times New Roman" w:eastAsia="仿宋" w:cs="Times New Roman"/>
                <w:color w:val="auto"/>
                <w:spacing w:val="0"/>
                <w:sz w:val="24"/>
                <w:szCs w:val="24"/>
                <w:highlight w:val="none"/>
              </w:rPr>
              <w:t xml:space="preserve">、车桑子 </w:t>
            </w:r>
            <w:r>
              <w:rPr>
                <w:rFonts w:hint="default" w:ascii="Times New Roman" w:hAnsi="Times New Roman" w:eastAsia="仿宋" w:cs="Times New Roman"/>
                <w:i/>
                <w:color w:val="auto"/>
                <w:spacing w:val="0"/>
                <w:sz w:val="24"/>
                <w:szCs w:val="24"/>
                <w:highlight w:val="none"/>
              </w:rPr>
              <w:t>Dodonaea viscosa</w:t>
            </w:r>
            <w:r>
              <w:rPr>
                <w:rFonts w:hint="default" w:ascii="Times New Roman" w:hAnsi="Times New Roman" w:eastAsia="仿宋" w:cs="Times New Roman"/>
                <w:color w:val="auto"/>
                <w:spacing w:val="0"/>
                <w:sz w:val="24"/>
                <w:szCs w:val="24"/>
                <w:highlight w:val="none"/>
              </w:rPr>
              <w:t xml:space="preserve">、清香木 </w:t>
            </w:r>
            <w:r>
              <w:rPr>
                <w:rFonts w:hint="default" w:ascii="Times New Roman" w:hAnsi="Times New Roman" w:eastAsia="仿宋" w:cs="Times New Roman"/>
                <w:i/>
                <w:color w:val="auto"/>
                <w:spacing w:val="0"/>
                <w:sz w:val="24"/>
                <w:szCs w:val="24"/>
                <w:highlight w:val="none"/>
              </w:rPr>
              <w:t>Pistacia weinmannifolia</w:t>
            </w:r>
            <w:r>
              <w:rPr>
                <w:rFonts w:hint="default" w:ascii="Times New Roman" w:hAnsi="Times New Roman" w:eastAsia="仿宋" w:cs="Times New Roman"/>
                <w:color w:val="auto"/>
                <w:spacing w:val="0"/>
                <w:sz w:val="24"/>
                <w:szCs w:val="24"/>
                <w:highlight w:val="none"/>
              </w:rPr>
              <w:t xml:space="preserve">、盐肤木 </w:t>
            </w:r>
            <w:r>
              <w:rPr>
                <w:rFonts w:hint="default" w:ascii="Times New Roman" w:hAnsi="Times New Roman" w:eastAsia="仿宋" w:cs="Times New Roman"/>
                <w:i/>
                <w:color w:val="auto"/>
                <w:spacing w:val="0"/>
                <w:sz w:val="24"/>
                <w:szCs w:val="24"/>
                <w:highlight w:val="none"/>
              </w:rPr>
              <w:t xml:space="preserve">Rhus  chinensis </w:t>
            </w:r>
            <w:r>
              <w:rPr>
                <w:rFonts w:hint="default" w:ascii="Times New Roman" w:hAnsi="Times New Roman" w:eastAsia="仿宋" w:cs="Times New Roman"/>
                <w:color w:val="auto"/>
                <w:spacing w:val="0"/>
                <w:sz w:val="24"/>
                <w:szCs w:val="24"/>
                <w:highlight w:val="none"/>
              </w:rPr>
              <w:t xml:space="preserve">、碎米花杜鹃 </w:t>
            </w:r>
            <w:r>
              <w:rPr>
                <w:rFonts w:hint="default" w:ascii="Times New Roman" w:hAnsi="Times New Roman" w:eastAsia="仿宋" w:cs="Times New Roman"/>
                <w:i/>
                <w:color w:val="auto"/>
                <w:spacing w:val="0"/>
                <w:sz w:val="24"/>
                <w:szCs w:val="24"/>
                <w:highlight w:val="none"/>
              </w:rPr>
              <w:t xml:space="preserve">Rhododendron  spiciferum </w:t>
            </w:r>
            <w:r>
              <w:rPr>
                <w:rFonts w:hint="default" w:ascii="Times New Roman" w:hAnsi="Times New Roman" w:eastAsia="仿宋" w:cs="Times New Roman"/>
                <w:color w:val="auto"/>
                <w:spacing w:val="0"/>
                <w:sz w:val="24"/>
                <w:szCs w:val="24"/>
                <w:highlight w:val="none"/>
              </w:rPr>
              <w:t xml:space="preserve">、铁仔 </w:t>
            </w:r>
            <w:r>
              <w:rPr>
                <w:rFonts w:hint="default" w:ascii="Times New Roman" w:hAnsi="Times New Roman" w:eastAsia="仿宋" w:cs="Times New Roman"/>
                <w:i/>
                <w:color w:val="auto"/>
                <w:spacing w:val="0"/>
                <w:sz w:val="24"/>
                <w:szCs w:val="24"/>
                <w:highlight w:val="none"/>
              </w:rPr>
              <w:t>Myrsine africana</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color w:val="auto"/>
                <w:spacing w:val="0"/>
                <w:sz w:val="24"/>
                <w:szCs w:val="24"/>
                <w:highlight w:val="none"/>
              </w:rPr>
              <w:t xml:space="preserve">、醉鱼草 </w:t>
            </w:r>
            <w:r>
              <w:rPr>
                <w:rFonts w:hint="default" w:ascii="Times New Roman" w:hAnsi="Times New Roman" w:eastAsia="仿宋" w:cs="Times New Roman"/>
                <w:i/>
                <w:color w:val="auto"/>
                <w:spacing w:val="0"/>
                <w:sz w:val="24"/>
                <w:szCs w:val="24"/>
                <w:highlight w:val="none"/>
              </w:rPr>
              <w:t>Buddleja lindleyana</w:t>
            </w:r>
            <w:r>
              <w:rPr>
                <w:rFonts w:hint="default" w:ascii="Times New Roman" w:hAnsi="Times New Roman" w:eastAsia="仿宋" w:cs="Times New Roman"/>
                <w:color w:val="auto"/>
                <w:spacing w:val="0"/>
                <w:sz w:val="24"/>
                <w:szCs w:val="24"/>
                <w:highlight w:val="none"/>
              </w:rPr>
              <w:t xml:space="preserve">、矮杨梅 </w:t>
            </w:r>
            <w:r>
              <w:rPr>
                <w:rFonts w:hint="default" w:ascii="Times New Roman" w:hAnsi="Times New Roman" w:eastAsia="仿宋" w:cs="Times New Roman"/>
                <w:i/>
                <w:color w:val="auto"/>
                <w:spacing w:val="0"/>
                <w:sz w:val="24"/>
                <w:szCs w:val="24"/>
                <w:highlight w:val="none"/>
              </w:rPr>
              <w:t>Myrica  nanta</w:t>
            </w:r>
            <w:r>
              <w:rPr>
                <w:rFonts w:hint="default" w:ascii="Times New Roman" w:hAnsi="Times New Roman" w:eastAsia="仿宋" w:cs="Times New Roman"/>
                <w:color w:val="auto"/>
                <w:spacing w:val="0"/>
                <w:sz w:val="24"/>
                <w:szCs w:val="24"/>
                <w:highlight w:val="none"/>
              </w:rPr>
              <w:t xml:space="preserve">、荚蒾 </w:t>
            </w:r>
            <w:r>
              <w:rPr>
                <w:rFonts w:hint="default" w:ascii="Times New Roman" w:hAnsi="Times New Roman" w:eastAsia="仿宋" w:cs="Times New Roman"/>
                <w:i/>
                <w:color w:val="auto"/>
                <w:spacing w:val="0"/>
                <w:sz w:val="24"/>
                <w:szCs w:val="24"/>
                <w:highlight w:val="none"/>
              </w:rPr>
              <w:t>Viburnum dilatatum</w:t>
            </w:r>
            <w:r>
              <w:rPr>
                <w:rFonts w:hint="default" w:ascii="Times New Roman" w:hAnsi="Times New Roman" w:eastAsia="仿宋" w:cs="Times New Roman"/>
                <w:color w:val="auto"/>
                <w:spacing w:val="0"/>
                <w:sz w:val="24"/>
                <w:szCs w:val="24"/>
                <w:highlight w:val="none"/>
              </w:rPr>
              <w:t xml:space="preserve">、野艾蒿 </w:t>
            </w:r>
            <w:r>
              <w:rPr>
                <w:rFonts w:hint="default" w:ascii="Times New Roman" w:hAnsi="Times New Roman" w:eastAsia="仿宋" w:cs="Times New Roman"/>
                <w:i/>
                <w:color w:val="auto"/>
                <w:spacing w:val="0"/>
                <w:sz w:val="24"/>
                <w:szCs w:val="24"/>
                <w:highlight w:val="none"/>
              </w:rPr>
              <w:t>Artemisia</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lavandulaefolia</w:t>
            </w:r>
            <w:r>
              <w:rPr>
                <w:rFonts w:hint="default" w:ascii="Times New Roman" w:hAnsi="Times New Roman" w:eastAsia="仿宋" w:cs="Times New Roman"/>
                <w:color w:val="auto"/>
                <w:spacing w:val="0"/>
                <w:sz w:val="24"/>
                <w:szCs w:val="24"/>
                <w:highlight w:val="none"/>
              </w:rPr>
              <w:t xml:space="preserve">、青蒿 </w:t>
            </w:r>
            <w:r>
              <w:rPr>
                <w:rFonts w:hint="default" w:ascii="Times New Roman" w:hAnsi="Times New Roman" w:eastAsia="仿宋" w:cs="Times New Roman"/>
                <w:i/>
                <w:color w:val="auto"/>
                <w:spacing w:val="0"/>
                <w:sz w:val="24"/>
                <w:szCs w:val="24"/>
                <w:highlight w:val="none"/>
              </w:rPr>
              <w:t>Artemisia</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caruifolia</w:t>
            </w:r>
            <w:r>
              <w:rPr>
                <w:rFonts w:hint="default" w:ascii="Times New Roman" w:hAnsi="Times New Roman" w:eastAsia="仿宋" w:cs="Times New Roman"/>
                <w:color w:val="auto"/>
                <w:spacing w:val="0"/>
                <w:sz w:val="24"/>
                <w:szCs w:val="24"/>
                <w:highlight w:val="none"/>
              </w:rPr>
              <w:t>、鬼针草</w:t>
            </w:r>
            <w:r>
              <w:rPr>
                <w:rFonts w:hint="default" w:ascii="Times New Roman" w:hAnsi="Times New Roman" w:eastAsia="仿宋" w:cs="Times New Roman"/>
                <w:i/>
                <w:color w:val="auto"/>
                <w:spacing w:val="0"/>
                <w:sz w:val="24"/>
                <w:szCs w:val="24"/>
                <w:highlight w:val="none"/>
              </w:rPr>
              <w:t>Bidens pilosa</w:t>
            </w:r>
            <w:r>
              <w:rPr>
                <w:rFonts w:hint="default" w:ascii="Times New Roman" w:hAnsi="Times New Roman" w:eastAsia="仿宋" w:cs="Times New Roman"/>
                <w:color w:val="auto"/>
                <w:spacing w:val="0"/>
                <w:sz w:val="24"/>
                <w:szCs w:val="24"/>
                <w:highlight w:val="none"/>
              </w:rPr>
              <w:t xml:space="preserve">、火绒草 </w:t>
            </w:r>
            <w:r>
              <w:rPr>
                <w:rFonts w:hint="default" w:ascii="Times New Roman" w:hAnsi="Times New Roman" w:eastAsia="仿宋" w:cs="Times New Roman"/>
                <w:i/>
                <w:color w:val="auto"/>
                <w:spacing w:val="0"/>
                <w:sz w:val="24"/>
                <w:szCs w:val="24"/>
                <w:highlight w:val="none"/>
              </w:rPr>
              <w:t>Leontopodium leontopodioides</w:t>
            </w:r>
            <w:r>
              <w:rPr>
                <w:rFonts w:hint="default" w:ascii="Times New Roman" w:hAnsi="Times New Roman" w:eastAsia="仿宋" w:cs="Times New Roman"/>
                <w:color w:val="auto"/>
                <w:spacing w:val="0"/>
                <w:sz w:val="24"/>
                <w:szCs w:val="24"/>
                <w:highlight w:val="none"/>
              </w:rPr>
              <w:t xml:space="preserve">、滇龙胆草 </w:t>
            </w:r>
            <w:r>
              <w:rPr>
                <w:rFonts w:hint="default" w:ascii="Times New Roman" w:hAnsi="Times New Roman" w:eastAsia="仿宋" w:cs="Times New Roman"/>
                <w:i/>
                <w:color w:val="auto"/>
                <w:spacing w:val="0"/>
                <w:sz w:val="24"/>
                <w:szCs w:val="24"/>
                <w:highlight w:val="none"/>
              </w:rPr>
              <w:t>Gentiana rigescens</w:t>
            </w:r>
            <w:r>
              <w:rPr>
                <w:rFonts w:hint="default" w:ascii="Times New Roman" w:hAnsi="Times New Roman" w:eastAsia="仿宋" w:cs="Times New Roman"/>
                <w:color w:val="auto"/>
                <w:spacing w:val="0"/>
                <w:sz w:val="24"/>
                <w:szCs w:val="24"/>
                <w:highlight w:val="none"/>
              </w:rPr>
              <w:t xml:space="preserve">、獐牙菜 </w:t>
            </w:r>
            <w:r>
              <w:rPr>
                <w:rFonts w:hint="default" w:ascii="Times New Roman" w:hAnsi="Times New Roman" w:eastAsia="仿宋" w:cs="Times New Roman"/>
                <w:i/>
                <w:color w:val="auto"/>
                <w:spacing w:val="0"/>
                <w:sz w:val="24"/>
                <w:szCs w:val="24"/>
                <w:highlight w:val="none"/>
              </w:rPr>
              <w:t>Swertia bimaculata</w:t>
            </w:r>
            <w:r>
              <w:rPr>
                <w:rFonts w:hint="default" w:ascii="Times New Roman" w:hAnsi="Times New Roman" w:eastAsia="仿宋" w:cs="Times New Roman"/>
                <w:color w:val="auto"/>
                <w:spacing w:val="0"/>
                <w:sz w:val="24"/>
                <w:szCs w:val="24"/>
                <w:highlight w:val="none"/>
              </w:rPr>
              <w:t xml:space="preserve">、两头毛 </w:t>
            </w:r>
            <w:r>
              <w:rPr>
                <w:rFonts w:hint="default" w:ascii="Times New Roman" w:hAnsi="Times New Roman" w:eastAsia="仿宋" w:cs="Times New Roman"/>
                <w:i/>
                <w:color w:val="auto"/>
                <w:spacing w:val="0"/>
                <w:sz w:val="24"/>
                <w:szCs w:val="24"/>
                <w:highlight w:val="none"/>
              </w:rPr>
              <w:t>Incarvillea</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arguta</w:t>
            </w:r>
            <w:r>
              <w:rPr>
                <w:rFonts w:hint="default" w:ascii="Times New Roman" w:hAnsi="Times New Roman" w:eastAsia="仿宋" w:cs="Times New Roman"/>
                <w:color w:val="auto"/>
                <w:spacing w:val="0"/>
                <w:sz w:val="24"/>
                <w:szCs w:val="24"/>
                <w:highlight w:val="none"/>
              </w:rPr>
              <w:t xml:space="preserve">、香薷 </w:t>
            </w:r>
            <w:r>
              <w:rPr>
                <w:rFonts w:hint="default" w:ascii="Times New Roman" w:hAnsi="Times New Roman" w:eastAsia="仿宋" w:cs="Times New Roman"/>
                <w:i/>
                <w:color w:val="auto"/>
                <w:spacing w:val="0"/>
                <w:sz w:val="24"/>
                <w:szCs w:val="24"/>
                <w:highlight w:val="none"/>
              </w:rPr>
              <w:t>Elsholtzia ciliata</w:t>
            </w:r>
            <w:r>
              <w:rPr>
                <w:rFonts w:hint="default" w:ascii="Times New Roman" w:hAnsi="Times New Roman" w:eastAsia="仿宋" w:cs="Times New Roman"/>
                <w:color w:val="auto"/>
                <w:spacing w:val="0"/>
                <w:sz w:val="24"/>
                <w:szCs w:val="24"/>
                <w:highlight w:val="none"/>
              </w:rPr>
              <w:t xml:space="preserve">、野拔子 </w:t>
            </w:r>
            <w:r>
              <w:rPr>
                <w:rFonts w:hint="default" w:ascii="Times New Roman" w:hAnsi="Times New Roman" w:eastAsia="仿宋" w:cs="Times New Roman"/>
                <w:i/>
                <w:color w:val="auto"/>
                <w:spacing w:val="0"/>
                <w:sz w:val="24"/>
                <w:szCs w:val="24"/>
                <w:highlight w:val="none"/>
              </w:rPr>
              <w:t>Elsholtzia</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rugulosa</w:t>
            </w:r>
            <w:r>
              <w:rPr>
                <w:rFonts w:hint="default" w:ascii="Times New Roman" w:hAnsi="Times New Roman" w:eastAsia="仿宋" w:cs="Times New Roman"/>
                <w:color w:val="auto"/>
                <w:spacing w:val="0"/>
                <w:sz w:val="24"/>
                <w:szCs w:val="24"/>
                <w:highlight w:val="none"/>
              </w:rPr>
              <w:t xml:space="preserve">、沿阶草 </w:t>
            </w:r>
            <w:r>
              <w:rPr>
                <w:rFonts w:hint="default" w:ascii="Times New Roman" w:hAnsi="Times New Roman" w:eastAsia="仿宋" w:cs="Times New Roman"/>
                <w:i/>
                <w:color w:val="auto"/>
                <w:spacing w:val="0"/>
                <w:sz w:val="24"/>
                <w:szCs w:val="24"/>
                <w:highlight w:val="none"/>
              </w:rPr>
              <w:t xml:space="preserve">Ophiopogon bodinieri </w:t>
            </w:r>
            <w:r>
              <w:rPr>
                <w:rFonts w:hint="default" w:ascii="Times New Roman" w:hAnsi="Times New Roman" w:eastAsia="仿宋" w:cs="Times New Roman"/>
                <w:color w:val="auto"/>
                <w:spacing w:val="0"/>
                <w:sz w:val="24"/>
                <w:szCs w:val="24"/>
                <w:highlight w:val="none"/>
              </w:rPr>
              <w:t xml:space="preserve">Levl. 、西南菝葜 </w:t>
            </w:r>
            <w:r>
              <w:rPr>
                <w:rFonts w:hint="default" w:ascii="Times New Roman" w:hAnsi="Times New Roman" w:eastAsia="仿宋" w:cs="Times New Roman"/>
                <w:i/>
                <w:color w:val="auto"/>
                <w:spacing w:val="0"/>
                <w:sz w:val="24"/>
                <w:szCs w:val="24"/>
                <w:highlight w:val="none"/>
              </w:rPr>
              <w:t>Smilax bockii</w:t>
            </w:r>
            <w:r>
              <w:rPr>
                <w:rFonts w:hint="default" w:ascii="Times New Roman" w:hAnsi="Times New Roman" w:eastAsia="仿宋" w:cs="Times New Roman"/>
                <w:color w:val="auto"/>
                <w:spacing w:val="0"/>
                <w:sz w:val="24"/>
                <w:szCs w:val="24"/>
                <w:highlight w:val="none"/>
              </w:rPr>
              <w:t xml:space="preserve">、云南莎草 </w:t>
            </w:r>
            <w:r>
              <w:rPr>
                <w:rFonts w:hint="default" w:ascii="Times New Roman" w:hAnsi="Times New Roman" w:eastAsia="仿宋" w:cs="Times New Roman"/>
                <w:i/>
                <w:color w:val="auto"/>
                <w:spacing w:val="0"/>
                <w:sz w:val="24"/>
                <w:szCs w:val="24"/>
                <w:highlight w:val="none"/>
              </w:rPr>
              <w:t>Cyperus duclouxii</w:t>
            </w:r>
            <w:r>
              <w:rPr>
                <w:rFonts w:hint="default" w:ascii="Times New Roman" w:hAnsi="Times New Roman" w:eastAsia="仿宋" w:cs="Times New Roman"/>
                <w:color w:val="auto"/>
                <w:spacing w:val="0"/>
                <w:sz w:val="24"/>
                <w:szCs w:val="24"/>
                <w:highlight w:val="none"/>
              </w:rPr>
              <w:t xml:space="preserve">、砖子苗 </w:t>
            </w:r>
            <w:r>
              <w:rPr>
                <w:rFonts w:hint="default" w:ascii="Times New Roman" w:hAnsi="Times New Roman" w:eastAsia="仿宋" w:cs="Times New Roman"/>
                <w:i/>
                <w:color w:val="auto"/>
                <w:spacing w:val="0"/>
                <w:sz w:val="24"/>
                <w:szCs w:val="24"/>
                <w:highlight w:val="none"/>
              </w:rPr>
              <w:t>Mariscussumatrensis</w:t>
            </w:r>
            <w:r>
              <w:rPr>
                <w:rFonts w:hint="default" w:ascii="Times New Roman" w:hAnsi="Times New Roman" w:eastAsia="仿宋" w:cs="Times New Roman"/>
                <w:color w:val="auto"/>
                <w:spacing w:val="0"/>
                <w:sz w:val="24"/>
                <w:szCs w:val="24"/>
                <w:highlight w:val="none"/>
              </w:rPr>
              <w:t xml:space="preserve">、荩草 </w:t>
            </w:r>
            <w:r>
              <w:rPr>
                <w:rFonts w:hint="default" w:ascii="Times New Roman" w:hAnsi="Times New Roman" w:eastAsia="仿宋" w:cs="Times New Roman"/>
                <w:i/>
                <w:color w:val="auto"/>
                <w:spacing w:val="0"/>
                <w:sz w:val="24"/>
                <w:szCs w:val="24"/>
                <w:highlight w:val="none"/>
              </w:rPr>
              <w:t>Arthraxon hispidus</w:t>
            </w:r>
            <w:r>
              <w:rPr>
                <w:rFonts w:hint="default" w:ascii="Times New Roman" w:hAnsi="Times New Roman" w:eastAsia="仿宋" w:cs="Times New Roman"/>
                <w:color w:val="auto"/>
                <w:spacing w:val="0"/>
                <w:sz w:val="24"/>
                <w:szCs w:val="24"/>
                <w:highlight w:val="none"/>
              </w:rPr>
              <w:t xml:space="preserve">、穗序野古草 </w:t>
            </w:r>
            <w:r>
              <w:rPr>
                <w:rFonts w:hint="default" w:ascii="Times New Roman" w:hAnsi="Times New Roman" w:eastAsia="仿宋" w:cs="Times New Roman"/>
                <w:i/>
                <w:color w:val="auto"/>
                <w:spacing w:val="0"/>
                <w:sz w:val="24"/>
                <w:szCs w:val="24"/>
                <w:highlight w:val="none"/>
              </w:rPr>
              <w:t>Arundinella chenii</w:t>
            </w:r>
            <w:r>
              <w:rPr>
                <w:rFonts w:hint="default" w:ascii="Times New Roman" w:hAnsi="Times New Roman" w:eastAsia="仿宋" w:cs="Times New Roman"/>
                <w:color w:val="auto"/>
                <w:spacing w:val="0"/>
                <w:sz w:val="24"/>
                <w:szCs w:val="24"/>
                <w:highlight w:val="none"/>
              </w:rPr>
              <w:t xml:space="preserve">、剪股颖 </w:t>
            </w:r>
            <w:r>
              <w:rPr>
                <w:rFonts w:hint="default" w:ascii="Times New Roman" w:hAnsi="Times New Roman" w:eastAsia="仿宋" w:cs="Times New Roman"/>
                <w:i/>
                <w:color w:val="auto"/>
                <w:spacing w:val="0"/>
                <w:sz w:val="24"/>
                <w:szCs w:val="24"/>
                <w:highlight w:val="none"/>
              </w:rPr>
              <w:t>Agrostis</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matsumurae</w:t>
            </w:r>
            <w:r>
              <w:rPr>
                <w:rFonts w:hint="default" w:ascii="Times New Roman" w:hAnsi="Times New Roman" w:eastAsia="仿宋" w:cs="Times New Roman"/>
                <w:color w:val="auto"/>
                <w:spacing w:val="0"/>
                <w:sz w:val="24"/>
                <w:szCs w:val="24"/>
                <w:highlight w:val="none"/>
              </w:rPr>
              <w:t>、黄背草</w:t>
            </w:r>
            <w:r>
              <w:rPr>
                <w:rFonts w:hint="default" w:ascii="Times New Roman" w:hAnsi="Times New Roman" w:eastAsia="仿宋" w:cs="Times New Roman"/>
                <w:i/>
                <w:color w:val="auto"/>
                <w:spacing w:val="0"/>
                <w:sz w:val="24"/>
                <w:szCs w:val="24"/>
                <w:highlight w:val="none"/>
              </w:rPr>
              <w:t>Themeda triandra</w:t>
            </w:r>
            <w:r>
              <w:rPr>
                <w:rFonts w:hint="default" w:ascii="Times New Roman" w:hAnsi="Times New Roman" w:eastAsia="仿宋" w:cs="Times New Roman"/>
                <w:color w:val="auto"/>
                <w:spacing w:val="0"/>
                <w:sz w:val="24"/>
                <w:szCs w:val="24"/>
                <w:highlight w:val="none"/>
              </w:rPr>
              <w:t xml:space="preserve">、羊茅 </w:t>
            </w:r>
            <w:r>
              <w:rPr>
                <w:rFonts w:hint="default" w:ascii="Times New Roman" w:hAnsi="Times New Roman" w:eastAsia="仿宋" w:cs="Times New Roman"/>
                <w:i/>
                <w:color w:val="auto"/>
                <w:spacing w:val="0"/>
                <w:sz w:val="24"/>
                <w:szCs w:val="24"/>
                <w:highlight w:val="none"/>
              </w:rPr>
              <w:t>Festuca ovina</w:t>
            </w:r>
            <w:r>
              <w:rPr>
                <w:rFonts w:hint="default" w:ascii="Times New Roman" w:hAnsi="Times New Roman" w:eastAsia="仿宋" w:cs="Times New Roman"/>
                <w:color w:val="auto"/>
                <w:spacing w:val="0"/>
                <w:sz w:val="24"/>
                <w:szCs w:val="24"/>
                <w:highlight w:val="none"/>
              </w:rPr>
              <w:t xml:space="preserve">、淡竹叶 </w:t>
            </w:r>
            <w:r>
              <w:rPr>
                <w:rFonts w:hint="default" w:ascii="Times New Roman" w:hAnsi="Times New Roman" w:eastAsia="仿宋" w:cs="Times New Roman"/>
                <w:i/>
                <w:color w:val="auto"/>
                <w:spacing w:val="0"/>
                <w:sz w:val="24"/>
                <w:szCs w:val="24"/>
                <w:highlight w:val="none"/>
              </w:rPr>
              <w:t>Lophatherum</w:t>
            </w:r>
            <w:r>
              <w:rPr>
                <w:rFonts w:hint="default" w:ascii="Times New Roman" w:hAnsi="Times New Roman" w:eastAsia="仿宋" w:cs="Times New Roman"/>
                <w:i/>
                <w:color w:val="auto"/>
                <w:spacing w:val="0"/>
                <w:w w:val="101"/>
                <w:sz w:val="24"/>
                <w:szCs w:val="24"/>
                <w:highlight w:val="none"/>
              </w:rPr>
              <w:t xml:space="preserve"> </w:t>
            </w:r>
            <w:r>
              <w:rPr>
                <w:rFonts w:hint="default" w:ascii="Times New Roman" w:hAnsi="Times New Roman" w:eastAsia="仿宋" w:cs="Times New Roman"/>
                <w:i/>
                <w:color w:val="auto"/>
                <w:spacing w:val="0"/>
                <w:sz w:val="24"/>
                <w:szCs w:val="24"/>
                <w:highlight w:val="none"/>
              </w:rPr>
              <w:t>gracile</w:t>
            </w:r>
            <w:r>
              <w:rPr>
                <w:rFonts w:hint="default" w:ascii="Times New Roman" w:hAnsi="Times New Roman" w:eastAsia="仿宋" w:cs="Times New Roman"/>
                <w:color w:val="auto"/>
                <w:spacing w:val="0"/>
                <w:sz w:val="24"/>
                <w:szCs w:val="24"/>
                <w:highlight w:val="none"/>
              </w:rPr>
              <w:t>、画眉草</w:t>
            </w:r>
            <w:r>
              <w:rPr>
                <w:rFonts w:hint="default" w:ascii="Times New Roman" w:hAnsi="Times New Roman" w:eastAsia="仿宋" w:cs="Times New Roman"/>
                <w:i/>
                <w:color w:val="auto"/>
                <w:spacing w:val="0"/>
                <w:sz w:val="24"/>
                <w:szCs w:val="24"/>
                <w:highlight w:val="none"/>
              </w:rPr>
              <w:t>Eragrostis pilosa</w:t>
            </w:r>
            <w:r>
              <w:rPr>
                <w:rFonts w:hint="default" w:ascii="Times New Roman" w:hAnsi="Times New Roman" w:eastAsia="仿宋" w:cs="Times New Roman"/>
                <w:color w:val="auto"/>
                <w:spacing w:val="0"/>
                <w:sz w:val="24"/>
                <w:szCs w:val="24"/>
                <w:highlight w:val="none"/>
              </w:rPr>
              <w:t xml:space="preserve">、蔗茅 </w:t>
            </w:r>
            <w:r>
              <w:rPr>
                <w:rFonts w:hint="default" w:ascii="Times New Roman" w:hAnsi="Times New Roman" w:eastAsia="仿宋" w:cs="Times New Roman"/>
                <w:i/>
                <w:color w:val="auto"/>
                <w:spacing w:val="0"/>
                <w:sz w:val="24"/>
                <w:szCs w:val="24"/>
                <w:highlight w:val="none"/>
              </w:rPr>
              <w:t>Erianthus rufipilus</w:t>
            </w:r>
            <w:r>
              <w:rPr>
                <w:rFonts w:hint="default" w:ascii="Times New Roman" w:hAnsi="Times New Roman" w:eastAsia="仿宋" w:cs="Times New Roman"/>
                <w:color w:val="auto"/>
                <w:spacing w:val="0"/>
                <w:sz w:val="24"/>
                <w:szCs w:val="24"/>
                <w:highlight w:val="none"/>
              </w:rPr>
              <w:t xml:space="preserve">、黄茅 </w:t>
            </w:r>
            <w:r>
              <w:rPr>
                <w:rFonts w:hint="default" w:ascii="Times New Roman" w:hAnsi="Times New Roman" w:eastAsia="仿宋" w:cs="Times New Roman"/>
                <w:i/>
                <w:color w:val="auto"/>
                <w:spacing w:val="0"/>
                <w:sz w:val="24"/>
                <w:szCs w:val="24"/>
                <w:highlight w:val="none"/>
              </w:rPr>
              <w:t>Heteropogon  contortus</w:t>
            </w:r>
            <w:r>
              <w:rPr>
                <w:rFonts w:hint="default" w:ascii="Times New Roman" w:hAnsi="Times New Roman" w:eastAsia="仿宋" w:cs="Times New Roman"/>
                <w:color w:val="auto"/>
                <w:spacing w:val="0"/>
                <w:sz w:val="24"/>
                <w:szCs w:val="24"/>
                <w:highlight w:val="none"/>
              </w:rPr>
              <w:t>、旱茅</w:t>
            </w:r>
            <w:r>
              <w:rPr>
                <w:rFonts w:hint="default" w:ascii="Times New Roman" w:hAnsi="Times New Roman" w:eastAsia="仿宋" w:cs="Times New Roman"/>
                <w:i/>
                <w:color w:val="auto"/>
                <w:spacing w:val="0"/>
                <w:sz w:val="24"/>
                <w:szCs w:val="24"/>
                <w:highlight w:val="none"/>
              </w:rPr>
              <w:t xml:space="preserve">Schizachyrium delavayi </w:t>
            </w:r>
            <w:r>
              <w:rPr>
                <w:rFonts w:hint="default" w:ascii="Times New Roman" w:hAnsi="Times New Roman" w:eastAsia="仿宋" w:cs="Times New Roman"/>
                <w:color w:val="auto"/>
                <w:spacing w:val="0"/>
                <w:sz w:val="24"/>
                <w:szCs w:val="24"/>
                <w:highlight w:val="none"/>
              </w:rPr>
              <w:t>等。</w:t>
            </w:r>
          </w:p>
          <w:p w14:paraId="23C2AE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 w:right="0" w:firstLine="47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5</w:t>
            </w: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珍稀保护植物及古树名木</w:t>
            </w:r>
          </w:p>
          <w:p w14:paraId="6A59928E">
            <w:pPr>
              <w:keepNext w:val="0"/>
              <w:keepLines w:val="0"/>
              <w:pageBreakBefore w:val="0"/>
              <w:widowControl w:val="0"/>
              <w:suppressLineNumbers w:val="0"/>
              <w:kinsoku/>
              <w:autoSpaceDE/>
              <w:autoSpaceDN/>
              <w:bidi w:val="0"/>
              <w:adjustRightInd/>
              <w:snapToGri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val="en-US" w:eastAsia="zh-CN"/>
              </w:rPr>
              <w:t>①重点</w:t>
            </w:r>
            <w:r>
              <w:rPr>
                <w:rFonts w:hint="default" w:ascii="Times New Roman" w:hAnsi="Times New Roman" w:eastAsia="仿宋" w:cs="Times New Roman"/>
                <w:color w:val="auto"/>
                <w:spacing w:val="-2"/>
                <w:sz w:val="24"/>
                <w:szCs w:val="24"/>
                <w:highlight w:val="none"/>
              </w:rPr>
              <w:t>保护植物</w:t>
            </w:r>
          </w:p>
          <w:p w14:paraId="73673457">
            <w:pPr>
              <w:keepNext w:val="0"/>
              <w:keepLines w:val="0"/>
              <w:pageBreakBefore w:val="0"/>
              <w:widowControl w:val="0"/>
              <w:suppressLineNumbers w:val="0"/>
              <w:kinsoku/>
              <w:wordWrap w:val="0"/>
              <w:overflowPunct w:val="0"/>
              <w:topLinePunct/>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bidi="ar"/>
              </w:rPr>
            </w:pPr>
            <w:r>
              <w:rPr>
                <w:rFonts w:hint="default" w:ascii="Times New Roman" w:hAnsi="Times New Roman" w:eastAsia="仿宋" w:cs="Times New Roman"/>
                <w:color w:val="auto"/>
                <w:kern w:val="0"/>
                <w:sz w:val="24"/>
                <w:szCs w:val="22"/>
                <w:highlight w:val="none"/>
                <w:lang w:bidi="ar"/>
              </w:rPr>
              <w:t>对照《</w:t>
            </w:r>
            <w:r>
              <w:rPr>
                <w:rFonts w:hint="default" w:ascii="Times New Roman" w:hAnsi="Times New Roman" w:eastAsia="仿宋" w:cs="Times New Roman"/>
                <w:color w:val="auto"/>
                <w:kern w:val="0"/>
                <w:sz w:val="24"/>
                <w:szCs w:val="22"/>
                <w:highlight w:val="none"/>
                <w:lang w:bidi="ar"/>
              </w:rPr>
              <w:fldChar w:fldCharType="begin"/>
            </w:r>
            <w:r>
              <w:rPr>
                <w:rFonts w:hint="default" w:ascii="Times New Roman" w:hAnsi="Times New Roman" w:eastAsia="仿宋" w:cs="Times New Roman"/>
                <w:color w:val="auto"/>
                <w:kern w:val="0"/>
                <w:sz w:val="24"/>
                <w:szCs w:val="22"/>
                <w:highlight w:val="none"/>
                <w:lang w:bidi="ar"/>
              </w:rPr>
              <w:instrText xml:space="preserve"> HYPERLINK "https://www.gov.cn/zhengce/zhengceku/2021-09/09/5636409/files/12887ada7c174d199e7ecd8996d07340.pdf" \t "https://www.gov.cn/zhengce/zhengceku/2021-09/09/_blank" </w:instrText>
            </w:r>
            <w:r>
              <w:rPr>
                <w:rFonts w:hint="default" w:ascii="Times New Roman" w:hAnsi="Times New Roman" w:eastAsia="仿宋" w:cs="Times New Roman"/>
                <w:color w:val="auto"/>
                <w:kern w:val="0"/>
                <w:sz w:val="24"/>
                <w:szCs w:val="22"/>
                <w:highlight w:val="none"/>
                <w:lang w:bidi="ar"/>
              </w:rPr>
              <w:fldChar w:fldCharType="separate"/>
            </w:r>
            <w:r>
              <w:rPr>
                <w:rFonts w:hint="default" w:ascii="Times New Roman" w:hAnsi="Times New Roman" w:eastAsia="仿宋" w:cs="Times New Roman"/>
                <w:color w:val="auto"/>
                <w:kern w:val="0"/>
                <w:sz w:val="24"/>
                <w:szCs w:val="22"/>
                <w:highlight w:val="none"/>
                <w:lang w:bidi="ar"/>
              </w:rPr>
              <w:t>国家重点保护野生植物名录</w:t>
            </w:r>
            <w:r>
              <w:rPr>
                <w:rFonts w:hint="default" w:ascii="Times New Roman" w:hAnsi="Times New Roman" w:eastAsia="仿宋" w:cs="Times New Roman"/>
                <w:color w:val="auto"/>
                <w:kern w:val="0"/>
                <w:sz w:val="24"/>
                <w:szCs w:val="22"/>
                <w:highlight w:val="none"/>
                <w:lang w:bidi="ar"/>
              </w:rPr>
              <w:fldChar w:fldCharType="end"/>
            </w:r>
            <w:r>
              <w:rPr>
                <w:rFonts w:hint="default" w:ascii="Times New Roman" w:hAnsi="Times New Roman" w:eastAsia="仿宋" w:cs="Times New Roman"/>
                <w:color w:val="auto"/>
                <w:kern w:val="0"/>
                <w:sz w:val="24"/>
                <w:szCs w:val="22"/>
                <w:highlight w:val="none"/>
                <w:lang w:bidi="ar"/>
              </w:rPr>
              <w:t>》（2021年第15号）、《云南省重点保护野生植物名录》（2023年第11号），本次调查在评价区未发现国家级重点保护植物和云南省重点保护植物以及狭域特有种</w:t>
            </w:r>
            <w:r>
              <w:rPr>
                <w:rFonts w:hint="default" w:ascii="Times New Roman" w:hAnsi="Times New Roman" w:eastAsia="仿宋" w:cs="Times New Roman"/>
                <w:color w:val="auto"/>
                <w:sz w:val="24"/>
                <w:szCs w:val="22"/>
                <w:highlight w:val="none"/>
              </w:rPr>
              <w:t>。</w:t>
            </w:r>
          </w:p>
          <w:p w14:paraId="08306387">
            <w:pPr>
              <w:keepNext w:val="0"/>
              <w:keepLines w:val="0"/>
              <w:pageBreakBefore w:val="0"/>
              <w:widowControl w:val="0"/>
              <w:suppressLineNumbers w:val="0"/>
              <w:kinsoku/>
              <w:wordWrap w:val="0"/>
              <w:overflowPunct w:val="0"/>
              <w:topLinePunct/>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bidi="ar"/>
              </w:rPr>
            </w:pPr>
            <w:r>
              <w:rPr>
                <w:rFonts w:hint="default" w:ascii="Times New Roman" w:hAnsi="Times New Roman" w:eastAsia="仿宋" w:cs="Times New Roman"/>
                <w:color w:val="auto"/>
                <w:kern w:val="0"/>
                <w:sz w:val="24"/>
                <w:szCs w:val="22"/>
                <w:highlight w:val="none"/>
                <w:lang w:val="en-US" w:eastAsia="zh-CN" w:bidi="ar"/>
              </w:rPr>
              <w:t>②</w:t>
            </w:r>
            <w:r>
              <w:rPr>
                <w:rFonts w:hint="default" w:ascii="Times New Roman" w:hAnsi="Times New Roman" w:eastAsia="仿宋" w:cs="Times New Roman"/>
                <w:color w:val="auto"/>
                <w:sz w:val="24"/>
                <w:szCs w:val="22"/>
                <w:highlight w:val="none"/>
              </w:rPr>
              <w:t>中</w:t>
            </w:r>
            <w:r>
              <w:rPr>
                <w:rFonts w:hint="default" w:ascii="Times New Roman" w:hAnsi="Times New Roman" w:eastAsia="仿宋" w:cs="Times New Roman"/>
                <w:color w:val="auto"/>
                <w:kern w:val="0"/>
                <w:sz w:val="24"/>
                <w:szCs w:val="22"/>
                <w:highlight w:val="none"/>
                <w:lang w:bidi="ar"/>
              </w:rPr>
              <w:t>国生物多样性红色名录中的受威胁物种（极危、濒危、易危物种）</w:t>
            </w:r>
          </w:p>
          <w:p w14:paraId="738B1BDD">
            <w:pPr>
              <w:keepNext w:val="0"/>
              <w:keepLines w:val="0"/>
              <w:pageBreakBefore w:val="0"/>
              <w:widowControl w:val="0"/>
              <w:suppressLineNumbers w:val="0"/>
              <w:kinsoku/>
              <w:wordWrap w:val="0"/>
              <w:overflowPunct w:val="0"/>
              <w:topLinePunct/>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bidi="ar"/>
              </w:rPr>
            </w:pPr>
            <w:r>
              <w:rPr>
                <w:rFonts w:hint="default" w:ascii="Times New Roman" w:hAnsi="Times New Roman" w:eastAsia="仿宋" w:cs="Times New Roman"/>
                <w:color w:val="auto"/>
                <w:kern w:val="0"/>
                <w:sz w:val="24"/>
                <w:szCs w:val="22"/>
                <w:highlight w:val="none"/>
                <w:lang w:bidi="ar"/>
              </w:rPr>
              <w:t>根据现场调查，结合《中国生物多样性红色名录 高等植物卷》，未发现近危、易危、濒危、极危植物，也未发现狭域分布物种、极小种群野生植物。</w:t>
            </w:r>
          </w:p>
          <w:p w14:paraId="56889AF3">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bidi="ar"/>
              </w:rPr>
            </w:pPr>
            <w:r>
              <w:rPr>
                <w:rFonts w:hint="default" w:ascii="Times New Roman" w:hAnsi="Times New Roman" w:eastAsia="仿宋" w:cs="Times New Roman"/>
                <w:color w:val="auto"/>
                <w:kern w:val="0"/>
                <w:sz w:val="24"/>
                <w:szCs w:val="22"/>
                <w:highlight w:val="none"/>
                <w:lang w:val="en-US" w:eastAsia="zh-CN" w:bidi="ar"/>
              </w:rPr>
              <w:t>③</w:t>
            </w:r>
            <w:r>
              <w:rPr>
                <w:rFonts w:hint="default" w:ascii="Times New Roman" w:hAnsi="Times New Roman" w:eastAsia="仿宋" w:cs="Times New Roman"/>
                <w:color w:val="auto"/>
                <w:kern w:val="0"/>
                <w:sz w:val="24"/>
                <w:szCs w:val="22"/>
                <w:highlight w:val="none"/>
                <w:lang w:bidi="ar"/>
              </w:rPr>
              <w:t>极小种群物种</w:t>
            </w:r>
          </w:p>
          <w:p w14:paraId="02FE0EEF">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bidi="ar"/>
              </w:rPr>
            </w:pPr>
            <w:r>
              <w:rPr>
                <w:rFonts w:hint="default" w:ascii="Times New Roman" w:hAnsi="Times New Roman" w:eastAsia="仿宋" w:cs="Times New Roman"/>
                <w:color w:val="auto"/>
                <w:kern w:val="0"/>
                <w:sz w:val="24"/>
                <w:szCs w:val="22"/>
                <w:highlight w:val="none"/>
                <w:lang w:bidi="ar"/>
              </w:rPr>
              <w:t>依据《云南省极小种群野生植物保护名录》（</w:t>
            </w:r>
            <w:r>
              <w:rPr>
                <w:rFonts w:hint="default" w:ascii="Times New Roman" w:hAnsi="Times New Roman" w:eastAsia="仿宋" w:cs="Times New Roman"/>
                <w:b w:val="0"/>
                <w:bCs w:val="0"/>
                <w:color w:val="auto"/>
                <w:kern w:val="0"/>
                <w:sz w:val="24"/>
                <w:szCs w:val="22"/>
                <w:highlight w:val="none"/>
                <w:lang w:bidi="ar"/>
              </w:rPr>
              <w:t>2021</w:t>
            </w:r>
            <w:r>
              <w:rPr>
                <w:rFonts w:hint="default" w:ascii="Times New Roman" w:hAnsi="Times New Roman" w:eastAsia="仿宋" w:cs="Times New Roman"/>
                <w:color w:val="auto"/>
                <w:kern w:val="0"/>
                <w:sz w:val="24"/>
                <w:szCs w:val="22"/>
                <w:highlight w:val="none"/>
                <w:lang w:bidi="ar"/>
              </w:rPr>
              <w:t>版），评价区内没有发现属于极小种群物种的植物分布。</w:t>
            </w:r>
          </w:p>
          <w:p w14:paraId="009B8BC9">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bidi="ar"/>
              </w:rPr>
            </w:pPr>
            <w:r>
              <w:rPr>
                <w:rFonts w:hint="default" w:ascii="Times New Roman" w:hAnsi="Times New Roman" w:eastAsia="仿宋" w:cs="Times New Roman"/>
                <w:color w:val="auto"/>
                <w:kern w:val="0"/>
                <w:sz w:val="24"/>
                <w:szCs w:val="22"/>
                <w:highlight w:val="none"/>
                <w:lang w:val="en-US" w:eastAsia="zh-CN" w:bidi="ar"/>
              </w:rPr>
              <w:t>④</w:t>
            </w:r>
            <w:r>
              <w:rPr>
                <w:rFonts w:hint="default" w:ascii="Times New Roman" w:hAnsi="Times New Roman" w:eastAsia="仿宋" w:cs="Times New Roman"/>
                <w:color w:val="auto"/>
                <w:kern w:val="0"/>
                <w:sz w:val="24"/>
                <w:szCs w:val="22"/>
                <w:highlight w:val="none"/>
                <w:lang w:bidi="ar"/>
              </w:rPr>
              <w:t>名木古树</w:t>
            </w:r>
          </w:p>
          <w:p w14:paraId="6751F06C">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本次调查在评价区未发现名木古树。</w:t>
            </w:r>
          </w:p>
          <w:p w14:paraId="03D15ED3">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根据云南省林业厅文件云林保护字〔1996〕65号《关于印发云南省古树名木名录的通知》和实地走访，在评价区范围内未发现有名木古树分布。</w:t>
            </w:r>
          </w:p>
          <w:p w14:paraId="759723D5">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eastAsia" w:cs="Times New Roman"/>
                <w:color w:val="auto"/>
                <w:kern w:val="0"/>
                <w:sz w:val="24"/>
                <w:szCs w:val="22"/>
                <w:highlight w:val="none"/>
                <w:lang w:val="en-US" w:eastAsia="zh-CN" w:bidi="ar"/>
              </w:rPr>
            </w:pPr>
            <w:r>
              <w:rPr>
                <w:rFonts w:hint="eastAsia" w:cs="Times New Roman"/>
                <w:color w:val="auto"/>
                <w:kern w:val="0"/>
                <w:sz w:val="24"/>
                <w:szCs w:val="22"/>
                <w:highlight w:val="none"/>
                <w:lang w:val="en-US" w:eastAsia="zh-CN" w:bidi="ar"/>
              </w:rPr>
              <w:t>6）生态保护红线区域内植被情况</w:t>
            </w:r>
          </w:p>
          <w:p w14:paraId="0F6AB655">
            <w:pPr>
              <w:keepNext w:val="0"/>
              <w:keepLines w:val="0"/>
              <w:pageBreakBefore w:val="0"/>
              <w:widowControl w:val="0"/>
              <w:suppressLineNumbers w:val="0"/>
              <w:kinsoku/>
              <w:wordWrap w:val="0"/>
              <w:overflowPunct w:val="0"/>
              <w:topLinePunct/>
              <w:autoSpaceDE/>
              <w:autoSpaceDN/>
              <w:bidi w:val="0"/>
              <w:adjustRightInd/>
              <w:spacing w:before="0" w:beforeAutospacing="0" w:after="0" w:afterAutospacing="0" w:line="360" w:lineRule="auto"/>
              <w:ind w:left="0" w:right="0" w:firstLine="480" w:firstLineChars="200"/>
              <w:textAlignment w:val="auto"/>
              <w:rPr>
                <w:rFonts w:hint="eastAsia" w:cs="Times New Roman"/>
                <w:color w:val="auto"/>
                <w:kern w:val="0"/>
                <w:sz w:val="24"/>
                <w:szCs w:val="22"/>
                <w:highlight w:val="none"/>
                <w:lang w:val="en-US" w:eastAsia="zh-CN" w:bidi="ar"/>
              </w:rPr>
            </w:pPr>
            <w:r>
              <w:rPr>
                <w:rFonts w:hint="eastAsia" w:cs="Times New Roman"/>
                <w:color w:val="auto"/>
                <w:kern w:val="0"/>
                <w:sz w:val="24"/>
                <w:szCs w:val="22"/>
                <w:highlight w:val="none"/>
                <w:lang w:val="en-US" w:eastAsia="zh-CN" w:bidi="ar"/>
              </w:rPr>
              <w:t>本项目评价范围内涉及的生态保护红线区域，主要植被为云南松群落和华山松群落，现状植被覆盖度较好。</w:t>
            </w:r>
          </w:p>
          <w:p w14:paraId="4B0A89E5">
            <w:pPr>
              <w:keepNext w:val="0"/>
              <w:keepLines w:val="0"/>
              <w:pageBreakBefore w:val="0"/>
              <w:widowControl w:val="0"/>
              <w:suppressLineNumbers w:val="0"/>
              <w:kinsoku/>
              <w:wordWrap w:val="0"/>
              <w:overflowPunct w:val="0"/>
              <w:topLinePunct/>
              <w:autoSpaceDE/>
              <w:autoSpaceDN/>
              <w:bidi w:val="0"/>
              <w:adjustRightInd/>
              <w:snapToGrid/>
              <w:spacing w:before="0" w:beforeAutospacing="0" w:after="0" w:afterAutospacing="0" w:line="360" w:lineRule="auto"/>
              <w:ind w:left="0" w:right="0" w:firstLine="0" w:firstLineChars="0"/>
              <w:textAlignment w:val="auto"/>
              <w:rPr>
                <w:rFonts w:hint="default"/>
                <w:color w:val="auto"/>
                <w:highlight w:val="none"/>
              </w:rPr>
            </w:pPr>
            <w:r>
              <w:rPr>
                <w:rFonts w:hint="default"/>
                <w:color w:val="auto"/>
                <w:sz w:val="24"/>
                <w:highlight w:val="none"/>
              </w:rPr>
              <mc:AlternateContent>
                <mc:Choice Requires="wps">
                  <w:drawing>
                    <wp:anchor distT="0" distB="0" distL="114300" distR="114300" simplePos="0" relativeHeight="251714560" behindDoc="0" locked="0" layoutInCell="1" allowOverlap="1">
                      <wp:simplePos x="0" y="0"/>
                      <wp:positionH relativeFrom="column">
                        <wp:posOffset>3215005</wp:posOffset>
                      </wp:positionH>
                      <wp:positionV relativeFrom="paragraph">
                        <wp:posOffset>463550</wp:posOffset>
                      </wp:positionV>
                      <wp:extent cx="1249045" cy="456565"/>
                      <wp:effectExtent l="0" t="0" r="0" b="0"/>
                      <wp:wrapNone/>
                      <wp:docPr id="60" name="矩形 60"/>
                      <wp:cNvGraphicFramePr/>
                      <a:graphic xmlns:a="http://schemas.openxmlformats.org/drawingml/2006/main">
                        <a:graphicData uri="http://schemas.microsoft.com/office/word/2010/wordprocessingShape">
                          <wps:wsp>
                            <wps:cNvSpPr/>
                            <wps:spPr>
                              <a:xfrm>
                                <a:off x="4806315" y="1390650"/>
                                <a:ext cx="1249045" cy="4565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71AA807">
                                  <w:pPr>
                                    <w:ind w:left="0" w:leftChars="0" w:firstLine="0" w:firstLineChars="0"/>
                                    <w:jc w:val="both"/>
                                    <w:rPr>
                                      <w:rFonts w:hint="default" w:eastAsia="仿宋"/>
                                      <w:lang w:val="en-US" w:eastAsia="zh-CN"/>
                                    </w:rPr>
                                  </w:pPr>
                                  <w:r>
                                    <w:rPr>
                                      <w:rFonts w:hint="eastAsia"/>
                                      <w:lang w:val="en-US" w:eastAsia="zh-CN"/>
                                    </w:rPr>
                                    <w:t>生态保护红线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15pt;margin-top:36.5pt;height:35.95pt;width:98.35pt;z-index:251714560;v-text-anchor:middle;mso-width-relative:page;mso-height-relative:page;" filled="f" stroked="f" coordsize="21600,21600" o:gfxdata="UEsDBAoAAAAAAIdO4kAAAAAAAAAAAAAAAAAEAAAAZHJzL1BLAwQUAAAACACHTuJAjxsootgAAAAK&#10;AQAADwAAAGRycy9kb3ducmV2LnhtbE2PwU7DMAyG70i8Q2QkbiwZKxsrTacJwaQdWZEQt7Tx2kLj&#10;VE3WbW8/7wQ3W/70+/uz1cl1YsQhtJ40TCcKBFLlbUu1hs/i/eEZRIiGrOk8oYYzBljltzeZSa0/&#10;0geOu1gLDqGQGg1NjH0qZagadCZMfI/Et70fnIm8DrW0gzlyuOvko1Jz6UxL/KExPb42WP3uDk5D&#10;KMdtce7XXz/foSrXb+SKZLvR+v5uql5ARDzFPxiu+qwOOTuV/kA2iE7Dk5rPGNWwmHEnBhbqOpRM&#10;JskSZJ7J/xXyC1BLAwQUAAAACACHTuJASs62yGACAACkBAAADgAAAGRycy9lMm9Eb2MueG1srVTN&#10;ahsxEL4X+g5C93rXztqNTdbBxLgUQhNIS8+yVvIu6K+S7HX6MoXe+hB9nNLX6KfdTWLSHnIoBnlG&#10;Gn8z3zczvrg8akUOwofGmpKORzklwnBbNWZX0k8fN2/OKQmRmYopa0RJ70Wgl8vXry5atxATW1tV&#10;CU8AYsKidSWtY3SLLAu8FpqFkXXC4FFar1mE63dZ5VkLdK2ySZ7Pstb6ynnLRQi4XfePdED0LwG0&#10;UjZcrC3fa2Fij+qFYhGUQt24QJddtVIKHm+kDCISVVIwjd2JJLC36cyWF2yx88zVDR9KYC8p4Rkn&#10;zRqDpI9QaxYZ2fvmLyjdcG+DlXHErc56Ip0iYDHOn2lzVzMnOi6QOrhH0cP/g+UfDreeNFVJZ5DE&#10;MI2O//7249fP7wQXUKd1YYGgO3frBy/ATFSP0uv0DRLkWNLiPJ+djaeU3GOqzub5bDqoK46RcASM&#10;J8U8LxDAEVFMZ/ikBNkTkvMhvhNWk2SU1KN7najscB1iH/oQkhIbu2mUwj1bKEPakk6mRQ4WnGEs&#10;JcYBpnagFsyOEqZ2mHcefQd58tsEuWahJgeGIQlWNdVQlzIoLwnQU05WPG6Pgw5bW91DO2/7oQqO&#10;bxpAXbMQb5nHFKEU7Fm8wSGVRX12sCiprf/6r/sUj+bilZIWU4l6vuyZF5So9wZtn4+LArCxc4rp&#10;2wkcf/qyPX0xe31lwWmMjXa8M1N8VA+m9FZ/xjquUlY8McORu1dpcK5ivy1YaC5Wqy4Mo+tYvDZ3&#10;jifwvherfbSy6dqUhOrVGfTD8HaNHhYtbcep30U9/bk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PGyii2AAAAAoBAAAPAAAAAAAAAAEAIAAAACIAAABkcnMvZG93bnJldi54bWxQSwECFAAUAAAA&#10;CACHTuJASs62yGACAACkBAAADgAAAAAAAAABACAAAAAnAQAAZHJzL2Uyb0RvYy54bWxQSwUGAAAA&#10;AAYABgBZAQAA+QUAAAAA&#10;">
                      <v:fill on="f" focussize="0,0"/>
                      <v:stroke on="f" weight="2pt"/>
                      <v:imagedata o:title=""/>
                      <o:lock v:ext="edit" aspectratio="f"/>
                      <v:textbox>
                        <w:txbxContent>
                          <w:p w14:paraId="071AA807">
                            <w:pPr>
                              <w:ind w:left="0" w:leftChars="0" w:firstLine="0" w:firstLineChars="0"/>
                              <w:jc w:val="both"/>
                              <w:rPr>
                                <w:rFonts w:hint="default" w:eastAsia="仿宋"/>
                                <w:lang w:val="en-US" w:eastAsia="zh-CN"/>
                              </w:rPr>
                            </w:pPr>
                            <w:r>
                              <w:rPr>
                                <w:rFonts w:hint="eastAsia"/>
                                <w:lang w:val="en-US" w:eastAsia="zh-CN"/>
                              </w:rPr>
                              <w:t>生态保护红线</w:t>
                            </w:r>
                          </w:p>
                        </w:txbxContent>
                      </v:textbox>
                    </v:rect>
                  </w:pict>
                </mc:Fallback>
              </mc:AlternateContent>
            </w:r>
            <w:r>
              <w:rPr>
                <w:rFonts w:hint="default"/>
                <w:color w:val="auto"/>
                <w:sz w:val="24"/>
                <w:highlight w:val="none"/>
              </w:rPr>
              <mc:AlternateContent>
                <mc:Choice Requires="wps">
                  <w:drawing>
                    <wp:anchor distT="0" distB="0" distL="114300" distR="114300" simplePos="0" relativeHeight="251713536" behindDoc="0" locked="0" layoutInCell="1" allowOverlap="1">
                      <wp:simplePos x="0" y="0"/>
                      <wp:positionH relativeFrom="column">
                        <wp:posOffset>1883410</wp:posOffset>
                      </wp:positionH>
                      <wp:positionV relativeFrom="paragraph">
                        <wp:posOffset>3175</wp:posOffset>
                      </wp:positionV>
                      <wp:extent cx="2966720" cy="2281555"/>
                      <wp:effectExtent l="12700" t="12700" r="30480" b="29845"/>
                      <wp:wrapNone/>
                      <wp:docPr id="41" name="任意多边形 41"/>
                      <wp:cNvGraphicFramePr/>
                      <a:graphic xmlns:a="http://schemas.openxmlformats.org/drawingml/2006/main">
                        <a:graphicData uri="http://schemas.microsoft.com/office/word/2010/wordprocessingShape">
                          <wps:wsp>
                            <wps:cNvSpPr/>
                            <wps:spPr>
                              <a:xfrm>
                                <a:off x="3474720" y="930275"/>
                                <a:ext cx="2966720" cy="2281555"/>
                              </a:xfrm>
                              <a:custGeom>
                                <a:avLst/>
                                <a:gdLst>
                                  <a:gd name="connisteX0" fmla="*/ 645160 w 2966720"/>
                                  <a:gd name="connsiteY0" fmla="*/ 2281555 h 2281555"/>
                                  <a:gd name="connisteX1" fmla="*/ 144145 w 2966720"/>
                                  <a:gd name="connsiteY1" fmla="*/ 1889125 h 2281555"/>
                                  <a:gd name="connisteX2" fmla="*/ 0 w 2966720"/>
                                  <a:gd name="connsiteY2" fmla="*/ 1412875 h 2281555"/>
                                  <a:gd name="connisteX3" fmla="*/ 655320 w 2966720"/>
                                  <a:gd name="connsiteY3" fmla="*/ 376555 h 2281555"/>
                                  <a:gd name="connisteX4" fmla="*/ 1146175 w 2966720"/>
                                  <a:gd name="connsiteY4" fmla="*/ 19050 h 2281555"/>
                                  <a:gd name="connisteX5" fmla="*/ 2277110 w 2966720"/>
                                  <a:gd name="connsiteY5" fmla="*/ 0 h 2281555"/>
                                  <a:gd name="connisteX6" fmla="*/ 2966720 w 2966720"/>
                                  <a:gd name="connsiteY6" fmla="*/ 356870 h 2281555"/>
                                  <a:gd name="connisteX7" fmla="*/ 2961640 w 2966720"/>
                                  <a:gd name="connsiteY7" fmla="*/ 873125 h 2281555"/>
                                  <a:gd name="connisteX8" fmla="*/ 2629535 w 2966720"/>
                                  <a:gd name="connsiteY8" fmla="*/ 1532255 h 2281555"/>
                                  <a:gd name="connisteX9" fmla="*/ 1622425 w 2966720"/>
                                  <a:gd name="connsiteY9" fmla="*/ 1438275 h 2281555"/>
                                  <a:gd name="connisteX10" fmla="*/ 1027430 w 2966720"/>
                                  <a:gd name="connsiteY10" fmla="*/ 1641475 h 2281555"/>
                                  <a:gd name="connisteX11" fmla="*/ 645160 w 2966720"/>
                                  <a:gd name="connsiteY11" fmla="*/ 1988820 h 2281555"/>
                                  <a:gd name="connisteX12" fmla="*/ 645160 w 2966720"/>
                                  <a:gd name="connsiteY12" fmla="*/ 2281555 h 228155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966720" h="2281555">
                                    <a:moveTo>
                                      <a:pt x="645160" y="2281555"/>
                                    </a:moveTo>
                                    <a:lnTo>
                                      <a:pt x="144145" y="1889125"/>
                                    </a:lnTo>
                                    <a:lnTo>
                                      <a:pt x="0" y="1412875"/>
                                    </a:lnTo>
                                    <a:lnTo>
                                      <a:pt x="655320" y="376555"/>
                                    </a:lnTo>
                                    <a:lnTo>
                                      <a:pt x="1146175" y="19050"/>
                                    </a:lnTo>
                                    <a:lnTo>
                                      <a:pt x="2277110" y="0"/>
                                    </a:lnTo>
                                    <a:lnTo>
                                      <a:pt x="2966720" y="356870"/>
                                    </a:lnTo>
                                    <a:lnTo>
                                      <a:pt x="2961640" y="873125"/>
                                    </a:lnTo>
                                    <a:lnTo>
                                      <a:pt x="2629535" y="1532255"/>
                                    </a:lnTo>
                                    <a:lnTo>
                                      <a:pt x="1622425" y="1438275"/>
                                    </a:lnTo>
                                    <a:lnTo>
                                      <a:pt x="1027430" y="1641475"/>
                                    </a:lnTo>
                                    <a:lnTo>
                                      <a:pt x="645160" y="1988820"/>
                                    </a:lnTo>
                                    <a:lnTo>
                                      <a:pt x="645160" y="2281555"/>
                                    </a:lnTo>
                                    <a:close/>
                                  </a:path>
                                </a:pathLst>
                              </a:custGeom>
                              <a:no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48.3pt;margin-top:0.25pt;height:179.65pt;width:233.6pt;z-index:251713536;mso-width-relative:page;mso-height-relative:page;" filled="f" stroked="t" coordsize="2966720,2281555" o:gfxdata="UEsDBAoAAAAAAIdO4kAAAAAAAAAAAAAAAAAEAAAAZHJzL1BLAwQUAAAACACHTuJARjI+q9cAAAAI&#10;AQAADwAAAGRycy9kb3ducmV2LnhtbE2PzU7DMBCE70i8g7VI3KjdVg1OyKYSSHADSikSRzdZkojY&#10;jmynP2/PcoLjaEYz35Trkx3EgULsvUOYzxQIcrVvetci7N4fbzSImIxrzOAdIZwpwrq6vChN0fij&#10;e6PDNrWCS1wsDEKX0lhIGeuOrIkzP5Jj78sHaxLL0MommCOX20EulMqkNb3jhc6M9NBR/b2dLMLr&#10;7ll/qKc6BL15uZ/S2ctcfyJeX83VHYhEp/QXhl98RoeKmfZ+ck0UA8IizzKOIqxAsH2bLfnJHmG5&#10;yjXIqpT/D1Q/UEsDBBQAAAAIAIdO4kD7uuguHgQAAA4PAAAOAAAAZHJzL2Uyb0RvYy54bWytV82O&#10;2zYQvhfoOxA6Fuha1L+N9QZoF+mlaAMkBdojV6IsAZIokFzbe++99x6LvEQQpE/TFH2MDknZHm8C&#10;iwZy2aXM+ebjDOePty/2fUe2XKpWDOuA3oQB4UMpqnbYrINf3rz8tgiI0myoWCcGvg6euApe3H39&#10;1e1uXPFINKKruCSgZFCr3bgOGq3H1WKhyob3TN2IkQ+wWQvZMw2fcrOoJNuB9r5bRGGYLXZCVqMU&#10;JVcKfr13m8GkUfooFHXdlvxelI89H7TTKnnHNJikmnZUwZ09bV3zUv9c14pr0q0DsFTbv0AC6wfz&#10;d3F3y1YbycamLacjMJ8jPLOpZ+0ApEdV90wz8ijbT1T1bSmFErW+KUW/cIZYj4AVNHzmm9cNG7m1&#10;BVytxqPT1ZdTW/60fSVJW62DhAZkYD3c+D/v3//7+x8f3/7539/vPn74i8AOuGk3qhVIvx5fyelL&#10;wdLYvK9lb/6DNWS/DuIkT/IIHPy0DpZxGOWp8zLfa1LCfrTMMrtfgkAUFTRNrcTipKl8VPoHLqxW&#10;tv1RaXdNFaysk6vppKUYhlZp/iuw1X0HN/fNgmRJSrOQ7MiBaAIjjGo1/w1jpmOQhqADwW1+QgRO&#10;OhLRJKFJOk90himKJY3SeaIIEXkYg8VpQqMi9+CIEUeWpnHkQYQxcQ4oD54E8VCaZBQON3s9Z6Bl&#10;mIbzPksRTxTlOaUeBmGQB0eGOVwkz9uCQXGaFbkHUX5ORLPEwxgMKvLYK9Kg3h9DOsqiZRp73A4G&#10;UYicyCcOloiJZlGUQCLMxsEZKIkLqCfzkUBxclOoQUns4b1zVAbZ7cWF89u3+FAMosuiKCD55qsP&#10;TnNvKgz6bKGDyrs51FbWHMptuR+megsrwsx4ENoeNwpl6jwuvlDJzedUV6HggkpAmWI9AwY/YLBt&#10;Nd5gsAyDI9NovMFQyTA4vgoM1QmDk6vAUHIw+ND9/BwGtQSDs6uYoT5gcH4VGHIeg4urwJDGGLy8&#10;CmwSE6Ph+5qbNsl2Br8uyuizMINvxO7ibcoUCQOnGTU7O2rqgMCoKe2o+WAwbDUybRLssCQ7NA81&#10;p3HI7Pdiy98IK6lNvrl8t5agIQXoT4LdgAFuPrEA6saO6dwHscP/0ep3Pp6Gh4uSblawit0IcFF6&#10;6vjuHKaRX5Se+raVnpE8zJFwta6pXla8zEwPtYpda7ws7jqhO7VrcBflp37m5F2buizvmpKTd63m&#10;ojy6/ald+IqfB8vhzstOKO7C2MSkrZvH4DQxjUbwQbxsu87GbzfYkE2TEDxZMnj/1fDugmU/whtC&#10;DZuAsG4DD8tSS9sslOjaysBNICu5efi+k2TLzHMs/O4UDGdio1T6nqnGydmto7FwUPMScW8Ps3oQ&#10;1ZN9ktjf4ZlkTZmedOYdhr8t+vSMvfs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RjI+q9cAAAAI&#10;AQAADwAAAAAAAAABACAAAAAiAAAAZHJzL2Rvd25yZXYueG1sUEsBAhQAFAAAAAgAh07iQPu66C4e&#10;BAAADg8AAA4AAAAAAAAAAQAgAAAAJgEAAGRycy9lMm9Eb2MueG1sUEsFBgAAAAAGAAYAWQEAALYH&#10;AAAAAA==&#10;" path="m645160,2281555l144145,1889125,0,1412875,655320,376555,1146175,19050,2277110,0,2966720,356870,2961640,873125,2629535,1532255,1622425,1438275,1027430,1641475,645160,1988820,645160,2281555xe">
                      <v:path o:connectlocs="645160,2281555;144145,1889125;0,1412875;655320,376555;1146175,19050;2277110,0;2966720,356870;2961640,873125;2629535,1532255;1622425,1438275;1027430,1641475;645160,1988820;645160,2281555" o:connectangles="0,0,0,0,0,0,0,0,0,0,0,0,0"/>
                      <v:fill on="f" focussize="0,0"/>
                      <v:stroke weight="2pt" color="#00B050 [2404]" joinstyle="round"/>
                      <v:imagedata o:title=""/>
                      <o:lock v:ext="edit" aspectratio="f"/>
                    </v:shape>
                  </w:pict>
                </mc:Fallback>
              </mc:AlternateContent>
            </w:r>
            <w:r>
              <w:rPr>
                <w:rFonts w:hint="default"/>
                <w:color w:val="auto"/>
                <w:highlight w:val="none"/>
              </w:rPr>
              <w:drawing>
                <wp:inline distT="0" distB="0" distL="114300" distR="114300">
                  <wp:extent cx="4883785" cy="3446780"/>
                  <wp:effectExtent l="0" t="0" r="12065" b="1270"/>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37"/>
                          <a:stretch>
                            <a:fillRect/>
                          </a:stretch>
                        </pic:blipFill>
                        <pic:spPr>
                          <a:xfrm>
                            <a:off x="0" y="0"/>
                            <a:ext cx="4883785" cy="3446780"/>
                          </a:xfrm>
                          <a:prstGeom prst="rect">
                            <a:avLst/>
                          </a:prstGeom>
                          <a:noFill/>
                          <a:ln>
                            <a:noFill/>
                          </a:ln>
                        </pic:spPr>
                      </pic:pic>
                    </a:graphicData>
                  </a:graphic>
                </wp:inline>
              </w:drawing>
            </w:r>
          </w:p>
          <w:p w14:paraId="460A9F6C">
            <w:pPr>
              <w:keepNext w:val="0"/>
              <w:keepLines w:val="0"/>
              <w:pageBreakBefore w:val="0"/>
              <w:widowControl w:val="0"/>
              <w:suppressLineNumbers w:val="0"/>
              <w:kinsoku/>
              <w:wordWrap w:val="0"/>
              <w:overflowPunct w:val="0"/>
              <w:topLinePunct/>
              <w:autoSpaceDE/>
              <w:autoSpaceDN/>
              <w:bidi w:val="0"/>
              <w:adjustRightInd/>
              <w:snapToGrid/>
              <w:spacing w:before="0" w:beforeAutospacing="0" w:after="0" w:afterAutospacing="0" w:line="360" w:lineRule="auto"/>
              <w:ind w:left="0" w:right="0" w:firstLine="0" w:firstLineChars="0"/>
              <w:jc w:val="center"/>
              <w:textAlignment w:val="auto"/>
              <w:rPr>
                <w:rFonts w:hint="eastAsia"/>
                <w:color w:val="auto"/>
                <w:highlight w:val="none"/>
                <w:lang w:val="en-US" w:eastAsia="zh-CN"/>
              </w:rPr>
            </w:pPr>
            <w:r>
              <w:rPr>
                <w:rFonts w:hint="eastAsia"/>
                <w:color w:val="auto"/>
                <w:highlight w:val="none"/>
                <w:lang w:val="en-US" w:eastAsia="zh-CN"/>
              </w:rPr>
              <w:t>图3.2-1 8#方阵南侧生态保护红线植被情况</w:t>
            </w:r>
          </w:p>
          <w:p w14:paraId="41F922C4">
            <w:pPr>
              <w:keepNext w:val="0"/>
              <w:keepLines w:val="0"/>
              <w:widowControl/>
              <w:suppressLineNumbers w:val="0"/>
              <w:adjustRightInd w:val="0"/>
              <w:snapToGrid w:val="0"/>
              <w:spacing w:before="0" w:beforeAutospacing="0" w:after="0" w:afterAutospacing="0" w:line="360" w:lineRule="auto"/>
              <w:ind w:left="0" w:right="0" w:firstLine="480" w:firstLineChars="200"/>
              <w:rPr>
                <w:rFonts w:hint="default" w:cs="Times New Roman"/>
                <w:color w:val="auto"/>
                <w:highlight w:val="none"/>
              </w:rPr>
            </w:pPr>
            <w:r>
              <w:rPr>
                <w:rFonts w:hint="eastAsia" w:cs="Times New Roman"/>
                <w:color w:val="auto"/>
                <w:highlight w:val="none"/>
                <w:lang w:val="en-US" w:eastAsia="zh-CN"/>
              </w:rPr>
              <w:t>7</w:t>
            </w:r>
            <w:r>
              <w:rPr>
                <w:rFonts w:hint="default" w:cs="Times New Roman"/>
                <w:color w:val="auto"/>
                <w:highlight w:val="none"/>
              </w:rPr>
              <w:t>）生态系统类型</w:t>
            </w:r>
          </w:p>
          <w:p w14:paraId="04B99559">
            <w:pPr>
              <w:keepNext w:val="0"/>
              <w:keepLines w:val="0"/>
              <w:suppressLineNumbers w:val="0"/>
              <w:adjustRightInd w:val="0"/>
              <w:snapToGrid w:val="0"/>
              <w:spacing w:before="0" w:beforeAutospacing="0" w:after="0" w:afterAutospacing="0" w:line="360" w:lineRule="auto"/>
              <w:ind w:left="0" w:right="0" w:firstLine="530" w:firstLineChars="221"/>
              <w:rPr>
                <w:rFonts w:hint="default" w:cs="Times New Roman"/>
                <w:color w:val="auto"/>
                <w:highlight w:val="none"/>
              </w:rPr>
            </w:pPr>
            <w:r>
              <w:rPr>
                <w:rFonts w:hint="default" w:cs="Times New Roman"/>
                <w:color w:val="auto"/>
                <w:highlight w:val="none"/>
              </w:rPr>
              <w:t>根据对评价区土地利用现状的分析，结合动植物分布和生物量的调查，对评价区的生态环境进行生态系统划分，可分为森林生态系统、灌丛生态系统、</w:t>
            </w:r>
            <w:r>
              <w:rPr>
                <w:rFonts w:hint="eastAsia" w:cs="Times New Roman"/>
                <w:color w:val="auto"/>
                <w:highlight w:val="none"/>
              </w:rPr>
              <w:t>草</w:t>
            </w:r>
            <w:r>
              <w:rPr>
                <w:rFonts w:hint="default" w:cs="Times New Roman"/>
                <w:color w:val="auto"/>
                <w:highlight w:val="none"/>
              </w:rPr>
              <w:t>地生态系统</w:t>
            </w:r>
            <w:r>
              <w:rPr>
                <w:rFonts w:hint="eastAsia" w:cs="Times New Roman"/>
                <w:color w:val="auto"/>
                <w:highlight w:val="none"/>
              </w:rPr>
              <w:t>、</w:t>
            </w:r>
            <w:r>
              <w:rPr>
                <w:rFonts w:hint="default" w:cs="Times New Roman"/>
                <w:color w:val="auto"/>
                <w:highlight w:val="none"/>
              </w:rPr>
              <w:t>湿地生态系统、农</w:t>
            </w:r>
            <w:r>
              <w:rPr>
                <w:rFonts w:hint="eastAsia" w:cs="Times New Roman"/>
                <w:color w:val="auto"/>
                <w:highlight w:val="none"/>
              </w:rPr>
              <w:t>田</w:t>
            </w:r>
            <w:r>
              <w:rPr>
                <w:rFonts w:hint="default" w:cs="Times New Roman"/>
                <w:color w:val="auto"/>
                <w:highlight w:val="none"/>
              </w:rPr>
              <w:t>生态系统以及城镇生态系统。根据遥感解译数据，评价区内各生态系统面积见表</w:t>
            </w:r>
            <w:r>
              <w:rPr>
                <w:rFonts w:hint="eastAsia" w:cs="Times New Roman"/>
                <w:color w:val="auto"/>
                <w:highlight w:val="none"/>
              </w:rPr>
              <w:t>3.</w:t>
            </w:r>
            <w:r>
              <w:rPr>
                <w:rFonts w:hint="eastAsia" w:cs="Times New Roman"/>
                <w:color w:val="auto"/>
                <w:highlight w:val="none"/>
                <w:lang w:val="en-US" w:eastAsia="zh-CN"/>
              </w:rPr>
              <w:t>2</w:t>
            </w:r>
            <w:r>
              <w:rPr>
                <w:rFonts w:hint="default" w:cs="Times New Roman"/>
                <w:color w:val="auto"/>
                <w:highlight w:val="none"/>
              </w:rPr>
              <w:t>-</w:t>
            </w:r>
            <w:r>
              <w:rPr>
                <w:rFonts w:hint="eastAsia" w:cs="Times New Roman"/>
                <w:color w:val="auto"/>
                <w:highlight w:val="none"/>
                <w:lang w:val="en-US" w:eastAsia="zh-CN"/>
              </w:rPr>
              <w:t>4</w:t>
            </w:r>
            <w:r>
              <w:rPr>
                <w:rFonts w:hint="default" w:cs="Times New Roman"/>
                <w:color w:val="auto"/>
                <w:highlight w:val="none"/>
              </w:rPr>
              <w:t>。</w:t>
            </w:r>
          </w:p>
          <w:p w14:paraId="5AA96C91">
            <w:pPr>
              <w:keepNext w:val="0"/>
              <w:keepLines w:val="0"/>
              <w:suppressLineNumbers w:val="0"/>
              <w:spacing w:before="0" w:beforeAutospacing="0" w:after="0" w:afterAutospacing="0" w:line="440" w:lineRule="exact"/>
              <w:ind w:left="0" w:right="0"/>
              <w:jc w:val="center"/>
              <w:rPr>
                <w:rFonts w:hint="default" w:cs="Times New Roman"/>
                <w:b/>
                <w:color w:val="auto"/>
                <w:szCs w:val="24"/>
                <w:highlight w:val="none"/>
              </w:rPr>
            </w:pPr>
            <w:r>
              <w:rPr>
                <w:rFonts w:hint="default" w:cs="Times New Roman"/>
                <w:b/>
                <w:color w:val="auto"/>
                <w:sz w:val="21"/>
                <w:szCs w:val="21"/>
                <w:highlight w:val="none"/>
              </w:rPr>
              <w:t>表</w:t>
            </w:r>
            <w:r>
              <w:rPr>
                <w:rFonts w:hint="eastAsia" w:cs="Times New Roman"/>
                <w:b/>
                <w:color w:val="auto"/>
                <w:sz w:val="21"/>
                <w:szCs w:val="21"/>
                <w:highlight w:val="none"/>
              </w:rPr>
              <w:t>3</w:t>
            </w:r>
            <w:r>
              <w:rPr>
                <w:rFonts w:hint="default" w:cs="Times New Roman"/>
                <w:b/>
                <w:color w:val="auto"/>
                <w:sz w:val="21"/>
                <w:szCs w:val="21"/>
                <w:highlight w:val="none"/>
              </w:rPr>
              <w:t>.</w:t>
            </w:r>
            <w:r>
              <w:rPr>
                <w:rFonts w:hint="eastAsia" w:cs="Times New Roman"/>
                <w:b/>
                <w:color w:val="auto"/>
                <w:sz w:val="21"/>
                <w:szCs w:val="21"/>
                <w:highlight w:val="none"/>
                <w:lang w:val="en-US" w:eastAsia="zh-CN"/>
              </w:rPr>
              <w:t>2</w:t>
            </w:r>
            <w:r>
              <w:rPr>
                <w:rFonts w:hint="default" w:cs="Times New Roman"/>
                <w:b/>
                <w:color w:val="auto"/>
                <w:sz w:val="21"/>
                <w:szCs w:val="21"/>
                <w:highlight w:val="none"/>
              </w:rPr>
              <w:t>-</w:t>
            </w:r>
            <w:r>
              <w:rPr>
                <w:rFonts w:hint="eastAsia" w:cs="Times New Roman"/>
                <w:b/>
                <w:color w:val="auto"/>
                <w:sz w:val="21"/>
                <w:szCs w:val="21"/>
                <w:highlight w:val="none"/>
                <w:lang w:val="en-US" w:eastAsia="zh-CN"/>
              </w:rPr>
              <w:t>4</w:t>
            </w:r>
            <w:r>
              <w:rPr>
                <w:rFonts w:hint="default" w:cs="Times New Roman"/>
                <w:b/>
                <w:color w:val="auto"/>
                <w:sz w:val="21"/>
                <w:szCs w:val="21"/>
                <w:highlight w:val="none"/>
              </w:rPr>
              <w:t xml:space="preserve">  评价范围生态系统类型统计表</w:t>
            </w:r>
          </w:p>
          <w:tbl>
            <w:tblPr>
              <w:tblStyle w:val="10"/>
              <w:tblW w:w="7582"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
              <w:gridCol w:w="1909"/>
              <w:gridCol w:w="10"/>
              <w:gridCol w:w="2684"/>
              <w:gridCol w:w="1773"/>
              <w:gridCol w:w="1186"/>
              <w:gridCol w:w="10"/>
            </w:tblGrid>
            <w:tr w14:paraId="6553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0" w:type="dxa"/>
                <w:trHeight w:val="300" w:hRule="atLeast"/>
              </w:trPr>
              <w:tc>
                <w:tcPr>
                  <w:tcW w:w="4613" w:type="dxa"/>
                  <w:gridSpan w:val="4"/>
                  <w:shd w:val="clear" w:color="auto" w:fill="auto"/>
                  <w:noWrap/>
                  <w:vAlign w:val="center"/>
                </w:tcPr>
                <w:p w14:paraId="1FA6DA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生态系统类型</w:t>
                  </w:r>
                </w:p>
              </w:tc>
              <w:tc>
                <w:tcPr>
                  <w:tcW w:w="1773" w:type="dxa"/>
                  <w:vMerge w:val="restart"/>
                  <w:shd w:val="clear" w:color="auto" w:fill="auto"/>
                  <w:noWrap/>
                  <w:vAlign w:val="center"/>
                </w:tcPr>
                <w:p w14:paraId="62E59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面积（</w:t>
                  </w:r>
                  <w:r>
                    <w:rPr>
                      <w:rFonts w:hint="default" w:ascii="Times New Roman" w:hAnsi="Times New Roman" w:eastAsia="仿宋" w:cs="Times New Roman"/>
                      <w:color w:val="auto"/>
                      <w:sz w:val="21"/>
                      <w:szCs w:val="21"/>
                      <w:highlight w:val="none"/>
                      <w:lang w:val="en-US" w:eastAsia="zh-CN" w:bidi="ar"/>
                    </w:rPr>
                    <w:t>hm2）</w:t>
                  </w:r>
                </w:p>
              </w:tc>
              <w:tc>
                <w:tcPr>
                  <w:tcW w:w="1186" w:type="dxa"/>
                  <w:vMerge w:val="restart"/>
                  <w:shd w:val="clear" w:color="auto" w:fill="auto"/>
                  <w:noWrap/>
                  <w:vAlign w:val="center"/>
                </w:tcPr>
                <w:p w14:paraId="0DBDA6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百分比（</w:t>
                  </w:r>
                  <w:r>
                    <w:rPr>
                      <w:rFonts w:hint="default" w:ascii="Times New Roman" w:hAnsi="Times New Roman" w:eastAsia="仿宋" w:cs="Times New Roman"/>
                      <w:color w:val="auto"/>
                      <w:sz w:val="21"/>
                      <w:szCs w:val="21"/>
                      <w:highlight w:val="none"/>
                      <w:lang w:val="en-US" w:eastAsia="zh-CN" w:bidi="ar"/>
                    </w:rPr>
                    <w:t>%）</w:t>
                  </w:r>
                </w:p>
              </w:tc>
            </w:tr>
            <w:tr w14:paraId="4D43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0" w:type="dxa"/>
                <w:trHeight w:val="285" w:hRule="atLeast"/>
              </w:trPr>
              <w:tc>
                <w:tcPr>
                  <w:tcW w:w="1919" w:type="dxa"/>
                  <w:gridSpan w:val="2"/>
                  <w:shd w:val="clear" w:color="auto" w:fill="auto"/>
                  <w:noWrap/>
                  <w:vAlign w:val="center"/>
                </w:tcPr>
                <w:p w14:paraId="5EB98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Ⅰ</w:t>
                  </w:r>
                  <w:r>
                    <w:rPr>
                      <w:rFonts w:hint="default" w:ascii="Times New Roman" w:hAnsi="Times New Roman" w:eastAsia="仿宋" w:cs="Times New Roman"/>
                      <w:color w:val="auto"/>
                      <w:sz w:val="21"/>
                      <w:szCs w:val="21"/>
                      <w:highlight w:val="none"/>
                      <w:lang w:val="en-US" w:eastAsia="zh-CN" w:bidi="ar"/>
                    </w:rPr>
                    <w:t>级分类</w:t>
                  </w:r>
                </w:p>
              </w:tc>
              <w:tc>
                <w:tcPr>
                  <w:tcW w:w="2694" w:type="dxa"/>
                  <w:gridSpan w:val="2"/>
                  <w:shd w:val="clear" w:color="auto" w:fill="auto"/>
                  <w:noWrap/>
                  <w:vAlign w:val="center"/>
                </w:tcPr>
                <w:p w14:paraId="74484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Ⅱ</w:t>
                  </w:r>
                  <w:r>
                    <w:rPr>
                      <w:rFonts w:hint="default" w:ascii="Times New Roman" w:hAnsi="Times New Roman" w:eastAsia="仿宋" w:cs="Times New Roman"/>
                      <w:color w:val="auto"/>
                      <w:sz w:val="21"/>
                      <w:szCs w:val="21"/>
                      <w:highlight w:val="none"/>
                      <w:lang w:val="en-US" w:eastAsia="zh-CN" w:bidi="ar"/>
                    </w:rPr>
                    <w:t>级分类</w:t>
                  </w:r>
                </w:p>
              </w:tc>
              <w:tc>
                <w:tcPr>
                  <w:tcW w:w="1773" w:type="dxa"/>
                  <w:vMerge w:val="continue"/>
                  <w:shd w:val="clear" w:color="auto" w:fill="auto"/>
                  <w:noWrap/>
                  <w:vAlign w:val="center"/>
                </w:tcPr>
                <w:p w14:paraId="730A4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仿宋" w:cs="Times New Roman"/>
                      <w:b/>
                      <w:bCs/>
                      <w:i w:val="0"/>
                      <w:iCs w:val="0"/>
                      <w:color w:val="auto"/>
                      <w:sz w:val="21"/>
                      <w:szCs w:val="21"/>
                      <w:highlight w:val="none"/>
                      <w:u w:val="none"/>
                    </w:rPr>
                  </w:pPr>
                </w:p>
              </w:tc>
              <w:tc>
                <w:tcPr>
                  <w:tcW w:w="1186" w:type="dxa"/>
                  <w:vMerge w:val="continue"/>
                  <w:shd w:val="clear" w:color="auto" w:fill="auto"/>
                  <w:noWrap/>
                  <w:vAlign w:val="center"/>
                </w:tcPr>
                <w:p w14:paraId="522AD4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仿宋" w:cs="Times New Roman"/>
                      <w:i w:val="0"/>
                      <w:iCs w:val="0"/>
                      <w:color w:val="auto"/>
                      <w:sz w:val="21"/>
                      <w:szCs w:val="21"/>
                      <w:highlight w:val="none"/>
                      <w:u w:val="none"/>
                    </w:rPr>
                  </w:pPr>
                </w:p>
              </w:tc>
            </w:tr>
            <w:tr w14:paraId="121F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vMerge w:val="restart"/>
                  <w:shd w:val="clear" w:color="auto" w:fill="auto"/>
                  <w:noWrap/>
                  <w:vAlign w:val="center"/>
                </w:tcPr>
                <w:p w14:paraId="1E3DE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森林生态系统</w:t>
                  </w:r>
                </w:p>
              </w:tc>
              <w:tc>
                <w:tcPr>
                  <w:tcW w:w="2684" w:type="dxa"/>
                  <w:shd w:val="clear" w:color="auto" w:fill="auto"/>
                  <w:noWrap/>
                  <w:vAlign w:val="center"/>
                </w:tcPr>
                <w:p w14:paraId="4DB1B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针叶林生态系统</w:t>
                  </w:r>
                </w:p>
              </w:tc>
              <w:tc>
                <w:tcPr>
                  <w:tcW w:w="1773" w:type="dxa"/>
                  <w:shd w:val="clear" w:color="auto" w:fill="auto"/>
                  <w:noWrap/>
                  <w:vAlign w:val="center"/>
                </w:tcPr>
                <w:p w14:paraId="215710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1699.641181</w:t>
                  </w:r>
                </w:p>
              </w:tc>
              <w:tc>
                <w:tcPr>
                  <w:tcW w:w="1196" w:type="dxa"/>
                  <w:gridSpan w:val="2"/>
                  <w:shd w:val="clear" w:color="auto" w:fill="auto"/>
                  <w:noWrap/>
                  <w:vAlign w:val="center"/>
                </w:tcPr>
                <w:p w14:paraId="1AA1B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33.48%</w:t>
                  </w:r>
                </w:p>
              </w:tc>
            </w:tr>
            <w:tr w14:paraId="442C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vMerge w:val="continue"/>
                  <w:shd w:val="clear" w:color="auto" w:fill="auto"/>
                  <w:noWrap/>
                  <w:vAlign w:val="center"/>
                </w:tcPr>
                <w:p w14:paraId="4AD7C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仿宋" w:cs="Times New Roman"/>
                      <w:i w:val="0"/>
                      <w:iCs w:val="0"/>
                      <w:color w:val="auto"/>
                      <w:sz w:val="21"/>
                      <w:szCs w:val="21"/>
                      <w:highlight w:val="none"/>
                      <w:u w:val="none"/>
                    </w:rPr>
                  </w:pPr>
                </w:p>
              </w:tc>
              <w:tc>
                <w:tcPr>
                  <w:tcW w:w="2684" w:type="dxa"/>
                  <w:shd w:val="clear" w:color="auto" w:fill="auto"/>
                  <w:noWrap/>
                  <w:vAlign w:val="center"/>
                </w:tcPr>
                <w:p w14:paraId="1A9F5B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阔叶林生态系统</w:t>
                  </w:r>
                </w:p>
              </w:tc>
              <w:tc>
                <w:tcPr>
                  <w:tcW w:w="1773" w:type="dxa"/>
                  <w:shd w:val="clear" w:color="auto" w:fill="auto"/>
                  <w:noWrap/>
                  <w:vAlign w:val="center"/>
                </w:tcPr>
                <w:p w14:paraId="44A33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38.39323571</w:t>
                  </w:r>
                </w:p>
              </w:tc>
              <w:tc>
                <w:tcPr>
                  <w:tcW w:w="1196" w:type="dxa"/>
                  <w:gridSpan w:val="2"/>
                  <w:shd w:val="clear" w:color="auto" w:fill="auto"/>
                  <w:noWrap/>
                  <w:vAlign w:val="center"/>
                </w:tcPr>
                <w:p w14:paraId="56B75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0.76%</w:t>
                  </w:r>
                </w:p>
              </w:tc>
            </w:tr>
            <w:tr w14:paraId="1184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shd w:val="clear" w:color="auto" w:fill="auto"/>
                  <w:noWrap/>
                  <w:vAlign w:val="center"/>
                </w:tcPr>
                <w:p w14:paraId="377EB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灌丛生态系统</w:t>
                  </w:r>
                </w:p>
              </w:tc>
              <w:tc>
                <w:tcPr>
                  <w:tcW w:w="2684" w:type="dxa"/>
                  <w:shd w:val="clear" w:color="auto" w:fill="auto"/>
                  <w:noWrap/>
                  <w:vAlign w:val="center"/>
                </w:tcPr>
                <w:p w14:paraId="49589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暖温性稀树灌丛生态系统</w:t>
                  </w:r>
                </w:p>
              </w:tc>
              <w:tc>
                <w:tcPr>
                  <w:tcW w:w="1773" w:type="dxa"/>
                  <w:shd w:val="clear" w:color="auto" w:fill="auto"/>
                  <w:noWrap/>
                  <w:vAlign w:val="center"/>
                </w:tcPr>
                <w:p w14:paraId="40097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170.1072158</w:t>
                  </w:r>
                </w:p>
              </w:tc>
              <w:tc>
                <w:tcPr>
                  <w:tcW w:w="1196" w:type="dxa"/>
                  <w:gridSpan w:val="2"/>
                  <w:shd w:val="clear" w:color="auto" w:fill="auto"/>
                  <w:noWrap/>
                  <w:vAlign w:val="center"/>
                </w:tcPr>
                <w:p w14:paraId="6CD18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3.35%</w:t>
                  </w:r>
                </w:p>
              </w:tc>
            </w:tr>
            <w:tr w14:paraId="2130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shd w:val="clear" w:color="auto" w:fill="auto"/>
                  <w:noWrap/>
                  <w:vAlign w:val="center"/>
                </w:tcPr>
                <w:p w14:paraId="74236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草地生态系统</w:t>
                  </w:r>
                </w:p>
              </w:tc>
              <w:tc>
                <w:tcPr>
                  <w:tcW w:w="2684" w:type="dxa"/>
                  <w:shd w:val="clear" w:color="auto" w:fill="auto"/>
                  <w:noWrap/>
                  <w:vAlign w:val="center"/>
                </w:tcPr>
                <w:p w14:paraId="6AF352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草丛生态系统</w:t>
                  </w:r>
                </w:p>
              </w:tc>
              <w:tc>
                <w:tcPr>
                  <w:tcW w:w="1773" w:type="dxa"/>
                  <w:shd w:val="clear" w:color="auto" w:fill="auto"/>
                  <w:noWrap/>
                  <w:vAlign w:val="center"/>
                </w:tcPr>
                <w:p w14:paraId="51A678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64.80520852</w:t>
                  </w:r>
                </w:p>
              </w:tc>
              <w:tc>
                <w:tcPr>
                  <w:tcW w:w="1196" w:type="dxa"/>
                  <w:gridSpan w:val="2"/>
                  <w:shd w:val="clear" w:color="auto" w:fill="auto"/>
                  <w:noWrap/>
                  <w:vAlign w:val="center"/>
                </w:tcPr>
                <w:p w14:paraId="71DCB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1.28%</w:t>
                  </w:r>
                </w:p>
              </w:tc>
            </w:tr>
            <w:tr w14:paraId="74A8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shd w:val="clear" w:color="auto" w:fill="auto"/>
                  <w:noWrap/>
                  <w:vAlign w:val="center"/>
                </w:tcPr>
                <w:p w14:paraId="29812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湿地生态系统</w:t>
                  </w:r>
                </w:p>
              </w:tc>
              <w:tc>
                <w:tcPr>
                  <w:tcW w:w="2684" w:type="dxa"/>
                  <w:shd w:val="clear" w:color="auto" w:fill="auto"/>
                  <w:noWrap/>
                  <w:vAlign w:val="center"/>
                </w:tcPr>
                <w:p w14:paraId="78DD8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河流生态系统</w:t>
                  </w:r>
                </w:p>
              </w:tc>
              <w:tc>
                <w:tcPr>
                  <w:tcW w:w="1773" w:type="dxa"/>
                  <w:shd w:val="clear" w:color="auto" w:fill="auto"/>
                  <w:noWrap/>
                  <w:vAlign w:val="center"/>
                </w:tcPr>
                <w:p w14:paraId="3B922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18.64959231</w:t>
                  </w:r>
                </w:p>
              </w:tc>
              <w:tc>
                <w:tcPr>
                  <w:tcW w:w="1196" w:type="dxa"/>
                  <w:gridSpan w:val="2"/>
                  <w:shd w:val="clear" w:color="auto" w:fill="auto"/>
                  <w:noWrap/>
                  <w:vAlign w:val="center"/>
                </w:tcPr>
                <w:p w14:paraId="21E443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0.37%</w:t>
                  </w:r>
                </w:p>
              </w:tc>
            </w:tr>
            <w:tr w14:paraId="6294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vMerge w:val="restart"/>
                  <w:shd w:val="clear" w:color="auto" w:fill="auto"/>
                  <w:noWrap/>
                  <w:vAlign w:val="center"/>
                </w:tcPr>
                <w:p w14:paraId="4F83B4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农田生态系统</w:t>
                  </w:r>
                </w:p>
              </w:tc>
              <w:tc>
                <w:tcPr>
                  <w:tcW w:w="2684" w:type="dxa"/>
                  <w:shd w:val="clear" w:color="auto" w:fill="auto"/>
                  <w:noWrap/>
                  <w:vAlign w:val="center"/>
                </w:tcPr>
                <w:p w14:paraId="7A46B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园地生态系统</w:t>
                  </w:r>
                </w:p>
              </w:tc>
              <w:tc>
                <w:tcPr>
                  <w:tcW w:w="1773" w:type="dxa"/>
                  <w:shd w:val="clear" w:color="auto" w:fill="auto"/>
                  <w:noWrap/>
                  <w:vAlign w:val="center"/>
                </w:tcPr>
                <w:p w14:paraId="7388DD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64.30289187</w:t>
                  </w:r>
                </w:p>
              </w:tc>
              <w:tc>
                <w:tcPr>
                  <w:tcW w:w="1196" w:type="dxa"/>
                  <w:gridSpan w:val="2"/>
                  <w:shd w:val="clear" w:color="auto" w:fill="auto"/>
                  <w:noWrap/>
                  <w:vAlign w:val="center"/>
                </w:tcPr>
                <w:p w14:paraId="086AC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1.27%</w:t>
                  </w:r>
                </w:p>
              </w:tc>
            </w:tr>
            <w:tr w14:paraId="7AB6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vMerge w:val="continue"/>
                  <w:shd w:val="clear" w:color="auto" w:fill="auto"/>
                  <w:noWrap/>
                  <w:vAlign w:val="center"/>
                </w:tcPr>
                <w:p w14:paraId="0F2D5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仿宋" w:cs="Times New Roman"/>
                      <w:i w:val="0"/>
                      <w:iCs w:val="0"/>
                      <w:color w:val="auto"/>
                      <w:sz w:val="21"/>
                      <w:szCs w:val="21"/>
                      <w:highlight w:val="none"/>
                      <w:u w:val="none"/>
                    </w:rPr>
                  </w:pPr>
                </w:p>
              </w:tc>
              <w:tc>
                <w:tcPr>
                  <w:tcW w:w="2684" w:type="dxa"/>
                  <w:shd w:val="clear" w:color="auto" w:fill="auto"/>
                  <w:noWrap/>
                  <w:vAlign w:val="center"/>
                </w:tcPr>
                <w:p w14:paraId="59515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耕地生态系统</w:t>
                  </w:r>
                </w:p>
              </w:tc>
              <w:tc>
                <w:tcPr>
                  <w:tcW w:w="1773" w:type="dxa"/>
                  <w:shd w:val="clear" w:color="auto" w:fill="auto"/>
                  <w:noWrap/>
                  <w:vAlign w:val="center"/>
                </w:tcPr>
                <w:p w14:paraId="2BF47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1994.936115</w:t>
                  </w:r>
                </w:p>
              </w:tc>
              <w:tc>
                <w:tcPr>
                  <w:tcW w:w="1196" w:type="dxa"/>
                  <w:gridSpan w:val="2"/>
                  <w:shd w:val="clear" w:color="auto" w:fill="auto"/>
                  <w:noWrap/>
                  <w:vAlign w:val="center"/>
                </w:tcPr>
                <w:p w14:paraId="44A438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39.29%</w:t>
                  </w:r>
                </w:p>
              </w:tc>
            </w:tr>
            <w:tr w14:paraId="5109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vMerge w:val="restart"/>
                  <w:shd w:val="clear" w:color="auto" w:fill="auto"/>
                  <w:noWrap/>
                  <w:vAlign w:val="center"/>
                </w:tcPr>
                <w:p w14:paraId="07678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城镇生态系统</w:t>
                  </w:r>
                </w:p>
              </w:tc>
              <w:tc>
                <w:tcPr>
                  <w:tcW w:w="2684" w:type="dxa"/>
                  <w:shd w:val="clear" w:color="auto" w:fill="auto"/>
                  <w:noWrap/>
                  <w:vAlign w:val="center"/>
                </w:tcPr>
                <w:p w14:paraId="54565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居住地生态系统</w:t>
                  </w:r>
                </w:p>
              </w:tc>
              <w:tc>
                <w:tcPr>
                  <w:tcW w:w="1773" w:type="dxa"/>
                  <w:shd w:val="clear" w:color="auto" w:fill="auto"/>
                  <w:noWrap/>
                  <w:vAlign w:val="center"/>
                </w:tcPr>
                <w:p w14:paraId="71CDF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75.06358491</w:t>
                  </w:r>
                </w:p>
              </w:tc>
              <w:tc>
                <w:tcPr>
                  <w:tcW w:w="1196" w:type="dxa"/>
                  <w:gridSpan w:val="2"/>
                  <w:shd w:val="clear" w:color="auto" w:fill="auto"/>
                  <w:noWrap/>
                  <w:vAlign w:val="center"/>
                </w:tcPr>
                <w:p w14:paraId="46D04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1.48%</w:t>
                  </w:r>
                </w:p>
              </w:tc>
            </w:tr>
            <w:tr w14:paraId="34D7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vMerge w:val="continue"/>
                  <w:shd w:val="clear" w:color="auto" w:fill="auto"/>
                  <w:noWrap/>
                  <w:vAlign w:val="center"/>
                </w:tcPr>
                <w:p w14:paraId="18A5B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仿宋" w:cs="Times New Roman"/>
                      <w:i w:val="0"/>
                      <w:iCs w:val="0"/>
                      <w:color w:val="auto"/>
                      <w:sz w:val="21"/>
                      <w:szCs w:val="21"/>
                      <w:highlight w:val="none"/>
                      <w:u w:val="none"/>
                    </w:rPr>
                  </w:pPr>
                </w:p>
              </w:tc>
              <w:tc>
                <w:tcPr>
                  <w:tcW w:w="2684" w:type="dxa"/>
                  <w:shd w:val="clear" w:color="auto" w:fill="auto"/>
                  <w:noWrap/>
                  <w:vAlign w:val="center"/>
                </w:tcPr>
                <w:p w14:paraId="5663A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工矿交通生态系统</w:t>
                  </w:r>
                </w:p>
              </w:tc>
              <w:tc>
                <w:tcPr>
                  <w:tcW w:w="1773" w:type="dxa"/>
                  <w:shd w:val="clear" w:color="auto" w:fill="auto"/>
                  <w:noWrap/>
                  <w:vAlign w:val="center"/>
                </w:tcPr>
                <w:p w14:paraId="6DE54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52.55765962</w:t>
                  </w:r>
                </w:p>
              </w:tc>
              <w:tc>
                <w:tcPr>
                  <w:tcW w:w="1196" w:type="dxa"/>
                  <w:gridSpan w:val="2"/>
                  <w:shd w:val="clear" w:color="auto" w:fill="auto"/>
                  <w:noWrap/>
                  <w:vAlign w:val="center"/>
                </w:tcPr>
                <w:p w14:paraId="381144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1.04%</w:t>
                  </w:r>
                </w:p>
              </w:tc>
            </w:tr>
            <w:tr w14:paraId="4868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1919" w:type="dxa"/>
                  <w:gridSpan w:val="2"/>
                  <w:shd w:val="clear" w:color="auto" w:fill="auto"/>
                  <w:noWrap/>
                  <w:vAlign w:val="center"/>
                </w:tcPr>
                <w:p w14:paraId="08940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其他</w:t>
                  </w:r>
                </w:p>
              </w:tc>
              <w:tc>
                <w:tcPr>
                  <w:tcW w:w="2684" w:type="dxa"/>
                  <w:shd w:val="clear" w:color="auto" w:fill="auto"/>
                  <w:noWrap/>
                  <w:vAlign w:val="center"/>
                </w:tcPr>
                <w:p w14:paraId="7DF84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裸地</w:t>
                  </w:r>
                </w:p>
              </w:tc>
              <w:tc>
                <w:tcPr>
                  <w:tcW w:w="1773" w:type="dxa"/>
                  <w:shd w:val="clear" w:color="auto" w:fill="auto"/>
                  <w:noWrap/>
                  <w:vAlign w:val="center"/>
                </w:tcPr>
                <w:p w14:paraId="0DA312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898.5813824</w:t>
                  </w:r>
                </w:p>
              </w:tc>
              <w:tc>
                <w:tcPr>
                  <w:tcW w:w="1196" w:type="dxa"/>
                  <w:gridSpan w:val="2"/>
                  <w:shd w:val="clear" w:color="auto" w:fill="auto"/>
                  <w:noWrap/>
                  <w:vAlign w:val="center"/>
                </w:tcPr>
                <w:p w14:paraId="223E9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17.70%</w:t>
                  </w:r>
                </w:p>
              </w:tc>
            </w:tr>
            <w:tr w14:paraId="3FC1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70" w:hRule="atLeast"/>
              </w:trPr>
              <w:tc>
                <w:tcPr>
                  <w:tcW w:w="4603" w:type="dxa"/>
                  <w:gridSpan w:val="3"/>
                  <w:shd w:val="clear" w:color="auto" w:fill="auto"/>
                  <w:noWrap/>
                  <w:vAlign w:val="center"/>
                </w:tcPr>
                <w:p w14:paraId="60624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合计</w:t>
                  </w:r>
                </w:p>
              </w:tc>
              <w:tc>
                <w:tcPr>
                  <w:tcW w:w="1773" w:type="dxa"/>
                  <w:shd w:val="clear" w:color="auto" w:fill="auto"/>
                  <w:noWrap/>
                  <w:vAlign w:val="center"/>
                </w:tcPr>
                <w:p w14:paraId="2FA92D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5077.038067</w:t>
                  </w:r>
                </w:p>
              </w:tc>
              <w:tc>
                <w:tcPr>
                  <w:tcW w:w="1196" w:type="dxa"/>
                  <w:gridSpan w:val="2"/>
                  <w:shd w:val="clear" w:color="auto" w:fill="auto"/>
                  <w:noWrap/>
                  <w:vAlign w:val="center"/>
                </w:tcPr>
                <w:p w14:paraId="2258A4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ottom"/>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100%</w:t>
                  </w:r>
                </w:p>
              </w:tc>
            </w:tr>
          </w:tbl>
          <w:p w14:paraId="214E9700">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s="Times New Roman"/>
                <w:color w:val="auto"/>
                <w:highlight w:val="none"/>
              </w:rPr>
              <w:t>由上表可知，评价区以</w:t>
            </w:r>
            <w:r>
              <w:rPr>
                <w:rFonts w:hint="eastAsia" w:cs="Times New Roman"/>
                <w:color w:val="auto"/>
                <w:highlight w:val="none"/>
                <w:lang w:val="en-US" w:eastAsia="zh-CN"/>
              </w:rPr>
              <w:t>农田</w:t>
            </w:r>
            <w:r>
              <w:rPr>
                <w:rFonts w:hint="default" w:cs="Times New Roman"/>
                <w:color w:val="auto"/>
                <w:highlight w:val="none"/>
              </w:rPr>
              <w:t>生态系统为</w:t>
            </w:r>
            <w:r>
              <w:rPr>
                <w:rFonts w:hint="eastAsia" w:cs="Times New Roman"/>
                <w:color w:val="auto"/>
                <w:highlight w:val="none"/>
              </w:rPr>
              <w:t>主导</w:t>
            </w:r>
            <w:r>
              <w:rPr>
                <w:rFonts w:hint="default" w:cs="Times New Roman"/>
                <w:color w:val="auto"/>
                <w:highlight w:val="none"/>
              </w:rPr>
              <w:t>，</w:t>
            </w:r>
            <w:r>
              <w:rPr>
                <w:rFonts w:hint="eastAsia" w:cs="Times New Roman"/>
                <w:color w:val="auto"/>
                <w:highlight w:val="none"/>
              </w:rPr>
              <w:t>面积</w:t>
            </w:r>
            <w:r>
              <w:rPr>
                <w:rFonts w:hint="eastAsia" w:cs="Times New Roman"/>
                <w:color w:val="auto"/>
                <w:highlight w:val="none"/>
                <w:lang w:val="en-US" w:eastAsia="zh-CN"/>
              </w:rPr>
              <w:t>2059.239</w:t>
            </w:r>
            <w:r>
              <w:rPr>
                <w:rFonts w:hint="eastAsia" w:cs="Times New Roman"/>
                <w:color w:val="auto"/>
                <w:highlight w:val="none"/>
              </w:rPr>
              <w:t>hm</w:t>
            </w:r>
            <w:r>
              <w:rPr>
                <w:rFonts w:hint="eastAsia" w:cs="Times New Roman"/>
                <w:color w:val="auto"/>
                <w:highlight w:val="none"/>
                <w:vertAlign w:val="superscript"/>
              </w:rPr>
              <w:t>2</w:t>
            </w:r>
            <w:r>
              <w:rPr>
                <w:rFonts w:hint="eastAsia" w:cs="Times New Roman"/>
                <w:color w:val="auto"/>
                <w:highlight w:val="none"/>
              </w:rPr>
              <w:t>，</w:t>
            </w:r>
            <w:r>
              <w:rPr>
                <w:rFonts w:hint="default" w:cs="Times New Roman"/>
                <w:color w:val="auto"/>
                <w:highlight w:val="none"/>
              </w:rPr>
              <w:t>占评价范围总面积</w:t>
            </w:r>
            <w:r>
              <w:rPr>
                <w:rFonts w:hint="eastAsia" w:cs="Times New Roman"/>
                <w:color w:val="auto"/>
                <w:highlight w:val="none"/>
                <w:lang w:val="en-US" w:eastAsia="zh-CN"/>
              </w:rPr>
              <w:t>40.56</w:t>
            </w:r>
            <w:r>
              <w:rPr>
                <w:rFonts w:hint="default" w:cs="Times New Roman"/>
                <w:color w:val="auto"/>
                <w:highlight w:val="none"/>
              </w:rPr>
              <w:t>%</w:t>
            </w:r>
            <w:r>
              <w:rPr>
                <w:rFonts w:hint="eastAsia" w:cs="Times New Roman"/>
                <w:color w:val="auto"/>
                <w:highlight w:val="none"/>
              </w:rPr>
              <w:t>；</w:t>
            </w:r>
            <w:r>
              <w:rPr>
                <w:rFonts w:hint="eastAsia" w:cs="Times New Roman"/>
                <w:color w:val="auto"/>
                <w:highlight w:val="none"/>
                <w:lang w:val="en-US" w:eastAsia="zh-CN"/>
              </w:rPr>
              <w:t>森林</w:t>
            </w:r>
            <w:r>
              <w:rPr>
                <w:rFonts w:hint="default" w:cs="Times New Roman"/>
                <w:color w:val="auto"/>
                <w:highlight w:val="none"/>
              </w:rPr>
              <w:t>生态系统</w:t>
            </w:r>
            <w:r>
              <w:rPr>
                <w:rFonts w:hint="eastAsia" w:cs="Times New Roman"/>
                <w:color w:val="auto"/>
                <w:highlight w:val="none"/>
              </w:rPr>
              <w:t>次之，面积</w:t>
            </w:r>
            <w:r>
              <w:rPr>
                <w:rFonts w:hint="eastAsia" w:cs="Times New Roman"/>
                <w:color w:val="auto"/>
                <w:highlight w:val="none"/>
                <w:lang w:val="en-US" w:eastAsia="zh-CN"/>
              </w:rPr>
              <w:t>1738.034</w:t>
            </w:r>
            <w:r>
              <w:rPr>
                <w:rFonts w:hint="eastAsia" w:cs="Times New Roman"/>
                <w:color w:val="auto"/>
                <w:highlight w:val="none"/>
              </w:rPr>
              <w:t>hm</w:t>
            </w:r>
            <w:r>
              <w:rPr>
                <w:rFonts w:hint="eastAsia" w:cs="Times New Roman"/>
                <w:color w:val="auto"/>
                <w:highlight w:val="none"/>
                <w:vertAlign w:val="superscript"/>
              </w:rPr>
              <w:t>2</w:t>
            </w:r>
            <w:r>
              <w:rPr>
                <w:rFonts w:hint="eastAsia" w:cs="Times New Roman"/>
                <w:color w:val="auto"/>
                <w:highlight w:val="none"/>
              </w:rPr>
              <w:t>，为</w:t>
            </w:r>
            <w:r>
              <w:rPr>
                <w:rFonts w:hint="eastAsia" w:cs="Times New Roman"/>
                <w:color w:val="auto"/>
                <w:highlight w:val="none"/>
                <w:lang w:val="en-US" w:eastAsia="zh-CN"/>
              </w:rPr>
              <w:t>34.24</w:t>
            </w:r>
            <w:r>
              <w:rPr>
                <w:rFonts w:hint="eastAsia" w:cs="Times New Roman"/>
                <w:color w:val="auto"/>
                <w:highlight w:val="none"/>
              </w:rPr>
              <w:t>%；草地</w:t>
            </w:r>
            <w:r>
              <w:rPr>
                <w:rFonts w:hint="default" w:cs="Times New Roman"/>
                <w:color w:val="auto"/>
                <w:highlight w:val="none"/>
              </w:rPr>
              <w:t>生态系统</w:t>
            </w:r>
            <w:r>
              <w:rPr>
                <w:rFonts w:hint="eastAsia" w:cs="Times New Roman"/>
                <w:color w:val="auto"/>
                <w:highlight w:val="none"/>
              </w:rPr>
              <w:t>和灌丛生态系统分别</w:t>
            </w:r>
            <w:r>
              <w:rPr>
                <w:rFonts w:hint="default" w:cs="Times New Roman"/>
                <w:color w:val="auto"/>
                <w:highlight w:val="none"/>
              </w:rPr>
              <w:t>达到</w:t>
            </w:r>
            <w:r>
              <w:rPr>
                <w:rFonts w:hint="eastAsia" w:cs="Times New Roman"/>
                <w:color w:val="auto"/>
                <w:highlight w:val="none"/>
                <w:lang w:val="en-US" w:eastAsia="zh-CN"/>
              </w:rPr>
              <w:t>1.28</w:t>
            </w:r>
            <w:r>
              <w:rPr>
                <w:rFonts w:hint="default" w:cs="Times New Roman"/>
                <w:color w:val="auto"/>
                <w:highlight w:val="none"/>
              </w:rPr>
              <w:t>%</w:t>
            </w:r>
            <w:r>
              <w:rPr>
                <w:rFonts w:hint="eastAsia" w:cs="Times New Roman"/>
                <w:color w:val="auto"/>
                <w:highlight w:val="none"/>
              </w:rPr>
              <w:t>和</w:t>
            </w:r>
            <w:r>
              <w:rPr>
                <w:rFonts w:hint="eastAsia" w:cs="Times New Roman"/>
                <w:color w:val="auto"/>
                <w:highlight w:val="none"/>
                <w:lang w:val="en-US" w:eastAsia="zh-CN"/>
              </w:rPr>
              <w:t>3.35</w:t>
            </w:r>
            <w:r>
              <w:rPr>
                <w:rFonts w:hint="default" w:cs="Times New Roman"/>
                <w:color w:val="auto"/>
                <w:highlight w:val="none"/>
              </w:rPr>
              <w:t>%，而</w:t>
            </w:r>
            <w:r>
              <w:rPr>
                <w:rFonts w:hint="eastAsia" w:cs="Times New Roman"/>
                <w:color w:val="auto"/>
                <w:highlight w:val="none"/>
              </w:rPr>
              <w:t>湿地生态系统、城镇生态系统以及裸地的总比重仅占</w:t>
            </w:r>
            <w:r>
              <w:rPr>
                <w:rFonts w:hint="default" w:cs="Times New Roman"/>
                <w:color w:val="auto"/>
                <w:highlight w:val="none"/>
              </w:rPr>
              <w:t>评价区面积的</w:t>
            </w:r>
            <w:r>
              <w:rPr>
                <w:rFonts w:hint="eastAsia" w:cs="Times New Roman"/>
                <w:color w:val="auto"/>
                <w:highlight w:val="none"/>
                <w:lang w:val="en-US" w:eastAsia="zh-CN"/>
              </w:rPr>
              <w:t>2.89</w:t>
            </w:r>
            <w:r>
              <w:rPr>
                <w:rFonts w:hint="default" w:cs="Times New Roman"/>
                <w:color w:val="auto"/>
                <w:highlight w:val="none"/>
              </w:rPr>
              <w:t>%。</w:t>
            </w:r>
          </w:p>
          <w:p w14:paraId="0A052D22">
            <w:pPr>
              <w:keepNext w:val="0"/>
              <w:keepLines w:val="0"/>
              <w:pageBreakBefore w:val="0"/>
              <w:widowControl w:val="0"/>
              <w:suppressLineNumbers w:val="0"/>
              <w:kinsoku/>
              <w:autoSpaceDE/>
              <w:autoSpaceDN/>
              <w:bidi w:val="0"/>
              <w:adjustRightInd/>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bCs/>
                <w:color w:val="auto"/>
                <w:sz w:val="24"/>
                <w:szCs w:val="24"/>
                <w:highlight w:val="none"/>
              </w:rPr>
            </w:pPr>
            <w:r>
              <w:rPr>
                <w:rFonts w:hint="eastAsia" w:cs="Times New Roman"/>
                <w:b/>
                <w:bCs/>
                <w:color w:val="auto"/>
                <w:spacing w:val="-2"/>
                <w:sz w:val="24"/>
                <w:szCs w:val="24"/>
                <w:highlight w:val="none"/>
                <w:lang w:val="en-US" w:eastAsia="zh-CN"/>
              </w:rPr>
              <w:t xml:space="preserve">3.2.2 </w:t>
            </w:r>
            <w:r>
              <w:rPr>
                <w:rFonts w:hint="default" w:ascii="Times New Roman" w:hAnsi="Times New Roman" w:eastAsia="仿宋" w:cs="Times New Roman"/>
                <w:b/>
                <w:bCs/>
                <w:color w:val="auto"/>
                <w:spacing w:val="-2"/>
                <w:sz w:val="24"/>
                <w:szCs w:val="24"/>
                <w:highlight w:val="none"/>
              </w:rPr>
              <w:t>陆生动物现状调查</w:t>
            </w:r>
          </w:p>
          <w:p w14:paraId="71DA1A57">
            <w:pPr>
              <w:keepNext w:val="0"/>
              <w:keepLines w:val="0"/>
              <w:pageBreakBefore w:val="0"/>
              <w:widowControl w:val="0"/>
              <w:suppressLineNumbers w:val="0"/>
              <w:kinsoku/>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3"/>
                <w:sz w:val="24"/>
                <w:szCs w:val="24"/>
                <w:highlight w:val="none"/>
              </w:rPr>
              <w:t>（1）调查方法、范围及内容</w:t>
            </w:r>
          </w:p>
          <w:p w14:paraId="5D06E7B6">
            <w:pPr>
              <w:keepNext w:val="0"/>
              <w:keepLines w:val="0"/>
              <w:pageBreakBefore w:val="0"/>
              <w:widowControl w:val="0"/>
              <w:suppressLineNumbers w:val="0"/>
              <w:kinsoku/>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6"/>
                <w:sz w:val="24"/>
                <w:szCs w:val="24"/>
                <w:highlight w:val="none"/>
              </w:rPr>
              <w:t>1）调查方法</w:t>
            </w:r>
          </w:p>
          <w:p w14:paraId="3F6CFDDE">
            <w:pPr>
              <w:keepNext w:val="0"/>
              <w:keepLines w:val="0"/>
              <w:pageBreakBefore w:val="0"/>
              <w:widowControl w:val="0"/>
              <w:suppressLineNumbers w:val="0"/>
              <w:kinsoku/>
              <w:autoSpaceDE/>
              <w:autoSpaceDN/>
              <w:bidi w:val="0"/>
              <w:adjustRightInd/>
              <w:spacing w:before="0" w:beforeAutospacing="0" w:after="0" w:afterAutospacing="0" w:line="360" w:lineRule="auto"/>
              <w:ind w:left="108" w:right="103" w:firstLine="483"/>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项目组于202</w:t>
            </w:r>
            <w:r>
              <w:rPr>
                <w:rFonts w:hint="default" w:ascii="Times New Roman" w:hAnsi="Times New Roman" w:eastAsia="仿宋" w:cs="Times New Roman"/>
                <w:color w:val="auto"/>
                <w:spacing w:val="0"/>
                <w:sz w:val="24"/>
                <w:szCs w:val="24"/>
                <w:highlight w:val="none"/>
                <w:lang w:val="en-US" w:eastAsia="zh-CN"/>
              </w:rPr>
              <w:t>5</w:t>
            </w:r>
            <w:r>
              <w:rPr>
                <w:rFonts w:hint="default" w:ascii="Times New Roman" w:hAnsi="Times New Roman" w:eastAsia="仿宋" w:cs="Times New Roman"/>
                <w:color w:val="auto"/>
                <w:spacing w:val="0"/>
                <w:sz w:val="24"/>
                <w:szCs w:val="24"/>
                <w:highlight w:val="none"/>
              </w:rPr>
              <w:t>年1</w:t>
            </w:r>
            <w:r>
              <w:rPr>
                <w:rFonts w:hint="default" w:ascii="Times New Roman" w:hAnsi="Times New Roman" w:eastAsia="仿宋" w:cs="Times New Roman"/>
                <w:color w:val="auto"/>
                <w:spacing w:val="0"/>
                <w:sz w:val="24"/>
                <w:szCs w:val="24"/>
                <w:highlight w:val="none"/>
                <w:lang w:val="en-US" w:eastAsia="zh-CN"/>
              </w:rPr>
              <w:t>1</w:t>
            </w:r>
            <w:r>
              <w:rPr>
                <w:rFonts w:hint="default" w:ascii="Times New Roman" w:hAnsi="Times New Roman" w:eastAsia="仿宋" w:cs="Times New Roman"/>
                <w:color w:val="auto"/>
                <w:spacing w:val="0"/>
                <w:sz w:val="24"/>
                <w:szCs w:val="24"/>
                <w:highlight w:val="none"/>
              </w:rPr>
              <w:t>月对光伏电站评价区及邻近地区的陆栖脊椎动物进行了专业调查。野外调查工作的重点为项目占地区及周边影响区。项目采用收集资料为主</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野外调查为辅的方法，主要观察记录了陆栖脊椎动物的生境状况；鸟类调查主要使用双筒望远镜观察记录；询问有关野生脊椎动物的情况；调阅会泽县收集的相关资料；并查阅和参考该区域动物区系方面已发表的相关文献资料。</w:t>
            </w:r>
          </w:p>
          <w:p w14:paraId="1BE5111C">
            <w:pPr>
              <w:keepNext w:val="0"/>
              <w:keepLines w:val="0"/>
              <w:pageBreakBefore w:val="0"/>
              <w:widowControl w:val="0"/>
              <w:suppressLineNumbers w:val="0"/>
              <w:kinsoku/>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2）调查范围</w:t>
            </w:r>
          </w:p>
          <w:p w14:paraId="084477DF">
            <w:pPr>
              <w:keepNext w:val="0"/>
              <w:keepLines w:val="0"/>
              <w:pageBreakBefore w:val="0"/>
              <w:widowControl w:val="0"/>
              <w:suppressLineNumbers w:val="0"/>
              <w:kinsoku/>
              <w:autoSpaceDE/>
              <w:autoSpaceDN/>
              <w:bidi w:val="0"/>
              <w:adjustRightInd/>
              <w:spacing w:before="0" w:beforeAutospacing="0" w:after="0" w:afterAutospacing="0" w:line="360" w:lineRule="auto"/>
              <w:ind w:left="109" w:right="161" w:firstLine="478"/>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野外调查工作的重点为光伏布置区、升压站及进场</w:t>
            </w:r>
            <w:r>
              <w:rPr>
                <w:rFonts w:hint="default" w:ascii="Times New Roman" w:hAnsi="Times New Roman" w:eastAsia="仿宋" w:cs="Times New Roman"/>
                <w:color w:val="auto"/>
                <w:spacing w:val="-2"/>
                <w:sz w:val="24"/>
                <w:szCs w:val="24"/>
                <w:highlight w:val="none"/>
                <w:lang w:val="en-US" w:eastAsia="zh-CN"/>
              </w:rPr>
              <w:t>道路</w:t>
            </w:r>
            <w:r>
              <w:rPr>
                <w:rFonts w:hint="default" w:ascii="Times New Roman" w:hAnsi="Times New Roman" w:eastAsia="仿宋" w:cs="Times New Roman"/>
                <w:color w:val="auto"/>
                <w:spacing w:val="-2"/>
                <w:sz w:val="24"/>
                <w:szCs w:val="24"/>
                <w:highlight w:val="none"/>
              </w:rPr>
              <w:t>沿线、施工布置区，</w:t>
            </w:r>
            <w:r>
              <w:rPr>
                <w:rFonts w:hint="default" w:ascii="Times New Roman" w:hAnsi="Times New Roman" w:eastAsia="仿宋" w:cs="Times New Roman"/>
                <w:color w:val="auto"/>
                <w:spacing w:val="-4"/>
                <w:sz w:val="24"/>
                <w:szCs w:val="24"/>
                <w:highlight w:val="none"/>
              </w:rPr>
              <w:t>其次是与评价区相邻的地区。</w:t>
            </w:r>
          </w:p>
          <w:p w14:paraId="51236716">
            <w:pPr>
              <w:keepNext w:val="0"/>
              <w:keepLines w:val="0"/>
              <w:pageBreakBefore w:val="0"/>
              <w:widowControl w:val="0"/>
              <w:suppressLineNumbers w:val="0"/>
              <w:kinsoku/>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3）调查内容</w:t>
            </w:r>
          </w:p>
          <w:p w14:paraId="082A8DC0">
            <w:pPr>
              <w:keepNext w:val="0"/>
              <w:keepLines w:val="0"/>
              <w:pageBreakBefore w:val="0"/>
              <w:widowControl w:val="0"/>
              <w:suppressLineNumbers w:val="0"/>
              <w:kinsoku/>
              <w:autoSpaceDE/>
              <w:autoSpaceDN/>
              <w:bidi w:val="0"/>
              <w:adjustRightInd/>
              <w:spacing w:before="0" w:beforeAutospacing="0" w:after="0" w:afterAutospacing="0" w:line="360" w:lineRule="auto"/>
              <w:ind w:left="110" w:right="107" w:firstLine="479"/>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6"/>
                <w:sz w:val="24"/>
                <w:szCs w:val="24"/>
                <w:highlight w:val="none"/>
              </w:rPr>
              <w:t>主要调查评价区内的两栖类、爬行类、鸟类、兽类的</w:t>
            </w:r>
            <w:r>
              <w:rPr>
                <w:rFonts w:hint="default" w:ascii="Times New Roman" w:hAnsi="Times New Roman" w:eastAsia="仿宋" w:cs="Times New Roman"/>
                <w:color w:val="auto"/>
                <w:spacing w:val="-7"/>
                <w:sz w:val="24"/>
                <w:szCs w:val="24"/>
                <w:highlight w:val="none"/>
              </w:rPr>
              <w:t>种类，国家重点保护野</w:t>
            </w:r>
            <w:r>
              <w:rPr>
                <w:rFonts w:hint="default" w:ascii="Times New Roman" w:hAnsi="Times New Roman" w:eastAsia="仿宋" w:cs="Times New Roman"/>
                <w:color w:val="auto"/>
                <w:spacing w:val="-2"/>
                <w:sz w:val="24"/>
                <w:szCs w:val="24"/>
                <w:highlight w:val="none"/>
              </w:rPr>
              <w:t>生动物分布，云南省级重点保护野生动物分布情况。</w:t>
            </w:r>
          </w:p>
          <w:p w14:paraId="047BAFC1">
            <w:pPr>
              <w:keepNext w:val="0"/>
              <w:keepLines w:val="0"/>
              <w:pageBreakBefore w:val="0"/>
              <w:widowControl w:val="0"/>
              <w:suppressLineNumbers w:val="0"/>
              <w:kinsoku/>
              <w:autoSpaceDE/>
              <w:autoSpaceDN/>
              <w:bidi w:val="0"/>
              <w:adjustRightInd/>
              <w:spacing w:before="0" w:beforeAutospacing="0" w:after="0" w:afterAutospacing="0" w:line="360" w:lineRule="auto"/>
              <w:ind w:left="0" w:right="0"/>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3"/>
                <w:sz w:val="24"/>
                <w:szCs w:val="24"/>
                <w:highlight w:val="none"/>
              </w:rPr>
              <w:t>（2）陆生动物现状</w:t>
            </w:r>
          </w:p>
          <w:p w14:paraId="01AF5596">
            <w:pPr>
              <w:keepNext w:val="0"/>
              <w:keepLines w:val="0"/>
              <w:pageBreakBefore w:val="0"/>
              <w:widowControl w:val="0"/>
              <w:suppressLineNumbers w:val="0"/>
              <w:kinsoku/>
              <w:autoSpaceDE/>
              <w:autoSpaceDN/>
              <w:bidi w:val="0"/>
              <w:adjustRightInd/>
              <w:spacing w:before="0" w:beforeAutospacing="0" w:after="0" w:afterAutospacing="0" w:line="360" w:lineRule="auto"/>
              <w:ind w:left="112" w:right="36" w:firstLine="476"/>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根据对评价区现场调查及文献记载，评价区分布的陆栖脊椎动物共有 122种，隶属4纲、20目、47科、100属。</w:t>
            </w:r>
          </w:p>
          <w:p w14:paraId="6C3ED4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2030" w:right="0"/>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pacing w:val="-1"/>
                <w:sz w:val="21"/>
                <w:szCs w:val="21"/>
                <w:highlight w:val="none"/>
              </w:rPr>
              <w:t>表</w:t>
            </w:r>
            <w:r>
              <w:rPr>
                <w:rFonts w:hint="default" w:ascii="Times New Roman" w:hAnsi="Times New Roman" w:eastAsia="仿宋" w:cs="Times New Roman"/>
                <w:b/>
                <w:bCs/>
                <w:color w:val="auto"/>
                <w:spacing w:val="-49"/>
                <w:sz w:val="21"/>
                <w:szCs w:val="21"/>
                <w:highlight w:val="none"/>
              </w:rPr>
              <w:t xml:space="preserve"> </w:t>
            </w:r>
            <w:r>
              <w:rPr>
                <w:rFonts w:hint="eastAsia" w:cs="Times New Roman"/>
                <w:b/>
                <w:bCs/>
                <w:color w:val="auto"/>
                <w:spacing w:val="-1"/>
                <w:sz w:val="21"/>
                <w:szCs w:val="21"/>
                <w:highlight w:val="none"/>
                <w:lang w:val="en-US" w:eastAsia="zh-CN"/>
              </w:rPr>
              <w:t>3.2-5</w:t>
            </w:r>
            <w:r>
              <w:rPr>
                <w:rFonts w:hint="default" w:ascii="Times New Roman" w:hAnsi="Times New Roman" w:eastAsia="仿宋" w:cs="Times New Roman"/>
                <w:b/>
                <w:bCs/>
                <w:color w:val="auto"/>
                <w:spacing w:val="-1"/>
                <w:sz w:val="21"/>
                <w:szCs w:val="21"/>
                <w:highlight w:val="none"/>
                <w:lang w:val="en-US" w:eastAsia="zh-CN"/>
              </w:rPr>
              <w:t xml:space="preserve"> </w:t>
            </w:r>
            <w:r>
              <w:rPr>
                <w:rFonts w:hint="default" w:ascii="Times New Roman" w:hAnsi="Times New Roman" w:eastAsia="仿宋" w:cs="Times New Roman"/>
                <w:b/>
                <w:bCs/>
                <w:color w:val="auto"/>
                <w:spacing w:val="-1"/>
                <w:sz w:val="21"/>
                <w:szCs w:val="21"/>
                <w:highlight w:val="none"/>
              </w:rPr>
              <w:t>陆栖脊椎动物各纲下分类阶元数量</w:t>
            </w:r>
          </w:p>
          <w:tbl>
            <w:tblPr>
              <w:tblStyle w:val="10"/>
              <w:tblW w:w="4849" w:type="pct"/>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5"/>
              <w:gridCol w:w="1036"/>
              <w:gridCol w:w="1037"/>
              <w:gridCol w:w="1496"/>
              <w:gridCol w:w="1499"/>
            </w:tblGrid>
            <w:tr w14:paraId="5EE51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5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F22D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项目</w:t>
                  </w:r>
                </w:p>
              </w:tc>
              <w:tc>
                <w:tcPr>
                  <w:tcW w:w="10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BB2D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目</w:t>
                  </w:r>
                </w:p>
              </w:tc>
              <w:tc>
                <w:tcPr>
                  <w:tcW w:w="103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9E1CD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科</w:t>
                  </w:r>
                </w:p>
              </w:tc>
              <w:tc>
                <w:tcPr>
                  <w:tcW w:w="149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80874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属</w:t>
                  </w:r>
                </w:p>
              </w:tc>
              <w:tc>
                <w:tcPr>
                  <w:tcW w:w="14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F327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种</w:t>
                  </w:r>
                </w:p>
              </w:tc>
            </w:tr>
            <w:tr w14:paraId="4CCB4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25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562E2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两栖类</w:t>
                  </w:r>
                </w:p>
              </w:tc>
              <w:tc>
                <w:tcPr>
                  <w:tcW w:w="10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3B2C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103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A728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w:t>
                  </w:r>
                </w:p>
              </w:tc>
              <w:tc>
                <w:tcPr>
                  <w:tcW w:w="149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AFED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0"/>
                      <w:sz w:val="21"/>
                      <w:szCs w:val="21"/>
                      <w:highlight w:val="none"/>
                    </w:rPr>
                    <w:t>11</w:t>
                  </w:r>
                </w:p>
              </w:tc>
              <w:tc>
                <w:tcPr>
                  <w:tcW w:w="14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0C169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0"/>
                      <w:sz w:val="21"/>
                      <w:szCs w:val="21"/>
                      <w:highlight w:val="none"/>
                    </w:rPr>
                    <w:t>11</w:t>
                  </w:r>
                </w:p>
              </w:tc>
            </w:tr>
            <w:tr w14:paraId="05BAB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5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BA5C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爬行类</w:t>
                  </w:r>
                </w:p>
              </w:tc>
              <w:tc>
                <w:tcPr>
                  <w:tcW w:w="10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5F3B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103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8471B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w:t>
                  </w:r>
                </w:p>
              </w:tc>
              <w:tc>
                <w:tcPr>
                  <w:tcW w:w="149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474B6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10</w:t>
                  </w:r>
                </w:p>
              </w:tc>
              <w:tc>
                <w:tcPr>
                  <w:tcW w:w="14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97D98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12</w:t>
                  </w:r>
                </w:p>
              </w:tc>
            </w:tr>
            <w:tr w14:paraId="12CB4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5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3ADDF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鸟类</w:t>
                  </w:r>
                </w:p>
              </w:tc>
              <w:tc>
                <w:tcPr>
                  <w:tcW w:w="10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DC11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12</w:t>
                  </w:r>
                </w:p>
              </w:tc>
              <w:tc>
                <w:tcPr>
                  <w:tcW w:w="103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6285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30</w:t>
                  </w:r>
                </w:p>
              </w:tc>
              <w:tc>
                <w:tcPr>
                  <w:tcW w:w="149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A4A7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65</w:t>
                  </w:r>
                </w:p>
              </w:tc>
              <w:tc>
                <w:tcPr>
                  <w:tcW w:w="14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DC2B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80</w:t>
                  </w:r>
                </w:p>
              </w:tc>
            </w:tr>
            <w:tr w14:paraId="59D0F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25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1398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哺乳类</w:t>
                  </w:r>
                </w:p>
              </w:tc>
              <w:tc>
                <w:tcPr>
                  <w:tcW w:w="10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0D30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w:t>
                  </w:r>
                </w:p>
              </w:tc>
              <w:tc>
                <w:tcPr>
                  <w:tcW w:w="103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B8EAD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w:t>
                  </w:r>
                </w:p>
              </w:tc>
              <w:tc>
                <w:tcPr>
                  <w:tcW w:w="149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760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14</w:t>
                  </w:r>
                </w:p>
              </w:tc>
              <w:tc>
                <w:tcPr>
                  <w:tcW w:w="14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5C56E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19</w:t>
                  </w:r>
                </w:p>
              </w:tc>
            </w:tr>
            <w:tr w14:paraId="2C37A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25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6D0BF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小计</w:t>
                  </w:r>
                </w:p>
              </w:tc>
              <w:tc>
                <w:tcPr>
                  <w:tcW w:w="103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F48A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20</w:t>
                  </w:r>
                </w:p>
              </w:tc>
              <w:tc>
                <w:tcPr>
                  <w:tcW w:w="103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F5B9C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47</w:t>
                  </w:r>
                </w:p>
              </w:tc>
              <w:tc>
                <w:tcPr>
                  <w:tcW w:w="149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C2FB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7"/>
                      <w:sz w:val="21"/>
                      <w:szCs w:val="21"/>
                      <w:highlight w:val="none"/>
                    </w:rPr>
                    <w:t>100</w:t>
                  </w:r>
                </w:p>
              </w:tc>
              <w:tc>
                <w:tcPr>
                  <w:tcW w:w="14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456CE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7"/>
                      <w:sz w:val="21"/>
                      <w:szCs w:val="21"/>
                      <w:highlight w:val="none"/>
                    </w:rPr>
                    <w:t>122</w:t>
                  </w:r>
                </w:p>
              </w:tc>
            </w:tr>
          </w:tbl>
          <w:p w14:paraId="2C51B476">
            <w:pPr>
              <w:keepNext w:val="0"/>
              <w:keepLines w:val="0"/>
              <w:pageBreakBefore w:val="0"/>
              <w:widowControl w:val="0"/>
              <w:suppressLineNumbers w:val="0"/>
              <w:kinsoku/>
              <w:autoSpaceDE/>
              <w:autoSpaceDN/>
              <w:bidi w:val="0"/>
              <w:adjustRightInd/>
              <w:snapToGrid w:val="0"/>
              <w:spacing w:before="0" w:beforeAutospacing="0" w:after="0" w:afterAutospacing="0" w:line="360" w:lineRule="auto"/>
              <w:ind w:left="0" w:right="0"/>
              <w:textAlignment w:val="auto"/>
              <w:rPr>
                <w:rFonts w:hint="default" w:ascii="Times New Roman" w:hAnsi="Times New Roman" w:eastAsia="仿宋" w:cs="Times New Roman"/>
                <w:b w:val="0"/>
                <w:bCs w:val="0"/>
                <w:color w:val="auto"/>
                <w:sz w:val="24"/>
                <w:szCs w:val="24"/>
                <w:highlight w:val="none"/>
                <w:lang w:val="en-US" w:eastAsia="zh-CN"/>
              </w:rPr>
            </w:pPr>
          </w:p>
          <w:p w14:paraId="6B084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1）种类和数量</w:t>
            </w:r>
          </w:p>
          <w:p w14:paraId="6D10B2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①两栖类</w:t>
            </w:r>
          </w:p>
          <w:p w14:paraId="69CB8A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根据对拟建项目区及周边现场调查及文献记载，区域分布有两栖动物 11种，隶属1目4科11属（详见附录）。</w:t>
            </w:r>
          </w:p>
          <w:p w14:paraId="50E4C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②爬行类</w:t>
            </w:r>
          </w:p>
          <w:p w14:paraId="2AFBA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根据对项目区及周边现场调查及文献记载，区域分布有爬行动物12种，隶属2目5科10属（详见附录）。</w:t>
            </w:r>
          </w:p>
          <w:p w14:paraId="525549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③鸟类</w:t>
            </w:r>
          </w:p>
          <w:p w14:paraId="4C2A0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根据对项目区及周边现场调查及文献记载，区域分布有鸟类80种，隶属12目30科</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其中鹟科含4亚科</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，65属（详见附录）。</w:t>
            </w:r>
          </w:p>
          <w:p w14:paraId="57F84C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④兽类</w:t>
            </w:r>
          </w:p>
          <w:p w14:paraId="1EB48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根据对现场调查及文献记载，项目区及周边分布有哺乳动物19种，隶属5目8科14属（详见附录）。</w:t>
            </w:r>
          </w:p>
          <w:p w14:paraId="728662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由于评价区范围狭小，实际存在的物种数量可能远远小于资料记载的数量。</w:t>
            </w:r>
          </w:p>
          <w:p w14:paraId="6A76E2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2）区系特点</w:t>
            </w:r>
          </w:p>
          <w:p w14:paraId="308E9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①</w:t>
            </w:r>
            <w:r>
              <w:rPr>
                <w:rFonts w:hint="default" w:ascii="Times New Roman" w:hAnsi="Times New Roman" w:eastAsia="仿宋" w:cs="Times New Roman"/>
                <w:color w:val="auto"/>
                <w:spacing w:val="0"/>
                <w:sz w:val="24"/>
                <w:szCs w:val="24"/>
                <w:highlight w:val="none"/>
              </w:rPr>
              <w:t>两栖类</w:t>
            </w:r>
          </w:p>
          <w:p w14:paraId="017A34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评价区分布的11种两栖动物，8种为东洋界成分，占全部两栖类种数的73%；2种为古北东洋两界广布成分，占全部两栖类种数的27%；无古北界成分分布。</w:t>
            </w:r>
          </w:p>
          <w:p w14:paraId="2705A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②</w:t>
            </w:r>
            <w:r>
              <w:rPr>
                <w:rFonts w:hint="default" w:ascii="Times New Roman" w:hAnsi="Times New Roman" w:eastAsia="仿宋" w:cs="Times New Roman"/>
                <w:color w:val="auto"/>
                <w:spacing w:val="0"/>
                <w:sz w:val="24"/>
                <w:szCs w:val="24"/>
                <w:highlight w:val="none"/>
              </w:rPr>
              <w:t>爬行类</w:t>
            </w:r>
          </w:p>
          <w:p w14:paraId="0BFEB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评价区分布的12种爬行动物中，东洋界种类6种，占全部爬行动物种数的50%；古北东洋两界广布种类有6种，占全部爬行动物种数的50%；未发现有古北界成分分布。</w:t>
            </w:r>
          </w:p>
          <w:p w14:paraId="17D32D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③</w:t>
            </w:r>
            <w:r>
              <w:rPr>
                <w:rFonts w:hint="default" w:ascii="Times New Roman" w:hAnsi="Times New Roman" w:eastAsia="仿宋" w:cs="Times New Roman"/>
                <w:color w:val="auto"/>
                <w:spacing w:val="0"/>
                <w:sz w:val="24"/>
                <w:szCs w:val="24"/>
                <w:highlight w:val="none"/>
              </w:rPr>
              <w:t>鸟类</w:t>
            </w:r>
          </w:p>
          <w:p w14:paraId="7C8D75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鸟类的区系分析当以繁殖鸟的区系从属进行分析。评价区的鸟类居留状态参见表3</w:t>
            </w:r>
            <w:r>
              <w:rPr>
                <w:rFonts w:hint="default" w:ascii="Times New Roman" w:hAnsi="Times New Roman" w:eastAsia="仿宋" w:cs="Times New Roman"/>
                <w:color w:val="auto"/>
                <w:spacing w:val="0"/>
                <w:sz w:val="24"/>
                <w:szCs w:val="24"/>
                <w:highlight w:val="none"/>
                <w:lang w:val="en-US" w:eastAsia="zh-CN"/>
              </w:rPr>
              <w:t>-6</w:t>
            </w:r>
            <w:r>
              <w:rPr>
                <w:rFonts w:hint="default" w:ascii="Times New Roman" w:hAnsi="Times New Roman" w:eastAsia="仿宋" w:cs="Times New Roman"/>
                <w:color w:val="auto"/>
                <w:spacing w:val="0"/>
                <w:sz w:val="24"/>
                <w:szCs w:val="24"/>
                <w:highlight w:val="none"/>
              </w:rPr>
              <w:t>。当地鸟类繁殖鸟共有59种，占全部鸟类的73.75%。</w:t>
            </w:r>
          </w:p>
          <w:p w14:paraId="632D2AD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pacing w:val="0"/>
                <w:sz w:val="21"/>
                <w:szCs w:val="21"/>
                <w:highlight w:val="none"/>
              </w:rPr>
              <w:t>表</w:t>
            </w:r>
            <w:r>
              <w:rPr>
                <w:rFonts w:hint="eastAsia" w:cs="Times New Roman"/>
                <w:b/>
                <w:bCs/>
                <w:color w:val="auto"/>
                <w:spacing w:val="0"/>
                <w:sz w:val="21"/>
                <w:szCs w:val="21"/>
                <w:highlight w:val="none"/>
                <w:lang w:val="en-US" w:eastAsia="zh-CN"/>
              </w:rPr>
              <w:t>3.2-6</w:t>
            </w:r>
            <w:r>
              <w:rPr>
                <w:rFonts w:hint="default" w:ascii="Times New Roman" w:hAnsi="Times New Roman" w:eastAsia="仿宋" w:cs="Times New Roman"/>
                <w:b/>
                <w:bCs/>
                <w:color w:val="auto"/>
                <w:spacing w:val="0"/>
                <w:sz w:val="21"/>
                <w:szCs w:val="21"/>
                <w:highlight w:val="none"/>
                <w:lang w:val="en-US" w:eastAsia="zh-CN"/>
              </w:rPr>
              <w:t xml:space="preserve"> </w:t>
            </w:r>
            <w:r>
              <w:rPr>
                <w:rFonts w:hint="default" w:ascii="Times New Roman" w:hAnsi="Times New Roman" w:eastAsia="仿宋" w:cs="Times New Roman"/>
                <w:b/>
                <w:bCs/>
                <w:color w:val="auto"/>
                <w:spacing w:val="0"/>
                <w:sz w:val="21"/>
                <w:szCs w:val="21"/>
                <w:highlight w:val="none"/>
              </w:rPr>
              <w:t>评价区鸟类居留状况分析</w:t>
            </w:r>
          </w:p>
          <w:tbl>
            <w:tblPr>
              <w:tblStyle w:val="10"/>
              <w:tblW w:w="4853" w:type="pct"/>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3"/>
              <w:gridCol w:w="2715"/>
              <w:gridCol w:w="2502"/>
            </w:tblGrid>
            <w:tr w14:paraId="58777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DB8BC5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7"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居留状况</w:t>
                  </w:r>
                </w:p>
              </w:tc>
              <w:tc>
                <w:tcPr>
                  <w:tcW w:w="31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2237B3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7"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种数</w:t>
                  </w:r>
                </w:p>
              </w:tc>
              <w:tc>
                <w:tcPr>
                  <w:tcW w:w="289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8A040D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6"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r>
            <w:tr w14:paraId="6FE82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2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D9E8F9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5"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6"/>
                      <w:sz w:val="21"/>
                      <w:szCs w:val="21"/>
                      <w:highlight w:val="none"/>
                    </w:rPr>
                    <w:t>留鸟</w:t>
                  </w:r>
                </w:p>
              </w:tc>
              <w:tc>
                <w:tcPr>
                  <w:tcW w:w="31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1C894C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19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51</w:t>
                  </w:r>
                </w:p>
              </w:tc>
              <w:tc>
                <w:tcPr>
                  <w:tcW w:w="289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34E09C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4"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63.75</w:t>
                  </w:r>
                </w:p>
              </w:tc>
            </w:tr>
            <w:tr w14:paraId="4FCF3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2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9E286B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6"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夏候鸟</w:t>
                  </w:r>
                </w:p>
              </w:tc>
              <w:tc>
                <w:tcPr>
                  <w:tcW w:w="31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AADD63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189"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w:t>
                  </w:r>
                </w:p>
              </w:tc>
              <w:tc>
                <w:tcPr>
                  <w:tcW w:w="289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9D7ECA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3"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6"/>
                      <w:sz w:val="21"/>
                      <w:szCs w:val="21"/>
                      <w:highlight w:val="none"/>
                    </w:rPr>
                    <w:t>10</w:t>
                  </w:r>
                </w:p>
              </w:tc>
            </w:tr>
            <w:tr w14:paraId="30CDF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2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C5DD93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3"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冬候鸟</w:t>
                  </w:r>
                </w:p>
              </w:tc>
              <w:tc>
                <w:tcPr>
                  <w:tcW w:w="31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6FD7AE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185"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w:t>
                  </w:r>
                </w:p>
              </w:tc>
              <w:tc>
                <w:tcPr>
                  <w:tcW w:w="289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B45365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2"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25</w:t>
                  </w:r>
                </w:p>
              </w:tc>
            </w:tr>
            <w:tr w14:paraId="61DB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2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F6F1D4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4"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旅鸟</w:t>
                  </w:r>
                </w:p>
              </w:tc>
              <w:tc>
                <w:tcPr>
                  <w:tcW w:w="31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6D88B9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186"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289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5210A2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1"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5"/>
                      <w:sz w:val="21"/>
                      <w:szCs w:val="21"/>
                      <w:highlight w:val="none"/>
                    </w:rPr>
                    <w:t>1.25</w:t>
                  </w:r>
                </w:p>
              </w:tc>
            </w:tr>
            <w:tr w14:paraId="2E455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2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FB40D7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03"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合计</w:t>
                  </w:r>
                </w:p>
              </w:tc>
              <w:tc>
                <w:tcPr>
                  <w:tcW w:w="31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428C6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185"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80</w:t>
                  </w:r>
                </w:p>
              </w:tc>
              <w:tc>
                <w:tcPr>
                  <w:tcW w:w="289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903EF3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185"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6"/>
                      <w:sz w:val="21"/>
                      <w:szCs w:val="21"/>
                      <w:highlight w:val="none"/>
                    </w:rPr>
                    <w:t>100</w:t>
                  </w:r>
                </w:p>
              </w:tc>
            </w:tr>
          </w:tbl>
          <w:p w14:paraId="1CA49C15">
            <w:pPr>
              <w:keepNext w:val="0"/>
              <w:keepLines w:val="0"/>
              <w:pageBreakBefore w:val="0"/>
              <w:widowControl w:val="0"/>
              <w:suppressLineNumbers w:val="0"/>
              <w:kinsoku/>
              <w:wordWrap/>
              <w:overflowPunct/>
              <w:topLinePunct w:val="0"/>
              <w:autoSpaceDE/>
              <w:autoSpaceDN/>
              <w:bidi w:val="0"/>
              <w:adjustRightInd/>
              <w:snapToGrid/>
              <w:spacing w:before="159"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在评价区分布的59种繁殖鸟中，广布种种类29种，占全部繁殖鸟总数的49.15%；东洋界种类28种，占全部繁殖鸟总数的47.46%；古北界种类2种，仅占3.39%，区系成分统计参见表3-</w:t>
            </w:r>
            <w:r>
              <w:rPr>
                <w:rFonts w:hint="default" w:ascii="Times New Roman" w:hAnsi="Times New Roman" w:eastAsia="仿宋" w:cs="Times New Roman"/>
                <w:color w:val="auto"/>
                <w:spacing w:val="0"/>
                <w:sz w:val="24"/>
                <w:szCs w:val="24"/>
                <w:highlight w:val="none"/>
                <w:lang w:val="en-US" w:eastAsia="zh-CN"/>
              </w:rPr>
              <w:t>7</w:t>
            </w:r>
            <w:r>
              <w:rPr>
                <w:rFonts w:hint="default" w:ascii="Times New Roman" w:hAnsi="Times New Roman" w:eastAsia="仿宋" w:cs="Times New Roman"/>
                <w:color w:val="auto"/>
                <w:spacing w:val="0"/>
                <w:sz w:val="24"/>
                <w:szCs w:val="24"/>
                <w:highlight w:val="none"/>
              </w:rPr>
              <w:t>，具体动物区系成分参见附录。</w:t>
            </w:r>
          </w:p>
          <w:p w14:paraId="2A62AC3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0" w:firstLineChars="0"/>
              <w:jc w:val="center"/>
              <w:textAlignment w:val="auto"/>
              <w:rPr>
                <w:rFonts w:hint="default" w:ascii="Times New Roman" w:hAnsi="Times New Roman" w:eastAsia="仿宋" w:cs="Times New Roman"/>
                <w:b/>
                <w:bCs/>
                <w:color w:val="auto"/>
                <w:spacing w:val="-2"/>
                <w:sz w:val="21"/>
                <w:szCs w:val="21"/>
                <w:highlight w:val="none"/>
                <w:lang w:val="en-US" w:eastAsia="zh-CN"/>
              </w:rPr>
            </w:pPr>
            <w:r>
              <w:rPr>
                <w:rFonts w:hint="default" w:ascii="Times New Roman" w:hAnsi="Times New Roman" w:eastAsia="仿宋" w:cs="Times New Roman"/>
                <w:b/>
                <w:bCs/>
                <w:color w:val="auto"/>
                <w:spacing w:val="-2"/>
                <w:sz w:val="21"/>
                <w:szCs w:val="21"/>
                <w:highlight w:val="none"/>
              </w:rPr>
              <w:t>表</w:t>
            </w:r>
            <w:r>
              <w:rPr>
                <w:rFonts w:hint="eastAsia" w:cs="Times New Roman"/>
                <w:b/>
                <w:bCs/>
                <w:color w:val="auto"/>
                <w:spacing w:val="-2"/>
                <w:sz w:val="21"/>
                <w:szCs w:val="21"/>
                <w:highlight w:val="none"/>
                <w:lang w:val="en-US" w:eastAsia="zh-CN"/>
              </w:rPr>
              <w:t>3.2-7</w:t>
            </w:r>
            <w:r>
              <w:rPr>
                <w:rFonts w:hint="default" w:ascii="Times New Roman" w:hAnsi="Times New Roman" w:eastAsia="仿宋" w:cs="Times New Roman"/>
                <w:b/>
                <w:bCs/>
                <w:color w:val="auto"/>
                <w:spacing w:val="-2"/>
                <w:sz w:val="21"/>
                <w:szCs w:val="21"/>
                <w:highlight w:val="none"/>
              </w:rPr>
              <w:t xml:space="preserve">  评价区繁殖鸟类地理类型分析</w:t>
            </w:r>
          </w:p>
          <w:tbl>
            <w:tblPr>
              <w:tblStyle w:val="17"/>
              <w:tblW w:w="485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2"/>
              <w:gridCol w:w="2716"/>
              <w:gridCol w:w="2502"/>
            </w:tblGrid>
            <w:tr w14:paraId="2C674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jc w:val="center"/>
              </w:trPr>
              <w:tc>
                <w:tcPr>
                  <w:tcW w:w="2769" w:type="dxa"/>
                  <w:noWrap w:val="0"/>
                  <w:vAlign w:val="center"/>
                </w:tcPr>
                <w:p w14:paraId="2068536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繁殖鸟</w:t>
                  </w:r>
                </w:p>
              </w:tc>
              <w:tc>
                <w:tcPr>
                  <w:tcW w:w="3143" w:type="dxa"/>
                  <w:noWrap w:val="0"/>
                  <w:vAlign w:val="center"/>
                </w:tcPr>
                <w:p w14:paraId="4E60A05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种数</w:t>
                  </w:r>
                </w:p>
              </w:tc>
              <w:tc>
                <w:tcPr>
                  <w:tcW w:w="2895" w:type="dxa"/>
                  <w:noWrap w:val="0"/>
                  <w:vAlign w:val="center"/>
                </w:tcPr>
                <w:p w14:paraId="6B9CA99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r>
            <w:tr w14:paraId="5DCF7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2769" w:type="dxa"/>
                  <w:noWrap w:val="0"/>
                  <w:vAlign w:val="center"/>
                </w:tcPr>
                <w:p w14:paraId="3F85597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古北种</w:t>
                  </w:r>
                </w:p>
              </w:tc>
              <w:tc>
                <w:tcPr>
                  <w:tcW w:w="3143" w:type="dxa"/>
                  <w:noWrap w:val="0"/>
                  <w:vAlign w:val="center"/>
                </w:tcPr>
                <w:p w14:paraId="2A0F93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2895" w:type="dxa"/>
                  <w:noWrap w:val="0"/>
                  <w:vAlign w:val="center"/>
                </w:tcPr>
                <w:p w14:paraId="036DBBC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3.39</w:t>
                  </w:r>
                </w:p>
              </w:tc>
            </w:tr>
            <w:tr w14:paraId="0C9F2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jc w:val="center"/>
              </w:trPr>
              <w:tc>
                <w:tcPr>
                  <w:tcW w:w="2769" w:type="dxa"/>
                  <w:noWrap w:val="0"/>
                  <w:vAlign w:val="center"/>
                </w:tcPr>
                <w:p w14:paraId="635A12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东洋种</w:t>
                  </w:r>
                </w:p>
              </w:tc>
              <w:tc>
                <w:tcPr>
                  <w:tcW w:w="3143" w:type="dxa"/>
                  <w:noWrap w:val="0"/>
                  <w:vAlign w:val="center"/>
                </w:tcPr>
                <w:p w14:paraId="3877937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28</w:t>
                  </w:r>
                </w:p>
              </w:tc>
              <w:tc>
                <w:tcPr>
                  <w:tcW w:w="2895" w:type="dxa"/>
                  <w:noWrap w:val="0"/>
                  <w:vAlign w:val="center"/>
                </w:tcPr>
                <w:p w14:paraId="33AFD0E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47.46</w:t>
                  </w:r>
                </w:p>
              </w:tc>
            </w:tr>
            <w:tr w14:paraId="1C150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2769" w:type="dxa"/>
                  <w:noWrap w:val="0"/>
                  <w:vAlign w:val="center"/>
                </w:tcPr>
                <w:p w14:paraId="0E3F3A3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广布种</w:t>
                  </w:r>
                </w:p>
              </w:tc>
              <w:tc>
                <w:tcPr>
                  <w:tcW w:w="3143" w:type="dxa"/>
                  <w:noWrap w:val="0"/>
                  <w:vAlign w:val="center"/>
                </w:tcPr>
                <w:p w14:paraId="26E99D4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29</w:t>
                  </w:r>
                </w:p>
              </w:tc>
              <w:tc>
                <w:tcPr>
                  <w:tcW w:w="2895" w:type="dxa"/>
                  <w:noWrap w:val="0"/>
                  <w:vAlign w:val="center"/>
                </w:tcPr>
                <w:p w14:paraId="6FE0860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49.15</w:t>
                  </w:r>
                </w:p>
              </w:tc>
            </w:tr>
            <w:tr w14:paraId="193D4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jc w:val="center"/>
              </w:trPr>
              <w:tc>
                <w:tcPr>
                  <w:tcW w:w="2769" w:type="dxa"/>
                  <w:noWrap w:val="0"/>
                  <w:vAlign w:val="center"/>
                </w:tcPr>
                <w:p w14:paraId="3CA2C53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合计</w:t>
                  </w:r>
                </w:p>
              </w:tc>
              <w:tc>
                <w:tcPr>
                  <w:tcW w:w="3143" w:type="dxa"/>
                  <w:noWrap w:val="0"/>
                  <w:vAlign w:val="center"/>
                </w:tcPr>
                <w:p w14:paraId="19AA30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59</w:t>
                  </w:r>
                </w:p>
              </w:tc>
              <w:tc>
                <w:tcPr>
                  <w:tcW w:w="2895" w:type="dxa"/>
                  <w:noWrap w:val="0"/>
                  <w:vAlign w:val="center"/>
                </w:tcPr>
                <w:p w14:paraId="5DB67B0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100.0</w:t>
                  </w:r>
                </w:p>
              </w:tc>
            </w:tr>
          </w:tbl>
          <w:p w14:paraId="33BADCEF">
            <w:pPr>
              <w:keepNext w:val="0"/>
              <w:keepLines w:val="0"/>
              <w:suppressLineNumbers w:val="0"/>
              <w:spacing w:before="78" w:beforeLines="0" w:beforeAutospacing="0" w:after="0" w:afterLines="0" w:afterAutospacing="0" w:line="217" w:lineRule="auto"/>
              <w:ind w:left="526"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④哺乳类</w:t>
            </w:r>
          </w:p>
          <w:p w14:paraId="468DFED1">
            <w:pPr>
              <w:keepNext w:val="0"/>
              <w:keepLines w:val="0"/>
              <w:pageBreakBefore w:val="0"/>
              <w:widowControl w:val="0"/>
              <w:suppressLineNumbers w:val="0"/>
              <w:kinsoku/>
              <w:wordWrap/>
              <w:overflowPunct/>
              <w:topLinePunct w:val="0"/>
              <w:autoSpaceDE/>
              <w:autoSpaceDN/>
              <w:bidi w:val="0"/>
              <w:adjustRightInd/>
              <w:snapToGrid/>
              <w:spacing w:before="159"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在评价区分布的19种哺乳动物中，东洋界种类9种，占全部哺乳动物种数的47.37%；古北界东洋界两界广布种类有9种，占全部哺乳动物种数的47.37%；古北界成分种类有1种，占全部哺乳动物种数的5.26%。</w:t>
            </w:r>
          </w:p>
          <w:p w14:paraId="52EDABAC">
            <w:pPr>
              <w:keepNext w:val="0"/>
              <w:keepLines w:val="0"/>
              <w:suppressLineNumbers w:val="0"/>
              <w:spacing w:before="0" w:beforeLines="0" w:beforeAutospacing="0" w:after="0" w:afterLines="0" w:afterAutospacing="0" w:line="234" w:lineRule="auto"/>
              <w:ind w:left="0" w:right="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2"/>
                <w:sz w:val="24"/>
                <w:szCs w:val="24"/>
                <w:highlight w:val="none"/>
              </w:rPr>
              <w:t>（3）珍稀濒危保护动物</w:t>
            </w:r>
          </w:p>
          <w:p w14:paraId="37BAB402">
            <w:pPr>
              <w:keepNext w:val="0"/>
              <w:keepLines w:val="0"/>
              <w:pageBreakBefore w:val="0"/>
              <w:widowControl w:val="0"/>
              <w:suppressLineNumbers w:val="0"/>
              <w:kinsoku/>
              <w:wordWrap/>
              <w:overflowPunct/>
              <w:topLinePunct w:val="0"/>
              <w:autoSpaceDE/>
              <w:autoSpaceDN/>
              <w:bidi w:val="0"/>
              <w:adjustRightInd/>
              <w:snapToGrid/>
              <w:spacing w:before="159"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评价区分布的122种陆栖脊椎动物中，有珍稀濒危保护动物7种，其中有国家</w:t>
            </w:r>
            <w:r>
              <w:rPr>
                <w:rFonts w:hint="eastAsia" w:cs="Times New Roman"/>
                <w:color w:val="auto"/>
                <w:spacing w:val="0"/>
                <w:sz w:val="24"/>
                <w:szCs w:val="24"/>
                <w:highlight w:val="none"/>
                <w:lang w:eastAsia="zh-CN"/>
              </w:rPr>
              <w:t>二级</w:t>
            </w:r>
            <w:r>
              <w:rPr>
                <w:rFonts w:hint="default" w:ascii="Times New Roman" w:hAnsi="Times New Roman" w:eastAsia="仿宋" w:cs="Times New Roman"/>
                <w:color w:val="auto"/>
                <w:spacing w:val="0"/>
                <w:sz w:val="24"/>
                <w:szCs w:val="24"/>
                <w:highlight w:val="none"/>
              </w:rPr>
              <w:t>重点保护野生动物4种，中国生物多样性红色名录濒危物种</w:t>
            </w:r>
            <w:r>
              <w:rPr>
                <w:rFonts w:hint="eastAsia" w:cs="Times New Roman"/>
                <w:color w:val="auto"/>
                <w:spacing w:val="0"/>
                <w:sz w:val="24"/>
                <w:szCs w:val="24"/>
                <w:highlight w:val="none"/>
                <w:lang w:val="en-US" w:eastAsia="zh-CN"/>
              </w:rPr>
              <w:t>1</w:t>
            </w:r>
            <w:r>
              <w:rPr>
                <w:rFonts w:hint="default" w:ascii="Times New Roman" w:hAnsi="Times New Roman" w:eastAsia="仿宋" w:cs="Times New Roman"/>
                <w:color w:val="auto"/>
                <w:spacing w:val="0"/>
                <w:sz w:val="24"/>
                <w:szCs w:val="24"/>
                <w:highlight w:val="none"/>
              </w:rPr>
              <w:t>种，易危物种</w:t>
            </w:r>
            <w:r>
              <w:rPr>
                <w:rFonts w:hint="eastAsia" w:cs="Times New Roman"/>
                <w:color w:val="auto"/>
                <w:spacing w:val="0"/>
                <w:sz w:val="24"/>
                <w:szCs w:val="24"/>
                <w:highlight w:val="none"/>
                <w:lang w:val="en-US" w:eastAsia="zh-CN"/>
              </w:rPr>
              <w:t>2</w:t>
            </w:r>
            <w:r>
              <w:rPr>
                <w:rFonts w:hint="default" w:ascii="Times New Roman" w:hAnsi="Times New Roman" w:eastAsia="仿宋" w:cs="Times New Roman"/>
                <w:color w:val="auto"/>
                <w:spacing w:val="0"/>
                <w:sz w:val="24"/>
                <w:szCs w:val="24"/>
                <w:highlight w:val="none"/>
              </w:rPr>
              <w:t>种。</w:t>
            </w:r>
          </w:p>
          <w:p w14:paraId="1D9E61D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58"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这7种珍稀濒危保护动物中有鸟类4种、两栖类1种、爬行类2种，具体物种、所属类别及在评价区分布参见表</w:t>
            </w:r>
            <w:r>
              <w:rPr>
                <w:rFonts w:hint="eastAsia" w:cs="Times New Roman"/>
                <w:color w:val="auto"/>
                <w:spacing w:val="0"/>
                <w:sz w:val="24"/>
                <w:szCs w:val="24"/>
                <w:highlight w:val="none"/>
                <w:lang w:val="en-US" w:eastAsia="zh-CN"/>
              </w:rPr>
              <w:t>3.2-8</w:t>
            </w:r>
            <w:r>
              <w:rPr>
                <w:rFonts w:hint="default" w:ascii="Times New Roman" w:hAnsi="Times New Roman" w:eastAsia="仿宋" w:cs="Times New Roman"/>
                <w:color w:val="auto"/>
                <w:spacing w:val="0"/>
                <w:sz w:val="24"/>
                <w:szCs w:val="24"/>
                <w:highlight w:val="none"/>
              </w:rPr>
              <w:t>。</w:t>
            </w:r>
          </w:p>
          <w:p w14:paraId="1E893D0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Lines="0" w:afterAutospacing="0" w:line="214" w:lineRule="auto"/>
              <w:ind w:left="0" w:right="0"/>
              <w:jc w:val="center"/>
              <w:textAlignment w:val="auto"/>
              <w:rPr>
                <w:rFonts w:hint="default" w:ascii="Times New Roman" w:hAnsi="Times New Roman" w:eastAsia="仿宋" w:cs="Times New Roman"/>
                <w:b/>
                <w:bCs/>
                <w:color w:val="auto"/>
                <w:spacing w:val="-2"/>
                <w:sz w:val="21"/>
                <w:szCs w:val="21"/>
                <w:highlight w:val="none"/>
                <w:lang w:val="en-US" w:eastAsia="zh-CN"/>
              </w:rPr>
            </w:pPr>
            <w:r>
              <w:rPr>
                <w:rFonts w:hint="default" w:ascii="Times New Roman" w:hAnsi="Times New Roman" w:eastAsia="仿宋" w:cs="Times New Roman"/>
                <w:b/>
                <w:bCs/>
                <w:color w:val="auto"/>
                <w:spacing w:val="-2"/>
                <w:sz w:val="21"/>
                <w:szCs w:val="21"/>
                <w:highlight w:val="none"/>
              </w:rPr>
              <w:t xml:space="preserve">表 </w:t>
            </w:r>
            <w:r>
              <w:rPr>
                <w:rFonts w:hint="eastAsia" w:cs="Times New Roman"/>
                <w:b/>
                <w:bCs/>
                <w:color w:val="auto"/>
                <w:spacing w:val="-2"/>
                <w:sz w:val="21"/>
                <w:szCs w:val="21"/>
                <w:highlight w:val="none"/>
                <w:lang w:val="en-US" w:eastAsia="zh-CN"/>
              </w:rPr>
              <w:t>3.2-8</w:t>
            </w:r>
            <w:r>
              <w:rPr>
                <w:rFonts w:hint="default" w:ascii="Times New Roman" w:hAnsi="Times New Roman" w:eastAsia="仿宋" w:cs="Times New Roman"/>
                <w:b/>
                <w:bCs/>
                <w:color w:val="auto"/>
                <w:spacing w:val="-2"/>
                <w:sz w:val="21"/>
                <w:szCs w:val="21"/>
                <w:highlight w:val="none"/>
              </w:rPr>
              <w:t xml:space="preserve"> 评价区保护陆栖脊椎动物名录</w:t>
            </w:r>
          </w:p>
          <w:tbl>
            <w:tblPr>
              <w:tblStyle w:val="17"/>
              <w:tblW w:w="4848" w:type="pct"/>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3"/>
              <w:gridCol w:w="794"/>
              <w:gridCol w:w="1673"/>
              <w:gridCol w:w="644"/>
              <w:gridCol w:w="1029"/>
              <w:gridCol w:w="3069"/>
            </w:tblGrid>
            <w:tr w14:paraId="175D6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393" w:type="dxa"/>
                  <w:vMerge w:val="restart"/>
                  <w:noWrap w:val="0"/>
                  <w:vAlign w:val="center"/>
                </w:tcPr>
                <w:p w14:paraId="52BD8A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p w14:paraId="05BF88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编号</w:t>
                  </w:r>
                </w:p>
              </w:tc>
              <w:tc>
                <w:tcPr>
                  <w:tcW w:w="794" w:type="dxa"/>
                  <w:vMerge w:val="restart"/>
                  <w:noWrap w:val="0"/>
                  <w:vAlign w:val="center"/>
                </w:tcPr>
                <w:p w14:paraId="2FE719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7"/>
                      <w:sz w:val="21"/>
                      <w:szCs w:val="21"/>
                      <w:highlight w:val="none"/>
                    </w:rPr>
                    <w:t>中名</w:t>
                  </w:r>
                </w:p>
              </w:tc>
              <w:tc>
                <w:tcPr>
                  <w:tcW w:w="1673" w:type="dxa"/>
                  <w:vMerge w:val="restart"/>
                  <w:noWrap w:val="0"/>
                  <w:vAlign w:val="center"/>
                </w:tcPr>
                <w:p w14:paraId="1AE331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学名</w:t>
                  </w:r>
                </w:p>
              </w:tc>
              <w:tc>
                <w:tcPr>
                  <w:tcW w:w="1673" w:type="dxa"/>
                  <w:gridSpan w:val="2"/>
                  <w:noWrap w:val="0"/>
                  <w:vAlign w:val="center"/>
                </w:tcPr>
                <w:p w14:paraId="5AD7C91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保护级别</w:t>
                  </w:r>
                </w:p>
              </w:tc>
              <w:tc>
                <w:tcPr>
                  <w:tcW w:w="3070" w:type="dxa"/>
                  <w:vMerge w:val="restart"/>
                  <w:noWrap w:val="0"/>
                  <w:vAlign w:val="center"/>
                </w:tcPr>
                <w:p w14:paraId="6D6ADC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生境</w:t>
                  </w:r>
                </w:p>
              </w:tc>
            </w:tr>
            <w:tr w14:paraId="4EC84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393" w:type="dxa"/>
                  <w:vMerge w:val="continue"/>
                  <w:noWrap w:val="0"/>
                  <w:vAlign w:val="center"/>
                </w:tcPr>
                <w:p w14:paraId="2115CEE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794" w:type="dxa"/>
                  <w:vMerge w:val="continue"/>
                  <w:noWrap w:val="0"/>
                  <w:vAlign w:val="center"/>
                </w:tcPr>
                <w:p w14:paraId="6D4CE4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1673" w:type="dxa"/>
                  <w:vMerge w:val="continue"/>
                  <w:noWrap w:val="0"/>
                  <w:vAlign w:val="center"/>
                </w:tcPr>
                <w:p w14:paraId="706F80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644" w:type="dxa"/>
                  <w:noWrap w:val="0"/>
                  <w:vAlign w:val="center"/>
                </w:tcPr>
                <w:p w14:paraId="469E8DE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6"/>
                      <w:sz w:val="21"/>
                      <w:szCs w:val="21"/>
                      <w:highlight w:val="none"/>
                    </w:rPr>
                    <w:t>国内保</w:t>
                  </w:r>
                  <w:r>
                    <w:rPr>
                      <w:rFonts w:hint="default" w:ascii="Times New Roman" w:hAnsi="Times New Roman" w:eastAsia="仿宋" w:cs="Times New Roman"/>
                      <w:color w:val="auto"/>
                      <w:spacing w:val="-2"/>
                      <w:sz w:val="21"/>
                      <w:szCs w:val="21"/>
                      <w:highlight w:val="none"/>
                    </w:rPr>
                    <w:t>护等级</w:t>
                  </w:r>
                </w:p>
              </w:tc>
              <w:tc>
                <w:tcPr>
                  <w:tcW w:w="1029" w:type="dxa"/>
                  <w:noWrap w:val="0"/>
                  <w:vAlign w:val="center"/>
                </w:tcPr>
                <w:p w14:paraId="46A984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生物多样性</w:t>
                  </w:r>
                  <w:r>
                    <w:rPr>
                      <w:rFonts w:hint="default" w:ascii="Times New Roman" w:hAnsi="Times New Roman" w:eastAsia="仿宋" w:cs="Times New Roman"/>
                      <w:color w:val="auto"/>
                      <w:spacing w:val="-3"/>
                      <w:sz w:val="21"/>
                      <w:szCs w:val="21"/>
                      <w:highlight w:val="none"/>
                    </w:rPr>
                    <w:t>红色名录</w:t>
                  </w:r>
                </w:p>
              </w:tc>
              <w:tc>
                <w:tcPr>
                  <w:tcW w:w="3070" w:type="dxa"/>
                  <w:vMerge w:val="continue"/>
                  <w:noWrap w:val="0"/>
                  <w:vAlign w:val="center"/>
                </w:tcPr>
                <w:p w14:paraId="02C7EC0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r>
            <w:tr w14:paraId="0A7D7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393" w:type="dxa"/>
                  <w:noWrap w:val="0"/>
                  <w:vAlign w:val="center"/>
                </w:tcPr>
                <w:p w14:paraId="55ACE4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1</w:t>
                  </w:r>
                </w:p>
              </w:tc>
              <w:tc>
                <w:tcPr>
                  <w:tcW w:w="794" w:type="dxa"/>
                  <w:noWrap w:val="0"/>
                  <w:vAlign w:val="center"/>
                </w:tcPr>
                <w:p w14:paraId="05F5F9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红隼</w:t>
                  </w:r>
                </w:p>
              </w:tc>
              <w:tc>
                <w:tcPr>
                  <w:tcW w:w="1673" w:type="dxa"/>
                  <w:noWrap w:val="0"/>
                  <w:vAlign w:val="center"/>
                </w:tcPr>
                <w:p w14:paraId="180123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z w:val="18"/>
                      <w:szCs w:val="18"/>
                      <w:highlight w:val="none"/>
                    </w:rPr>
                    <w:t>Falco</w:t>
                  </w:r>
                  <w:r>
                    <w:rPr>
                      <w:rFonts w:hint="default" w:ascii="Times New Roman" w:hAnsi="Times New Roman" w:eastAsia="仿宋" w:cs="Times New Roman"/>
                      <w:i/>
                      <w:iCs/>
                      <w:color w:val="auto"/>
                      <w:spacing w:val="9"/>
                      <w:sz w:val="18"/>
                      <w:szCs w:val="18"/>
                      <w:highlight w:val="none"/>
                    </w:rPr>
                    <w:t xml:space="preserve"> </w:t>
                  </w:r>
                  <w:r>
                    <w:rPr>
                      <w:rFonts w:hint="default" w:ascii="Times New Roman" w:hAnsi="Times New Roman" w:eastAsia="仿宋" w:cs="Times New Roman"/>
                      <w:i/>
                      <w:iCs/>
                      <w:color w:val="auto"/>
                      <w:sz w:val="18"/>
                      <w:szCs w:val="18"/>
                      <w:highlight w:val="none"/>
                    </w:rPr>
                    <w:t>tinnunculus</w:t>
                  </w:r>
                </w:p>
              </w:tc>
              <w:tc>
                <w:tcPr>
                  <w:tcW w:w="644" w:type="dxa"/>
                  <w:noWrap w:val="0"/>
                  <w:vAlign w:val="center"/>
                </w:tcPr>
                <w:p w14:paraId="15FC31B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二级</w:t>
                  </w:r>
                </w:p>
              </w:tc>
              <w:tc>
                <w:tcPr>
                  <w:tcW w:w="1029" w:type="dxa"/>
                  <w:noWrap w:val="0"/>
                  <w:vAlign w:val="center"/>
                </w:tcPr>
                <w:p w14:paraId="274FEA2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3070" w:type="dxa"/>
                  <w:noWrap w:val="0"/>
                  <w:vAlign w:val="center"/>
                </w:tcPr>
                <w:p w14:paraId="732917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停栖在柱子或枯树上。喜开阔原野</w:t>
                  </w:r>
                </w:p>
              </w:tc>
            </w:tr>
            <w:tr w14:paraId="0805A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393" w:type="dxa"/>
                  <w:noWrap w:val="0"/>
                  <w:vAlign w:val="center"/>
                </w:tcPr>
                <w:p w14:paraId="333BE83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2</w:t>
                  </w:r>
                </w:p>
              </w:tc>
              <w:tc>
                <w:tcPr>
                  <w:tcW w:w="794" w:type="dxa"/>
                  <w:noWrap w:val="0"/>
                  <w:vAlign w:val="center"/>
                </w:tcPr>
                <w:p w14:paraId="7DA1F0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黑翅鸢</w:t>
                  </w:r>
                </w:p>
              </w:tc>
              <w:tc>
                <w:tcPr>
                  <w:tcW w:w="1673" w:type="dxa"/>
                  <w:noWrap w:val="0"/>
                  <w:vAlign w:val="center"/>
                </w:tcPr>
                <w:p w14:paraId="325E988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z w:val="18"/>
                      <w:szCs w:val="18"/>
                      <w:highlight w:val="none"/>
                    </w:rPr>
                    <w:t>Elanus</w:t>
                  </w:r>
                  <w:r>
                    <w:rPr>
                      <w:rFonts w:hint="default" w:ascii="Times New Roman" w:hAnsi="Times New Roman" w:eastAsia="仿宋" w:cs="Times New Roman"/>
                      <w:i/>
                      <w:iCs/>
                      <w:color w:val="auto"/>
                      <w:spacing w:val="8"/>
                      <w:sz w:val="18"/>
                      <w:szCs w:val="18"/>
                      <w:highlight w:val="none"/>
                    </w:rPr>
                    <w:t xml:space="preserve"> </w:t>
                  </w:r>
                  <w:r>
                    <w:rPr>
                      <w:rFonts w:hint="default" w:ascii="Times New Roman" w:hAnsi="Times New Roman" w:eastAsia="仿宋" w:cs="Times New Roman"/>
                      <w:i/>
                      <w:iCs/>
                      <w:color w:val="auto"/>
                      <w:sz w:val="18"/>
                      <w:szCs w:val="18"/>
                      <w:highlight w:val="none"/>
                    </w:rPr>
                    <w:t>caeruleus</w:t>
                  </w:r>
                </w:p>
              </w:tc>
              <w:tc>
                <w:tcPr>
                  <w:tcW w:w="644" w:type="dxa"/>
                  <w:noWrap w:val="0"/>
                  <w:vAlign w:val="center"/>
                </w:tcPr>
                <w:p w14:paraId="1F65C55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二级</w:t>
                  </w:r>
                </w:p>
              </w:tc>
              <w:tc>
                <w:tcPr>
                  <w:tcW w:w="1029" w:type="dxa"/>
                  <w:noWrap w:val="0"/>
                  <w:vAlign w:val="center"/>
                </w:tcPr>
                <w:p w14:paraId="499227F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3070" w:type="dxa"/>
                  <w:noWrap w:val="0"/>
                  <w:vAlign w:val="center"/>
                </w:tcPr>
                <w:p w14:paraId="77D5387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开阔低地及山区，喜立在死树或电线柱上，也似红隼悬于空中</w:t>
                  </w:r>
                </w:p>
              </w:tc>
            </w:tr>
            <w:tr w14:paraId="3CF73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393" w:type="dxa"/>
                  <w:noWrap w:val="0"/>
                  <w:vAlign w:val="center"/>
                </w:tcPr>
                <w:p w14:paraId="31EDA6C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3</w:t>
                  </w:r>
                </w:p>
              </w:tc>
              <w:tc>
                <w:tcPr>
                  <w:tcW w:w="794" w:type="dxa"/>
                  <w:noWrap w:val="0"/>
                  <w:vAlign w:val="center"/>
                </w:tcPr>
                <w:p w14:paraId="0291E77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普通鵟</w:t>
                  </w:r>
                </w:p>
              </w:tc>
              <w:tc>
                <w:tcPr>
                  <w:tcW w:w="1673" w:type="dxa"/>
                  <w:noWrap w:val="0"/>
                  <w:vAlign w:val="center"/>
                </w:tcPr>
                <w:p w14:paraId="1BA9675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pacing w:val="3"/>
                      <w:sz w:val="18"/>
                      <w:szCs w:val="18"/>
                      <w:highlight w:val="none"/>
                    </w:rPr>
                    <w:t>Buteo</w:t>
                  </w:r>
                  <w:r>
                    <w:rPr>
                      <w:rFonts w:hint="default" w:ascii="Times New Roman" w:hAnsi="Times New Roman" w:eastAsia="仿宋" w:cs="Times New Roman"/>
                      <w:i/>
                      <w:iCs/>
                      <w:color w:val="auto"/>
                      <w:spacing w:val="-36"/>
                      <w:sz w:val="18"/>
                      <w:szCs w:val="18"/>
                      <w:highlight w:val="none"/>
                    </w:rPr>
                    <w:t xml:space="preserve"> </w:t>
                  </w:r>
                  <w:r>
                    <w:rPr>
                      <w:rFonts w:hint="default" w:ascii="Times New Roman" w:hAnsi="Times New Roman" w:eastAsia="仿宋" w:cs="Times New Roman"/>
                      <w:i/>
                      <w:iCs/>
                      <w:color w:val="auto"/>
                      <w:spacing w:val="3"/>
                      <w:sz w:val="18"/>
                      <w:szCs w:val="18"/>
                      <w:highlight w:val="none"/>
                    </w:rPr>
                    <w:t>japonicus</w:t>
                  </w:r>
                </w:p>
              </w:tc>
              <w:tc>
                <w:tcPr>
                  <w:tcW w:w="644" w:type="dxa"/>
                  <w:noWrap w:val="0"/>
                  <w:vAlign w:val="center"/>
                </w:tcPr>
                <w:p w14:paraId="2F9194A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二级</w:t>
                  </w:r>
                </w:p>
              </w:tc>
              <w:tc>
                <w:tcPr>
                  <w:tcW w:w="1029" w:type="dxa"/>
                  <w:noWrap w:val="0"/>
                  <w:vAlign w:val="center"/>
                </w:tcPr>
                <w:p w14:paraId="67B629C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3070" w:type="dxa"/>
                  <w:noWrap w:val="0"/>
                  <w:vAlign w:val="center"/>
                </w:tcPr>
                <w:p w14:paraId="1636A76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喜开阔原野且在空中热气流上高高翱翔，在裸露树枝上歇息</w:t>
                  </w:r>
                </w:p>
              </w:tc>
            </w:tr>
            <w:tr w14:paraId="710C6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93" w:type="dxa"/>
                  <w:noWrap w:val="0"/>
                  <w:vAlign w:val="center"/>
                </w:tcPr>
                <w:p w14:paraId="07D6BA3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4</w:t>
                  </w:r>
                </w:p>
              </w:tc>
              <w:tc>
                <w:tcPr>
                  <w:tcW w:w="794" w:type="dxa"/>
                  <w:noWrap w:val="0"/>
                  <w:vAlign w:val="center"/>
                </w:tcPr>
                <w:p w14:paraId="41D625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凤头鹰</w:t>
                  </w:r>
                </w:p>
              </w:tc>
              <w:tc>
                <w:tcPr>
                  <w:tcW w:w="1673" w:type="dxa"/>
                  <w:noWrap w:val="0"/>
                  <w:vAlign w:val="center"/>
                </w:tcPr>
                <w:p w14:paraId="0843BFB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z w:val="18"/>
                      <w:szCs w:val="18"/>
                      <w:highlight w:val="none"/>
                    </w:rPr>
                    <w:t>Accipiter</w:t>
                  </w:r>
                  <w:r>
                    <w:rPr>
                      <w:rFonts w:hint="default" w:ascii="Times New Roman" w:hAnsi="Times New Roman" w:eastAsia="仿宋" w:cs="Times New Roman"/>
                      <w:i/>
                      <w:iCs/>
                      <w:color w:val="auto"/>
                      <w:spacing w:val="5"/>
                      <w:sz w:val="18"/>
                      <w:szCs w:val="18"/>
                      <w:highlight w:val="none"/>
                    </w:rPr>
                    <w:t xml:space="preserve"> </w:t>
                  </w:r>
                  <w:r>
                    <w:rPr>
                      <w:rFonts w:hint="default" w:ascii="Times New Roman" w:hAnsi="Times New Roman" w:eastAsia="仿宋" w:cs="Times New Roman"/>
                      <w:i/>
                      <w:iCs/>
                      <w:color w:val="auto"/>
                      <w:sz w:val="18"/>
                      <w:szCs w:val="18"/>
                      <w:highlight w:val="none"/>
                    </w:rPr>
                    <w:t>trivirgatus</w:t>
                  </w:r>
                </w:p>
              </w:tc>
              <w:tc>
                <w:tcPr>
                  <w:tcW w:w="644" w:type="dxa"/>
                  <w:noWrap w:val="0"/>
                  <w:vAlign w:val="center"/>
                </w:tcPr>
                <w:p w14:paraId="5FDA4C9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二级</w:t>
                  </w:r>
                </w:p>
              </w:tc>
              <w:tc>
                <w:tcPr>
                  <w:tcW w:w="1029" w:type="dxa"/>
                  <w:noWrap w:val="0"/>
                  <w:vAlign w:val="center"/>
                </w:tcPr>
                <w:p w14:paraId="69B6694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3070" w:type="dxa"/>
                  <w:noWrap w:val="0"/>
                  <w:vAlign w:val="center"/>
                </w:tcPr>
                <w:p w14:paraId="14B1F83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栖于有密林覆盖处</w:t>
                  </w:r>
                </w:p>
              </w:tc>
            </w:tr>
            <w:tr w14:paraId="73B7F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393" w:type="dxa"/>
                  <w:noWrap w:val="0"/>
                  <w:vAlign w:val="center"/>
                </w:tcPr>
                <w:p w14:paraId="745F00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5</w:t>
                  </w:r>
                </w:p>
              </w:tc>
              <w:tc>
                <w:tcPr>
                  <w:tcW w:w="794" w:type="dxa"/>
                  <w:noWrap w:val="0"/>
                  <w:vAlign w:val="center"/>
                </w:tcPr>
                <w:p w14:paraId="1E7C74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棘腹蛙</w:t>
                  </w:r>
                </w:p>
              </w:tc>
              <w:tc>
                <w:tcPr>
                  <w:tcW w:w="1673" w:type="dxa"/>
                  <w:noWrap w:val="0"/>
                  <w:vAlign w:val="center"/>
                </w:tcPr>
                <w:p w14:paraId="1DD45C0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z w:val="18"/>
                      <w:szCs w:val="18"/>
                      <w:highlight w:val="none"/>
                    </w:rPr>
                    <w:t>Paa</w:t>
                  </w:r>
                  <w:r>
                    <w:rPr>
                      <w:rFonts w:hint="default" w:ascii="Times New Roman" w:hAnsi="Times New Roman" w:eastAsia="仿宋" w:cs="Times New Roman"/>
                      <w:i/>
                      <w:iCs/>
                      <w:color w:val="auto"/>
                      <w:spacing w:val="12"/>
                      <w:sz w:val="18"/>
                      <w:szCs w:val="18"/>
                      <w:highlight w:val="none"/>
                    </w:rPr>
                    <w:t xml:space="preserve"> </w:t>
                  </w:r>
                  <w:r>
                    <w:rPr>
                      <w:rFonts w:hint="default" w:ascii="Times New Roman" w:hAnsi="Times New Roman" w:eastAsia="仿宋" w:cs="Times New Roman"/>
                      <w:i/>
                      <w:iCs/>
                      <w:color w:val="auto"/>
                      <w:sz w:val="18"/>
                      <w:szCs w:val="18"/>
                      <w:highlight w:val="none"/>
                    </w:rPr>
                    <w:t>boulengeri</w:t>
                  </w:r>
                </w:p>
              </w:tc>
              <w:tc>
                <w:tcPr>
                  <w:tcW w:w="644" w:type="dxa"/>
                  <w:noWrap w:val="0"/>
                  <w:vAlign w:val="center"/>
                </w:tcPr>
                <w:p w14:paraId="0AF9ADF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1029" w:type="dxa"/>
                  <w:noWrap w:val="0"/>
                  <w:vAlign w:val="center"/>
                </w:tcPr>
                <w:p w14:paraId="09AE94E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pacing w:val="-1"/>
                      <w:sz w:val="18"/>
                      <w:szCs w:val="18"/>
                      <w:highlight w:val="none"/>
                    </w:rPr>
                    <w:t>VU</w:t>
                  </w:r>
                </w:p>
              </w:tc>
              <w:tc>
                <w:tcPr>
                  <w:tcW w:w="3070" w:type="dxa"/>
                  <w:noWrap w:val="0"/>
                  <w:vAlign w:val="center"/>
                </w:tcPr>
                <w:p w14:paraId="6005F48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居于小山溪内的瀑布下及水塘边的石</w:t>
                  </w:r>
                  <w:r>
                    <w:rPr>
                      <w:rFonts w:hint="default" w:ascii="Times New Roman" w:hAnsi="Times New Roman" w:eastAsia="仿宋" w:cs="Times New Roman"/>
                      <w:color w:val="auto"/>
                      <w:sz w:val="21"/>
                      <w:szCs w:val="21"/>
                      <w:highlight w:val="none"/>
                    </w:rPr>
                    <w:t>上</w:t>
                  </w:r>
                </w:p>
              </w:tc>
            </w:tr>
            <w:tr w14:paraId="75A4C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93" w:type="dxa"/>
                  <w:noWrap w:val="0"/>
                  <w:vAlign w:val="center"/>
                </w:tcPr>
                <w:p w14:paraId="5153C3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6</w:t>
                  </w:r>
                </w:p>
              </w:tc>
              <w:tc>
                <w:tcPr>
                  <w:tcW w:w="794" w:type="dxa"/>
                  <w:noWrap w:val="0"/>
                  <w:vAlign w:val="center"/>
                </w:tcPr>
                <w:p w14:paraId="0854E35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王锦蛇</w:t>
                  </w:r>
                </w:p>
              </w:tc>
              <w:tc>
                <w:tcPr>
                  <w:tcW w:w="1673" w:type="dxa"/>
                  <w:noWrap w:val="0"/>
                  <w:vAlign w:val="center"/>
                </w:tcPr>
                <w:p w14:paraId="026F2A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z w:val="18"/>
                      <w:szCs w:val="18"/>
                      <w:highlight w:val="none"/>
                    </w:rPr>
                    <w:t>Elaphe</w:t>
                  </w:r>
                  <w:r>
                    <w:rPr>
                      <w:rFonts w:hint="default" w:ascii="Times New Roman" w:hAnsi="Times New Roman" w:eastAsia="仿宋" w:cs="Times New Roman"/>
                      <w:i/>
                      <w:iCs/>
                      <w:color w:val="auto"/>
                      <w:spacing w:val="11"/>
                      <w:sz w:val="18"/>
                      <w:szCs w:val="18"/>
                      <w:highlight w:val="none"/>
                    </w:rPr>
                    <w:t xml:space="preserve"> </w:t>
                  </w:r>
                  <w:r>
                    <w:rPr>
                      <w:rFonts w:hint="default" w:ascii="Times New Roman" w:hAnsi="Times New Roman" w:eastAsia="仿宋" w:cs="Times New Roman"/>
                      <w:i/>
                      <w:iCs/>
                      <w:color w:val="auto"/>
                      <w:sz w:val="18"/>
                      <w:szCs w:val="18"/>
                      <w:highlight w:val="none"/>
                    </w:rPr>
                    <w:t>carinata</w:t>
                  </w:r>
                </w:p>
              </w:tc>
              <w:tc>
                <w:tcPr>
                  <w:tcW w:w="644" w:type="dxa"/>
                  <w:noWrap w:val="0"/>
                  <w:vAlign w:val="center"/>
                </w:tcPr>
                <w:p w14:paraId="340657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1029" w:type="dxa"/>
                  <w:noWrap w:val="0"/>
                  <w:vAlign w:val="center"/>
                </w:tcPr>
                <w:p w14:paraId="4556AE9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pacing w:val="-2"/>
                      <w:sz w:val="18"/>
                      <w:szCs w:val="18"/>
                      <w:highlight w:val="none"/>
                    </w:rPr>
                    <w:t>EN</w:t>
                  </w:r>
                </w:p>
              </w:tc>
              <w:tc>
                <w:tcPr>
                  <w:tcW w:w="3070" w:type="dxa"/>
                  <w:noWrap w:val="0"/>
                  <w:vAlign w:val="center"/>
                </w:tcPr>
                <w:p w14:paraId="1E33934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常于山地、丘陵的杂草荒地</w:t>
                  </w:r>
                </w:p>
              </w:tc>
            </w:tr>
            <w:tr w14:paraId="20F12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393" w:type="dxa"/>
                  <w:noWrap w:val="0"/>
                  <w:vAlign w:val="center"/>
                </w:tcPr>
                <w:p w14:paraId="4CA9C7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z w:val="18"/>
                      <w:szCs w:val="18"/>
                      <w:highlight w:val="none"/>
                    </w:rPr>
                    <w:t>7</w:t>
                  </w:r>
                </w:p>
              </w:tc>
              <w:tc>
                <w:tcPr>
                  <w:tcW w:w="794" w:type="dxa"/>
                  <w:noWrap w:val="0"/>
                  <w:vAlign w:val="center"/>
                </w:tcPr>
                <w:p w14:paraId="1CB52B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黑眉锦蛇</w:t>
                  </w:r>
                </w:p>
              </w:tc>
              <w:tc>
                <w:tcPr>
                  <w:tcW w:w="1673" w:type="dxa"/>
                  <w:noWrap w:val="0"/>
                  <w:vAlign w:val="center"/>
                </w:tcPr>
                <w:p w14:paraId="2556F3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i/>
                      <w:iCs/>
                      <w:color w:val="auto"/>
                      <w:sz w:val="18"/>
                      <w:szCs w:val="18"/>
                      <w:highlight w:val="none"/>
                    </w:rPr>
                    <w:t>Elaphe</w:t>
                  </w:r>
                  <w:r>
                    <w:rPr>
                      <w:rFonts w:hint="default" w:ascii="Times New Roman" w:hAnsi="Times New Roman" w:eastAsia="仿宋" w:cs="Times New Roman"/>
                      <w:i/>
                      <w:iCs/>
                      <w:color w:val="auto"/>
                      <w:spacing w:val="7"/>
                      <w:sz w:val="18"/>
                      <w:szCs w:val="18"/>
                      <w:highlight w:val="none"/>
                    </w:rPr>
                    <w:t xml:space="preserve"> </w:t>
                  </w:r>
                  <w:r>
                    <w:rPr>
                      <w:rFonts w:hint="default" w:ascii="Times New Roman" w:hAnsi="Times New Roman" w:eastAsia="仿宋" w:cs="Times New Roman"/>
                      <w:i/>
                      <w:iCs/>
                      <w:color w:val="auto"/>
                      <w:sz w:val="18"/>
                      <w:szCs w:val="18"/>
                      <w:highlight w:val="none"/>
                    </w:rPr>
                    <w:t>taeniura</w:t>
                  </w:r>
                </w:p>
              </w:tc>
              <w:tc>
                <w:tcPr>
                  <w:tcW w:w="644" w:type="dxa"/>
                  <w:noWrap w:val="0"/>
                  <w:vAlign w:val="center"/>
                </w:tcPr>
                <w:p w14:paraId="75601F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21"/>
                      <w:highlight w:val="none"/>
                    </w:rPr>
                  </w:pPr>
                </w:p>
              </w:tc>
              <w:tc>
                <w:tcPr>
                  <w:tcW w:w="1029" w:type="dxa"/>
                  <w:noWrap w:val="0"/>
                  <w:vAlign w:val="center"/>
                </w:tcPr>
                <w:p w14:paraId="20CE0D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18"/>
                      <w:szCs w:val="18"/>
                      <w:highlight w:val="none"/>
                      <w:lang w:val="en-US" w:eastAsia="zh-CN"/>
                    </w:rPr>
                  </w:pPr>
                  <w:r>
                    <w:rPr>
                      <w:rFonts w:hint="eastAsia" w:cs="Times New Roman"/>
                      <w:color w:val="auto"/>
                      <w:spacing w:val="-2"/>
                      <w:sz w:val="18"/>
                      <w:szCs w:val="18"/>
                      <w:highlight w:val="none"/>
                      <w:lang w:val="en-US" w:eastAsia="zh-CN"/>
                    </w:rPr>
                    <w:t>VU</w:t>
                  </w:r>
                </w:p>
              </w:tc>
              <w:tc>
                <w:tcPr>
                  <w:tcW w:w="3070" w:type="dxa"/>
                  <w:noWrap w:val="0"/>
                  <w:vAlign w:val="center"/>
                </w:tcPr>
                <w:p w14:paraId="3F87AE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常见于河边、稻田及住宅附近，或房</w:t>
                  </w:r>
                  <w:r>
                    <w:rPr>
                      <w:rFonts w:hint="default" w:ascii="Times New Roman" w:hAnsi="Times New Roman" w:eastAsia="仿宋" w:cs="Times New Roman"/>
                      <w:color w:val="auto"/>
                      <w:spacing w:val="-2"/>
                      <w:sz w:val="21"/>
                      <w:szCs w:val="21"/>
                      <w:highlight w:val="none"/>
                    </w:rPr>
                    <w:t>屋上</w:t>
                  </w:r>
                </w:p>
              </w:tc>
            </w:tr>
          </w:tbl>
          <w:p w14:paraId="7E5B8CA4">
            <w:pPr>
              <w:keepNext w:val="0"/>
              <w:keepLines w:val="0"/>
              <w:suppressLineNumbers w:val="0"/>
              <w:spacing w:before="25" w:beforeLines="0" w:beforeAutospacing="0" w:after="0" w:afterLines="0" w:afterAutospacing="0" w:line="238" w:lineRule="auto"/>
              <w:ind w:left="100" w:right="39" w:firstLine="5"/>
              <w:rPr>
                <w:rFonts w:hint="default" w:ascii="Times New Roman" w:hAnsi="Times New Roman" w:eastAsia="仿宋" w:cs="Times New Roman"/>
                <w:color w:val="auto"/>
                <w:sz w:val="18"/>
                <w:szCs w:val="18"/>
                <w:highlight w:val="none"/>
              </w:rPr>
            </w:pPr>
            <w:r>
              <w:rPr>
                <w:rFonts w:hint="default" w:ascii="Times New Roman" w:hAnsi="Times New Roman" w:eastAsia="仿宋" w:cs="Times New Roman"/>
                <w:color w:val="auto"/>
                <w:spacing w:val="-3"/>
                <w:sz w:val="18"/>
                <w:szCs w:val="18"/>
                <w:highlight w:val="none"/>
              </w:rPr>
              <w:t>注：</w:t>
            </w:r>
            <w:r>
              <w:rPr>
                <w:rFonts w:hint="eastAsia" w:cs="Times New Roman"/>
                <w:color w:val="auto"/>
                <w:spacing w:val="-3"/>
                <w:sz w:val="18"/>
                <w:szCs w:val="18"/>
                <w:highlight w:val="none"/>
                <w:lang w:eastAsia="zh-CN"/>
              </w:rPr>
              <w:t>（</w:t>
            </w:r>
            <w:r>
              <w:rPr>
                <w:rFonts w:hint="default" w:ascii="Times New Roman" w:hAnsi="Times New Roman" w:eastAsia="仿宋" w:cs="Times New Roman"/>
                <w:color w:val="auto"/>
                <w:spacing w:val="-3"/>
                <w:sz w:val="18"/>
                <w:szCs w:val="18"/>
                <w:highlight w:val="none"/>
              </w:rPr>
              <w:t>1</w:t>
            </w:r>
            <w:r>
              <w:rPr>
                <w:rFonts w:hint="eastAsia" w:cs="Times New Roman"/>
                <w:color w:val="auto"/>
                <w:spacing w:val="-3"/>
                <w:sz w:val="18"/>
                <w:szCs w:val="18"/>
                <w:highlight w:val="none"/>
                <w:lang w:eastAsia="zh-CN"/>
              </w:rPr>
              <w:t>）</w:t>
            </w:r>
            <w:r>
              <w:rPr>
                <w:rFonts w:hint="default" w:ascii="Times New Roman" w:hAnsi="Times New Roman" w:eastAsia="仿宋" w:cs="Times New Roman"/>
                <w:color w:val="auto"/>
                <w:spacing w:val="20"/>
                <w:w w:val="102"/>
                <w:sz w:val="18"/>
                <w:szCs w:val="18"/>
                <w:highlight w:val="none"/>
              </w:rPr>
              <w:t xml:space="preserve"> </w:t>
            </w:r>
            <w:r>
              <w:rPr>
                <w:rFonts w:hint="default" w:ascii="Times New Roman" w:hAnsi="Times New Roman" w:eastAsia="仿宋" w:cs="Times New Roman"/>
                <w:color w:val="auto"/>
                <w:spacing w:val="-3"/>
                <w:sz w:val="18"/>
                <w:szCs w:val="18"/>
                <w:highlight w:val="none"/>
              </w:rPr>
              <w:t>Ⅰ</w:t>
            </w:r>
            <w:r>
              <w:rPr>
                <w:rFonts w:hint="eastAsia" w:cs="Times New Roman"/>
                <w:color w:val="auto"/>
                <w:spacing w:val="-3"/>
                <w:sz w:val="18"/>
                <w:szCs w:val="18"/>
                <w:highlight w:val="none"/>
                <w:lang w:eastAsia="zh-CN"/>
              </w:rPr>
              <w:t>－</w:t>
            </w:r>
            <w:r>
              <w:rPr>
                <w:rFonts w:hint="default" w:ascii="Times New Roman" w:hAnsi="Times New Roman" w:eastAsia="仿宋" w:cs="Times New Roman"/>
                <w:color w:val="auto"/>
                <w:spacing w:val="-3"/>
                <w:sz w:val="18"/>
                <w:szCs w:val="18"/>
                <w:highlight w:val="none"/>
              </w:rPr>
              <w:t>国家</w:t>
            </w:r>
            <w:r>
              <w:rPr>
                <w:rFonts w:hint="eastAsia" w:cs="Times New Roman"/>
                <w:color w:val="auto"/>
                <w:spacing w:val="-3"/>
                <w:sz w:val="18"/>
                <w:szCs w:val="18"/>
                <w:highlight w:val="none"/>
                <w:lang w:eastAsia="zh-CN"/>
              </w:rPr>
              <w:t>一级</w:t>
            </w:r>
            <w:r>
              <w:rPr>
                <w:rFonts w:hint="default" w:ascii="Times New Roman" w:hAnsi="Times New Roman" w:eastAsia="仿宋" w:cs="Times New Roman"/>
                <w:color w:val="auto"/>
                <w:spacing w:val="-3"/>
                <w:sz w:val="18"/>
                <w:szCs w:val="18"/>
                <w:highlight w:val="none"/>
              </w:rPr>
              <w:t>保护动物，</w:t>
            </w:r>
            <w:r>
              <w:rPr>
                <w:rFonts w:hint="default" w:ascii="Times New Roman" w:hAnsi="Times New Roman" w:eastAsia="仿宋" w:cs="Times New Roman"/>
                <w:color w:val="auto"/>
                <w:spacing w:val="-69"/>
                <w:sz w:val="18"/>
                <w:szCs w:val="18"/>
                <w:highlight w:val="none"/>
              </w:rPr>
              <w:t xml:space="preserve"> </w:t>
            </w:r>
            <w:r>
              <w:rPr>
                <w:rFonts w:hint="default" w:ascii="Times New Roman" w:hAnsi="Times New Roman" w:eastAsia="仿宋" w:cs="Times New Roman"/>
                <w:color w:val="auto"/>
                <w:spacing w:val="-3"/>
                <w:sz w:val="18"/>
                <w:szCs w:val="18"/>
                <w:highlight w:val="none"/>
              </w:rPr>
              <w:t>Ⅱ</w:t>
            </w:r>
            <w:r>
              <w:rPr>
                <w:rFonts w:hint="eastAsia" w:cs="Times New Roman"/>
                <w:color w:val="auto"/>
                <w:spacing w:val="-3"/>
                <w:sz w:val="18"/>
                <w:szCs w:val="18"/>
                <w:highlight w:val="none"/>
                <w:lang w:eastAsia="zh-CN"/>
              </w:rPr>
              <w:t>－</w:t>
            </w:r>
            <w:r>
              <w:rPr>
                <w:rFonts w:hint="default" w:ascii="Times New Roman" w:hAnsi="Times New Roman" w:eastAsia="仿宋" w:cs="Times New Roman"/>
                <w:color w:val="auto"/>
                <w:spacing w:val="-3"/>
                <w:sz w:val="18"/>
                <w:szCs w:val="18"/>
                <w:highlight w:val="none"/>
              </w:rPr>
              <w:t>国家</w:t>
            </w:r>
            <w:r>
              <w:rPr>
                <w:rFonts w:hint="eastAsia" w:cs="Times New Roman"/>
                <w:color w:val="auto"/>
                <w:spacing w:val="-3"/>
                <w:sz w:val="18"/>
                <w:szCs w:val="18"/>
                <w:highlight w:val="none"/>
                <w:lang w:eastAsia="zh-CN"/>
              </w:rPr>
              <w:t>二级</w:t>
            </w:r>
            <w:r>
              <w:rPr>
                <w:rFonts w:hint="default" w:ascii="Times New Roman" w:hAnsi="Times New Roman" w:eastAsia="仿宋" w:cs="Times New Roman"/>
                <w:color w:val="auto"/>
                <w:spacing w:val="-4"/>
                <w:sz w:val="18"/>
                <w:szCs w:val="18"/>
                <w:highlight w:val="none"/>
              </w:rPr>
              <w:t>保护动物；</w:t>
            </w:r>
            <w:r>
              <w:rPr>
                <w:rFonts w:hint="eastAsia" w:cs="Times New Roman"/>
                <w:color w:val="auto"/>
                <w:spacing w:val="-4"/>
                <w:sz w:val="18"/>
                <w:szCs w:val="18"/>
                <w:highlight w:val="none"/>
                <w:lang w:eastAsia="zh-CN"/>
              </w:rPr>
              <w:t>（</w:t>
            </w:r>
            <w:r>
              <w:rPr>
                <w:rFonts w:hint="default" w:ascii="Times New Roman" w:hAnsi="Times New Roman" w:eastAsia="仿宋" w:cs="Times New Roman"/>
                <w:color w:val="auto"/>
                <w:spacing w:val="-4"/>
                <w:sz w:val="18"/>
                <w:szCs w:val="18"/>
                <w:highlight w:val="none"/>
              </w:rPr>
              <w:t>2</w:t>
            </w:r>
            <w:r>
              <w:rPr>
                <w:rFonts w:hint="eastAsia" w:cs="Times New Roman"/>
                <w:color w:val="auto"/>
                <w:spacing w:val="-4"/>
                <w:sz w:val="18"/>
                <w:szCs w:val="18"/>
                <w:highlight w:val="none"/>
                <w:lang w:eastAsia="zh-CN"/>
              </w:rPr>
              <w:t>）</w:t>
            </w:r>
            <w:r>
              <w:rPr>
                <w:rFonts w:hint="default" w:ascii="Times New Roman" w:hAnsi="Times New Roman" w:eastAsia="仿宋" w:cs="Times New Roman"/>
                <w:color w:val="auto"/>
                <w:spacing w:val="-4"/>
                <w:sz w:val="18"/>
                <w:szCs w:val="18"/>
                <w:highlight w:val="none"/>
              </w:rPr>
              <w:t>中国生物多样性红色名录：CR—极危、EN—濒危、</w:t>
            </w:r>
            <w:r>
              <w:rPr>
                <w:rFonts w:hint="default" w:ascii="Times New Roman" w:hAnsi="Times New Roman" w:eastAsia="仿宋" w:cs="Times New Roman"/>
                <w:color w:val="auto"/>
                <w:sz w:val="18"/>
                <w:szCs w:val="18"/>
                <w:highlight w:val="none"/>
              </w:rPr>
              <w:t xml:space="preserve"> </w:t>
            </w:r>
            <w:r>
              <w:rPr>
                <w:rFonts w:hint="default" w:ascii="Times New Roman" w:hAnsi="Times New Roman" w:eastAsia="仿宋" w:cs="Times New Roman"/>
                <w:color w:val="auto"/>
                <w:spacing w:val="-1"/>
                <w:sz w:val="18"/>
                <w:szCs w:val="18"/>
                <w:highlight w:val="none"/>
              </w:rPr>
              <w:t>VU—易危。</w:t>
            </w:r>
          </w:p>
          <w:p w14:paraId="34D0F85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1） 两栖动物</w:t>
            </w:r>
          </w:p>
          <w:p w14:paraId="7C46C28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在项目区及周边分布的 11 种两栖动物中，无国家级和云南省级重点保护野生动物分布。有中国生物多样性红色名录易危物种1种，棘腹蛙。</w:t>
            </w:r>
          </w:p>
          <w:p w14:paraId="060BB18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棘腹蛙</w:t>
            </w:r>
            <w:r>
              <w:rPr>
                <w:rFonts w:hint="default" w:ascii="Times New Roman" w:hAnsi="Times New Roman" w:eastAsia="仿宋" w:cs="Times New Roman"/>
                <w:b w:val="0"/>
                <w:bCs/>
                <w:i/>
                <w:color w:val="auto"/>
                <w:spacing w:val="0"/>
                <w:sz w:val="24"/>
                <w:szCs w:val="24"/>
                <w:highlight w:val="none"/>
              </w:rPr>
              <w:t>Paa boulengeri</w:t>
            </w:r>
          </w:p>
          <w:p w14:paraId="33A203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val="0"/>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形态特征体长90</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120mm左右，雌蛙略小，体粗壮；头宽而扁；吻端圆，吻棱不显；鼻间距与眼间距等宽而小于上眼睑之宽，鼻孔近眼前角；鼓膜不清晰仅见轮廓；犁骨齿斜置，左右不相遇。</w:t>
            </w:r>
          </w:p>
          <w:p w14:paraId="7BBA2D0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生态习性：居于小山溪内的瀑布下及水塘边的石上；产卵季节为5~8月。</w:t>
            </w:r>
          </w:p>
          <w:p w14:paraId="6B92521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2）爬行动物</w:t>
            </w:r>
          </w:p>
          <w:p w14:paraId="55E37AA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在项目区及周边分布的12种爬行动物中，无国家级和云南省级重点保护野生动物分布。有中国生物多样性红色名录濒危物种2种，王锦蛇、黑眉锦蛇、银环蛇。</w:t>
            </w:r>
          </w:p>
          <w:p w14:paraId="0F98ABE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512" w:firstLineChars="200"/>
              <w:textAlignment w:val="auto"/>
              <w:rPr>
                <w:rFonts w:hint="default" w:ascii="Times New Roman" w:hAnsi="Times New Roman" w:eastAsia="仿宋" w:cs="Times New Roman"/>
                <w:b w:val="0"/>
                <w:bCs/>
                <w:color w:val="auto"/>
                <w:sz w:val="24"/>
                <w:szCs w:val="24"/>
                <w:highlight w:val="none"/>
              </w:rPr>
            </w:pPr>
            <w:r>
              <w:rPr>
                <w:rFonts w:hint="default" w:ascii="Times New Roman" w:hAnsi="Times New Roman" w:eastAsia="仿宋" w:cs="Times New Roman"/>
                <w:b w:val="0"/>
                <w:bCs/>
                <w:color w:val="auto"/>
                <w:spacing w:val="8"/>
                <w:sz w:val="24"/>
                <w:szCs w:val="24"/>
                <w:highlight w:val="none"/>
              </w:rPr>
              <w:t>王锦蛇</w:t>
            </w:r>
            <w:r>
              <w:rPr>
                <w:rFonts w:hint="default" w:ascii="Times New Roman" w:hAnsi="Times New Roman" w:eastAsia="仿宋" w:cs="Times New Roman"/>
                <w:b w:val="0"/>
                <w:bCs/>
                <w:i/>
                <w:color w:val="auto"/>
                <w:sz w:val="24"/>
                <w:szCs w:val="24"/>
                <w:highlight w:val="none"/>
              </w:rPr>
              <w:t>Elaphe</w:t>
            </w:r>
            <w:r>
              <w:rPr>
                <w:rFonts w:hint="default" w:ascii="Times New Roman" w:hAnsi="Times New Roman" w:eastAsia="仿宋" w:cs="Times New Roman"/>
                <w:b w:val="0"/>
                <w:bCs/>
                <w:i/>
                <w:color w:val="auto"/>
                <w:spacing w:val="8"/>
                <w:sz w:val="24"/>
                <w:szCs w:val="24"/>
                <w:highlight w:val="none"/>
              </w:rPr>
              <w:t xml:space="preserve"> </w:t>
            </w:r>
            <w:r>
              <w:rPr>
                <w:rFonts w:hint="default" w:ascii="Times New Roman" w:hAnsi="Times New Roman" w:eastAsia="仿宋" w:cs="Times New Roman"/>
                <w:b w:val="0"/>
                <w:bCs/>
                <w:i/>
                <w:color w:val="auto"/>
                <w:sz w:val="24"/>
                <w:szCs w:val="24"/>
                <w:highlight w:val="none"/>
              </w:rPr>
              <w:t>carinata</w:t>
            </w:r>
          </w:p>
          <w:p w14:paraId="38DA61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形态特征：体粗壮，全长2米左右。全身黑色杂以黄色花斑，形似菜花，体</w:t>
            </w:r>
            <w:r>
              <w:rPr>
                <w:rFonts w:hint="default" w:ascii="Times New Roman" w:hAnsi="Times New Roman" w:eastAsia="仿宋" w:cs="Times New Roman"/>
                <w:color w:val="auto"/>
                <w:spacing w:val="-5"/>
                <w:sz w:val="24"/>
                <w:szCs w:val="24"/>
                <w:highlight w:val="none"/>
              </w:rPr>
              <w:t>前部有若干黄色横纹。头背棕黄色，鳞缘黑色，散以黑色</w:t>
            </w:r>
            <w:r>
              <w:rPr>
                <w:rFonts w:hint="default" w:ascii="Times New Roman" w:hAnsi="Times New Roman" w:eastAsia="仿宋" w:cs="Times New Roman"/>
                <w:color w:val="auto"/>
                <w:spacing w:val="-6"/>
                <w:sz w:val="24"/>
                <w:szCs w:val="24"/>
                <w:highlight w:val="none"/>
              </w:rPr>
              <w:t>斑，在尾下形成黑色纵</w:t>
            </w:r>
            <w:r>
              <w:rPr>
                <w:rFonts w:hint="default" w:ascii="Times New Roman" w:hAnsi="Times New Roman" w:eastAsia="仿宋" w:cs="Times New Roman"/>
                <w:color w:val="auto"/>
                <w:spacing w:val="-2"/>
                <w:sz w:val="24"/>
                <w:szCs w:val="24"/>
                <w:highlight w:val="none"/>
              </w:rPr>
              <w:t>线。幼蛇背面灰橄榄色，鳞缘微黑，枕后有一短黑纵纹；腹面肉色。</w:t>
            </w:r>
          </w:p>
          <w:p w14:paraId="258F75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生态习性：生活于海拔250</w:t>
            </w:r>
            <w:r>
              <w:rPr>
                <w:rFonts w:hint="eastAsia"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2240</w:t>
            </w:r>
            <w:r>
              <w:rPr>
                <w:rFonts w:hint="default" w:ascii="Times New Roman" w:hAnsi="Times New Roman" w:eastAsia="仿宋" w:cs="Times New Roman"/>
                <w:color w:val="auto"/>
                <w:spacing w:val="-4"/>
                <w:sz w:val="24"/>
                <w:szCs w:val="24"/>
                <w:highlight w:val="none"/>
              </w:rPr>
              <w:t>米的山区及丘陵地带，平原亦有分布。性情</w:t>
            </w:r>
            <w:r>
              <w:rPr>
                <w:rFonts w:hint="default" w:ascii="Times New Roman" w:hAnsi="Times New Roman" w:eastAsia="仿宋" w:cs="Times New Roman"/>
                <w:color w:val="auto"/>
                <w:sz w:val="24"/>
                <w:szCs w:val="24"/>
                <w:highlight w:val="none"/>
              </w:rPr>
              <w:t>凶猛，行动迅速。以蛙、鸟、蜥蜴及其他蛇类为食，也吃鸟卵、鼠类甚至同种的</w:t>
            </w:r>
            <w:r>
              <w:rPr>
                <w:rFonts w:hint="default" w:ascii="Times New Roman" w:hAnsi="Times New Roman" w:eastAsia="仿宋" w:cs="Times New Roman"/>
                <w:color w:val="auto"/>
                <w:spacing w:val="-7"/>
                <w:sz w:val="24"/>
                <w:szCs w:val="24"/>
                <w:highlight w:val="none"/>
              </w:rPr>
              <w:t>幼蛇。无毒。</w:t>
            </w:r>
          </w:p>
          <w:p w14:paraId="794D02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eastAsia="仿宋" w:cs="Times New Roman"/>
                <w:b w:val="0"/>
                <w:bCs/>
                <w:color w:val="auto"/>
                <w:sz w:val="24"/>
                <w:szCs w:val="24"/>
                <w:highlight w:val="none"/>
              </w:rPr>
            </w:pPr>
            <w:r>
              <w:rPr>
                <w:rFonts w:hint="default" w:ascii="Times New Roman" w:hAnsi="Times New Roman" w:eastAsia="仿宋" w:cs="Times New Roman"/>
                <w:b w:val="0"/>
                <w:bCs/>
                <w:color w:val="auto"/>
                <w:spacing w:val="-1"/>
                <w:sz w:val="24"/>
                <w:szCs w:val="24"/>
                <w:highlight w:val="none"/>
              </w:rPr>
              <w:t>黑眉锦蛇</w:t>
            </w:r>
            <w:r>
              <w:rPr>
                <w:rFonts w:hint="default" w:ascii="Times New Roman" w:hAnsi="Times New Roman" w:eastAsia="仿宋" w:cs="Times New Roman"/>
                <w:b w:val="0"/>
                <w:bCs/>
                <w:i/>
                <w:color w:val="auto"/>
                <w:spacing w:val="-1"/>
                <w:sz w:val="24"/>
                <w:szCs w:val="24"/>
                <w:highlight w:val="none"/>
              </w:rPr>
              <w:t>Elaphe taeniura</w:t>
            </w:r>
          </w:p>
          <w:p w14:paraId="43FC55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形态特征：广布我国南北的一种无毒蛇。体形较大，全长可达2米或以上。头颈区分明显。背面黄绿、灰绿或棕灰色，体前部背正中具黑色梯状横纹；体后黑色纵线延伸至尾末端；眼后具黑色眉纹；腹部灰白色，但前端、尾部及体侧为黄色。</w:t>
            </w:r>
          </w:p>
          <w:p w14:paraId="79C63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生态习性：生活于海拔300</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3000米的平原、丘陵及山地，是一种分布广、数量多的无毒蛇。常见于河边、稻田及住宅附近，或房屋上。行动迅速，善攀。以鼠、鸟及蛙类为食。</w:t>
            </w:r>
          </w:p>
          <w:p w14:paraId="1FF31E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3）鸟类</w:t>
            </w:r>
          </w:p>
          <w:p w14:paraId="63378C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在所记录的80种鸟类中，有国家</w:t>
            </w:r>
            <w:r>
              <w:rPr>
                <w:rFonts w:hint="eastAsia" w:cs="Times New Roman"/>
                <w:color w:val="auto"/>
                <w:spacing w:val="0"/>
                <w:sz w:val="24"/>
                <w:szCs w:val="24"/>
                <w:highlight w:val="none"/>
                <w:lang w:eastAsia="zh-CN"/>
              </w:rPr>
              <w:t>二级</w:t>
            </w:r>
            <w:r>
              <w:rPr>
                <w:rFonts w:hint="default" w:ascii="Times New Roman" w:hAnsi="Times New Roman" w:eastAsia="仿宋" w:cs="Times New Roman"/>
                <w:color w:val="auto"/>
                <w:spacing w:val="0"/>
                <w:sz w:val="24"/>
                <w:szCs w:val="24"/>
                <w:highlight w:val="none"/>
              </w:rPr>
              <w:t>重点保护鸟类4种，占全部鸟类种数的5%；无云南省级重点保护鸟类。这4种国家重点保护野生动物中有鹰科3种、隼科1种。</w:t>
            </w:r>
          </w:p>
          <w:p w14:paraId="3EA83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 xml:space="preserve">红隼 </w:t>
            </w:r>
            <w:r>
              <w:rPr>
                <w:rFonts w:hint="default" w:ascii="Times New Roman" w:hAnsi="Times New Roman" w:eastAsia="仿宋" w:cs="Times New Roman"/>
                <w:b w:val="0"/>
                <w:bCs/>
                <w:i/>
                <w:color w:val="auto"/>
                <w:spacing w:val="0"/>
                <w:sz w:val="24"/>
                <w:szCs w:val="24"/>
                <w:highlight w:val="none"/>
              </w:rPr>
              <w:t>Falco tinnunculus</w:t>
            </w:r>
          </w:p>
          <w:p w14:paraId="35156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形态特征：体长350mm左右，雄鸟头顶至后颈灰，并具黑色条纹；背羽砖红色，布有黑色粗斑</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尾羽青灰色，具宽阔的黑色次端斑及棕白色端缘，外侧尾羽较中央尾羽短甚，呈凸尾型。雌鸟上体砖红色， 头顶满布黑色纵纹，背具黑色横斑，爪黑色。雌雄鸟胸和腹均淡棕黄色，具黑色纵纹和点斑。</w:t>
            </w:r>
          </w:p>
          <w:p w14:paraId="2FF1C6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生态习性：栖息于林缘、灌丛、田野等开阔地及居民区。常单独</w:t>
            </w:r>
            <w:r>
              <w:rPr>
                <w:rFonts w:hint="eastAsia" w:cs="Times New Roman"/>
                <w:color w:val="auto"/>
                <w:spacing w:val="0"/>
                <w:sz w:val="24"/>
                <w:szCs w:val="24"/>
                <w:highlight w:val="none"/>
                <w:lang w:eastAsia="zh-CN"/>
              </w:rPr>
              <w:t>或</w:t>
            </w:r>
            <w:r>
              <w:rPr>
                <w:rFonts w:hint="default" w:ascii="Times New Roman" w:hAnsi="Times New Roman" w:eastAsia="仿宋" w:cs="Times New Roman"/>
                <w:color w:val="auto"/>
                <w:spacing w:val="0"/>
                <w:sz w:val="24"/>
                <w:szCs w:val="24"/>
                <w:highlight w:val="none"/>
              </w:rPr>
              <w:t>成对活动</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飞行速度快，有时见在空中振翅定点停留，主要捕食地面上的食物，如昆虫、两栖类、小型爬行类、小型鸟类和小型兽类等，有时也取食少量植物性食物。</w:t>
            </w:r>
          </w:p>
          <w:p w14:paraId="38A02E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资源状况为常见种。国家</w:t>
            </w:r>
            <w:r>
              <w:rPr>
                <w:rFonts w:hint="eastAsia" w:cs="Times New Roman"/>
                <w:color w:val="auto"/>
                <w:spacing w:val="0"/>
                <w:sz w:val="24"/>
                <w:szCs w:val="24"/>
                <w:highlight w:val="none"/>
                <w:lang w:eastAsia="zh-CN"/>
              </w:rPr>
              <w:t>二级</w:t>
            </w:r>
            <w:r>
              <w:rPr>
                <w:rFonts w:hint="default" w:ascii="Times New Roman" w:hAnsi="Times New Roman" w:eastAsia="仿宋" w:cs="Times New Roman"/>
                <w:color w:val="auto"/>
                <w:spacing w:val="0"/>
                <w:sz w:val="24"/>
                <w:szCs w:val="24"/>
                <w:highlight w:val="none"/>
              </w:rPr>
              <w:t>重点保护鸟类。生境要求不严格，可见于评价区范围内。</w:t>
            </w:r>
          </w:p>
          <w:p w14:paraId="23D57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 xml:space="preserve">黑翅鸢 </w:t>
            </w:r>
            <w:r>
              <w:rPr>
                <w:rFonts w:hint="default" w:ascii="Times New Roman" w:hAnsi="Times New Roman" w:eastAsia="仿宋" w:cs="Times New Roman"/>
                <w:b w:val="0"/>
                <w:bCs/>
                <w:i/>
                <w:color w:val="auto"/>
                <w:spacing w:val="0"/>
                <w:sz w:val="24"/>
                <w:szCs w:val="24"/>
                <w:highlight w:val="none"/>
              </w:rPr>
              <w:t>Elanus caeruleus</w:t>
            </w:r>
          </w:p>
          <w:p w14:paraId="68881C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形态特征：成鸟：前额灰白，眼先须羽和眼上的狭窄眉纹黑色；头顶、后颈、背部、尾上覆羽和中央尾羽表面，初级覆羽，大覆羽和次级飞羽概为烟灰色；初级飞羽亦呈烟灰色，尖端缀灰褐色；翅上小覆羽亮黑色，形成明显的翅上黑斑；颊、颏、喉和胸腹部、腋羽、翅下覆羽和覆腿羽、尾下覆羽均白色，胸部两侧微沾灰色；外侧尾羽灰白色。两性相似。虹膜朱红色，幼鸟呈黄色或黄褐色；嘴黑色，蜡膜和嘴角亮黄色；跗蹠和趾深黄，爪黑色。</w:t>
            </w:r>
          </w:p>
          <w:p w14:paraId="6A84E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生态习性：常见单个活动于开阔的田坝区，栖息在电杆和树木顶端，或翱翔天空。捕食青蛙、老鼠和昆虫。在云南省分布于海拔800</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2100m。</w:t>
            </w:r>
          </w:p>
          <w:p w14:paraId="2C05E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资源状况为常见种。国家</w:t>
            </w:r>
            <w:r>
              <w:rPr>
                <w:rFonts w:hint="eastAsia" w:cs="Times New Roman"/>
                <w:color w:val="auto"/>
                <w:spacing w:val="0"/>
                <w:sz w:val="24"/>
                <w:szCs w:val="24"/>
                <w:highlight w:val="none"/>
                <w:lang w:eastAsia="zh-CN"/>
              </w:rPr>
              <w:t>二级</w:t>
            </w:r>
            <w:r>
              <w:rPr>
                <w:rFonts w:hint="default" w:ascii="Times New Roman" w:hAnsi="Times New Roman" w:eastAsia="仿宋" w:cs="Times New Roman"/>
                <w:color w:val="auto"/>
                <w:spacing w:val="0"/>
                <w:sz w:val="24"/>
                <w:szCs w:val="24"/>
                <w:highlight w:val="none"/>
              </w:rPr>
              <w:t>重点保护鸟类。生境要求不严格，可见于评价区范围内。</w:t>
            </w:r>
          </w:p>
          <w:p w14:paraId="36A10F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 xml:space="preserve">普通鵟 </w:t>
            </w:r>
            <w:r>
              <w:rPr>
                <w:rFonts w:hint="default" w:ascii="Times New Roman" w:hAnsi="Times New Roman" w:eastAsia="仿宋" w:cs="Times New Roman"/>
                <w:b w:val="0"/>
                <w:bCs/>
                <w:i/>
                <w:color w:val="auto"/>
                <w:spacing w:val="0"/>
                <w:sz w:val="24"/>
                <w:szCs w:val="24"/>
                <w:highlight w:val="none"/>
              </w:rPr>
              <w:t>Buteo buteo</w:t>
            </w:r>
          </w:p>
          <w:p w14:paraId="6AA4CE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形态特征：全长480</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530mm。羽色变化较大，有黑色型、棕色型及中间型。上体暗褐色；头顶、颈及颈侧具红棕色羽缘；下体暗褐色或淡褐色，具深棕色横斑；尾羽通常灰褐色，具4</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5条不显著的黑褐色横斑，跗蹠和趾为黄色。全身体色大致为暗褐或灰褐色。飞行时腹面淡色，初级飞羽末端黑色、翼角黑色，喉暗褐色、胸及腹部淡褐色，腹部有黑褐色纵斑，尾羽褐色呈扇形，并有数条黑褐色横纹。</w:t>
            </w:r>
          </w:p>
          <w:p w14:paraId="644D5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生活习性：栖息于海拔3700m以下的各类生境中，多停息在高大的乔木等突出部位，也常见单独在稀疏林中和农田等多种生境的上空翱翔，食物以鼠类为主，也捕食野兔、小型鸟类、蜥蜴、蛙类和昆虫等。</w:t>
            </w:r>
          </w:p>
          <w:p w14:paraId="3DA9A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资源状况为常见种</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国家</w:t>
            </w:r>
            <w:r>
              <w:rPr>
                <w:rFonts w:hint="eastAsia" w:cs="Times New Roman"/>
                <w:color w:val="auto"/>
                <w:spacing w:val="0"/>
                <w:sz w:val="24"/>
                <w:szCs w:val="24"/>
                <w:highlight w:val="none"/>
                <w:lang w:eastAsia="zh-CN"/>
              </w:rPr>
              <w:t>二级</w:t>
            </w:r>
            <w:r>
              <w:rPr>
                <w:rFonts w:hint="default" w:ascii="Times New Roman" w:hAnsi="Times New Roman" w:eastAsia="仿宋" w:cs="Times New Roman"/>
                <w:color w:val="auto"/>
                <w:spacing w:val="0"/>
                <w:sz w:val="24"/>
                <w:szCs w:val="24"/>
                <w:highlight w:val="none"/>
              </w:rPr>
              <w:t>重点保护鸟类。</w:t>
            </w:r>
            <w:r>
              <w:rPr>
                <w:rFonts w:hint="default" w:ascii="Times New Roman" w:hAnsi="Times New Roman" w:eastAsia="仿宋" w:cs="Times New Roman"/>
                <w:color w:val="auto"/>
                <w:spacing w:val="0"/>
                <w:sz w:val="24"/>
                <w:szCs w:val="24"/>
                <w:highlight w:val="none"/>
                <w:lang w:val="en-US" w:eastAsia="zh-CN"/>
              </w:rPr>
              <w:t>可</w:t>
            </w:r>
            <w:r>
              <w:rPr>
                <w:rFonts w:hint="default" w:ascii="Times New Roman" w:hAnsi="Times New Roman" w:eastAsia="仿宋" w:cs="Times New Roman"/>
                <w:color w:val="auto"/>
                <w:spacing w:val="0"/>
                <w:sz w:val="24"/>
                <w:szCs w:val="24"/>
                <w:highlight w:val="none"/>
              </w:rPr>
              <w:t>见于评价区上空。</w:t>
            </w:r>
          </w:p>
          <w:p w14:paraId="592F47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 xml:space="preserve">凤头鹰 </w:t>
            </w:r>
            <w:r>
              <w:rPr>
                <w:rFonts w:hint="default" w:ascii="Times New Roman" w:hAnsi="Times New Roman" w:eastAsia="仿宋" w:cs="Times New Roman"/>
                <w:b w:val="0"/>
                <w:bCs/>
                <w:i/>
                <w:color w:val="auto"/>
                <w:spacing w:val="0"/>
                <w:sz w:val="24"/>
                <w:szCs w:val="24"/>
                <w:highlight w:val="none"/>
              </w:rPr>
              <w:t>Accipiter trivirgatus</w:t>
            </w:r>
          </w:p>
          <w:p w14:paraId="7EC148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形态特征：雄性成鸟：前额、头顶、后颈黑褐色，羽基白色，后枕具一簇黑褐色长形冠羽；眼先灰白，须羽黑色，颊、耳羽至颈侧灰褐色，背至尾上覆羽及翅上覆羽暗褐色，尾上覆羽具白色端斑，飞羽和尾羽表面褐色，具黑褐色横斑。颏和喉白，颚纹和中央喉纹黑色；上胸两侧棕褐；胸、腹、胁部及覆腿羽白色，胸部具棕褐色粗纹和黑色羽干纹，腹、两胁和覆腿羽布有棕褐色波形横斑，腹和胁部的横斑较宽且淡；覆腿羽的横斑较窄且色暗；腋羽与胁部同色；翅下覆羽白，散布暗褐色横斑；飞羽和尾羽下面呈现灰白色与黑褐色相间的带斑，尾下覆羽纯白色。两性相似。幼鸟：前额至后颈羽基白色；羽端棕黄，满布黑褐色纵纹；上体余部的褐色较成鸟为浅淡。下体淡棕白，胸部散布黑色纵纹，外缘棕褐色；腹部及覆腿羽和胁部散布淡棕色纵纹和横斑。虹膜金黄色；嘴黑褐，嘴角和蜡膜黄绿色；跗蹠暗黄，爪黑色。</w:t>
            </w:r>
          </w:p>
          <w:p w14:paraId="1DB4DE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生活习性：栖息于热带，亚热带湿性常绿阔叶林中，常见单个活动，有时停歇在大树顶端，有时在空中飞翔。捕食小动物。在云南省分布海拔624</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2000m。</w:t>
            </w:r>
          </w:p>
          <w:p w14:paraId="3016B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资源状况为常见种。国家</w:t>
            </w:r>
            <w:r>
              <w:rPr>
                <w:rFonts w:hint="eastAsia" w:cs="Times New Roman"/>
                <w:color w:val="auto"/>
                <w:spacing w:val="0"/>
                <w:sz w:val="24"/>
                <w:szCs w:val="24"/>
                <w:highlight w:val="none"/>
                <w:lang w:eastAsia="zh-CN"/>
              </w:rPr>
              <w:t>二级</w:t>
            </w:r>
            <w:r>
              <w:rPr>
                <w:rFonts w:hint="default" w:ascii="Times New Roman" w:hAnsi="Times New Roman" w:eastAsia="仿宋" w:cs="Times New Roman"/>
                <w:color w:val="auto"/>
                <w:spacing w:val="0"/>
                <w:sz w:val="24"/>
                <w:szCs w:val="24"/>
                <w:highlight w:val="none"/>
              </w:rPr>
              <w:t>重点保护鸟类。</w:t>
            </w:r>
          </w:p>
          <w:p w14:paraId="557079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pacing w:val="0"/>
                <w:sz w:val="24"/>
                <w:szCs w:val="24"/>
                <w:highlight w:val="none"/>
              </w:rPr>
            </w:pPr>
            <w:r>
              <w:rPr>
                <w:rFonts w:hint="default" w:ascii="Times New Roman" w:hAnsi="Times New Roman" w:eastAsia="仿宋" w:cs="Times New Roman"/>
                <w:b w:val="0"/>
                <w:bCs/>
                <w:color w:val="auto"/>
                <w:spacing w:val="0"/>
                <w:sz w:val="24"/>
                <w:szCs w:val="24"/>
                <w:highlight w:val="none"/>
              </w:rPr>
              <w:t>4）哺乳类</w:t>
            </w:r>
          </w:p>
          <w:p w14:paraId="67B3F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0"/>
                <w:sz w:val="24"/>
                <w:szCs w:val="24"/>
                <w:highlight w:val="none"/>
              </w:rPr>
              <w:t>在评价区分布的19种哺乳动物中，无国家和云南省重点保护野生动物。</w:t>
            </w:r>
          </w:p>
          <w:p w14:paraId="6C76C6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4" w:firstLineChars="200"/>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2"/>
                <w:sz w:val="24"/>
                <w:szCs w:val="24"/>
                <w:highlight w:val="none"/>
              </w:rPr>
              <w:t>（4）脊椎动物资源现状</w:t>
            </w:r>
          </w:p>
          <w:p w14:paraId="2374B0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1）种类少、种群小，无资源优势</w:t>
            </w:r>
          </w:p>
          <w:p w14:paraId="663D67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评价区目前共记载陆栖脊椎动物122种，各个类群均存</w:t>
            </w:r>
            <w:r>
              <w:rPr>
                <w:rFonts w:hint="default" w:ascii="Times New Roman" w:hAnsi="Times New Roman" w:eastAsia="仿宋" w:cs="Times New Roman"/>
                <w:color w:val="auto"/>
                <w:spacing w:val="-1"/>
                <w:sz w:val="24"/>
                <w:szCs w:val="24"/>
                <w:highlight w:val="none"/>
              </w:rPr>
              <w:t>在种群小数量少，难以形成一定的资源规模。所以一旦种群遭到人为的过度捕猎等破坏往往</w:t>
            </w:r>
            <w:r>
              <w:rPr>
                <w:rFonts w:hint="default" w:ascii="Times New Roman" w:hAnsi="Times New Roman" w:eastAsia="仿宋" w:cs="Times New Roman"/>
                <w:color w:val="auto"/>
                <w:spacing w:val="-2"/>
                <w:sz w:val="24"/>
                <w:szCs w:val="24"/>
                <w:highlight w:val="none"/>
              </w:rPr>
              <w:t>难以恢</w:t>
            </w:r>
            <w:r>
              <w:rPr>
                <w:rFonts w:hint="default" w:ascii="Times New Roman" w:hAnsi="Times New Roman" w:eastAsia="仿宋" w:cs="Times New Roman"/>
                <w:color w:val="auto"/>
                <w:spacing w:val="-1"/>
                <w:sz w:val="24"/>
                <w:szCs w:val="24"/>
                <w:highlight w:val="none"/>
              </w:rPr>
              <w:t>复，而一些种类对环境有严格的最适要求，环境一旦稍微变化，均会导致数量急</w:t>
            </w:r>
            <w:r>
              <w:rPr>
                <w:rFonts w:hint="default" w:ascii="Times New Roman" w:hAnsi="Times New Roman" w:eastAsia="仿宋" w:cs="Times New Roman"/>
                <w:color w:val="auto"/>
                <w:spacing w:val="-9"/>
                <w:sz w:val="24"/>
                <w:szCs w:val="24"/>
                <w:highlight w:val="none"/>
              </w:rPr>
              <w:t>剧下降。</w:t>
            </w:r>
          </w:p>
          <w:p w14:paraId="7D3B9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2）小型有害兽类种群数量大</w:t>
            </w:r>
          </w:p>
          <w:p w14:paraId="2A0B9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在评价区周围，小型兽类，尤其是啮齿类活动痕迹十</w:t>
            </w:r>
            <w:r>
              <w:rPr>
                <w:rFonts w:hint="default" w:ascii="Times New Roman" w:hAnsi="Times New Roman" w:eastAsia="仿宋" w:cs="Times New Roman"/>
                <w:color w:val="auto"/>
                <w:spacing w:val="-1"/>
                <w:sz w:val="24"/>
                <w:szCs w:val="24"/>
                <w:highlight w:val="none"/>
              </w:rPr>
              <w:t>分多，而且种类和数量</w:t>
            </w:r>
            <w:r>
              <w:rPr>
                <w:rFonts w:hint="default" w:ascii="Times New Roman" w:hAnsi="Times New Roman" w:eastAsia="仿宋" w:cs="Times New Roman"/>
                <w:color w:val="auto"/>
                <w:spacing w:val="-2"/>
                <w:sz w:val="24"/>
                <w:szCs w:val="24"/>
                <w:highlight w:val="none"/>
              </w:rPr>
              <w:t>均较丰富，这主要与评价区的生境主要以农耕景观为主有关。</w:t>
            </w:r>
          </w:p>
          <w:p w14:paraId="17DA29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3）保护种类和珍稀种类较少</w:t>
            </w:r>
          </w:p>
          <w:p w14:paraId="6BBF1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本次评价范围区域内，鸟类中4种被列为国家</w:t>
            </w:r>
            <w:r>
              <w:rPr>
                <w:rFonts w:hint="eastAsia" w:cs="Times New Roman"/>
                <w:color w:val="auto"/>
                <w:sz w:val="24"/>
                <w:szCs w:val="24"/>
                <w:highlight w:val="none"/>
                <w:lang w:eastAsia="zh-CN"/>
              </w:rPr>
              <w:t>二级</w:t>
            </w:r>
            <w:r>
              <w:rPr>
                <w:rFonts w:hint="default" w:ascii="Times New Roman" w:hAnsi="Times New Roman" w:eastAsia="仿宋" w:cs="Times New Roman"/>
                <w:color w:val="auto"/>
                <w:sz w:val="24"/>
                <w:szCs w:val="24"/>
                <w:highlight w:val="none"/>
              </w:rPr>
              <w:t>重</w:t>
            </w:r>
            <w:r>
              <w:rPr>
                <w:rFonts w:hint="default" w:ascii="Times New Roman" w:hAnsi="Times New Roman" w:eastAsia="仿宋" w:cs="Times New Roman"/>
                <w:color w:val="auto"/>
                <w:spacing w:val="-1"/>
                <w:sz w:val="24"/>
                <w:szCs w:val="24"/>
                <w:highlight w:val="none"/>
              </w:rPr>
              <w:t>点保护动物，但它们已</w:t>
            </w:r>
            <w:r>
              <w:rPr>
                <w:rFonts w:hint="default" w:ascii="Times New Roman" w:hAnsi="Times New Roman" w:eastAsia="仿宋" w:cs="Times New Roman"/>
                <w:color w:val="auto"/>
                <w:spacing w:val="-2"/>
                <w:sz w:val="24"/>
                <w:szCs w:val="24"/>
                <w:highlight w:val="none"/>
              </w:rPr>
              <w:t>主要在评价范围外活动，本次工程评价范围内保护野生动物种类稀少。</w:t>
            </w:r>
          </w:p>
          <w:p w14:paraId="1BE3F3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6"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4）缺乏狭域分布的特有种类</w:t>
            </w:r>
          </w:p>
          <w:p w14:paraId="79D92F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两栖类、爬行类、鸟类和兽类等类群中均无局</w:t>
            </w:r>
            <w:r>
              <w:rPr>
                <w:rFonts w:hint="default" w:ascii="Times New Roman" w:hAnsi="Times New Roman" w:eastAsia="仿宋" w:cs="Times New Roman"/>
                <w:color w:val="auto"/>
                <w:spacing w:val="-1"/>
                <w:sz w:val="24"/>
                <w:szCs w:val="24"/>
                <w:highlight w:val="none"/>
              </w:rPr>
              <w:t>限分布于项目范围区的特有</w:t>
            </w:r>
            <w:r>
              <w:rPr>
                <w:rFonts w:hint="default" w:ascii="Times New Roman" w:hAnsi="Times New Roman" w:eastAsia="仿宋" w:cs="Times New Roman"/>
                <w:color w:val="auto"/>
                <w:spacing w:val="-3"/>
                <w:sz w:val="24"/>
                <w:szCs w:val="24"/>
                <w:highlight w:val="none"/>
              </w:rPr>
              <w:t>属、种。</w:t>
            </w:r>
          </w:p>
          <w:p w14:paraId="58BC8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0" w:firstLineChars="200"/>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3"/>
                <w:sz w:val="24"/>
                <w:szCs w:val="24"/>
                <w:highlight w:val="none"/>
              </w:rPr>
              <w:t>（5）土地利用现状</w:t>
            </w:r>
          </w:p>
          <w:p w14:paraId="3151D9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本次评价在现场调查的基础上，利用3S技术对数据进行几何校正、波段组合、增强处理等预处理后，根据解译判读标志进行人机交互目视判读解译，并根据现场调查结果对解译成果进行修正，以提取评价区域生态环境信息。本工程评价区土地利用类型以</w:t>
            </w:r>
            <w:r>
              <w:rPr>
                <w:rFonts w:hint="default" w:ascii="Times New Roman" w:hAnsi="Times New Roman" w:eastAsia="仿宋" w:cs="Times New Roman"/>
                <w:color w:val="auto"/>
                <w:spacing w:val="0"/>
                <w:sz w:val="24"/>
                <w:szCs w:val="24"/>
                <w:highlight w:val="none"/>
                <w:lang w:val="en-US" w:eastAsia="zh-CN"/>
              </w:rPr>
              <w:t>林地、</w:t>
            </w:r>
            <w:r>
              <w:rPr>
                <w:rFonts w:hint="default" w:ascii="Times New Roman" w:hAnsi="Times New Roman" w:eastAsia="仿宋" w:cs="Times New Roman"/>
                <w:color w:val="auto"/>
                <w:spacing w:val="0"/>
                <w:sz w:val="24"/>
                <w:szCs w:val="24"/>
                <w:highlight w:val="none"/>
              </w:rPr>
              <w:t>草地和耕地为主，本次评价范围内土地利用现状见表</w:t>
            </w:r>
            <w:r>
              <w:rPr>
                <w:rFonts w:hint="eastAsia" w:cs="Times New Roman"/>
                <w:color w:val="auto"/>
                <w:spacing w:val="0"/>
                <w:sz w:val="24"/>
                <w:szCs w:val="24"/>
                <w:highlight w:val="none"/>
                <w:lang w:val="en-US" w:eastAsia="zh-CN"/>
              </w:rPr>
              <w:t>3.2-9</w:t>
            </w:r>
            <w:r>
              <w:rPr>
                <w:rFonts w:hint="default" w:ascii="Times New Roman" w:hAnsi="Times New Roman" w:eastAsia="仿宋"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土地利用现状图见附图</w:t>
            </w:r>
            <w:r>
              <w:rPr>
                <w:rFonts w:hint="default" w:ascii="Times New Roman" w:hAnsi="Times New Roman" w:eastAsia="仿宋" w:cs="Times New Roman"/>
                <w:color w:val="auto"/>
                <w:spacing w:val="0"/>
                <w:sz w:val="24"/>
                <w:szCs w:val="24"/>
                <w:highlight w:val="none"/>
                <w:lang w:val="en-US" w:eastAsia="zh-CN"/>
              </w:rPr>
              <w:t>11</w:t>
            </w:r>
            <w:r>
              <w:rPr>
                <w:rFonts w:hint="default" w:ascii="Times New Roman" w:hAnsi="Times New Roman" w:eastAsia="仿宋" w:cs="Times New Roman"/>
                <w:color w:val="auto"/>
                <w:spacing w:val="0"/>
                <w:sz w:val="24"/>
                <w:szCs w:val="24"/>
                <w:highlight w:val="none"/>
              </w:rPr>
              <w:t>。</w:t>
            </w:r>
          </w:p>
          <w:p w14:paraId="4181ACF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Lines="0" w:afterAutospacing="0" w:line="360" w:lineRule="auto"/>
              <w:ind w:left="0" w:right="0"/>
              <w:jc w:val="center"/>
              <w:textAlignment w:val="auto"/>
              <w:rPr>
                <w:rFonts w:hint="default" w:ascii="Times New Roman" w:hAnsi="Times New Roman" w:eastAsia="仿宋" w:cs="Times New Roman"/>
                <w:b/>
                <w:bCs/>
                <w:color w:val="auto"/>
                <w:spacing w:val="-2"/>
                <w:sz w:val="21"/>
                <w:szCs w:val="21"/>
                <w:highlight w:val="none"/>
                <w:lang w:val="en-US" w:eastAsia="zh-CN"/>
              </w:rPr>
            </w:pPr>
            <w:r>
              <w:rPr>
                <w:rFonts w:hint="default" w:ascii="Times New Roman" w:hAnsi="Times New Roman" w:eastAsia="仿宋" w:cs="Times New Roman"/>
                <w:b/>
                <w:bCs/>
                <w:color w:val="auto"/>
                <w:spacing w:val="-2"/>
                <w:sz w:val="21"/>
                <w:szCs w:val="21"/>
                <w:highlight w:val="none"/>
              </w:rPr>
              <w:t>表</w:t>
            </w:r>
            <w:r>
              <w:rPr>
                <w:rFonts w:hint="eastAsia" w:cs="Times New Roman"/>
                <w:b/>
                <w:bCs/>
                <w:color w:val="auto"/>
                <w:spacing w:val="-2"/>
                <w:sz w:val="21"/>
                <w:szCs w:val="21"/>
                <w:highlight w:val="none"/>
                <w:lang w:val="en-US" w:eastAsia="zh-CN"/>
              </w:rPr>
              <w:t xml:space="preserve">3.2-9 </w:t>
            </w:r>
            <w:r>
              <w:rPr>
                <w:rFonts w:hint="default" w:ascii="Times New Roman" w:hAnsi="Times New Roman" w:eastAsia="仿宋" w:cs="Times New Roman"/>
                <w:b/>
                <w:bCs/>
                <w:color w:val="auto"/>
                <w:spacing w:val="-2"/>
                <w:sz w:val="21"/>
                <w:szCs w:val="21"/>
                <w:highlight w:val="none"/>
              </w:rPr>
              <w:t>工程评价区土地利用现状及占比情况</w:t>
            </w:r>
          </w:p>
          <w:tbl>
            <w:tblPr>
              <w:tblStyle w:val="17"/>
              <w:tblW w:w="484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27"/>
              <w:gridCol w:w="2962"/>
              <w:gridCol w:w="2010"/>
            </w:tblGrid>
            <w:tr w14:paraId="44A55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6ED9FB54">
                  <w:pPr>
                    <w:keepNext w:val="0"/>
                    <w:keepLines w:val="0"/>
                    <w:pageBreakBefore w:val="0"/>
                    <w:widowControl w:val="0"/>
                    <w:kinsoku/>
                    <w:wordWrap/>
                    <w:overflowPunct/>
                    <w:topLinePunct w:val="0"/>
                    <w:autoSpaceDE/>
                    <w:autoSpaceDN/>
                    <w:bidi w:val="0"/>
                    <w:adjustRightInd/>
                    <w:snapToGrid/>
                    <w:spacing w:before="34"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0"/>
                      <w:sz w:val="21"/>
                      <w:szCs w:val="21"/>
                      <w:highlight w:val="none"/>
                    </w:rPr>
                    <w:t>占地类型</w:t>
                  </w:r>
                </w:p>
              </w:tc>
              <w:tc>
                <w:tcPr>
                  <w:tcW w:w="2962" w:type="dxa"/>
                  <w:vAlign w:val="center"/>
                </w:tcPr>
                <w:p w14:paraId="3A20D4C5">
                  <w:pPr>
                    <w:keepNext w:val="0"/>
                    <w:keepLines w:val="0"/>
                    <w:pageBreakBefore w:val="0"/>
                    <w:widowControl w:val="0"/>
                    <w:kinsoku/>
                    <w:wordWrap/>
                    <w:overflowPunct/>
                    <w:topLinePunct w:val="0"/>
                    <w:autoSpaceDE/>
                    <w:autoSpaceDN/>
                    <w:bidi w:val="0"/>
                    <w:adjustRightInd/>
                    <w:snapToGrid/>
                    <w:spacing w:before="34" w:line="240" w:lineRule="auto"/>
                    <w:ind w:lef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面积（hm</w:t>
                  </w:r>
                  <w:r>
                    <w:rPr>
                      <w:rFonts w:hint="default" w:ascii="Times New Roman" w:hAnsi="Times New Roman" w:eastAsia="仿宋" w:cs="Times New Roman"/>
                      <w:color w:val="auto"/>
                      <w:spacing w:val="-1"/>
                      <w:sz w:val="21"/>
                      <w:szCs w:val="21"/>
                      <w:highlight w:val="none"/>
                      <w:vertAlign w:val="superscript"/>
                      <w:lang w:val="en-US" w:eastAsia="zh-CN"/>
                    </w:rPr>
                    <w:t>2</w:t>
                  </w:r>
                  <w:r>
                    <w:rPr>
                      <w:rFonts w:hint="default" w:ascii="Times New Roman" w:hAnsi="Times New Roman" w:eastAsia="仿宋" w:cs="Times New Roman"/>
                      <w:color w:val="auto"/>
                      <w:spacing w:val="-1"/>
                      <w:sz w:val="21"/>
                      <w:szCs w:val="21"/>
                      <w:highlight w:val="none"/>
                    </w:rPr>
                    <w:t>）</w:t>
                  </w:r>
                </w:p>
              </w:tc>
              <w:tc>
                <w:tcPr>
                  <w:tcW w:w="2010" w:type="dxa"/>
                  <w:vAlign w:val="center"/>
                </w:tcPr>
                <w:p w14:paraId="788F59C0">
                  <w:pPr>
                    <w:keepNext w:val="0"/>
                    <w:keepLines w:val="0"/>
                    <w:pageBreakBefore w:val="0"/>
                    <w:widowControl w:val="0"/>
                    <w:kinsoku/>
                    <w:wordWrap/>
                    <w:overflowPunct/>
                    <w:topLinePunct w:val="0"/>
                    <w:autoSpaceDE/>
                    <w:autoSpaceDN/>
                    <w:bidi w:val="0"/>
                    <w:adjustRightInd/>
                    <w:snapToGrid/>
                    <w:spacing w:before="34" w:line="240" w:lineRule="auto"/>
                    <w:ind w:lef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pacing w:val="-11"/>
                      <w:sz w:val="21"/>
                      <w:szCs w:val="21"/>
                      <w:highlight w:val="none"/>
                    </w:rPr>
                    <w:t>占比</w:t>
                  </w:r>
                  <w:r>
                    <w:rPr>
                      <w:rFonts w:hint="default" w:ascii="Times New Roman" w:hAnsi="Times New Roman" w:eastAsia="仿宋" w:cs="Times New Roman"/>
                      <w:color w:val="auto"/>
                      <w:spacing w:val="-11"/>
                      <w:sz w:val="21"/>
                      <w:szCs w:val="21"/>
                      <w:highlight w:val="none"/>
                      <w:lang w:eastAsia="zh-CN"/>
                    </w:rPr>
                    <w:t>（</w:t>
                  </w:r>
                  <w:r>
                    <w:rPr>
                      <w:rFonts w:hint="default" w:ascii="Times New Roman" w:hAnsi="Times New Roman" w:eastAsia="仿宋" w:cs="Times New Roman"/>
                      <w:color w:val="auto"/>
                      <w:spacing w:val="-11"/>
                      <w:sz w:val="21"/>
                      <w:szCs w:val="21"/>
                      <w:highlight w:val="none"/>
                      <w:lang w:val="en-US" w:eastAsia="zh-CN"/>
                    </w:rPr>
                    <w:t>%</w:t>
                  </w:r>
                  <w:r>
                    <w:rPr>
                      <w:rFonts w:hint="default" w:ascii="Times New Roman" w:hAnsi="Times New Roman" w:eastAsia="仿宋" w:cs="Times New Roman"/>
                      <w:color w:val="auto"/>
                      <w:spacing w:val="-11"/>
                      <w:sz w:val="21"/>
                      <w:szCs w:val="21"/>
                      <w:highlight w:val="none"/>
                      <w:lang w:eastAsia="zh-CN"/>
                    </w:rPr>
                    <w:t>）</w:t>
                  </w:r>
                </w:p>
              </w:tc>
            </w:tr>
            <w:tr w14:paraId="1A131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2627" w:type="dxa"/>
                  <w:vAlign w:val="center"/>
                </w:tcPr>
                <w:p w14:paraId="6B6B73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草地</w:t>
                  </w:r>
                </w:p>
              </w:tc>
              <w:tc>
                <w:tcPr>
                  <w:tcW w:w="2962" w:type="dxa"/>
                  <w:vAlign w:val="center"/>
                </w:tcPr>
                <w:p w14:paraId="495BC3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i w:val="0"/>
                      <w:iCs w:val="0"/>
                      <w:color w:val="auto"/>
                      <w:kern w:val="0"/>
                      <w:sz w:val="21"/>
                      <w:szCs w:val="21"/>
                      <w:highlight w:val="none"/>
                      <w:u w:val="none"/>
                      <w:lang w:val="en-US" w:eastAsia="zh-CN" w:bidi="ar"/>
                    </w:rPr>
                    <w:t>810.01</w:t>
                  </w:r>
                </w:p>
              </w:tc>
              <w:tc>
                <w:tcPr>
                  <w:tcW w:w="2010" w:type="dxa"/>
                  <w:vAlign w:val="center"/>
                </w:tcPr>
                <w:p w14:paraId="36A688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18.92</w:t>
                  </w:r>
                </w:p>
              </w:tc>
            </w:tr>
            <w:tr w14:paraId="5C1B4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627" w:type="dxa"/>
                  <w:vAlign w:val="center"/>
                </w:tcPr>
                <w:p w14:paraId="4F99C6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工矿用地</w:t>
                  </w:r>
                </w:p>
              </w:tc>
              <w:tc>
                <w:tcPr>
                  <w:tcW w:w="2962" w:type="dxa"/>
                  <w:vAlign w:val="center"/>
                </w:tcPr>
                <w:p w14:paraId="370BD1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2.18</w:t>
                  </w:r>
                </w:p>
              </w:tc>
              <w:tc>
                <w:tcPr>
                  <w:tcW w:w="2010" w:type="dxa"/>
                  <w:vAlign w:val="center"/>
                </w:tcPr>
                <w:p w14:paraId="4E44B1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0.05</w:t>
                  </w:r>
                </w:p>
              </w:tc>
            </w:tr>
            <w:tr w14:paraId="0FF55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627" w:type="dxa"/>
                  <w:vAlign w:val="center"/>
                </w:tcPr>
                <w:p w14:paraId="5A898C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灌木林地</w:t>
                  </w:r>
                </w:p>
              </w:tc>
              <w:tc>
                <w:tcPr>
                  <w:tcW w:w="2962" w:type="dxa"/>
                  <w:vAlign w:val="center"/>
                </w:tcPr>
                <w:p w14:paraId="534A46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623.39</w:t>
                  </w:r>
                </w:p>
              </w:tc>
              <w:tc>
                <w:tcPr>
                  <w:tcW w:w="2010" w:type="dxa"/>
                  <w:vAlign w:val="center"/>
                </w:tcPr>
                <w:p w14:paraId="1B20B2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14.56</w:t>
                  </w:r>
                </w:p>
              </w:tc>
            </w:tr>
            <w:tr w14:paraId="1B402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2627" w:type="dxa"/>
                  <w:vAlign w:val="center"/>
                </w:tcPr>
                <w:p w14:paraId="7C4566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旱地</w:t>
                  </w:r>
                </w:p>
              </w:tc>
              <w:tc>
                <w:tcPr>
                  <w:tcW w:w="2962" w:type="dxa"/>
                  <w:vAlign w:val="center"/>
                </w:tcPr>
                <w:p w14:paraId="54BC47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1293.61</w:t>
                  </w:r>
                </w:p>
              </w:tc>
              <w:tc>
                <w:tcPr>
                  <w:tcW w:w="2010" w:type="dxa"/>
                  <w:vAlign w:val="center"/>
                </w:tcPr>
                <w:p w14:paraId="28B68F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30.22</w:t>
                  </w:r>
                </w:p>
              </w:tc>
            </w:tr>
            <w:tr w14:paraId="3A108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627" w:type="dxa"/>
                  <w:vAlign w:val="center"/>
                </w:tcPr>
                <w:p w14:paraId="197471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建设用地</w:t>
                  </w:r>
                </w:p>
              </w:tc>
              <w:tc>
                <w:tcPr>
                  <w:tcW w:w="2962" w:type="dxa"/>
                  <w:vAlign w:val="center"/>
                </w:tcPr>
                <w:p w14:paraId="59E9D7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53.30</w:t>
                  </w:r>
                </w:p>
              </w:tc>
              <w:tc>
                <w:tcPr>
                  <w:tcW w:w="2010" w:type="dxa"/>
                  <w:vAlign w:val="center"/>
                </w:tcPr>
                <w:p w14:paraId="39FD7C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i w:val="0"/>
                      <w:iCs w:val="0"/>
                      <w:color w:val="auto"/>
                      <w:kern w:val="0"/>
                      <w:sz w:val="21"/>
                      <w:szCs w:val="21"/>
                      <w:highlight w:val="none"/>
                      <w:u w:val="none"/>
                      <w:lang w:val="en-US" w:eastAsia="zh-CN" w:bidi="ar"/>
                    </w:rPr>
                    <w:t>1.25</w:t>
                  </w:r>
                </w:p>
              </w:tc>
            </w:tr>
            <w:tr w14:paraId="1840D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627" w:type="dxa"/>
                  <w:vAlign w:val="center"/>
                </w:tcPr>
                <w:p w14:paraId="6BAFD0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交通运输用地</w:t>
                  </w:r>
                </w:p>
              </w:tc>
              <w:tc>
                <w:tcPr>
                  <w:tcW w:w="2962" w:type="dxa"/>
                  <w:vAlign w:val="center"/>
                </w:tcPr>
                <w:p w14:paraId="1CA622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5"/>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35.84</w:t>
                  </w:r>
                </w:p>
              </w:tc>
              <w:tc>
                <w:tcPr>
                  <w:tcW w:w="2010" w:type="dxa"/>
                  <w:vAlign w:val="center"/>
                </w:tcPr>
                <w:p w14:paraId="01C94E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0.84</w:t>
                  </w:r>
                </w:p>
              </w:tc>
            </w:tr>
            <w:tr w14:paraId="3AC8C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2649FC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其他林地</w:t>
                  </w:r>
                </w:p>
              </w:tc>
              <w:tc>
                <w:tcPr>
                  <w:tcW w:w="2962" w:type="dxa"/>
                  <w:vAlign w:val="center"/>
                </w:tcPr>
                <w:p w14:paraId="2265FF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21.66</w:t>
                  </w:r>
                </w:p>
              </w:tc>
              <w:tc>
                <w:tcPr>
                  <w:tcW w:w="2010" w:type="dxa"/>
                  <w:vAlign w:val="center"/>
                </w:tcPr>
                <w:p w14:paraId="77990F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0.51</w:t>
                  </w:r>
                </w:p>
              </w:tc>
            </w:tr>
            <w:tr w14:paraId="70038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2B0AAA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其他土地</w:t>
                  </w:r>
                </w:p>
              </w:tc>
              <w:tc>
                <w:tcPr>
                  <w:tcW w:w="2962" w:type="dxa"/>
                  <w:vAlign w:val="center"/>
                </w:tcPr>
                <w:p w14:paraId="2A9C7F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21.72</w:t>
                  </w:r>
                </w:p>
              </w:tc>
              <w:tc>
                <w:tcPr>
                  <w:tcW w:w="2010" w:type="dxa"/>
                  <w:vAlign w:val="center"/>
                </w:tcPr>
                <w:p w14:paraId="3E43EF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3"/>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0.51</w:t>
                  </w:r>
                </w:p>
              </w:tc>
            </w:tr>
            <w:tr w14:paraId="613CE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67C138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乔木林地</w:t>
                  </w:r>
                </w:p>
              </w:tc>
              <w:tc>
                <w:tcPr>
                  <w:tcW w:w="2962" w:type="dxa"/>
                  <w:vAlign w:val="center"/>
                </w:tcPr>
                <w:p w14:paraId="62309A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1280.47</w:t>
                  </w:r>
                </w:p>
              </w:tc>
              <w:tc>
                <w:tcPr>
                  <w:tcW w:w="2010" w:type="dxa"/>
                  <w:vAlign w:val="center"/>
                </w:tcPr>
                <w:p w14:paraId="002686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3"/>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29.91</w:t>
                  </w:r>
                </w:p>
              </w:tc>
            </w:tr>
            <w:tr w14:paraId="17B1F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32BB28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水田</w:t>
                  </w:r>
                </w:p>
              </w:tc>
              <w:tc>
                <w:tcPr>
                  <w:tcW w:w="2962" w:type="dxa"/>
                  <w:vAlign w:val="center"/>
                </w:tcPr>
                <w:p w14:paraId="75DFD0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12.19</w:t>
                  </w:r>
                </w:p>
              </w:tc>
              <w:tc>
                <w:tcPr>
                  <w:tcW w:w="2010" w:type="dxa"/>
                  <w:vAlign w:val="center"/>
                </w:tcPr>
                <w:p w14:paraId="76EA6A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3"/>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0.28</w:t>
                  </w:r>
                </w:p>
              </w:tc>
            </w:tr>
            <w:tr w14:paraId="3CA9D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6EC024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水域及水利设施用地</w:t>
                  </w:r>
                </w:p>
              </w:tc>
              <w:tc>
                <w:tcPr>
                  <w:tcW w:w="2962" w:type="dxa"/>
                  <w:vAlign w:val="center"/>
                </w:tcPr>
                <w:p w14:paraId="7FDF81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16.60</w:t>
                  </w:r>
                </w:p>
              </w:tc>
              <w:tc>
                <w:tcPr>
                  <w:tcW w:w="2010" w:type="dxa"/>
                  <w:vAlign w:val="center"/>
                </w:tcPr>
                <w:p w14:paraId="25CE2E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3"/>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0.39</w:t>
                  </w:r>
                </w:p>
              </w:tc>
            </w:tr>
            <w:tr w14:paraId="381A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6C344B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园地</w:t>
                  </w:r>
                </w:p>
              </w:tc>
              <w:tc>
                <w:tcPr>
                  <w:tcW w:w="2962" w:type="dxa"/>
                  <w:vAlign w:val="center"/>
                </w:tcPr>
                <w:p w14:paraId="09C9C6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108.94</w:t>
                  </w:r>
                </w:p>
              </w:tc>
              <w:tc>
                <w:tcPr>
                  <w:tcW w:w="2010" w:type="dxa"/>
                  <w:vAlign w:val="center"/>
                </w:tcPr>
                <w:p w14:paraId="77273D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3"/>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2.54</w:t>
                  </w:r>
                </w:p>
              </w:tc>
            </w:tr>
            <w:tr w14:paraId="51209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jc w:val="center"/>
              </w:trPr>
              <w:tc>
                <w:tcPr>
                  <w:tcW w:w="2627" w:type="dxa"/>
                  <w:vAlign w:val="center"/>
                </w:tcPr>
                <w:p w14:paraId="6997BD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竹林地</w:t>
                  </w:r>
                </w:p>
              </w:tc>
              <w:tc>
                <w:tcPr>
                  <w:tcW w:w="2962" w:type="dxa"/>
                  <w:vAlign w:val="center"/>
                </w:tcPr>
                <w:p w14:paraId="7FF309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1.19</w:t>
                  </w:r>
                </w:p>
              </w:tc>
              <w:tc>
                <w:tcPr>
                  <w:tcW w:w="2010" w:type="dxa"/>
                  <w:vAlign w:val="center"/>
                </w:tcPr>
                <w:p w14:paraId="2529D1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仿宋" w:cs="Times New Roman"/>
                      <w:color w:val="auto"/>
                      <w:spacing w:val="-3"/>
                      <w:sz w:val="21"/>
                      <w:szCs w:val="21"/>
                      <w:highlight w:val="none"/>
                    </w:rPr>
                  </w:pPr>
                  <w:r>
                    <w:rPr>
                      <w:rFonts w:hint="default" w:ascii="Times New Roman" w:hAnsi="Times New Roman" w:eastAsia="仿宋" w:cs="Times New Roman"/>
                      <w:i w:val="0"/>
                      <w:iCs w:val="0"/>
                      <w:color w:val="auto"/>
                      <w:kern w:val="0"/>
                      <w:sz w:val="21"/>
                      <w:szCs w:val="21"/>
                      <w:highlight w:val="none"/>
                      <w:u w:val="none"/>
                      <w:lang w:val="en-US" w:eastAsia="zh-CN" w:bidi="ar"/>
                    </w:rPr>
                    <w:t>0.03</w:t>
                  </w:r>
                </w:p>
              </w:tc>
            </w:tr>
            <w:tr w14:paraId="76BEC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627" w:type="dxa"/>
                  <w:vAlign w:val="center"/>
                </w:tcPr>
                <w:p w14:paraId="55F8E57F">
                  <w:pPr>
                    <w:keepNext w:val="0"/>
                    <w:keepLines w:val="0"/>
                    <w:pageBreakBefore w:val="0"/>
                    <w:widowControl w:val="0"/>
                    <w:kinsoku/>
                    <w:wordWrap/>
                    <w:overflowPunct/>
                    <w:topLinePunct w:val="0"/>
                    <w:autoSpaceDE/>
                    <w:autoSpaceDN/>
                    <w:bidi w:val="0"/>
                    <w:adjustRightInd/>
                    <w:snapToGrid/>
                    <w:spacing w:before="34" w:line="240" w:lineRule="auto"/>
                    <w:ind w:lef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合计</w:t>
                  </w:r>
                </w:p>
              </w:tc>
              <w:tc>
                <w:tcPr>
                  <w:tcW w:w="2962" w:type="dxa"/>
                  <w:vAlign w:val="center"/>
                </w:tcPr>
                <w:p w14:paraId="4943B652">
                  <w:pPr>
                    <w:keepNext w:val="0"/>
                    <w:keepLines w:val="0"/>
                    <w:pageBreakBefore w:val="0"/>
                    <w:widowControl w:val="0"/>
                    <w:kinsoku/>
                    <w:wordWrap/>
                    <w:overflowPunct/>
                    <w:topLinePunct w:val="0"/>
                    <w:autoSpaceDE/>
                    <w:autoSpaceDN/>
                    <w:bidi w:val="0"/>
                    <w:adjustRightInd/>
                    <w:snapToGrid/>
                    <w:spacing w:before="60" w:line="240" w:lineRule="auto"/>
                    <w:ind w:left="0" w:firstLine="0" w:firstLineChars="0"/>
                    <w:jc w:val="center"/>
                    <w:textAlignment w:val="auto"/>
                    <w:rPr>
                      <w:rFonts w:hint="default" w:ascii="Times New Roman" w:hAnsi="Times New Roman" w:eastAsia="仿宋" w:cs="Times New Roman"/>
                      <w:color w:val="auto"/>
                      <w:spacing w:val="-1"/>
                      <w:sz w:val="21"/>
                      <w:szCs w:val="21"/>
                      <w:highlight w:val="none"/>
                      <w:lang w:val="en-US" w:eastAsia="zh-CN"/>
                    </w:rPr>
                  </w:pPr>
                  <w:r>
                    <w:rPr>
                      <w:rFonts w:hint="default" w:ascii="Times New Roman" w:hAnsi="Times New Roman" w:eastAsia="仿宋" w:cs="Times New Roman"/>
                      <w:color w:val="auto"/>
                      <w:spacing w:val="-1"/>
                      <w:sz w:val="21"/>
                      <w:szCs w:val="21"/>
                      <w:highlight w:val="none"/>
                      <w:lang w:val="en-US" w:eastAsia="zh-CN"/>
                    </w:rPr>
                    <w:t>4281.10</w:t>
                  </w:r>
                </w:p>
              </w:tc>
              <w:tc>
                <w:tcPr>
                  <w:tcW w:w="2010" w:type="dxa"/>
                  <w:vAlign w:val="center"/>
                </w:tcPr>
                <w:p w14:paraId="1E9DA3CE">
                  <w:pPr>
                    <w:keepNext w:val="0"/>
                    <w:keepLines w:val="0"/>
                    <w:pageBreakBefore w:val="0"/>
                    <w:widowControl w:val="0"/>
                    <w:kinsoku/>
                    <w:wordWrap/>
                    <w:overflowPunct/>
                    <w:topLinePunct w:val="0"/>
                    <w:autoSpaceDE/>
                    <w:autoSpaceDN/>
                    <w:bidi w:val="0"/>
                    <w:adjustRightInd/>
                    <w:snapToGrid/>
                    <w:spacing w:before="62" w:line="240" w:lineRule="auto"/>
                    <w:ind w:left="0" w:firstLine="0" w:firstLineChars="0"/>
                    <w:jc w:val="center"/>
                    <w:textAlignment w:val="auto"/>
                    <w:rPr>
                      <w:rFonts w:hint="default" w:ascii="Times New Roman" w:hAnsi="Times New Roman" w:eastAsia="仿宋" w:cs="Times New Roman"/>
                      <w:color w:val="auto"/>
                      <w:spacing w:val="-3"/>
                      <w:sz w:val="21"/>
                      <w:szCs w:val="21"/>
                      <w:highlight w:val="none"/>
                      <w:lang w:val="en-US" w:eastAsia="zh-CN"/>
                    </w:rPr>
                  </w:pPr>
                  <w:r>
                    <w:rPr>
                      <w:rFonts w:hint="default" w:ascii="Times New Roman" w:hAnsi="Times New Roman" w:eastAsia="仿宋" w:cs="Times New Roman"/>
                      <w:color w:val="auto"/>
                      <w:spacing w:val="-3"/>
                      <w:sz w:val="21"/>
                      <w:szCs w:val="21"/>
                      <w:highlight w:val="none"/>
                      <w:lang w:val="en-US" w:eastAsia="zh-CN"/>
                    </w:rPr>
                    <w:t>100</w:t>
                  </w:r>
                </w:p>
              </w:tc>
            </w:tr>
          </w:tbl>
          <w:p w14:paraId="2F55341C">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3.3 </w:t>
            </w:r>
            <w:r>
              <w:rPr>
                <w:rFonts w:hint="default" w:ascii="Times New Roman" w:hAnsi="Times New Roman" w:eastAsia="仿宋" w:cs="Times New Roman"/>
                <w:b/>
                <w:bCs/>
                <w:color w:val="auto"/>
                <w:sz w:val="24"/>
                <w:szCs w:val="24"/>
                <w:highlight w:val="none"/>
                <w:lang w:val="en-US" w:eastAsia="zh-CN"/>
              </w:rPr>
              <w:t>环境质量现状</w:t>
            </w:r>
          </w:p>
          <w:p w14:paraId="7E2D0EBA">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 xml:space="preserve">3.3.1 </w:t>
            </w:r>
            <w:r>
              <w:rPr>
                <w:rFonts w:hint="default" w:ascii="Times New Roman" w:hAnsi="Times New Roman" w:eastAsia="仿宋" w:cs="Times New Roman"/>
                <w:b/>
                <w:color w:val="auto"/>
                <w:sz w:val="24"/>
                <w:szCs w:val="24"/>
                <w:highlight w:val="none"/>
              </w:rPr>
              <w:t>环境</w:t>
            </w:r>
            <w:r>
              <w:rPr>
                <w:rFonts w:hint="default" w:ascii="Times New Roman" w:hAnsi="Times New Roman" w:eastAsia="仿宋" w:cs="Times New Roman"/>
                <w:b/>
                <w:color w:val="auto"/>
                <w:sz w:val="24"/>
                <w:szCs w:val="24"/>
                <w:highlight w:val="none"/>
                <w:lang w:val="en-US" w:eastAsia="zh-CN"/>
              </w:rPr>
              <w:t>空气</w:t>
            </w:r>
            <w:r>
              <w:rPr>
                <w:rFonts w:hint="default" w:ascii="Times New Roman" w:hAnsi="Times New Roman" w:eastAsia="仿宋" w:cs="Times New Roman"/>
                <w:b/>
                <w:color w:val="auto"/>
                <w:sz w:val="24"/>
                <w:szCs w:val="24"/>
                <w:highlight w:val="none"/>
              </w:rPr>
              <w:t>质量现状</w:t>
            </w:r>
          </w:p>
          <w:p w14:paraId="78FDB33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rPr>
            </w:pPr>
            <w:r>
              <w:rPr>
                <w:rFonts w:hint="default" w:ascii="Times New Roman" w:hAnsi="Times New Roman" w:eastAsia="仿宋" w:cs="Times New Roman"/>
                <w:b w:val="0"/>
                <w:bCs/>
                <w:color w:val="auto"/>
                <w:sz w:val="24"/>
                <w:szCs w:val="24"/>
                <w:highlight w:val="none"/>
              </w:rPr>
              <w:t>项目位于曲靖市会泽县，根据环境空气质量功能区划分原则</w:t>
            </w:r>
            <w:r>
              <w:rPr>
                <w:rFonts w:hint="default" w:ascii="Times New Roman" w:hAnsi="Times New Roman" w:eastAsia="仿宋" w:cs="Times New Roman"/>
                <w:b w:val="0"/>
                <w:bCs/>
                <w:color w:val="auto"/>
                <w:sz w:val="24"/>
                <w:szCs w:val="24"/>
                <w:highlight w:val="none"/>
                <w:lang w:eastAsia="zh-CN"/>
              </w:rPr>
              <w:t>，</w:t>
            </w:r>
            <w:r>
              <w:rPr>
                <w:rFonts w:hint="default" w:ascii="Times New Roman" w:hAnsi="Times New Roman" w:eastAsia="仿宋" w:cs="Times New Roman"/>
                <w:b w:val="0"/>
                <w:bCs/>
                <w:color w:val="auto"/>
                <w:sz w:val="24"/>
                <w:szCs w:val="24"/>
                <w:highlight w:val="none"/>
              </w:rPr>
              <w:t>属于</w:t>
            </w:r>
            <w:r>
              <w:rPr>
                <w:rFonts w:hint="default" w:ascii="Times New Roman" w:hAnsi="Times New Roman" w:eastAsia="仿宋" w:cs="Times New Roman"/>
                <w:b w:val="0"/>
                <w:bCs/>
                <w:color w:val="auto"/>
                <w:sz w:val="24"/>
                <w:szCs w:val="24"/>
                <w:highlight w:val="none"/>
                <w:lang w:val="en-US" w:eastAsia="zh-CN"/>
              </w:rPr>
              <w:t>环境空气质量二类区</w:t>
            </w:r>
            <w:r>
              <w:rPr>
                <w:rFonts w:hint="default" w:ascii="Times New Roman" w:hAnsi="Times New Roman" w:eastAsia="仿宋" w:cs="Times New Roman"/>
                <w:b w:val="0"/>
                <w:bCs/>
                <w:color w:val="auto"/>
                <w:sz w:val="24"/>
                <w:szCs w:val="24"/>
                <w:highlight w:val="none"/>
              </w:rPr>
              <w:t>，执行《环境空气质量标准》（GB3095-20</w:t>
            </w:r>
            <w:r>
              <w:rPr>
                <w:rFonts w:hint="default" w:ascii="Times New Roman" w:hAnsi="Times New Roman" w:eastAsia="仿宋" w:cs="Times New Roman"/>
                <w:b w:val="0"/>
                <w:bCs/>
                <w:color w:val="auto"/>
                <w:sz w:val="24"/>
                <w:szCs w:val="24"/>
                <w:highlight w:val="none"/>
                <w:lang w:val="en-US" w:eastAsia="zh-CN"/>
              </w:rPr>
              <w:t>26</w:t>
            </w:r>
            <w:r>
              <w:rPr>
                <w:rFonts w:hint="default" w:ascii="Times New Roman" w:hAnsi="Times New Roman" w:eastAsia="仿宋" w:cs="Times New Roman"/>
                <w:b w:val="0"/>
                <w:bCs/>
                <w:color w:val="auto"/>
                <w:sz w:val="24"/>
                <w:szCs w:val="24"/>
                <w:highlight w:val="none"/>
              </w:rPr>
              <w:t>）中的</w:t>
            </w:r>
            <w:r>
              <w:rPr>
                <w:rFonts w:hint="eastAsia" w:cs="Times New Roman"/>
                <w:b w:val="0"/>
                <w:bCs/>
                <w:color w:val="auto"/>
                <w:sz w:val="24"/>
                <w:szCs w:val="24"/>
                <w:highlight w:val="none"/>
                <w:lang w:val="en-US" w:eastAsia="zh-CN"/>
              </w:rPr>
              <w:t>过渡阶段浓度限值</w:t>
            </w:r>
            <w:r>
              <w:rPr>
                <w:rFonts w:hint="default" w:ascii="Times New Roman" w:hAnsi="Times New Roman" w:eastAsia="仿宋" w:cs="Times New Roman"/>
                <w:b w:val="0"/>
                <w:bCs/>
                <w:color w:val="auto"/>
                <w:sz w:val="24"/>
                <w:szCs w:val="24"/>
                <w:highlight w:val="none"/>
              </w:rPr>
              <w:t>二级标准。</w:t>
            </w:r>
          </w:p>
          <w:p w14:paraId="11A5445B">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rPr>
            </w:pPr>
            <w:r>
              <w:rPr>
                <w:rFonts w:hint="default" w:ascii="Times New Roman" w:hAnsi="Times New Roman" w:eastAsia="仿宋" w:cs="Times New Roman"/>
                <w:b w:val="0"/>
                <w:bCs/>
                <w:color w:val="auto"/>
                <w:sz w:val="24"/>
                <w:szCs w:val="24"/>
                <w:highlight w:val="none"/>
              </w:rPr>
              <w:t>根据云南省生态环境厅驻曲靖市生态环境监测站于2025年2月21日公布的《2024年曲靖市环境质量年报》：2024年曲靖市中心城区环境空气中SO2、NO2、PM10、PM2.5浓度年均值，CO日均浓度第95百分位数，O3日最大8小时平均第90百分位数浓度均达到《环境空气质量标准》（GB3095-2026）中的过渡阶段浓度限值二级，项目所在区域为环境空气质量达标区。</w:t>
            </w:r>
          </w:p>
          <w:p w14:paraId="61019641">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rPr>
            </w:pPr>
            <w:r>
              <w:rPr>
                <w:rFonts w:hint="default" w:ascii="Times New Roman" w:hAnsi="Times New Roman" w:eastAsia="仿宋" w:cs="Times New Roman"/>
                <w:b w:val="0"/>
                <w:bCs/>
                <w:color w:val="auto"/>
                <w:sz w:val="24"/>
                <w:szCs w:val="24"/>
                <w:highlight w:val="none"/>
              </w:rPr>
              <w:t>2024年会泽县城环境空气自动监测实际监测天数366天，有效监测天数364天，环境空气自动监测数据结果表明：本年度优良364天，优良率100%，优265天，良99天，未出现轻度污染，环境空气质量综合指数2.36。</w:t>
            </w:r>
          </w:p>
          <w:p w14:paraId="7D3AEB6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Lines="0" w:afterAutospacing="0" w:line="214" w:lineRule="auto"/>
              <w:ind w:left="0" w:right="0"/>
              <w:jc w:val="center"/>
              <w:textAlignment w:val="auto"/>
              <w:rPr>
                <w:rFonts w:hint="default" w:ascii="Times New Roman" w:hAnsi="Times New Roman" w:eastAsia="仿宋" w:cs="Times New Roman"/>
                <w:b/>
                <w:bCs/>
                <w:color w:val="auto"/>
                <w:spacing w:val="-2"/>
                <w:sz w:val="21"/>
                <w:szCs w:val="21"/>
                <w:highlight w:val="none"/>
              </w:rPr>
            </w:pPr>
            <w:r>
              <w:rPr>
                <w:rFonts w:hint="default" w:ascii="Times New Roman" w:hAnsi="Times New Roman" w:eastAsia="仿宋" w:cs="Times New Roman"/>
                <w:b/>
                <w:bCs/>
                <w:color w:val="auto"/>
                <w:spacing w:val="-2"/>
                <w:sz w:val="21"/>
                <w:szCs w:val="21"/>
                <w:highlight w:val="none"/>
              </w:rPr>
              <w:t>表</w:t>
            </w:r>
            <w:r>
              <w:rPr>
                <w:rFonts w:hint="eastAsia" w:cs="Times New Roman"/>
                <w:b/>
                <w:bCs/>
                <w:color w:val="auto"/>
                <w:spacing w:val="-2"/>
                <w:sz w:val="21"/>
                <w:szCs w:val="21"/>
                <w:highlight w:val="none"/>
                <w:lang w:val="en-US" w:eastAsia="zh-CN"/>
              </w:rPr>
              <w:t xml:space="preserve">3.3-1 </w:t>
            </w:r>
            <w:r>
              <w:rPr>
                <w:rFonts w:hint="default" w:ascii="Times New Roman" w:hAnsi="Times New Roman" w:eastAsia="仿宋" w:cs="Times New Roman"/>
                <w:b/>
                <w:bCs/>
                <w:color w:val="auto"/>
                <w:spacing w:val="-2"/>
                <w:sz w:val="21"/>
                <w:szCs w:val="21"/>
                <w:highlight w:val="none"/>
              </w:rPr>
              <w:t>会泽县城2024年环境空气现状评价一览表</w:t>
            </w:r>
          </w:p>
          <w:tbl>
            <w:tblPr>
              <w:tblStyle w:val="10"/>
              <w:tblW w:w="485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0"/>
              <w:gridCol w:w="1186"/>
              <w:gridCol w:w="2395"/>
              <w:gridCol w:w="871"/>
              <w:gridCol w:w="2426"/>
            </w:tblGrid>
            <w:tr w14:paraId="12ACF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730" w:type="dxa"/>
                  <w:tcBorders>
                    <w:top w:val="single" w:color="000000" w:sz="4" w:space="0"/>
                    <w:left w:val="single" w:color="000000" w:sz="4" w:space="0"/>
                    <w:bottom w:val="nil"/>
                    <w:right w:val="single" w:color="000000" w:sz="4" w:space="0"/>
                    <w:tl2br w:val="nil"/>
                    <w:tr2bl w:val="nil"/>
                  </w:tcBorders>
                  <w:noWrap w:val="0"/>
                  <w:vAlign w:val="center"/>
                </w:tcPr>
                <w:p w14:paraId="6449E8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9"/>
                      <w:sz w:val="21"/>
                      <w:szCs w:val="21"/>
                      <w:highlight w:val="none"/>
                    </w:rPr>
                    <w:t>污染</w:t>
                  </w:r>
                  <w:r>
                    <w:rPr>
                      <w:rFonts w:hint="default" w:ascii="Times New Roman" w:hAnsi="Times New Roman" w:eastAsia="仿宋" w:cs="Times New Roman"/>
                      <w:b/>
                      <w:color w:val="auto"/>
                      <w:spacing w:val="-3"/>
                      <w:sz w:val="21"/>
                      <w:szCs w:val="21"/>
                      <w:highlight w:val="none"/>
                    </w:rPr>
                    <w:t>物</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B927C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b/>
                      <w:color w:val="auto"/>
                      <w:spacing w:val="-5"/>
                      <w:sz w:val="21"/>
                      <w:szCs w:val="21"/>
                      <w:highlight w:val="none"/>
                      <w:lang w:val="en-US" w:eastAsia="zh-CN"/>
                    </w:rPr>
                    <w:t>平均浓度</w:t>
                  </w:r>
                </w:p>
              </w:tc>
              <w:tc>
                <w:tcPr>
                  <w:tcW w:w="2395" w:type="dxa"/>
                  <w:tcBorders>
                    <w:top w:val="single" w:color="000000" w:sz="4" w:space="0"/>
                    <w:left w:val="single" w:color="000000" w:sz="4" w:space="0"/>
                    <w:bottom w:val="nil"/>
                    <w:right w:val="single" w:color="000000" w:sz="4" w:space="0"/>
                    <w:tl2br w:val="nil"/>
                    <w:tr2bl w:val="nil"/>
                  </w:tcBorders>
                  <w:noWrap w:val="0"/>
                  <w:vAlign w:val="center"/>
                </w:tcPr>
                <w:p w14:paraId="7138DB2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4"/>
                      <w:sz w:val="21"/>
                      <w:szCs w:val="21"/>
                      <w:highlight w:val="none"/>
                    </w:rPr>
                    <w:t>年平均浓度标准限值</w:t>
                  </w:r>
                </w:p>
              </w:tc>
              <w:tc>
                <w:tcPr>
                  <w:tcW w:w="871" w:type="dxa"/>
                  <w:tcBorders>
                    <w:top w:val="single" w:color="000000" w:sz="4" w:space="0"/>
                    <w:left w:val="single" w:color="000000" w:sz="4" w:space="0"/>
                    <w:bottom w:val="nil"/>
                    <w:right w:val="single" w:color="000000" w:sz="4" w:space="0"/>
                    <w:tl2br w:val="nil"/>
                    <w:tr2bl w:val="nil"/>
                  </w:tcBorders>
                  <w:noWrap w:val="0"/>
                  <w:vAlign w:val="center"/>
                </w:tcPr>
                <w:p w14:paraId="696D5F5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5"/>
                      <w:sz w:val="21"/>
                      <w:szCs w:val="21"/>
                      <w:highlight w:val="none"/>
                    </w:rPr>
                    <w:t>2024年</w:t>
                  </w:r>
                </w:p>
                <w:p w14:paraId="15895F6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3"/>
                      <w:sz w:val="21"/>
                      <w:szCs w:val="21"/>
                      <w:highlight w:val="none"/>
                    </w:rPr>
                    <w:t>占标率%</w:t>
                  </w:r>
                </w:p>
              </w:tc>
              <w:tc>
                <w:tcPr>
                  <w:tcW w:w="2426" w:type="dxa"/>
                  <w:tcBorders>
                    <w:top w:val="single" w:color="000000" w:sz="4" w:space="0"/>
                    <w:left w:val="single" w:color="000000" w:sz="4" w:space="0"/>
                    <w:bottom w:val="nil"/>
                    <w:right w:val="single" w:color="000000" w:sz="4" w:space="0"/>
                    <w:tl2br w:val="nil"/>
                    <w:tr2bl w:val="nil"/>
                  </w:tcBorders>
                  <w:noWrap w:val="0"/>
                  <w:vAlign w:val="center"/>
                </w:tcPr>
                <w:p w14:paraId="24694EA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5"/>
                      <w:sz w:val="21"/>
                      <w:szCs w:val="21"/>
                      <w:highlight w:val="none"/>
                    </w:rPr>
                    <w:t>达标情况</w:t>
                  </w:r>
                </w:p>
              </w:tc>
            </w:tr>
            <w:tr w14:paraId="70840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FB5F2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SO₂</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BBD39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13.0μg/m³</w:t>
                  </w:r>
                </w:p>
              </w:tc>
              <w:tc>
                <w:tcPr>
                  <w:tcW w:w="2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282E1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60</w:t>
                  </w:r>
                </w:p>
              </w:tc>
              <w:tc>
                <w:tcPr>
                  <w:tcW w:w="87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3E2E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21.67</w:t>
                  </w:r>
                </w:p>
              </w:tc>
              <w:tc>
                <w:tcPr>
                  <w:tcW w:w="2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E069F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达标</w:t>
                  </w:r>
                </w:p>
              </w:tc>
            </w:tr>
            <w:tr w14:paraId="2CB1F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7B006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NO₂</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6DDE2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9.0μg/m³</w:t>
                  </w:r>
                </w:p>
              </w:tc>
              <w:tc>
                <w:tcPr>
                  <w:tcW w:w="2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907F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40</w:t>
                  </w:r>
                </w:p>
              </w:tc>
              <w:tc>
                <w:tcPr>
                  <w:tcW w:w="87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728C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22.50</w:t>
                  </w:r>
                </w:p>
              </w:tc>
              <w:tc>
                <w:tcPr>
                  <w:tcW w:w="2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B59AF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达标</w:t>
                  </w:r>
                </w:p>
              </w:tc>
            </w:tr>
            <w:tr w14:paraId="4A300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F6262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PM</w:t>
                  </w:r>
                  <w:r>
                    <w:rPr>
                      <w:rFonts w:hint="default" w:ascii="Times New Roman" w:hAnsi="Times New Roman" w:eastAsia="仿宋" w:cs="Times New Roman"/>
                      <w:color w:val="auto"/>
                      <w:spacing w:val="-2"/>
                      <w:sz w:val="21"/>
                      <w:szCs w:val="21"/>
                      <w:highlight w:val="none"/>
                      <w:vertAlign w:val="subscript"/>
                    </w:rPr>
                    <w:t>10</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3AFDB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26.0μg/m³</w:t>
                  </w:r>
                </w:p>
              </w:tc>
              <w:tc>
                <w:tcPr>
                  <w:tcW w:w="2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0B30C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70</w:t>
                  </w:r>
                </w:p>
              </w:tc>
              <w:tc>
                <w:tcPr>
                  <w:tcW w:w="87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20E0C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37.14</w:t>
                  </w:r>
                </w:p>
              </w:tc>
              <w:tc>
                <w:tcPr>
                  <w:tcW w:w="2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31C11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达标</w:t>
                  </w:r>
                </w:p>
              </w:tc>
            </w:tr>
            <w:tr w14:paraId="255F0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1191D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PM</w:t>
                  </w:r>
                  <w:r>
                    <w:rPr>
                      <w:rFonts w:hint="default" w:ascii="Times New Roman" w:hAnsi="Times New Roman" w:eastAsia="仿宋" w:cs="Times New Roman"/>
                      <w:color w:val="auto"/>
                      <w:spacing w:val="-2"/>
                      <w:sz w:val="21"/>
                      <w:szCs w:val="21"/>
                      <w:highlight w:val="none"/>
                      <w:vertAlign w:val="subscript"/>
                    </w:rPr>
                    <w:t>2.5</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B56C7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16.0μg/m³</w:t>
                  </w:r>
                </w:p>
              </w:tc>
              <w:tc>
                <w:tcPr>
                  <w:tcW w:w="2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22FF7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35</w:t>
                  </w:r>
                </w:p>
              </w:tc>
              <w:tc>
                <w:tcPr>
                  <w:tcW w:w="87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D239B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45.71</w:t>
                  </w:r>
                </w:p>
              </w:tc>
              <w:tc>
                <w:tcPr>
                  <w:tcW w:w="2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F84B8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达标</w:t>
                  </w:r>
                </w:p>
              </w:tc>
            </w:tr>
            <w:tr w14:paraId="0DA53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549D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CO</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4A454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1.4mg/m³</w:t>
                  </w:r>
                </w:p>
              </w:tc>
              <w:tc>
                <w:tcPr>
                  <w:tcW w:w="2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2605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pacing w:val="39"/>
                      <w:sz w:val="21"/>
                      <w:szCs w:val="21"/>
                      <w:highlight w:val="none"/>
                    </w:rPr>
                    <w:t>4</w:t>
                  </w:r>
                  <w:r>
                    <w:rPr>
                      <w:rFonts w:hint="default" w:ascii="Times New Roman" w:hAnsi="Times New Roman" w:eastAsia="仿宋" w:cs="Times New Roman"/>
                      <w:color w:val="auto"/>
                      <w:spacing w:val="39"/>
                      <w:sz w:val="21"/>
                      <w:szCs w:val="21"/>
                      <w:highlight w:val="none"/>
                      <w:lang w:eastAsia="zh-CN"/>
                    </w:rPr>
                    <w:t>（</w:t>
                  </w:r>
                  <w:r>
                    <w:rPr>
                      <w:rFonts w:hint="default" w:ascii="Times New Roman" w:hAnsi="Times New Roman" w:eastAsia="仿宋" w:cs="Times New Roman"/>
                      <w:color w:val="auto"/>
                      <w:spacing w:val="39"/>
                      <w:sz w:val="21"/>
                      <w:szCs w:val="21"/>
                      <w:highlight w:val="none"/>
                    </w:rPr>
                    <w:t>24小时平均</w:t>
                  </w:r>
                  <w:r>
                    <w:rPr>
                      <w:rFonts w:hint="default" w:ascii="Times New Roman" w:hAnsi="Times New Roman" w:eastAsia="仿宋" w:cs="Times New Roman"/>
                      <w:color w:val="auto"/>
                      <w:spacing w:val="39"/>
                      <w:sz w:val="21"/>
                      <w:szCs w:val="21"/>
                      <w:highlight w:val="none"/>
                      <w:lang w:eastAsia="zh-CN"/>
                    </w:rPr>
                    <w:t>）</w:t>
                  </w:r>
                </w:p>
              </w:tc>
              <w:tc>
                <w:tcPr>
                  <w:tcW w:w="87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7CD17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35.00</w:t>
                  </w:r>
                </w:p>
              </w:tc>
              <w:tc>
                <w:tcPr>
                  <w:tcW w:w="2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8C4D9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优于24小时均值标准</w:t>
                  </w:r>
                </w:p>
              </w:tc>
            </w:tr>
            <w:tr w14:paraId="25E19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86469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5"/>
                      <w:sz w:val="21"/>
                      <w:szCs w:val="21"/>
                      <w:highlight w:val="none"/>
                    </w:rPr>
                    <w:t>O₃</w:t>
                  </w:r>
                </w:p>
              </w:tc>
              <w:tc>
                <w:tcPr>
                  <w:tcW w:w="118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76BC2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119μg/m³</w:t>
                  </w:r>
                </w:p>
              </w:tc>
              <w:tc>
                <w:tcPr>
                  <w:tcW w:w="2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90E6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pacing w:val="4"/>
                      <w:sz w:val="21"/>
                      <w:szCs w:val="21"/>
                      <w:highlight w:val="none"/>
                    </w:rPr>
                    <w:t>160</w:t>
                  </w:r>
                  <w:r>
                    <w:rPr>
                      <w:rFonts w:hint="default" w:ascii="Times New Roman" w:hAnsi="Times New Roman" w:eastAsia="仿宋" w:cs="Times New Roman"/>
                      <w:color w:val="auto"/>
                      <w:spacing w:val="4"/>
                      <w:sz w:val="21"/>
                      <w:szCs w:val="21"/>
                      <w:highlight w:val="none"/>
                      <w:lang w:eastAsia="zh-CN"/>
                    </w:rPr>
                    <w:t>（</w:t>
                  </w:r>
                  <w:r>
                    <w:rPr>
                      <w:rFonts w:hint="default" w:ascii="Times New Roman" w:hAnsi="Times New Roman" w:eastAsia="仿宋" w:cs="Times New Roman"/>
                      <w:color w:val="auto"/>
                      <w:spacing w:val="4"/>
                      <w:sz w:val="21"/>
                      <w:szCs w:val="21"/>
                      <w:highlight w:val="none"/>
                    </w:rPr>
                    <w:t>日最大8小时平均</w:t>
                  </w:r>
                  <w:r>
                    <w:rPr>
                      <w:rFonts w:hint="default" w:ascii="Times New Roman" w:hAnsi="Times New Roman" w:eastAsia="仿宋" w:cs="Times New Roman"/>
                      <w:color w:val="auto"/>
                      <w:spacing w:val="4"/>
                      <w:sz w:val="21"/>
                      <w:szCs w:val="21"/>
                      <w:highlight w:val="none"/>
                      <w:lang w:eastAsia="zh-CN"/>
                    </w:rPr>
                    <w:t>）</w:t>
                  </w:r>
                </w:p>
              </w:tc>
              <w:tc>
                <w:tcPr>
                  <w:tcW w:w="87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BBCF1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74.38</w:t>
                  </w:r>
                </w:p>
              </w:tc>
              <w:tc>
                <w:tcPr>
                  <w:tcW w:w="242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ED4F7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120" w:leftChars="-50" w:right="-120" w:rightChars="-5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优于日最大8小时平均标准</w:t>
                  </w:r>
                </w:p>
              </w:tc>
            </w:tr>
            <w:tr w14:paraId="3F43E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608"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E4969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1"/>
                      <w:sz w:val="21"/>
                      <w:szCs w:val="21"/>
                      <w:highlight w:val="none"/>
                    </w:rPr>
                    <w:t>注：CO为第95百分位数浓度，</w:t>
                  </w:r>
                  <w:r>
                    <w:rPr>
                      <w:rFonts w:hint="default" w:ascii="Times New Roman" w:hAnsi="Times New Roman" w:eastAsia="仿宋" w:cs="Times New Roman"/>
                      <w:color w:val="auto"/>
                      <w:spacing w:val="-24"/>
                      <w:sz w:val="21"/>
                      <w:szCs w:val="21"/>
                      <w:highlight w:val="none"/>
                    </w:rPr>
                    <w:t xml:space="preserve"> </w:t>
                  </w:r>
                  <w:r>
                    <w:rPr>
                      <w:rFonts w:hint="default" w:ascii="Times New Roman" w:hAnsi="Times New Roman" w:eastAsia="仿宋" w:cs="Times New Roman"/>
                      <w:b/>
                      <w:color w:val="auto"/>
                      <w:spacing w:val="-1"/>
                      <w:sz w:val="21"/>
                      <w:szCs w:val="21"/>
                      <w:highlight w:val="none"/>
                    </w:rPr>
                    <w:t>O₃为第90百分位数浓度。</w:t>
                  </w:r>
                </w:p>
              </w:tc>
            </w:tr>
          </w:tbl>
          <w:p w14:paraId="1AD6DFC3">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会泽县城2024年环境空气中SO</w:t>
            </w:r>
            <w:r>
              <w:rPr>
                <w:rFonts w:hint="default" w:ascii="Times New Roman" w:hAnsi="Times New Roman" w:eastAsia="仿宋" w:cs="Times New Roman"/>
                <w:b w:val="0"/>
                <w:bCs/>
                <w:color w:val="auto"/>
                <w:sz w:val="24"/>
                <w:szCs w:val="24"/>
                <w:highlight w:val="none"/>
                <w:vertAlign w:val="subscript"/>
                <w:lang w:val="en-US" w:eastAsia="zh-CN"/>
              </w:rPr>
              <w:t>2</w:t>
            </w:r>
            <w:r>
              <w:rPr>
                <w:rFonts w:hint="default" w:ascii="Times New Roman" w:hAnsi="Times New Roman" w:eastAsia="仿宋" w:cs="Times New Roman"/>
                <w:b w:val="0"/>
                <w:bCs/>
                <w:color w:val="auto"/>
                <w:sz w:val="24"/>
                <w:szCs w:val="24"/>
                <w:highlight w:val="none"/>
                <w:lang w:val="en-US" w:eastAsia="zh-CN"/>
              </w:rPr>
              <w:t>、NO</w:t>
            </w:r>
            <w:r>
              <w:rPr>
                <w:rFonts w:hint="default" w:ascii="Times New Roman" w:hAnsi="Times New Roman" w:eastAsia="仿宋" w:cs="Times New Roman"/>
                <w:b w:val="0"/>
                <w:bCs/>
                <w:color w:val="auto"/>
                <w:sz w:val="24"/>
                <w:szCs w:val="24"/>
                <w:highlight w:val="none"/>
                <w:vertAlign w:val="subscript"/>
                <w:lang w:val="en-US" w:eastAsia="zh-CN"/>
              </w:rPr>
              <w:t>2</w:t>
            </w:r>
            <w:r>
              <w:rPr>
                <w:rFonts w:hint="default" w:ascii="Times New Roman" w:hAnsi="Times New Roman" w:eastAsia="仿宋" w:cs="Times New Roman"/>
                <w:b w:val="0"/>
                <w:bCs/>
                <w:color w:val="auto"/>
                <w:sz w:val="24"/>
                <w:szCs w:val="24"/>
                <w:highlight w:val="none"/>
                <w:lang w:val="en-US" w:eastAsia="zh-CN"/>
              </w:rPr>
              <w:t>、 PM</w:t>
            </w:r>
            <w:r>
              <w:rPr>
                <w:rFonts w:hint="default" w:ascii="Times New Roman" w:hAnsi="Times New Roman" w:eastAsia="仿宋" w:cs="Times New Roman"/>
                <w:b w:val="0"/>
                <w:bCs/>
                <w:color w:val="auto"/>
                <w:sz w:val="24"/>
                <w:szCs w:val="24"/>
                <w:highlight w:val="none"/>
                <w:vertAlign w:val="subscript"/>
                <w:lang w:val="en-US" w:eastAsia="zh-CN"/>
              </w:rPr>
              <w:t>10</w:t>
            </w:r>
            <w:r>
              <w:rPr>
                <w:rFonts w:hint="default" w:ascii="Times New Roman" w:hAnsi="Times New Roman" w:eastAsia="仿宋" w:cs="Times New Roman"/>
                <w:b w:val="0"/>
                <w:bCs/>
                <w:color w:val="auto"/>
                <w:sz w:val="24"/>
                <w:szCs w:val="24"/>
                <w:highlight w:val="none"/>
                <w:lang w:val="en-US" w:eastAsia="zh-CN"/>
              </w:rPr>
              <w:t>、PM</w:t>
            </w:r>
            <w:r>
              <w:rPr>
                <w:rFonts w:hint="default" w:ascii="Times New Roman" w:hAnsi="Times New Roman" w:eastAsia="仿宋" w:cs="Times New Roman"/>
                <w:b w:val="0"/>
                <w:bCs/>
                <w:color w:val="auto"/>
                <w:sz w:val="24"/>
                <w:szCs w:val="24"/>
                <w:highlight w:val="none"/>
                <w:vertAlign w:val="subscript"/>
                <w:lang w:val="en-US" w:eastAsia="zh-CN"/>
              </w:rPr>
              <w:t>2.5</w:t>
            </w:r>
            <w:r>
              <w:rPr>
                <w:rFonts w:hint="default" w:ascii="Times New Roman" w:hAnsi="Times New Roman" w:eastAsia="仿宋" w:cs="Times New Roman"/>
                <w:b w:val="0"/>
                <w:bCs/>
                <w:color w:val="auto"/>
                <w:sz w:val="24"/>
                <w:szCs w:val="24"/>
                <w:highlight w:val="none"/>
                <w:lang w:val="en-US" w:eastAsia="zh-CN"/>
              </w:rPr>
              <w:t>年均浓度，SO</w:t>
            </w:r>
            <w:r>
              <w:rPr>
                <w:rFonts w:hint="default" w:ascii="Times New Roman" w:hAnsi="Times New Roman" w:eastAsia="仿宋" w:cs="Times New Roman"/>
                <w:b w:val="0"/>
                <w:bCs/>
                <w:color w:val="auto"/>
                <w:sz w:val="24"/>
                <w:szCs w:val="24"/>
                <w:highlight w:val="none"/>
                <w:vertAlign w:val="subscript"/>
                <w:lang w:val="en-US" w:eastAsia="zh-CN"/>
              </w:rPr>
              <w:t>2</w:t>
            </w:r>
            <w:r>
              <w:rPr>
                <w:rFonts w:hint="default" w:ascii="Times New Roman" w:hAnsi="Times New Roman" w:eastAsia="仿宋" w:cs="Times New Roman"/>
                <w:b w:val="0"/>
                <w:bCs/>
                <w:color w:val="auto"/>
                <w:sz w:val="24"/>
                <w:szCs w:val="24"/>
                <w:highlight w:val="none"/>
                <w:lang w:val="en-US" w:eastAsia="zh-CN"/>
              </w:rPr>
              <w:t>、NO</w:t>
            </w:r>
            <w:r>
              <w:rPr>
                <w:rFonts w:hint="default" w:ascii="Times New Roman" w:hAnsi="Times New Roman" w:eastAsia="仿宋" w:cs="Times New Roman"/>
                <w:b w:val="0"/>
                <w:bCs/>
                <w:color w:val="auto"/>
                <w:sz w:val="24"/>
                <w:szCs w:val="24"/>
                <w:highlight w:val="none"/>
                <w:vertAlign w:val="subscript"/>
                <w:lang w:val="en-US" w:eastAsia="zh-CN"/>
              </w:rPr>
              <w:t>2</w:t>
            </w:r>
            <w:r>
              <w:rPr>
                <w:rFonts w:hint="default" w:ascii="Times New Roman" w:hAnsi="Times New Roman" w:eastAsia="仿宋" w:cs="Times New Roman"/>
                <w:b w:val="0"/>
                <w:bCs/>
                <w:color w:val="auto"/>
                <w:sz w:val="24"/>
                <w:szCs w:val="24"/>
                <w:highlight w:val="none"/>
                <w:lang w:val="en-US" w:eastAsia="zh-CN"/>
              </w:rPr>
              <w:t>24小时平均第98百分位数浓度，PM</w:t>
            </w:r>
            <w:r>
              <w:rPr>
                <w:rFonts w:hint="default" w:ascii="Times New Roman" w:hAnsi="Times New Roman" w:eastAsia="仿宋" w:cs="Times New Roman"/>
                <w:b w:val="0"/>
                <w:bCs/>
                <w:color w:val="auto"/>
                <w:sz w:val="24"/>
                <w:szCs w:val="24"/>
                <w:highlight w:val="none"/>
                <w:vertAlign w:val="subscript"/>
                <w:lang w:val="en-US" w:eastAsia="zh-CN"/>
              </w:rPr>
              <w:t>10</w:t>
            </w:r>
            <w:r>
              <w:rPr>
                <w:rFonts w:hint="default" w:ascii="Times New Roman" w:hAnsi="Times New Roman" w:eastAsia="仿宋" w:cs="Times New Roman"/>
                <w:b w:val="0"/>
                <w:bCs/>
                <w:color w:val="auto"/>
                <w:sz w:val="24"/>
                <w:szCs w:val="24"/>
                <w:highlight w:val="none"/>
                <w:lang w:val="en-US" w:eastAsia="zh-CN"/>
              </w:rPr>
              <w:t>、PM</w:t>
            </w:r>
            <w:r>
              <w:rPr>
                <w:rFonts w:hint="default" w:ascii="Times New Roman" w:hAnsi="Times New Roman" w:eastAsia="仿宋" w:cs="Times New Roman"/>
                <w:b w:val="0"/>
                <w:bCs/>
                <w:color w:val="auto"/>
                <w:sz w:val="24"/>
                <w:szCs w:val="24"/>
                <w:highlight w:val="none"/>
                <w:vertAlign w:val="subscript"/>
                <w:lang w:val="en-US" w:eastAsia="zh-CN"/>
              </w:rPr>
              <w:t>2.5</w:t>
            </w:r>
            <w:r>
              <w:rPr>
                <w:rFonts w:hint="default" w:ascii="Times New Roman" w:hAnsi="Times New Roman" w:eastAsia="仿宋" w:cs="Times New Roman"/>
                <w:b w:val="0"/>
                <w:bCs/>
                <w:color w:val="auto"/>
                <w:sz w:val="24"/>
                <w:szCs w:val="24"/>
                <w:highlight w:val="none"/>
                <w:lang w:val="en-US" w:eastAsia="zh-CN"/>
              </w:rPr>
              <w:t>、CO</w:t>
            </w:r>
            <w:r>
              <w:rPr>
                <w:rFonts w:hint="default" w:ascii="Times New Roman" w:hAnsi="Times New Roman" w:eastAsia="仿宋" w:cs="Times New Roman"/>
                <w:b w:val="0"/>
                <w:bCs/>
                <w:color w:val="auto"/>
                <w:sz w:val="24"/>
                <w:szCs w:val="24"/>
                <w:highlight w:val="none"/>
                <w:vertAlign w:val="subscript"/>
                <w:lang w:val="en-US" w:eastAsia="zh-CN"/>
              </w:rPr>
              <w:t>24</w:t>
            </w:r>
            <w:r>
              <w:rPr>
                <w:rFonts w:hint="default" w:ascii="Times New Roman" w:hAnsi="Times New Roman" w:eastAsia="仿宋" w:cs="Times New Roman"/>
                <w:b w:val="0"/>
                <w:bCs/>
                <w:color w:val="auto"/>
                <w:sz w:val="24"/>
                <w:szCs w:val="24"/>
                <w:highlight w:val="none"/>
                <w:lang w:val="en-US" w:eastAsia="zh-CN"/>
              </w:rPr>
              <w:t>小时平均第95百分位数浓度，O</w:t>
            </w:r>
            <w:r>
              <w:rPr>
                <w:rFonts w:hint="default" w:ascii="Times New Roman" w:hAnsi="Times New Roman" w:eastAsia="仿宋" w:cs="Times New Roman"/>
                <w:b w:val="0"/>
                <w:bCs/>
                <w:color w:val="auto"/>
                <w:sz w:val="24"/>
                <w:szCs w:val="24"/>
                <w:highlight w:val="none"/>
                <w:vertAlign w:val="subscript"/>
                <w:lang w:val="en-US" w:eastAsia="zh-CN"/>
              </w:rPr>
              <w:t>3</w:t>
            </w:r>
            <w:r>
              <w:rPr>
                <w:rFonts w:hint="default" w:ascii="Times New Roman" w:hAnsi="Times New Roman" w:eastAsia="仿宋" w:cs="Times New Roman"/>
                <w:b w:val="0"/>
                <w:bCs/>
                <w:color w:val="auto"/>
                <w:sz w:val="24"/>
                <w:szCs w:val="24"/>
                <w:highlight w:val="none"/>
                <w:lang w:val="en-US" w:eastAsia="zh-CN"/>
              </w:rPr>
              <w:t>日最大8小时平均第90百分位数浓度均达到《环境空气质量标准》（GB3095-2012）过渡阶段二级标准限值（同时满足现行GB3095-2026标准要求）。项目所在地环境空气质量达标。</w:t>
            </w:r>
          </w:p>
          <w:p w14:paraId="1FBEC63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sz w:val="24"/>
                <w:szCs w:val="24"/>
                <w:highlight w:val="none"/>
                <w:lang w:val="en-US" w:eastAsia="zh-CN"/>
              </w:rPr>
            </w:pPr>
          </w:p>
          <w:p w14:paraId="6C4F34EB">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 xml:space="preserve">3.3.2 </w:t>
            </w:r>
            <w:r>
              <w:rPr>
                <w:rFonts w:hint="default" w:ascii="Times New Roman" w:hAnsi="Times New Roman" w:eastAsia="仿宋" w:cs="Times New Roman"/>
                <w:b/>
                <w:color w:val="auto"/>
                <w:sz w:val="24"/>
                <w:szCs w:val="24"/>
                <w:highlight w:val="none"/>
              </w:rPr>
              <w:t>地表水环境质量现状</w:t>
            </w:r>
          </w:p>
          <w:p w14:paraId="003AA406">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根据《云南省水功能区划》（2014年5月），项目区属于牛栏江鲁甸</w:t>
            </w:r>
            <w:r>
              <w:rPr>
                <w:rFonts w:hint="eastAsia" w:cs="Times New Roman"/>
                <w:b w:val="0"/>
                <w:bCs/>
                <w:color w:val="auto"/>
                <w:sz w:val="24"/>
                <w:szCs w:val="24"/>
                <w:highlight w:val="none"/>
                <w:lang w:val="en-US" w:eastAsia="zh-CN"/>
              </w:rPr>
              <w:t>－</w:t>
            </w:r>
            <w:r>
              <w:rPr>
                <w:rFonts w:hint="default" w:ascii="Times New Roman" w:hAnsi="Times New Roman" w:eastAsia="仿宋" w:cs="Times New Roman"/>
                <w:b w:val="0"/>
                <w:bCs/>
                <w:color w:val="auto"/>
                <w:sz w:val="24"/>
                <w:szCs w:val="24"/>
                <w:highlight w:val="none"/>
                <w:lang w:val="en-US" w:eastAsia="zh-CN"/>
              </w:rPr>
              <w:t>巧家保留区（该段起点为鲁甸江底，终点为入金沙江口），2030 年水质目标为Ⅲ类。</w:t>
            </w:r>
          </w:p>
          <w:p w14:paraId="39356A82">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项目所在流域最近地表水体为牛栏江支流小河，从南向北流经项目所在区域，于牛栏江（江底大桥）国控断面附近汇入牛栏江。该断面与项目区最近直线距离约4.5km。</w:t>
            </w:r>
          </w:p>
          <w:p w14:paraId="215474BB">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根据云南省生态环境厅驻曲靖市生态环境监测站于2025年2月21日公布的《2024年曲靖市环境质量年报》，牛栏江（江底大桥）断面水质状况为优，2024年水质类别为</w:t>
            </w:r>
            <w:r>
              <w:rPr>
                <w:rFonts w:hint="eastAsia" w:cs="Times New Roman"/>
                <w:b w:val="0"/>
                <w:bCs/>
                <w:color w:val="auto"/>
                <w:sz w:val="24"/>
                <w:szCs w:val="24"/>
                <w:highlight w:val="none"/>
                <w:lang w:val="en-US" w:eastAsia="zh-CN"/>
              </w:rPr>
              <w:t>Ⅱ类</w:t>
            </w:r>
            <w:r>
              <w:rPr>
                <w:rFonts w:hint="default" w:ascii="Times New Roman" w:hAnsi="Times New Roman" w:eastAsia="仿宋" w:cs="Times New Roman"/>
                <w:b w:val="0"/>
                <w:bCs/>
                <w:color w:val="auto"/>
                <w:sz w:val="24"/>
                <w:szCs w:val="24"/>
                <w:highlight w:val="none"/>
                <w:lang w:val="en-US" w:eastAsia="zh-CN"/>
              </w:rPr>
              <w:t>，满足水功能区划Ⅲ类水质要求，区域水环境达标。</w:t>
            </w:r>
          </w:p>
          <w:p w14:paraId="2958D65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bCs/>
                <w:color w:val="auto"/>
                <w:sz w:val="24"/>
                <w:szCs w:val="24"/>
                <w:highlight w:val="none"/>
              </w:rPr>
            </w:pPr>
            <w:r>
              <w:rPr>
                <w:rFonts w:hint="eastAsia" w:cs="Times New Roman"/>
                <w:b/>
                <w:color w:val="auto"/>
                <w:sz w:val="24"/>
                <w:szCs w:val="24"/>
                <w:highlight w:val="none"/>
                <w:lang w:val="en-US" w:eastAsia="zh-CN"/>
              </w:rPr>
              <w:t xml:space="preserve">3.3.3 </w:t>
            </w:r>
            <w:r>
              <w:rPr>
                <w:rFonts w:hint="default" w:ascii="Times New Roman" w:hAnsi="Times New Roman" w:eastAsia="仿宋" w:cs="Times New Roman"/>
                <w:b/>
                <w:bCs/>
                <w:color w:val="auto"/>
                <w:spacing w:val="-3"/>
                <w:sz w:val="24"/>
                <w:szCs w:val="24"/>
                <w:highlight w:val="none"/>
              </w:rPr>
              <w:t>声环境质量现状</w:t>
            </w:r>
          </w:p>
          <w:p w14:paraId="716E78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项目所在区域为农村地区，属于《声环境质量标准》（GB3096-2008）中的1类区，执行《声环境质量标准》（GB3096-2008）中的1类标准。</w:t>
            </w:r>
          </w:p>
          <w:p w14:paraId="70FD0D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建设单位委托云南天籁环保科技有限公司于2025年10月28日</w:t>
            </w:r>
            <w:r>
              <w:rPr>
                <w:rFonts w:hint="eastAsia" w:cs="Times New Roman"/>
                <w:b w:val="0"/>
                <w:bCs/>
                <w:color w:val="auto"/>
                <w:sz w:val="24"/>
                <w:szCs w:val="24"/>
                <w:highlight w:val="none"/>
                <w:lang w:val="en-US" w:eastAsia="zh-CN"/>
              </w:rPr>
              <w:t>—</w:t>
            </w:r>
            <w:r>
              <w:rPr>
                <w:rFonts w:hint="default" w:ascii="Times New Roman" w:hAnsi="Times New Roman" w:eastAsia="仿宋" w:cs="Times New Roman"/>
                <w:b w:val="0"/>
                <w:bCs/>
                <w:color w:val="auto"/>
                <w:sz w:val="24"/>
                <w:szCs w:val="24"/>
                <w:highlight w:val="none"/>
                <w:lang w:val="en-US" w:eastAsia="zh-CN"/>
              </w:rPr>
              <w:t>10月30日对项目区域敏感点开展了声环境现状监测。</w:t>
            </w:r>
          </w:p>
          <w:p w14:paraId="78974AE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（1）监测点位</w:t>
            </w:r>
          </w:p>
          <w:p w14:paraId="0F01F7A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根据《环境影响评价技术导则 声环境》（HJ2.4-2021），项目区评价范围内没有明显的声源时（如工业噪声、交通运输噪声、建设施工噪声、社会生活噪声等），可选择有代表性的区域布设测点。本项目平均范围均为农村环境，无明显的声源噪声监测点位布置兼顾均布性和代表性原则，在项目区及评价范围不同区块选择代表性村庄（共8个）设置监测点，同时在升压站站址厂界四周分别设置1个监测点，共设12个声环境现状监测点位，监测布点图见附图8。</w:t>
            </w:r>
          </w:p>
          <w:p w14:paraId="0055371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（2）监测因子、频率</w:t>
            </w:r>
          </w:p>
          <w:p w14:paraId="79DFE03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监测因子：等效连续A声级（Leq（A））。</w:t>
            </w:r>
          </w:p>
          <w:p w14:paraId="49B76DC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监测频率：连续监测2天，分昼间、夜间监测。</w:t>
            </w:r>
          </w:p>
          <w:p w14:paraId="0E768DED">
            <w:pPr>
              <w:keepNext w:val="0"/>
              <w:keepLines w:val="0"/>
              <w:suppressLineNumbers w:val="0"/>
              <w:spacing w:before="0" w:beforeAutospacing="0" w:after="0" w:afterAutospacing="0"/>
              <w:ind w:left="0" w:right="0" w:firstLine="480"/>
              <w:rPr>
                <w:rFonts w:hint="eastAsia"/>
                <w:color w:val="auto"/>
                <w:highlight w:val="none"/>
                <w:lang w:val="en-US" w:eastAsia="zh-CN"/>
              </w:rPr>
            </w:pPr>
            <w:r>
              <w:rPr>
                <w:rFonts w:hint="eastAsia"/>
                <w:color w:val="auto"/>
                <w:highlight w:val="none"/>
                <w:lang w:val="en-US" w:eastAsia="zh-CN"/>
              </w:rPr>
              <w:t>（3）监测方法：《声环境质量标准》（GB 3096-2008）</w:t>
            </w:r>
          </w:p>
          <w:p w14:paraId="01C202AC">
            <w:pPr>
              <w:keepNext w:val="0"/>
              <w:keepLines w:val="0"/>
              <w:suppressLineNumbers w:val="0"/>
              <w:spacing w:before="0" w:beforeAutospacing="0" w:after="0" w:afterAutospacing="0"/>
              <w:ind w:left="0" w:right="0" w:firstLine="480"/>
              <w:rPr>
                <w:rFonts w:hint="eastAsia"/>
                <w:color w:val="auto"/>
                <w:highlight w:val="none"/>
                <w:lang w:val="en-US" w:eastAsia="zh-CN"/>
              </w:rPr>
            </w:pPr>
            <w:r>
              <w:rPr>
                <w:rFonts w:hint="eastAsia"/>
                <w:color w:val="auto"/>
                <w:highlight w:val="none"/>
                <w:lang w:val="en-US" w:eastAsia="zh-CN"/>
              </w:rPr>
              <w:t>（4）监测仪器：AWA5688多功能声级计</w:t>
            </w:r>
          </w:p>
          <w:p w14:paraId="7AAB5DED">
            <w:pPr>
              <w:keepNext w:val="0"/>
              <w:keepLines w:val="0"/>
              <w:suppressLineNumbers w:val="0"/>
              <w:spacing w:before="0" w:beforeAutospacing="0" w:after="0" w:afterAutospacing="0"/>
              <w:ind w:left="0" w:right="0" w:firstLine="1680" w:firstLineChars="700"/>
              <w:rPr>
                <w:rFonts w:hint="default"/>
                <w:color w:val="auto"/>
                <w:highlight w:val="none"/>
                <w:lang w:val="en-US" w:eastAsia="zh-CN"/>
              </w:rPr>
            </w:pPr>
            <w:r>
              <w:rPr>
                <w:rFonts w:hint="eastAsia"/>
                <w:color w:val="auto"/>
                <w:highlight w:val="none"/>
                <w:lang w:val="en-US" w:eastAsia="zh-CN"/>
              </w:rPr>
              <w:t>仪器编号：JL94</w:t>
            </w:r>
          </w:p>
          <w:p w14:paraId="1ABF0DC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5</w:t>
            </w:r>
            <w:r>
              <w:rPr>
                <w:rFonts w:hint="default" w:ascii="Times New Roman" w:hAnsi="Times New Roman" w:eastAsia="仿宋" w:cs="Times New Roman"/>
                <w:b w:val="0"/>
                <w:bCs/>
                <w:color w:val="auto"/>
                <w:sz w:val="24"/>
                <w:szCs w:val="24"/>
                <w:highlight w:val="none"/>
                <w:lang w:val="en-US" w:eastAsia="zh-CN"/>
              </w:rPr>
              <w:t>）监测结果</w:t>
            </w:r>
          </w:p>
          <w:p w14:paraId="27D662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监测结果及达标分析见表</w:t>
            </w:r>
            <w:r>
              <w:rPr>
                <w:rFonts w:hint="eastAsia" w:cs="Times New Roman"/>
                <w:b w:val="0"/>
                <w:bCs/>
                <w:color w:val="auto"/>
                <w:sz w:val="24"/>
                <w:szCs w:val="24"/>
                <w:highlight w:val="none"/>
                <w:lang w:val="en-US" w:eastAsia="zh-CN"/>
              </w:rPr>
              <w:t>3.3-2</w:t>
            </w:r>
            <w:r>
              <w:rPr>
                <w:rFonts w:hint="default" w:ascii="Times New Roman" w:hAnsi="Times New Roman" w:eastAsia="仿宋" w:cs="Times New Roman"/>
                <w:b w:val="0"/>
                <w:bCs/>
                <w:color w:val="auto"/>
                <w:sz w:val="24"/>
                <w:szCs w:val="24"/>
                <w:highlight w:val="none"/>
                <w:lang w:val="en-US" w:eastAsia="zh-CN"/>
              </w:rPr>
              <w:t>。</w:t>
            </w:r>
          </w:p>
          <w:p w14:paraId="5357C30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Lines="0" w:afterAutospacing="0" w:line="214" w:lineRule="auto"/>
              <w:ind w:left="0" w:right="0"/>
              <w:jc w:val="center"/>
              <w:textAlignment w:val="auto"/>
              <w:rPr>
                <w:rFonts w:hint="default" w:ascii="Times New Roman" w:hAnsi="Times New Roman" w:eastAsia="仿宋" w:cs="Times New Roman"/>
                <w:b/>
                <w:bCs/>
                <w:color w:val="auto"/>
                <w:spacing w:val="-2"/>
                <w:sz w:val="21"/>
                <w:szCs w:val="21"/>
                <w:highlight w:val="none"/>
              </w:rPr>
            </w:pPr>
            <w:r>
              <w:rPr>
                <w:rFonts w:hint="default" w:ascii="Times New Roman" w:hAnsi="Times New Roman" w:eastAsia="仿宋" w:cs="Times New Roman"/>
                <w:b/>
                <w:bCs/>
                <w:color w:val="auto"/>
                <w:spacing w:val="-2"/>
                <w:sz w:val="21"/>
                <w:szCs w:val="21"/>
                <w:highlight w:val="none"/>
              </w:rPr>
              <w:t xml:space="preserve">表 </w:t>
            </w:r>
            <w:r>
              <w:rPr>
                <w:rFonts w:hint="eastAsia" w:cs="Times New Roman"/>
                <w:b/>
                <w:bCs/>
                <w:color w:val="auto"/>
                <w:spacing w:val="-2"/>
                <w:sz w:val="21"/>
                <w:szCs w:val="21"/>
                <w:highlight w:val="none"/>
                <w:lang w:val="en-US" w:eastAsia="zh-CN"/>
              </w:rPr>
              <w:t>3.3-2</w:t>
            </w:r>
            <w:r>
              <w:rPr>
                <w:rFonts w:hint="default" w:ascii="Times New Roman" w:hAnsi="Times New Roman" w:eastAsia="仿宋" w:cs="Times New Roman"/>
                <w:b/>
                <w:bCs/>
                <w:color w:val="auto"/>
                <w:spacing w:val="-2"/>
                <w:sz w:val="21"/>
                <w:szCs w:val="21"/>
                <w:highlight w:val="none"/>
                <w:lang w:val="en-US" w:eastAsia="zh-CN"/>
              </w:rPr>
              <w:t xml:space="preserve"> </w:t>
            </w:r>
            <w:r>
              <w:rPr>
                <w:rFonts w:hint="default" w:ascii="Times New Roman" w:hAnsi="Times New Roman" w:eastAsia="仿宋" w:cs="Times New Roman"/>
                <w:b/>
                <w:bCs/>
                <w:color w:val="auto"/>
                <w:spacing w:val="-2"/>
                <w:sz w:val="21"/>
                <w:szCs w:val="21"/>
                <w:highlight w:val="none"/>
              </w:rPr>
              <w:t>监测结果及达标分析表</w:t>
            </w:r>
          </w:p>
          <w:tbl>
            <w:tblPr>
              <w:tblStyle w:val="10"/>
              <w:tblW w:w="4848" w:type="pct"/>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2"/>
              <w:gridCol w:w="1282"/>
              <w:gridCol w:w="939"/>
              <w:gridCol w:w="814"/>
              <w:gridCol w:w="882"/>
              <w:gridCol w:w="689"/>
              <w:gridCol w:w="769"/>
              <w:gridCol w:w="692"/>
              <w:gridCol w:w="1023"/>
            </w:tblGrid>
            <w:tr w14:paraId="71AA1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13" w:type="dxa"/>
                  <w:vMerge w:val="restart"/>
                  <w:tcBorders>
                    <w:top w:val="single" w:color="000000" w:sz="2" w:space="0"/>
                    <w:left w:val="single" w:color="000000" w:sz="2" w:space="0"/>
                    <w:bottom w:val="nil"/>
                    <w:right w:val="single" w:color="000000" w:sz="2" w:space="0"/>
                    <w:tl2br w:val="nil"/>
                    <w:tr2bl w:val="nil"/>
                  </w:tcBorders>
                  <w:noWrap w:val="0"/>
                  <w:vAlign w:val="center"/>
                </w:tcPr>
                <w:p w14:paraId="613E133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编号</w:t>
                  </w:r>
                </w:p>
              </w:tc>
              <w:tc>
                <w:tcPr>
                  <w:tcW w:w="1282" w:type="dxa"/>
                  <w:vMerge w:val="restart"/>
                  <w:tcBorders>
                    <w:top w:val="single" w:color="000000" w:sz="2" w:space="0"/>
                    <w:left w:val="single" w:color="000000" w:sz="2" w:space="0"/>
                    <w:bottom w:val="nil"/>
                    <w:right w:val="single" w:color="000000" w:sz="2" w:space="0"/>
                    <w:tl2br w:val="nil"/>
                    <w:tr2bl w:val="nil"/>
                  </w:tcBorders>
                  <w:noWrap w:val="0"/>
                  <w:vAlign w:val="center"/>
                </w:tcPr>
                <w:p w14:paraId="3C3FA90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监测点位</w:t>
                  </w:r>
                </w:p>
              </w:tc>
              <w:tc>
                <w:tcPr>
                  <w:tcW w:w="3324" w:type="dxa"/>
                  <w:gridSpan w:val="4"/>
                  <w:tcBorders>
                    <w:top w:val="single" w:color="000000" w:sz="2" w:space="0"/>
                    <w:left w:val="single" w:color="000000" w:sz="2" w:space="0"/>
                    <w:bottom w:val="single" w:color="000000" w:sz="2" w:space="0"/>
                    <w:right w:val="single" w:color="000000" w:sz="2" w:space="0"/>
                    <w:tl2br w:val="nil"/>
                    <w:tr2bl w:val="nil"/>
                  </w:tcBorders>
                  <w:noWrap w:val="0"/>
                  <w:vAlign w:val="center"/>
                </w:tcPr>
                <w:p w14:paraId="5B05A2B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监测数据</w:t>
                  </w:r>
                </w:p>
              </w:tc>
              <w:tc>
                <w:tcPr>
                  <w:tcW w:w="1461" w:type="dxa"/>
                  <w:gridSpan w:val="2"/>
                  <w:vMerge w:val="restart"/>
                  <w:tcBorders>
                    <w:top w:val="single" w:color="000000" w:sz="2" w:space="0"/>
                    <w:left w:val="single" w:color="000000" w:sz="2" w:space="0"/>
                    <w:bottom w:val="nil"/>
                    <w:right w:val="single" w:color="000000" w:sz="2" w:space="0"/>
                    <w:tl2br w:val="nil"/>
                    <w:tr2bl w:val="nil"/>
                  </w:tcBorders>
                  <w:noWrap w:val="0"/>
                  <w:vAlign w:val="center"/>
                </w:tcPr>
                <w:p w14:paraId="3EA96F4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平均值</w:t>
                  </w:r>
                </w:p>
              </w:tc>
              <w:tc>
                <w:tcPr>
                  <w:tcW w:w="1023" w:type="dxa"/>
                  <w:vMerge w:val="restart"/>
                  <w:tcBorders>
                    <w:top w:val="single" w:color="000000" w:sz="2" w:space="0"/>
                    <w:left w:val="single" w:color="000000" w:sz="2" w:space="0"/>
                    <w:bottom w:val="nil"/>
                    <w:right w:val="single" w:color="000000" w:sz="2" w:space="0"/>
                    <w:tl2br w:val="nil"/>
                    <w:tr2bl w:val="nil"/>
                  </w:tcBorders>
                  <w:noWrap w:val="0"/>
                  <w:vAlign w:val="center"/>
                </w:tcPr>
                <w:p w14:paraId="60716EF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达标情况</w:t>
                  </w:r>
                </w:p>
              </w:tc>
            </w:tr>
            <w:tr w14:paraId="2784F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513" w:type="dxa"/>
                  <w:vMerge w:val="continue"/>
                  <w:tcBorders>
                    <w:top w:val="nil"/>
                    <w:left w:val="single" w:color="000000" w:sz="2" w:space="0"/>
                    <w:bottom w:val="nil"/>
                    <w:right w:val="single" w:color="000000" w:sz="2" w:space="0"/>
                    <w:tl2br w:val="nil"/>
                    <w:tr2bl w:val="nil"/>
                  </w:tcBorders>
                  <w:noWrap w:val="0"/>
                  <w:textDirection w:val="tbRlV"/>
                  <w:vAlign w:val="top"/>
                </w:tcPr>
                <w:p w14:paraId="3B9DA52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c>
                <w:tcPr>
                  <w:tcW w:w="1282" w:type="dxa"/>
                  <w:vMerge w:val="continue"/>
                  <w:tcBorders>
                    <w:top w:val="nil"/>
                    <w:left w:val="single" w:color="000000" w:sz="2" w:space="0"/>
                    <w:bottom w:val="nil"/>
                    <w:right w:val="single" w:color="000000" w:sz="2" w:space="0"/>
                    <w:tl2br w:val="nil"/>
                    <w:tr2bl w:val="nil"/>
                  </w:tcBorders>
                  <w:noWrap w:val="0"/>
                  <w:vAlign w:val="center"/>
                </w:tcPr>
                <w:p w14:paraId="24F1446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c>
                <w:tcPr>
                  <w:tcW w:w="1753"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7168B49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202</w:t>
                  </w: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rPr>
                    <w:t>.1</w:t>
                  </w:r>
                  <w:r>
                    <w:rPr>
                      <w:rFonts w:hint="default" w:ascii="Times New Roman" w:hAnsi="Times New Roman" w:eastAsia="仿宋" w:cs="Times New Roman"/>
                      <w:color w:val="auto"/>
                      <w:spacing w:val="-2"/>
                      <w:sz w:val="21"/>
                      <w:szCs w:val="21"/>
                      <w:highlight w:val="none"/>
                      <w:lang w:eastAsia="zh-CN"/>
                    </w:rPr>
                    <w:t>0</w:t>
                  </w:r>
                  <w:r>
                    <w:rPr>
                      <w:rFonts w:hint="default" w:ascii="Times New Roman" w:hAnsi="Times New Roman" w:eastAsia="仿宋" w:cs="Times New Roman"/>
                      <w:color w:val="auto"/>
                      <w:spacing w:val="-2"/>
                      <w:sz w:val="21"/>
                      <w:szCs w:val="21"/>
                      <w:highlight w:val="none"/>
                    </w:rPr>
                    <w:t>.</w:t>
                  </w:r>
                  <w:r>
                    <w:rPr>
                      <w:rFonts w:hint="default" w:ascii="Times New Roman" w:hAnsi="Times New Roman" w:eastAsia="仿宋" w:cs="Times New Roman"/>
                      <w:color w:val="auto"/>
                      <w:spacing w:val="-2"/>
                      <w:sz w:val="21"/>
                      <w:szCs w:val="21"/>
                      <w:highlight w:val="none"/>
                      <w:lang w:eastAsia="zh-CN"/>
                    </w:rPr>
                    <w:t>2</w:t>
                  </w:r>
                  <w:r>
                    <w:rPr>
                      <w:rFonts w:hint="default" w:ascii="Times New Roman" w:hAnsi="Times New Roman" w:eastAsia="仿宋" w:cs="Times New Roman"/>
                      <w:color w:val="auto"/>
                      <w:spacing w:val="-2"/>
                      <w:sz w:val="21"/>
                      <w:szCs w:val="21"/>
                      <w:highlight w:val="none"/>
                    </w:rPr>
                    <w:t>8</w:t>
                  </w:r>
                  <w:r>
                    <w:rPr>
                      <w:rFonts w:hint="default" w:ascii="Times New Roman" w:hAnsi="Times New Roman" w:eastAsia="仿宋" w:cs="Times New Roman"/>
                      <w:color w:val="auto"/>
                      <w:spacing w:val="-2"/>
                      <w:sz w:val="21"/>
                      <w:szCs w:val="21"/>
                      <w:highlight w:val="none"/>
                      <w:lang w:eastAsia="zh-CN"/>
                    </w:rPr>
                    <w:t>~</w:t>
                  </w:r>
                </w:p>
                <w:p w14:paraId="21CE82C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2025.10.29</w:t>
                  </w:r>
                </w:p>
              </w:tc>
              <w:tc>
                <w:tcPr>
                  <w:tcW w:w="1571"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5C3145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202</w:t>
                  </w: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rPr>
                    <w:t>.1</w:t>
                  </w:r>
                  <w:r>
                    <w:rPr>
                      <w:rFonts w:hint="default" w:ascii="Times New Roman" w:hAnsi="Times New Roman" w:eastAsia="仿宋" w:cs="Times New Roman"/>
                      <w:color w:val="auto"/>
                      <w:spacing w:val="-2"/>
                      <w:sz w:val="21"/>
                      <w:szCs w:val="21"/>
                      <w:highlight w:val="none"/>
                      <w:lang w:eastAsia="zh-CN"/>
                    </w:rPr>
                    <w:t>0</w:t>
                  </w:r>
                  <w:r>
                    <w:rPr>
                      <w:rFonts w:hint="default" w:ascii="Times New Roman" w:hAnsi="Times New Roman" w:eastAsia="仿宋" w:cs="Times New Roman"/>
                      <w:color w:val="auto"/>
                      <w:spacing w:val="-2"/>
                      <w:sz w:val="21"/>
                      <w:szCs w:val="21"/>
                      <w:highlight w:val="none"/>
                    </w:rPr>
                    <w:t>.</w:t>
                  </w:r>
                  <w:r>
                    <w:rPr>
                      <w:rFonts w:hint="default" w:ascii="Times New Roman" w:hAnsi="Times New Roman" w:eastAsia="仿宋" w:cs="Times New Roman"/>
                      <w:color w:val="auto"/>
                      <w:spacing w:val="-2"/>
                      <w:sz w:val="21"/>
                      <w:szCs w:val="21"/>
                      <w:highlight w:val="none"/>
                      <w:lang w:eastAsia="zh-CN"/>
                    </w:rPr>
                    <w:t>29~</w:t>
                  </w:r>
                </w:p>
                <w:p w14:paraId="7129034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2025.10.30</w:t>
                  </w:r>
                </w:p>
              </w:tc>
              <w:tc>
                <w:tcPr>
                  <w:tcW w:w="1461" w:type="dxa"/>
                  <w:gridSpan w:val="2"/>
                  <w:vMerge w:val="continue"/>
                  <w:tcBorders>
                    <w:top w:val="nil"/>
                    <w:left w:val="single" w:color="000000" w:sz="2" w:space="0"/>
                    <w:bottom w:val="single" w:color="000000" w:sz="2" w:space="0"/>
                    <w:right w:val="single" w:color="000000" w:sz="2" w:space="0"/>
                    <w:tl2br w:val="nil"/>
                    <w:tr2bl w:val="nil"/>
                  </w:tcBorders>
                  <w:noWrap w:val="0"/>
                  <w:vAlign w:val="top"/>
                </w:tcPr>
                <w:p w14:paraId="5AF2D7D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c>
                <w:tcPr>
                  <w:tcW w:w="1023" w:type="dxa"/>
                  <w:vMerge w:val="continue"/>
                  <w:tcBorders>
                    <w:top w:val="nil"/>
                    <w:left w:val="single" w:color="000000" w:sz="2" w:space="0"/>
                    <w:bottom w:val="nil"/>
                    <w:right w:val="single" w:color="000000" w:sz="2" w:space="0"/>
                    <w:tl2br w:val="nil"/>
                    <w:tr2bl w:val="nil"/>
                  </w:tcBorders>
                  <w:noWrap w:val="0"/>
                  <w:vAlign w:val="top"/>
                </w:tcPr>
                <w:p w14:paraId="35AD8BD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r>
            <w:tr w14:paraId="2D0E6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 w:hRule="atLeast"/>
              </w:trPr>
              <w:tc>
                <w:tcPr>
                  <w:tcW w:w="513" w:type="dxa"/>
                  <w:vMerge w:val="continue"/>
                  <w:tcBorders>
                    <w:top w:val="nil"/>
                    <w:left w:val="single" w:color="000000" w:sz="2" w:space="0"/>
                    <w:bottom w:val="single" w:color="000000" w:sz="2" w:space="0"/>
                    <w:right w:val="single" w:color="000000" w:sz="2" w:space="0"/>
                    <w:tl2br w:val="nil"/>
                    <w:tr2bl w:val="nil"/>
                  </w:tcBorders>
                  <w:noWrap w:val="0"/>
                  <w:textDirection w:val="tbRlV"/>
                  <w:vAlign w:val="top"/>
                </w:tcPr>
                <w:p w14:paraId="642E635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c>
                <w:tcPr>
                  <w:tcW w:w="1282" w:type="dxa"/>
                  <w:vMerge w:val="continue"/>
                  <w:tcBorders>
                    <w:top w:val="nil"/>
                    <w:left w:val="single" w:color="000000" w:sz="2" w:space="0"/>
                    <w:bottom w:val="single" w:color="000000" w:sz="2" w:space="0"/>
                    <w:right w:val="single" w:color="000000" w:sz="2" w:space="0"/>
                    <w:tl2br w:val="nil"/>
                    <w:tr2bl w:val="nil"/>
                  </w:tcBorders>
                  <w:noWrap w:val="0"/>
                  <w:vAlign w:val="center"/>
                </w:tcPr>
                <w:p w14:paraId="05781E9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8737C0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昼间</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77CC74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夜间</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E67789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昼间</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4A16E0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夜间</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AD0F4C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昼间</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50221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夜间</w:t>
                  </w:r>
                </w:p>
              </w:tc>
              <w:tc>
                <w:tcPr>
                  <w:tcW w:w="1023" w:type="dxa"/>
                  <w:vMerge w:val="continue"/>
                  <w:tcBorders>
                    <w:top w:val="nil"/>
                    <w:left w:val="single" w:color="000000" w:sz="2" w:space="0"/>
                    <w:bottom w:val="single" w:color="000000" w:sz="2" w:space="0"/>
                    <w:right w:val="single" w:color="000000" w:sz="2" w:space="0"/>
                    <w:tl2br w:val="nil"/>
                    <w:tr2bl w:val="nil"/>
                  </w:tcBorders>
                  <w:noWrap w:val="0"/>
                  <w:vAlign w:val="center"/>
                </w:tcPr>
                <w:p w14:paraId="5C2570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p>
              </w:tc>
            </w:tr>
            <w:tr w14:paraId="2DEFC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B094C3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N1</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24115A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大丫口</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4B0390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2</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587C7F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3</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5F13A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52</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BE4612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0</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09E65D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2</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F616A5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1.5</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DABF81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233D0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DE2B1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N2</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D50F8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唐家村</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D5B2CF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0</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F0668F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44</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DCAA63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49</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4BAF52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39</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00BD7A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49.5</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5D64DC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41.5</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C76A35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0223E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61DC4B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N3</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073A18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大箐湾子</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98C88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53</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0141BB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44</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1083CD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1</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909778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44</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A313F4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2</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120D5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44</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21F66B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24981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DA3C4A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N4</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34F778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义庄</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FC4A4E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49</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626EAD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42</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178F0C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49</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4FB138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42</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024F52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49</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D52658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42</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130A34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0ECFE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F7A711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5</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040ADA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郑家坪</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61563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51</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D8A385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39</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F2A0BB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1</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A0F198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43</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6783B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1</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77BA94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41</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B41F0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0887E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96485C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6</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4BD6CC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周家沟</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823B34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47</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93571D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36</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6E963E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52</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E1963D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38</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E591F1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49.5</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898003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37</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7F0D31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38ED3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D56095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7</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BB77E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半山</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BC107E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1</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62DF87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0</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612C28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0</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89E32F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3</w:t>
                  </w:r>
                  <w:r>
                    <w:rPr>
                      <w:rFonts w:hint="default" w:ascii="Times New Roman" w:hAnsi="Times New Roman" w:eastAsia="仿宋" w:cs="Times New Roman"/>
                      <w:color w:val="auto"/>
                      <w:spacing w:val="-2"/>
                      <w:sz w:val="21"/>
                      <w:szCs w:val="21"/>
                      <w:highlight w:val="none"/>
                      <w:lang w:eastAsia="zh-CN"/>
                    </w:rPr>
                    <w:t>8</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90E00A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eastAsia="zh-CN"/>
                    </w:rPr>
                    <w:t>5</w:t>
                  </w:r>
                  <w:r>
                    <w:rPr>
                      <w:rFonts w:hint="default" w:ascii="Times New Roman" w:hAnsi="Times New Roman" w:eastAsia="仿宋" w:cs="Times New Roman"/>
                      <w:color w:val="auto"/>
                      <w:spacing w:val="-2"/>
                      <w:sz w:val="21"/>
                      <w:szCs w:val="21"/>
                      <w:highlight w:val="none"/>
                      <w:lang w:val="en-US" w:eastAsia="zh-CN"/>
                    </w:rPr>
                    <w:t>0.5</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F687EF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39</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7946AC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19AEE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E5B1DC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8</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1AF367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马路沟</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566837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45</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4A4485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35</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31FFE0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46</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0F118D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36</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3AC609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45.5</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FA4286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35.5</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9E0608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17DB0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3BBB6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9</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34840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升压站地址东侧厂界外1m</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F80536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46</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1806D7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AD52F0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45</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A82B3F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2</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2B1262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45.5</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BADE35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1.5</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DDE5F2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519A3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4A7322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10</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4AAD56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升压站地址南侧厂界外1m</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35AEDC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44</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D79EA1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2</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1A2D46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45</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446D62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43</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5600C2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44.5</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6EEB4B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2.5</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2C7AB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78DBB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F51D7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11</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DDEDC3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升压站地址西侧厂界外1m</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F10559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41</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B3F6A3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0</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2D7FE0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43</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E26D3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CF96A0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42</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0ED855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1.5</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87A539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r w14:paraId="187E6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1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F81F63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rPr>
                    <w:t>N</w:t>
                  </w:r>
                  <w:r>
                    <w:rPr>
                      <w:rFonts w:hint="default" w:ascii="Times New Roman" w:hAnsi="Times New Roman" w:eastAsia="仿宋" w:cs="Times New Roman"/>
                      <w:color w:val="auto"/>
                      <w:spacing w:val="-2"/>
                      <w:sz w:val="21"/>
                      <w:szCs w:val="21"/>
                      <w:highlight w:val="none"/>
                      <w:lang w:eastAsia="zh-CN"/>
                    </w:rPr>
                    <w:t>12</w:t>
                  </w:r>
                </w:p>
              </w:tc>
              <w:tc>
                <w:tcPr>
                  <w:tcW w:w="12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F7F3ED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eastAsia="zh-CN"/>
                    </w:rPr>
                    <w:t>升压站地址北侧厂界外1m</w:t>
                  </w:r>
                </w:p>
              </w:tc>
              <w:tc>
                <w:tcPr>
                  <w:tcW w:w="93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AD0DD0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44</w:t>
                  </w:r>
                </w:p>
              </w:tc>
              <w:tc>
                <w:tcPr>
                  <w:tcW w:w="81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F5FAD6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w:t>
                  </w:r>
                </w:p>
              </w:tc>
              <w:tc>
                <w:tcPr>
                  <w:tcW w:w="8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3CACD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val="en-US" w:eastAsia="zh-CN"/>
                    </w:rPr>
                    <w:t>4</w:t>
                  </w:r>
                  <w:r>
                    <w:rPr>
                      <w:rFonts w:hint="default" w:ascii="Times New Roman" w:hAnsi="Times New Roman" w:eastAsia="仿宋" w:cs="Times New Roman"/>
                      <w:color w:val="auto"/>
                      <w:spacing w:val="-2"/>
                      <w:sz w:val="21"/>
                      <w:szCs w:val="21"/>
                      <w:highlight w:val="none"/>
                      <w:lang w:eastAsia="zh-CN"/>
                    </w:rPr>
                    <w:t>3</w:t>
                  </w:r>
                </w:p>
              </w:tc>
              <w:tc>
                <w:tcPr>
                  <w:tcW w:w="68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ED2C04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w:t>
                  </w:r>
                </w:p>
              </w:tc>
              <w:tc>
                <w:tcPr>
                  <w:tcW w:w="7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2B8E3D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42</w:t>
                  </w:r>
                </w:p>
              </w:tc>
              <w:tc>
                <w:tcPr>
                  <w:tcW w:w="6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B6AFEE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eastAsia="zh-CN"/>
                    </w:rPr>
                  </w:pPr>
                  <w:r>
                    <w:rPr>
                      <w:rFonts w:hint="default" w:ascii="Times New Roman" w:hAnsi="Times New Roman" w:eastAsia="仿宋" w:cs="Times New Roman"/>
                      <w:color w:val="auto"/>
                      <w:spacing w:val="-2"/>
                      <w:sz w:val="21"/>
                      <w:szCs w:val="21"/>
                      <w:highlight w:val="none"/>
                      <w:lang w:eastAsia="zh-CN"/>
                    </w:rPr>
                    <w:t>4</w:t>
                  </w:r>
                  <w:r>
                    <w:rPr>
                      <w:rFonts w:hint="default" w:ascii="Times New Roman" w:hAnsi="Times New Roman" w:eastAsia="仿宋" w:cs="Times New Roman"/>
                      <w:color w:val="auto"/>
                      <w:spacing w:val="-2"/>
                      <w:sz w:val="21"/>
                      <w:szCs w:val="21"/>
                      <w:highlight w:val="none"/>
                      <w:lang w:val="en-US" w:eastAsia="zh-CN"/>
                    </w:rPr>
                    <w:t>1</w:t>
                  </w:r>
                </w:p>
              </w:tc>
              <w:tc>
                <w:tcPr>
                  <w:tcW w:w="102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9DC5E2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达标</w:t>
                  </w:r>
                </w:p>
              </w:tc>
            </w:tr>
          </w:tbl>
          <w:p w14:paraId="794C4C5B">
            <w:pPr>
              <w:keepNext w:val="0"/>
              <w:keepLines w:val="0"/>
              <w:pageBreakBefore w:val="0"/>
              <w:widowControl w:val="0"/>
              <w:suppressLineNumbers w:val="0"/>
              <w:kinsoku/>
              <w:wordWrap/>
              <w:overflowPunct/>
              <w:topLinePunct w:val="0"/>
              <w:autoSpaceDE/>
              <w:autoSpaceDN/>
              <w:bidi w:val="0"/>
              <w:adjustRightInd/>
              <w:snapToGrid/>
              <w:spacing w:before="159" w:beforeLines="0" w:beforeAutospacing="0" w:after="0" w:afterLines="0" w:afterAutospacing="0" w:line="359" w:lineRule="auto"/>
              <w:ind w:left="0" w:right="0" w:firstLine="521"/>
              <w:textAlignment w:val="auto"/>
              <w:rPr>
                <w:rFonts w:hint="default" w:ascii="Times New Roman" w:hAnsi="Times New Roman" w:eastAsia="仿宋" w:cs="Times New Roman"/>
                <w:color w:val="auto"/>
                <w:spacing w:val="0"/>
                <w:w w:val="100"/>
                <w:sz w:val="24"/>
                <w:szCs w:val="24"/>
                <w:highlight w:val="none"/>
              </w:rPr>
            </w:pPr>
            <w:r>
              <w:rPr>
                <w:rFonts w:hint="default" w:ascii="Times New Roman" w:hAnsi="Times New Roman" w:eastAsia="仿宋" w:cs="Times New Roman"/>
                <w:color w:val="auto"/>
                <w:spacing w:val="0"/>
                <w:w w:val="100"/>
                <w:sz w:val="24"/>
                <w:szCs w:val="24"/>
                <w:highlight w:val="none"/>
              </w:rPr>
              <w:t>由表可知，</w:t>
            </w:r>
            <w:r>
              <w:rPr>
                <w:rFonts w:hint="default" w:ascii="Times New Roman" w:hAnsi="Times New Roman" w:eastAsia="仿宋" w:cs="Times New Roman"/>
                <w:color w:val="auto"/>
                <w:spacing w:val="0"/>
                <w:w w:val="100"/>
                <w:sz w:val="24"/>
                <w:szCs w:val="24"/>
                <w:highlight w:val="none"/>
                <w:lang w:val="en-US" w:eastAsia="zh-CN"/>
              </w:rPr>
              <w:t>项目所在区域</w:t>
            </w:r>
            <w:r>
              <w:rPr>
                <w:rFonts w:hint="default" w:ascii="Times New Roman" w:hAnsi="Times New Roman" w:eastAsia="仿宋" w:cs="Times New Roman"/>
                <w:color w:val="auto"/>
                <w:spacing w:val="0"/>
                <w:w w:val="100"/>
                <w:sz w:val="24"/>
                <w:szCs w:val="24"/>
                <w:highlight w:val="none"/>
              </w:rPr>
              <w:t>声环境质量现状良好，各监测点位噪声值均满足《声环境质量标准》（GB3096-2008）中的 1 类标准。</w:t>
            </w:r>
          </w:p>
          <w:p w14:paraId="791ECDF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34" w:lineRule="auto"/>
              <w:ind w:left="0" w:leftChars="0" w:right="0" w:firstLine="0" w:firstLineChars="0"/>
              <w:textAlignment w:val="auto"/>
              <w:rPr>
                <w:rFonts w:hint="default" w:ascii="Times New Roman" w:hAnsi="Times New Roman" w:eastAsia="仿宋" w:cs="Times New Roman"/>
                <w:b/>
                <w:bCs/>
                <w:color w:val="auto"/>
                <w:spacing w:val="0"/>
                <w:w w:val="100"/>
                <w:sz w:val="24"/>
                <w:szCs w:val="24"/>
                <w:highlight w:val="none"/>
              </w:rPr>
            </w:pPr>
            <w:r>
              <w:rPr>
                <w:rFonts w:hint="eastAsia" w:cs="Times New Roman"/>
                <w:b/>
                <w:bCs/>
                <w:color w:val="auto"/>
                <w:spacing w:val="0"/>
                <w:w w:val="100"/>
                <w:sz w:val="24"/>
                <w:szCs w:val="24"/>
                <w:highlight w:val="none"/>
                <w:lang w:val="en-US" w:eastAsia="zh-CN"/>
              </w:rPr>
              <w:t xml:space="preserve">3.3.4 </w:t>
            </w:r>
            <w:r>
              <w:rPr>
                <w:rFonts w:hint="default" w:ascii="Times New Roman" w:hAnsi="Times New Roman" w:eastAsia="仿宋" w:cs="Times New Roman"/>
                <w:b/>
                <w:bCs/>
                <w:color w:val="auto"/>
                <w:spacing w:val="0"/>
                <w:w w:val="100"/>
                <w:sz w:val="24"/>
                <w:szCs w:val="24"/>
                <w:highlight w:val="none"/>
              </w:rPr>
              <w:t>电磁环境监测</w:t>
            </w:r>
          </w:p>
          <w:p w14:paraId="304A95F0">
            <w:pPr>
              <w:keepNext w:val="0"/>
              <w:keepLines w:val="0"/>
              <w:pageBreakBefore w:val="0"/>
              <w:widowControl w:val="0"/>
              <w:suppressLineNumbers w:val="0"/>
              <w:kinsoku/>
              <w:wordWrap/>
              <w:overflowPunct/>
              <w:topLinePunct w:val="0"/>
              <w:autoSpaceDE/>
              <w:autoSpaceDN/>
              <w:bidi w:val="0"/>
              <w:adjustRightInd/>
              <w:snapToGrid/>
              <w:spacing w:before="163" w:beforeLines="0" w:beforeAutospacing="0" w:after="0" w:afterLines="0" w:afterAutospacing="0" w:line="233" w:lineRule="auto"/>
              <w:ind w:left="0" w:right="0"/>
              <w:textAlignment w:val="auto"/>
              <w:rPr>
                <w:rFonts w:hint="default" w:ascii="Times New Roman" w:hAnsi="Times New Roman" w:eastAsia="仿宋" w:cs="Times New Roman"/>
                <w:color w:val="auto"/>
                <w:spacing w:val="0"/>
                <w:w w:val="100"/>
                <w:sz w:val="24"/>
                <w:szCs w:val="24"/>
                <w:highlight w:val="none"/>
              </w:rPr>
            </w:pPr>
            <w:r>
              <w:rPr>
                <w:rFonts w:hint="default" w:ascii="Times New Roman" w:hAnsi="Times New Roman" w:eastAsia="仿宋" w:cs="Times New Roman"/>
                <w:color w:val="auto"/>
                <w:spacing w:val="0"/>
                <w:w w:val="100"/>
                <w:sz w:val="24"/>
                <w:szCs w:val="24"/>
                <w:highlight w:val="none"/>
              </w:rPr>
              <w:t>（1）监测布点</w:t>
            </w:r>
          </w:p>
          <w:p w14:paraId="71E5CE8E">
            <w:pPr>
              <w:keepNext w:val="0"/>
              <w:keepLines w:val="0"/>
              <w:pageBreakBefore w:val="0"/>
              <w:widowControl w:val="0"/>
              <w:suppressLineNumbers w:val="0"/>
              <w:kinsoku/>
              <w:wordWrap/>
              <w:overflowPunct/>
              <w:topLinePunct w:val="0"/>
              <w:autoSpaceDE/>
              <w:autoSpaceDN/>
              <w:bidi w:val="0"/>
              <w:adjustRightInd/>
              <w:snapToGrid/>
              <w:spacing w:before="165" w:beforeLines="0" w:beforeAutospacing="0" w:after="0" w:afterLines="0" w:afterAutospacing="0" w:line="359" w:lineRule="auto"/>
              <w:ind w:left="0" w:right="0" w:firstLine="482"/>
              <w:textAlignment w:val="auto"/>
              <w:rPr>
                <w:rFonts w:hint="default" w:ascii="Times New Roman" w:hAnsi="Times New Roman" w:eastAsia="仿宋" w:cs="Times New Roman"/>
                <w:color w:val="auto"/>
                <w:spacing w:val="0"/>
                <w:w w:val="100"/>
                <w:sz w:val="24"/>
                <w:szCs w:val="24"/>
                <w:highlight w:val="none"/>
              </w:rPr>
            </w:pPr>
            <w:r>
              <w:rPr>
                <w:rFonts w:hint="default" w:ascii="Times New Roman" w:hAnsi="Times New Roman" w:eastAsia="仿宋" w:cs="Times New Roman"/>
                <w:color w:val="auto"/>
                <w:spacing w:val="0"/>
                <w:w w:val="100"/>
                <w:sz w:val="24"/>
                <w:szCs w:val="24"/>
                <w:highlight w:val="none"/>
              </w:rPr>
              <w:t xml:space="preserve">经现场调查，工程区内无其他电磁环境污染源，且辐射评价范围40m 内无居民点分布。根据《环境影响评价技术导则 输变电》（HJ24-2020）中的监测点位及布点方法，在升压站中心点布设一个监测点位，监测点位见表 </w:t>
            </w:r>
            <w:r>
              <w:rPr>
                <w:rFonts w:hint="eastAsia" w:cs="Times New Roman"/>
                <w:color w:val="auto"/>
                <w:spacing w:val="0"/>
                <w:w w:val="100"/>
                <w:sz w:val="24"/>
                <w:szCs w:val="24"/>
                <w:highlight w:val="none"/>
                <w:lang w:val="en-US" w:eastAsia="zh-CN"/>
              </w:rPr>
              <w:t>3.3-3</w:t>
            </w:r>
            <w:r>
              <w:rPr>
                <w:rFonts w:hint="default" w:ascii="Times New Roman" w:hAnsi="Times New Roman" w:eastAsia="仿宋" w:cs="Times New Roman"/>
                <w:color w:val="auto"/>
                <w:spacing w:val="0"/>
                <w:w w:val="100"/>
                <w:sz w:val="24"/>
                <w:szCs w:val="24"/>
                <w:highlight w:val="none"/>
              </w:rPr>
              <w:t>。</w:t>
            </w:r>
          </w:p>
          <w:p w14:paraId="44CA73A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Lines="0" w:afterAutospacing="0" w:line="214" w:lineRule="auto"/>
              <w:ind w:left="0" w:right="0"/>
              <w:jc w:val="center"/>
              <w:textAlignment w:val="auto"/>
              <w:rPr>
                <w:rFonts w:hint="default" w:ascii="Times New Roman" w:hAnsi="Times New Roman" w:eastAsia="仿宋" w:cs="Times New Roman"/>
                <w:b/>
                <w:bCs/>
                <w:color w:val="auto"/>
                <w:spacing w:val="-2"/>
                <w:sz w:val="21"/>
                <w:szCs w:val="21"/>
                <w:highlight w:val="none"/>
              </w:rPr>
            </w:pPr>
            <w:r>
              <w:rPr>
                <w:rFonts w:hint="default" w:ascii="Times New Roman" w:hAnsi="Times New Roman" w:eastAsia="仿宋" w:cs="Times New Roman"/>
                <w:b/>
                <w:bCs/>
                <w:color w:val="auto"/>
                <w:spacing w:val="-2"/>
                <w:sz w:val="21"/>
                <w:szCs w:val="21"/>
                <w:highlight w:val="none"/>
              </w:rPr>
              <w:t xml:space="preserve">表 </w:t>
            </w:r>
            <w:r>
              <w:rPr>
                <w:rFonts w:hint="eastAsia" w:cs="Times New Roman"/>
                <w:b/>
                <w:bCs/>
                <w:color w:val="auto"/>
                <w:spacing w:val="-2"/>
                <w:sz w:val="21"/>
                <w:szCs w:val="21"/>
                <w:highlight w:val="none"/>
                <w:lang w:val="en-US" w:eastAsia="zh-CN"/>
              </w:rPr>
              <w:t>3.3-3</w:t>
            </w:r>
            <w:r>
              <w:rPr>
                <w:rFonts w:hint="default" w:ascii="Times New Roman" w:hAnsi="Times New Roman" w:eastAsia="仿宋" w:cs="Times New Roman"/>
                <w:b/>
                <w:bCs/>
                <w:color w:val="auto"/>
                <w:spacing w:val="-2"/>
                <w:sz w:val="21"/>
                <w:szCs w:val="21"/>
                <w:highlight w:val="none"/>
              </w:rPr>
              <w:t xml:space="preserve"> 迤车镇中寨村委会竹子箐光伏项目电磁环境监测点位</w:t>
            </w:r>
          </w:p>
          <w:tbl>
            <w:tblPr>
              <w:tblStyle w:val="10"/>
              <w:tblW w:w="484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3"/>
              <w:gridCol w:w="1727"/>
              <w:gridCol w:w="2435"/>
              <w:gridCol w:w="2798"/>
            </w:tblGrid>
            <w:tr w14:paraId="6B18D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jc w:val="center"/>
              </w:trPr>
              <w:tc>
                <w:tcPr>
                  <w:tcW w:w="64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25055F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5"/>
                      <w:sz w:val="21"/>
                      <w:szCs w:val="21"/>
                      <w:highlight w:val="none"/>
                    </w:rPr>
                    <w:t>点位</w:t>
                  </w:r>
                </w:p>
              </w:tc>
              <w:tc>
                <w:tcPr>
                  <w:tcW w:w="17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3BF7E3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监测点</w:t>
                  </w:r>
                </w:p>
              </w:tc>
              <w:tc>
                <w:tcPr>
                  <w:tcW w:w="243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9A14CE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经纬度</w:t>
                  </w:r>
                </w:p>
              </w:tc>
              <w:tc>
                <w:tcPr>
                  <w:tcW w:w="2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4C54C1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与升压站位置关系</w:t>
                  </w:r>
                </w:p>
              </w:tc>
            </w:tr>
            <w:tr w14:paraId="24E7B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jc w:val="center"/>
              </w:trPr>
              <w:tc>
                <w:tcPr>
                  <w:tcW w:w="64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159EA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D1</w:t>
                  </w:r>
                </w:p>
              </w:tc>
              <w:tc>
                <w:tcPr>
                  <w:tcW w:w="17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F06785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新建</w:t>
                  </w:r>
                  <w:r>
                    <w:rPr>
                      <w:rFonts w:hint="default" w:ascii="Times New Roman" w:hAnsi="Times New Roman" w:eastAsia="仿宋" w:cs="Times New Roman"/>
                      <w:color w:val="auto"/>
                      <w:spacing w:val="-40"/>
                      <w:sz w:val="21"/>
                      <w:szCs w:val="21"/>
                      <w:highlight w:val="none"/>
                    </w:rPr>
                    <w:t xml:space="preserve"> </w:t>
                  </w:r>
                  <w:r>
                    <w:rPr>
                      <w:rFonts w:hint="default" w:ascii="Times New Roman" w:hAnsi="Times New Roman" w:eastAsia="仿宋" w:cs="Times New Roman"/>
                      <w:color w:val="auto"/>
                      <w:spacing w:val="-2"/>
                      <w:sz w:val="21"/>
                      <w:szCs w:val="21"/>
                      <w:highlight w:val="none"/>
                    </w:rPr>
                    <w:t>220kV 升压站站址中心</w:t>
                  </w:r>
                </w:p>
              </w:tc>
              <w:tc>
                <w:tcPr>
                  <w:tcW w:w="243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12AD40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highlight w:val="none"/>
                    </w:rPr>
                    <w:t>东经</w:t>
                  </w:r>
                  <w:r>
                    <w:rPr>
                      <w:rFonts w:hint="default" w:ascii="Times New Roman" w:hAnsi="Times New Roman" w:eastAsia="仿宋" w:cs="Times New Roman"/>
                      <w:color w:val="auto"/>
                      <w:highlight w:val="none"/>
                      <w:lang w:val="en-US" w:eastAsia="zh-CN"/>
                    </w:rPr>
                    <w:t>103</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33</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1</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644</w:t>
                  </w:r>
                  <w:r>
                    <w:rPr>
                      <w:rFonts w:hint="default" w:ascii="Times New Roman" w:hAnsi="Times New Roman" w:eastAsia="仿宋" w:cs="Times New Roman"/>
                      <w:color w:val="auto"/>
                      <w:highlight w:val="none"/>
                    </w:rPr>
                    <w:t>″，北纬2</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val="en-US" w:eastAsia="zh-CN"/>
                    </w:rPr>
                    <w:t>53</w:t>
                  </w:r>
                  <w:r>
                    <w:rPr>
                      <w:rFonts w:hint="default" w:ascii="Times New Roman" w:hAnsi="Times New Roman" w:eastAsia="仿宋" w:cs="Times New Roman"/>
                      <w:color w:val="auto"/>
                      <w:highlight w:val="none"/>
                    </w:rPr>
                    <w:t>′5</w:t>
                  </w:r>
                  <w:r>
                    <w:rPr>
                      <w:rFonts w:hint="default" w:ascii="Times New Roman" w:hAnsi="Times New Roman" w:eastAsia="仿宋" w:cs="Times New Roman"/>
                      <w:color w:val="auto"/>
                      <w:highlight w:val="none"/>
                      <w:lang w:val="en-US" w:eastAsia="zh-CN"/>
                    </w:rPr>
                    <w:t>8</w:t>
                  </w:r>
                  <w:r>
                    <w:rPr>
                      <w:rFonts w:hint="default" w:ascii="Times New Roman" w:hAnsi="Times New Roman" w:eastAsia="仿宋" w:cs="Times New Roman"/>
                      <w:color w:val="auto"/>
                      <w:highlight w:val="none"/>
                    </w:rPr>
                    <w:t>.8</w:t>
                  </w:r>
                  <w:r>
                    <w:rPr>
                      <w:rFonts w:hint="default" w:ascii="Times New Roman" w:hAnsi="Times New Roman" w:eastAsia="仿宋" w:cs="Times New Roman"/>
                      <w:color w:val="auto"/>
                      <w:highlight w:val="none"/>
                      <w:lang w:val="en-US" w:eastAsia="zh-CN"/>
                    </w:rPr>
                    <w:t>95</w:t>
                  </w:r>
                  <w:r>
                    <w:rPr>
                      <w:rFonts w:hint="default" w:ascii="Times New Roman" w:hAnsi="Times New Roman" w:eastAsia="仿宋" w:cs="Times New Roman"/>
                      <w:color w:val="auto"/>
                      <w:highlight w:val="none"/>
                    </w:rPr>
                    <w:t>″</w:t>
                  </w:r>
                </w:p>
              </w:tc>
              <w:tc>
                <w:tcPr>
                  <w:tcW w:w="2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EA08E8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升压站站址中心</w:t>
                  </w:r>
                </w:p>
              </w:tc>
            </w:tr>
          </w:tbl>
          <w:p w14:paraId="5AEB328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（2）监测因子</w:t>
            </w:r>
          </w:p>
          <w:p w14:paraId="327404D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工频电场、工频磁场。</w:t>
            </w:r>
          </w:p>
          <w:p w14:paraId="68F3D2E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（3）监测频次</w:t>
            </w:r>
          </w:p>
          <w:p w14:paraId="11E4BEAD">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在输变电工程正常运行时间内进行监测，每个监测点连续测5次，每次监测时间不小于15秒，并读取稳定状态的最大值。</w:t>
            </w:r>
          </w:p>
          <w:p w14:paraId="47A7815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（4）监测分析方法和监测仪器</w:t>
            </w:r>
          </w:p>
          <w:p w14:paraId="5FC4E37B">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1）监测分析方法</w:t>
            </w:r>
          </w:p>
          <w:p w14:paraId="1426B533">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按照《交流输变电工程电磁环境监测方法（试行）》（HJ681-2013）、《输变电工程电磁环境监测技术规范》《DL/T334-2010》的要求执行。</w:t>
            </w:r>
          </w:p>
          <w:p w14:paraId="1272DB4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2）监测仪器</w:t>
            </w:r>
          </w:p>
          <w:p w14:paraId="6B6031C9">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监测仪器：</w:t>
            </w:r>
            <w:r>
              <w:rPr>
                <w:rFonts w:hint="default" w:ascii="Times New Roman" w:hAnsi="Times New Roman" w:eastAsia="仿宋" w:cs="Times New Roman"/>
                <w:b w:val="0"/>
                <w:bCs w:val="0"/>
                <w:color w:val="auto"/>
                <w:kern w:val="0"/>
                <w:sz w:val="24"/>
                <w:szCs w:val="24"/>
                <w:highlight w:val="none"/>
              </w:rPr>
              <w:t>ND1000 NDL-100</w:t>
            </w:r>
            <w:r>
              <w:rPr>
                <w:rFonts w:hint="default" w:ascii="Times New Roman" w:hAnsi="Times New Roman" w:eastAsia="仿宋" w:cs="Times New Roman"/>
                <w:color w:val="auto"/>
                <w:spacing w:val="0"/>
                <w:sz w:val="24"/>
                <w:szCs w:val="24"/>
                <w:highlight w:val="none"/>
              </w:rPr>
              <w:t>工频电磁分析仪</w:t>
            </w:r>
          </w:p>
          <w:p w14:paraId="22A8B1A0">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仪器编号：</w:t>
            </w:r>
            <w:r>
              <w:rPr>
                <w:rFonts w:hint="eastAsia" w:cs="Times New Roman"/>
                <w:color w:val="auto"/>
                <w:spacing w:val="0"/>
                <w:sz w:val="24"/>
                <w:szCs w:val="24"/>
                <w:highlight w:val="none"/>
                <w:lang w:val="en-US" w:eastAsia="zh-CN"/>
              </w:rPr>
              <w:t>JL155</w:t>
            </w:r>
          </w:p>
          <w:p w14:paraId="1CA536EA">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检定/校准有效期：2026年</w:t>
            </w:r>
            <w:r>
              <w:rPr>
                <w:rFonts w:hint="eastAsia" w:cs="Times New Roman"/>
                <w:color w:val="auto"/>
                <w:spacing w:val="0"/>
                <w:sz w:val="24"/>
                <w:szCs w:val="24"/>
                <w:highlight w:val="none"/>
                <w:lang w:val="en-US" w:eastAsia="zh-CN"/>
              </w:rPr>
              <w:t>3</w:t>
            </w:r>
            <w:r>
              <w:rPr>
                <w:rFonts w:hint="default" w:ascii="Times New Roman" w:hAnsi="Times New Roman" w:eastAsia="仿宋" w:cs="Times New Roman"/>
                <w:color w:val="auto"/>
                <w:spacing w:val="0"/>
                <w:sz w:val="24"/>
                <w:szCs w:val="24"/>
                <w:highlight w:val="none"/>
              </w:rPr>
              <w:t>月</w:t>
            </w:r>
            <w:r>
              <w:rPr>
                <w:rFonts w:hint="eastAsia" w:cs="Times New Roman"/>
                <w:color w:val="auto"/>
                <w:spacing w:val="0"/>
                <w:sz w:val="24"/>
                <w:szCs w:val="24"/>
                <w:highlight w:val="none"/>
                <w:lang w:val="en-US" w:eastAsia="zh-CN"/>
              </w:rPr>
              <w:t>27</w:t>
            </w:r>
            <w:r>
              <w:rPr>
                <w:rFonts w:hint="default" w:ascii="Times New Roman" w:hAnsi="Times New Roman" w:eastAsia="仿宋" w:cs="Times New Roman"/>
                <w:color w:val="auto"/>
                <w:spacing w:val="0"/>
                <w:sz w:val="24"/>
                <w:szCs w:val="24"/>
                <w:highlight w:val="none"/>
              </w:rPr>
              <w:t>日</w:t>
            </w:r>
          </w:p>
          <w:p w14:paraId="71E1A368">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证书编号：</w:t>
            </w:r>
            <w:r>
              <w:rPr>
                <w:rFonts w:hint="eastAsia" w:cs="Times New Roman"/>
                <w:color w:val="auto"/>
                <w:spacing w:val="0"/>
                <w:sz w:val="24"/>
                <w:szCs w:val="24"/>
                <w:highlight w:val="none"/>
                <w:lang w:val="en-US" w:eastAsia="zh-CN"/>
              </w:rPr>
              <w:t>WWD202500874</w:t>
            </w:r>
          </w:p>
          <w:p w14:paraId="747AAD1A">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检定/校准单位：</w:t>
            </w:r>
            <w:r>
              <w:rPr>
                <w:rFonts w:hint="eastAsia" w:cs="Times New Roman"/>
                <w:color w:val="auto"/>
                <w:spacing w:val="0"/>
                <w:sz w:val="24"/>
                <w:szCs w:val="24"/>
                <w:highlight w:val="none"/>
                <w:lang w:val="en-US" w:eastAsia="zh-CN"/>
              </w:rPr>
              <w:t>华南国家计量测试中心广东省计量科学研究院</w:t>
            </w:r>
          </w:p>
          <w:p w14:paraId="52A4C33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（5）现状监测结果及分析</w:t>
            </w:r>
          </w:p>
          <w:p w14:paraId="196F86B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根据监测布点要求，项目周围电磁环境监测结果见表</w:t>
            </w:r>
            <w:r>
              <w:rPr>
                <w:rFonts w:hint="eastAsia" w:cs="Times New Roman"/>
                <w:color w:val="auto"/>
                <w:spacing w:val="0"/>
                <w:sz w:val="24"/>
                <w:szCs w:val="24"/>
                <w:highlight w:val="none"/>
                <w:lang w:val="en-US" w:eastAsia="zh-CN"/>
              </w:rPr>
              <w:t>3.3-4</w:t>
            </w:r>
            <w:r>
              <w:rPr>
                <w:rFonts w:hint="default" w:ascii="Times New Roman" w:hAnsi="Times New Roman" w:eastAsia="仿宋" w:cs="Times New Roman"/>
                <w:color w:val="auto"/>
                <w:spacing w:val="0"/>
                <w:sz w:val="24"/>
                <w:szCs w:val="24"/>
                <w:highlight w:val="none"/>
              </w:rPr>
              <w:t>所示。</w:t>
            </w:r>
          </w:p>
          <w:p w14:paraId="23245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right="0" w:firstLine="0" w:firstLineChars="0"/>
              <w:jc w:val="center"/>
              <w:textAlignment w:val="auto"/>
              <w:rPr>
                <w:rFonts w:hint="default" w:ascii="Times New Roman" w:hAnsi="Times New Roman" w:eastAsia="仿宋" w:cs="Times New Roman"/>
                <w:b/>
                <w:bCs/>
                <w:color w:val="auto"/>
                <w:spacing w:val="-2"/>
                <w:sz w:val="21"/>
                <w:szCs w:val="21"/>
                <w:highlight w:val="none"/>
              </w:rPr>
            </w:pPr>
            <w:r>
              <w:rPr>
                <w:rFonts w:hint="default" w:ascii="Times New Roman" w:hAnsi="Times New Roman" w:eastAsia="仿宋" w:cs="Times New Roman"/>
                <w:b/>
                <w:bCs/>
                <w:color w:val="auto"/>
                <w:spacing w:val="-2"/>
                <w:sz w:val="21"/>
                <w:szCs w:val="21"/>
                <w:highlight w:val="none"/>
              </w:rPr>
              <w:t>表</w:t>
            </w:r>
            <w:r>
              <w:rPr>
                <w:rFonts w:hint="eastAsia" w:cs="Times New Roman"/>
                <w:b/>
                <w:bCs/>
                <w:color w:val="auto"/>
                <w:spacing w:val="-2"/>
                <w:sz w:val="21"/>
                <w:szCs w:val="21"/>
                <w:highlight w:val="none"/>
                <w:lang w:val="en-US" w:eastAsia="zh-CN"/>
              </w:rPr>
              <w:t>3.3-4</w:t>
            </w:r>
            <w:r>
              <w:rPr>
                <w:rFonts w:hint="default" w:ascii="Times New Roman" w:hAnsi="Times New Roman" w:eastAsia="仿宋" w:cs="Times New Roman"/>
                <w:b/>
                <w:bCs/>
                <w:color w:val="auto"/>
                <w:spacing w:val="-2"/>
                <w:sz w:val="21"/>
                <w:szCs w:val="21"/>
                <w:highlight w:val="none"/>
                <w:lang w:val="en-US" w:eastAsia="zh-CN"/>
              </w:rPr>
              <w:t xml:space="preserve"> </w:t>
            </w:r>
            <w:r>
              <w:rPr>
                <w:rFonts w:hint="default" w:ascii="Times New Roman" w:hAnsi="Times New Roman" w:eastAsia="仿宋" w:cs="Times New Roman"/>
                <w:b/>
                <w:bCs/>
                <w:color w:val="auto"/>
                <w:spacing w:val="-2"/>
                <w:sz w:val="21"/>
                <w:szCs w:val="21"/>
                <w:highlight w:val="none"/>
              </w:rPr>
              <w:t>电磁环境现状监测结果表</w:t>
            </w:r>
          </w:p>
          <w:tbl>
            <w:tblPr>
              <w:tblStyle w:val="11"/>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0"/>
              <w:gridCol w:w="1171"/>
              <w:gridCol w:w="691"/>
              <w:gridCol w:w="723"/>
              <w:gridCol w:w="691"/>
              <w:gridCol w:w="723"/>
              <w:gridCol w:w="691"/>
              <w:gridCol w:w="765"/>
              <w:gridCol w:w="772"/>
            </w:tblGrid>
            <w:tr w14:paraId="4605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80" w:type="dxa"/>
                  <w:vMerge w:val="restart"/>
                  <w:noWrap w:val="0"/>
                  <w:vAlign w:val="center"/>
                </w:tcPr>
                <w:p w14:paraId="7DEED79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监测内容</w:t>
                  </w:r>
                </w:p>
              </w:tc>
              <w:tc>
                <w:tcPr>
                  <w:tcW w:w="850" w:type="dxa"/>
                  <w:vMerge w:val="restart"/>
                  <w:noWrap w:val="0"/>
                  <w:vAlign w:val="center"/>
                </w:tcPr>
                <w:p w14:paraId="3760534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检测点位置</w:t>
                  </w:r>
                </w:p>
              </w:tc>
              <w:tc>
                <w:tcPr>
                  <w:tcW w:w="1171" w:type="dxa"/>
                  <w:vMerge w:val="restart"/>
                  <w:noWrap w:val="0"/>
                  <w:vAlign w:val="center"/>
                </w:tcPr>
                <w:p w14:paraId="357EDF3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监测日期</w:t>
                  </w:r>
                </w:p>
              </w:tc>
              <w:tc>
                <w:tcPr>
                  <w:tcW w:w="5056" w:type="dxa"/>
                  <w:gridSpan w:val="7"/>
                  <w:noWrap w:val="0"/>
                  <w:vAlign w:val="center"/>
                </w:tcPr>
                <w:p w14:paraId="5A8CF5F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检测结果</w:t>
                  </w:r>
                </w:p>
              </w:tc>
            </w:tr>
            <w:tr w14:paraId="0184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80" w:type="dxa"/>
                  <w:vMerge w:val="continue"/>
                  <w:noWrap w:val="0"/>
                  <w:vAlign w:val="center"/>
                </w:tcPr>
                <w:p w14:paraId="6DBC623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850" w:type="dxa"/>
                  <w:vMerge w:val="continue"/>
                  <w:noWrap w:val="0"/>
                  <w:vAlign w:val="center"/>
                </w:tcPr>
                <w:p w14:paraId="0A7B77C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171" w:type="dxa"/>
                  <w:vMerge w:val="continue"/>
                  <w:noWrap w:val="0"/>
                  <w:vAlign w:val="center"/>
                </w:tcPr>
                <w:p w14:paraId="7E38F69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p>
              </w:tc>
              <w:tc>
                <w:tcPr>
                  <w:tcW w:w="5056" w:type="dxa"/>
                  <w:gridSpan w:val="7"/>
                  <w:noWrap w:val="0"/>
                  <w:vAlign w:val="center"/>
                </w:tcPr>
                <w:p w14:paraId="0FADE84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rPr>
                  </w:pPr>
                  <w:r>
                    <w:rPr>
                      <w:rFonts w:hint="default" w:ascii="Times New Roman" w:hAnsi="Times New Roman" w:eastAsia="仿宋" w:cs="Times New Roman"/>
                      <w:color w:val="auto"/>
                      <w:sz w:val="21"/>
                      <w:szCs w:val="21"/>
                      <w:highlight w:val="none"/>
                      <w:vertAlign w:val="baseline"/>
                      <w:lang w:eastAsia="zh-CN"/>
                    </w:rPr>
                    <w:t>工频电场（</w:t>
                  </w:r>
                  <w:r>
                    <w:rPr>
                      <w:rFonts w:hint="default" w:ascii="Times New Roman" w:hAnsi="Times New Roman" w:eastAsia="仿宋" w:cs="Times New Roman"/>
                      <w:color w:val="auto"/>
                      <w:sz w:val="21"/>
                      <w:szCs w:val="21"/>
                      <w:highlight w:val="none"/>
                      <w:vertAlign w:val="baseline"/>
                      <w:lang w:val="en-US" w:eastAsia="zh-CN"/>
                    </w:rPr>
                    <w:t>V/m</w:t>
                  </w:r>
                  <w:r>
                    <w:rPr>
                      <w:rFonts w:hint="default" w:ascii="Times New Roman" w:hAnsi="Times New Roman" w:eastAsia="仿宋" w:cs="Times New Roman"/>
                      <w:color w:val="auto"/>
                      <w:sz w:val="21"/>
                      <w:szCs w:val="21"/>
                      <w:highlight w:val="none"/>
                      <w:vertAlign w:val="baseline"/>
                      <w:lang w:eastAsia="zh-CN"/>
                    </w:rPr>
                    <w:t>）</w:t>
                  </w:r>
                  <w:r>
                    <w:rPr>
                      <w:rFonts w:hint="default" w:ascii="Times New Roman" w:hAnsi="Times New Roman" w:eastAsia="仿宋" w:cs="Times New Roman"/>
                      <w:color w:val="auto"/>
                      <w:sz w:val="21"/>
                      <w:szCs w:val="21"/>
                      <w:highlight w:val="none"/>
                      <w:vertAlign w:val="baseline"/>
                      <w:lang w:val="en-US" w:eastAsia="zh-CN"/>
                    </w:rPr>
                    <w:t>/</w:t>
                  </w:r>
                  <w:r>
                    <w:rPr>
                      <w:rFonts w:hint="default" w:ascii="Times New Roman" w:hAnsi="Times New Roman" w:eastAsia="仿宋" w:cs="Times New Roman"/>
                      <w:color w:val="auto"/>
                      <w:sz w:val="21"/>
                      <w:szCs w:val="21"/>
                      <w:highlight w:val="none"/>
                      <w:vertAlign w:val="baseline"/>
                      <w:lang w:eastAsia="zh-CN"/>
                    </w:rPr>
                    <w:t>工频磁场（μT）</w:t>
                  </w:r>
                </w:p>
              </w:tc>
            </w:tr>
            <w:tr w14:paraId="0D4E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80" w:type="dxa"/>
                  <w:vMerge w:val="continue"/>
                  <w:noWrap w:val="0"/>
                  <w:vAlign w:val="center"/>
                </w:tcPr>
                <w:p w14:paraId="07F8FAB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850" w:type="dxa"/>
                  <w:vMerge w:val="continue"/>
                  <w:noWrap w:val="0"/>
                  <w:vAlign w:val="center"/>
                </w:tcPr>
                <w:p w14:paraId="57B5F2D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171" w:type="dxa"/>
                  <w:vMerge w:val="continue"/>
                  <w:noWrap w:val="0"/>
                  <w:vAlign w:val="center"/>
                </w:tcPr>
                <w:p w14:paraId="2B9C474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p>
              </w:tc>
              <w:tc>
                <w:tcPr>
                  <w:tcW w:w="691" w:type="dxa"/>
                  <w:noWrap w:val="0"/>
                  <w:vAlign w:val="center"/>
                </w:tcPr>
                <w:p w14:paraId="7559D1A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w:t>
                  </w:r>
                </w:p>
              </w:tc>
              <w:tc>
                <w:tcPr>
                  <w:tcW w:w="723" w:type="dxa"/>
                  <w:noWrap w:val="0"/>
                  <w:vAlign w:val="center"/>
                </w:tcPr>
                <w:p w14:paraId="052B509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w:t>
                  </w:r>
                </w:p>
              </w:tc>
              <w:tc>
                <w:tcPr>
                  <w:tcW w:w="691" w:type="dxa"/>
                  <w:noWrap w:val="0"/>
                  <w:vAlign w:val="center"/>
                </w:tcPr>
                <w:p w14:paraId="4CF40C2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w:t>
                  </w:r>
                </w:p>
              </w:tc>
              <w:tc>
                <w:tcPr>
                  <w:tcW w:w="723" w:type="dxa"/>
                  <w:noWrap w:val="0"/>
                  <w:vAlign w:val="center"/>
                </w:tcPr>
                <w:p w14:paraId="6B6F9EA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w:t>
                  </w:r>
                </w:p>
              </w:tc>
              <w:tc>
                <w:tcPr>
                  <w:tcW w:w="691" w:type="dxa"/>
                  <w:noWrap w:val="0"/>
                  <w:vAlign w:val="center"/>
                </w:tcPr>
                <w:p w14:paraId="10053B1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5</w:t>
                  </w:r>
                </w:p>
              </w:tc>
              <w:tc>
                <w:tcPr>
                  <w:tcW w:w="765" w:type="dxa"/>
                  <w:noWrap w:val="0"/>
                  <w:vAlign w:val="center"/>
                </w:tcPr>
                <w:p w14:paraId="1A25B0E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最大值</w:t>
                  </w:r>
                </w:p>
              </w:tc>
              <w:tc>
                <w:tcPr>
                  <w:tcW w:w="772" w:type="dxa"/>
                  <w:noWrap w:val="0"/>
                  <w:vAlign w:val="center"/>
                </w:tcPr>
                <w:p w14:paraId="78EE54C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平均值</w:t>
                  </w:r>
                </w:p>
              </w:tc>
            </w:tr>
            <w:tr w14:paraId="7057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restart"/>
                  <w:noWrap w:val="0"/>
                  <w:vAlign w:val="center"/>
                </w:tcPr>
                <w:p w14:paraId="47B4A49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工频电场</w:t>
                  </w:r>
                </w:p>
              </w:tc>
              <w:tc>
                <w:tcPr>
                  <w:tcW w:w="850" w:type="dxa"/>
                  <w:vMerge w:val="restart"/>
                  <w:noWrap w:val="0"/>
                  <w:vAlign w:val="center"/>
                </w:tcPr>
                <w:p w14:paraId="35599CA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升压站站址中心</w:t>
                  </w:r>
                </w:p>
              </w:tc>
              <w:tc>
                <w:tcPr>
                  <w:tcW w:w="1171" w:type="dxa"/>
                  <w:noWrap w:val="0"/>
                  <w:vAlign w:val="center"/>
                </w:tcPr>
                <w:p w14:paraId="608BB71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2025.10.18</w:t>
                  </w:r>
                </w:p>
              </w:tc>
              <w:tc>
                <w:tcPr>
                  <w:tcW w:w="691" w:type="dxa"/>
                  <w:noWrap w:val="0"/>
                  <w:vAlign w:val="center"/>
                </w:tcPr>
                <w:p w14:paraId="45C67E6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3.345</w:t>
                  </w:r>
                </w:p>
              </w:tc>
              <w:tc>
                <w:tcPr>
                  <w:tcW w:w="723" w:type="dxa"/>
                  <w:noWrap w:val="0"/>
                  <w:vAlign w:val="center"/>
                </w:tcPr>
                <w:p w14:paraId="4172B1E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3.343</w:t>
                  </w:r>
                </w:p>
              </w:tc>
              <w:tc>
                <w:tcPr>
                  <w:tcW w:w="691" w:type="dxa"/>
                  <w:noWrap w:val="0"/>
                  <w:vAlign w:val="center"/>
                </w:tcPr>
                <w:p w14:paraId="4AF2F73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3.341</w:t>
                  </w:r>
                </w:p>
              </w:tc>
              <w:tc>
                <w:tcPr>
                  <w:tcW w:w="723" w:type="dxa"/>
                  <w:noWrap w:val="0"/>
                  <w:vAlign w:val="center"/>
                </w:tcPr>
                <w:p w14:paraId="717CE9B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3.330</w:t>
                  </w:r>
                </w:p>
              </w:tc>
              <w:tc>
                <w:tcPr>
                  <w:tcW w:w="691" w:type="dxa"/>
                  <w:noWrap w:val="0"/>
                  <w:vAlign w:val="center"/>
                </w:tcPr>
                <w:p w14:paraId="5D3C3DB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3.326</w:t>
                  </w:r>
                </w:p>
              </w:tc>
              <w:tc>
                <w:tcPr>
                  <w:tcW w:w="765" w:type="dxa"/>
                  <w:noWrap w:val="0"/>
                  <w:vAlign w:val="center"/>
                </w:tcPr>
                <w:p w14:paraId="05FFD78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3.345</w:t>
                  </w:r>
                </w:p>
              </w:tc>
              <w:tc>
                <w:tcPr>
                  <w:tcW w:w="772" w:type="dxa"/>
                  <w:noWrap w:val="0"/>
                  <w:vAlign w:val="center"/>
                </w:tcPr>
                <w:p w14:paraId="62193C9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3.337</w:t>
                  </w:r>
                </w:p>
              </w:tc>
            </w:tr>
            <w:tr w14:paraId="1167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noWrap w:val="0"/>
                  <w:vAlign w:val="center"/>
                </w:tcPr>
                <w:p w14:paraId="759EE69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p>
              </w:tc>
              <w:tc>
                <w:tcPr>
                  <w:tcW w:w="850" w:type="dxa"/>
                  <w:vMerge w:val="continue"/>
                  <w:noWrap w:val="0"/>
                  <w:vAlign w:val="center"/>
                </w:tcPr>
                <w:p w14:paraId="6749260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p>
              </w:tc>
              <w:tc>
                <w:tcPr>
                  <w:tcW w:w="1171" w:type="dxa"/>
                  <w:noWrap w:val="0"/>
                  <w:vAlign w:val="center"/>
                </w:tcPr>
                <w:p w14:paraId="0268C28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2025.10.19</w:t>
                  </w:r>
                </w:p>
              </w:tc>
              <w:tc>
                <w:tcPr>
                  <w:tcW w:w="691" w:type="dxa"/>
                  <w:noWrap w:val="0"/>
                  <w:vAlign w:val="center"/>
                </w:tcPr>
                <w:p w14:paraId="5B6FDFF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3.324</w:t>
                  </w:r>
                </w:p>
              </w:tc>
              <w:tc>
                <w:tcPr>
                  <w:tcW w:w="723" w:type="dxa"/>
                  <w:noWrap w:val="0"/>
                  <w:vAlign w:val="center"/>
                </w:tcPr>
                <w:p w14:paraId="141EAE2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3.312</w:t>
                  </w:r>
                </w:p>
              </w:tc>
              <w:tc>
                <w:tcPr>
                  <w:tcW w:w="691" w:type="dxa"/>
                  <w:noWrap w:val="0"/>
                  <w:vAlign w:val="center"/>
                </w:tcPr>
                <w:p w14:paraId="7DF9D5D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3.295</w:t>
                  </w:r>
                </w:p>
              </w:tc>
              <w:tc>
                <w:tcPr>
                  <w:tcW w:w="723" w:type="dxa"/>
                  <w:noWrap w:val="0"/>
                  <w:vAlign w:val="center"/>
                </w:tcPr>
                <w:p w14:paraId="2A66A40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3.286</w:t>
                  </w:r>
                </w:p>
              </w:tc>
              <w:tc>
                <w:tcPr>
                  <w:tcW w:w="691" w:type="dxa"/>
                  <w:noWrap w:val="0"/>
                  <w:vAlign w:val="center"/>
                </w:tcPr>
                <w:p w14:paraId="496CE61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3.286</w:t>
                  </w:r>
                </w:p>
              </w:tc>
              <w:tc>
                <w:tcPr>
                  <w:tcW w:w="765" w:type="dxa"/>
                  <w:noWrap w:val="0"/>
                  <w:vAlign w:val="center"/>
                </w:tcPr>
                <w:p w14:paraId="05975E9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3.324</w:t>
                  </w:r>
                </w:p>
              </w:tc>
              <w:tc>
                <w:tcPr>
                  <w:tcW w:w="772" w:type="dxa"/>
                  <w:noWrap w:val="0"/>
                  <w:vAlign w:val="center"/>
                </w:tcPr>
                <w:p w14:paraId="0FC98D3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3.301</w:t>
                  </w:r>
                </w:p>
              </w:tc>
            </w:tr>
            <w:tr w14:paraId="14CB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restart"/>
                  <w:noWrap w:val="0"/>
                  <w:vAlign w:val="center"/>
                </w:tcPr>
                <w:p w14:paraId="4C9A2C9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工频磁场</w:t>
                  </w:r>
                </w:p>
              </w:tc>
              <w:tc>
                <w:tcPr>
                  <w:tcW w:w="850" w:type="dxa"/>
                  <w:vMerge w:val="continue"/>
                  <w:noWrap w:val="0"/>
                  <w:vAlign w:val="center"/>
                </w:tcPr>
                <w:p w14:paraId="6486AD4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171" w:type="dxa"/>
                  <w:noWrap w:val="0"/>
                  <w:vAlign w:val="center"/>
                </w:tcPr>
                <w:p w14:paraId="17CCB09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2025.10.18</w:t>
                  </w:r>
                </w:p>
              </w:tc>
              <w:tc>
                <w:tcPr>
                  <w:tcW w:w="691" w:type="dxa"/>
                  <w:shd w:val="clear" w:color="auto" w:fill="auto"/>
                  <w:noWrap w:val="0"/>
                  <w:vAlign w:val="center"/>
                </w:tcPr>
                <w:p w14:paraId="4159F79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0.011</w:t>
                  </w:r>
                </w:p>
              </w:tc>
              <w:tc>
                <w:tcPr>
                  <w:tcW w:w="723" w:type="dxa"/>
                  <w:shd w:val="clear" w:color="auto" w:fill="auto"/>
                  <w:noWrap w:val="0"/>
                  <w:vAlign w:val="center"/>
                </w:tcPr>
                <w:p w14:paraId="26B47E8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c>
                <w:tcPr>
                  <w:tcW w:w="691" w:type="dxa"/>
                  <w:shd w:val="clear" w:color="auto" w:fill="auto"/>
                  <w:noWrap w:val="0"/>
                  <w:vAlign w:val="center"/>
                </w:tcPr>
                <w:p w14:paraId="6B72D80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c>
                <w:tcPr>
                  <w:tcW w:w="723" w:type="dxa"/>
                  <w:shd w:val="clear" w:color="auto" w:fill="auto"/>
                  <w:noWrap w:val="0"/>
                  <w:vAlign w:val="center"/>
                </w:tcPr>
                <w:p w14:paraId="3EA0AF2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c>
                <w:tcPr>
                  <w:tcW w:w="691" w:type="dxa"/>
                  <w:shd w:val="clear" w:color="auto" w:fill="auto"/>
                  <w:noWrap w:val="0"/>
                  <w:vAlign w:val="center"/>
                </w:tcPr>
                <w:p w14:paraId="036F4AD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0.013</w:t>
                  </w:r>
                </w:p>
              </w:tc>
              <w:tc>
                <w:tcPr>
                  <w:tcW w:w="765" w:type="dxa"/>
                  <w:shd w:val="clear" w:color="auto" w:fill="auto"/>
                  <w:noWrap w:val="0"/>
                  <w:vAlign w:val="center"/>
                </w:tcPr>
                <w:p w14:paraId="3A97261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0.013</w:t>
                  </w:r>
                </w:p>
              </w:tc>
              <w:tc>
                <w:tcPr>
                  <w:tcW w:w="772" w:type="dxa"/>
                  <w:shd w:val="clear" w:color="auto" w:fill="auto"/>
                  <w:noWrap w:val="0"/>
                  <w:vAlign w:val="center"/>
                </w:tcPr>
                <w:p w14:paraId="5C10688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r>
            <w:tr w14:paraId="3B5E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0" w:type="dxa"/>
                  <w:vMerge w:val="continue"/>
                  <w:noWrap w:val="0"/>
                  <w:vAlign w:val="center"/>
                </w:tcPr>
                <w:p w14:paraId="3382162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p>
              </w:tc>
              <w:tc>
                <w:tcPr>
                  <w:tcW w:w="850" w:type="dxa"/>
                  <w:vMerge w:val="continue"/>
                  <w:noWrap w:val="0"/>
                  <w:vAlign w:val="center"/>
                </w:tcPr>
                <w:p w14:paraId="11FEEBC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171" w:type="dxa"/>
                  <w:noWrap w:val="0"/>
                  <w:vAlign w:val="center"/>
                </w:tcPr>
                <w:p w14:paraId="2E93DAF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2025.10.19</w:t>
                  </w:r>
                </w:p>
              </w:tc>
              <w:tc>
                <w:tcPr>
                  <w:tcW w:w="691" w:type="dxa"/>
                  <w:noWrap w:val="0"/>
                  <w:vAlign w:val="center"/>
                </w:tcPr>
                <w:p w14:paraId="62C100A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0.017</w:t>
                  </w:r>
                </w:p>
              </w:tc>
              <w:tc>
                <w:tcPr>
                  <w:tcW w:w="723" w:type="dxa"/>
                  <w:noWrap w:val="0"/>
                  <w:vAlign w:val="center"/>
                </w:tcPr>
                <w:p w14:paraId="5A89A05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0.019</w:t>
                  </w:r>
                </w:p>
              </w:tc>
              <w:tc>
                <w:tcPr>
                  <w:tcW w:w="691" w:type="dxa"/>
                  <w:noWrap w:val="0"/>
                  <w:vAlign w:val="center"/>
                </w:tcPr>
                <w:p w14:paraId="0668FB3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0.021</w:t>
                  </w:r>
                </w:p>
              </w:tc>
              <w:tc>
                <w:tcPr>
                  <w:tcW w:w="723" w:type="dxa"/>
                  <w:noWrap w:val="0"/>
                  <w:vAlign w:val="center"/>
                </w:tcPr>
                <w:p w14:paraId="311EC75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0.023</w:t>
                  </w:r>
                </w:p>
              </w:tc>
              <w:tc>
                <w:tcPr>
                  <w:tcW w:w="691" w:type="dxa"/>
                  <w:noWrap w:val="0"/>
                  <w:vAlign w:val="center"/>
                </w:tcPr>
                <w:p w14:paraId="17E490A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0.023</w:t>
                  </w:r>
                </w:p>
              </w:tc>
              <w:tc>
                <w:tcPr>
                  <w:tcW w:w="765" w:type="dxa"/>
                  <w:noWrap w:val="0"/>
                  <w:vAlign w:val="center"/>
                </w:tcPr>
                <w:p w14:paraId="062EB95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0.023</w:t>
                  </w:r>
                </w:p>
              </w:tc>
              <w:tc>
                <w:tcPr>
                  <w:tcW w:w="772" w:type="dxa"/>
                  <w:noWrap w:val="0"/>
                  <w:vAlign w:val="center"/>
                </w:tcPr>
                <w:p w14:paraId="6566BC1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0.021</w:t>
                  </w:r>
                </w:p>
              </w:tc>
            </w:tr>
          </w:tbl>
          <w:p w14:paraId="5CC616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由上表可知，本项目升压站站址中心位置的工频电场、工频磁场强度现状监测值均低于《电磁环境控制限值》（GB8702-2014）中频率为 50Hz 的电场、磁场公众曝露控制限值即：工频电场强度 4000V/m、工频磁感应强度 100μT。</w:t>
            </w:r>
          </w:p>
          <w:p w14:paraId="4D9CCB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根据工程总平面布置图可知，光伏阵列区相对较分散，相距较远，且光伏阵列区周边无电气设备分布，光伏阵列区工频电场、工频磁场强度均低于《电磁环境控制限值》（GB8702-2014）中频率为 50Hz 的电场、磁场公众曝露控制限值。</w:t>
            </w:r>
          </w:p>
          <w:p w14:paraId="0ECA8E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bCs/>
                <w:color w:val="auto"/>
                <w:sz w:val="24"/>
                <w:szCs w:val="24"/>
                <w:highlight w:val="none"/>
              </w:rPr>
            </w:pPr>
            <w:r>
              <w:rPr>
                <w:rFonts w:hint="eastAsia" w:cs="Times New Roman"/>
                <w:b/>
                <w:bCs/>
                <w:color w:val="auto"/>
                <w:spacing w:val="-4"/>
                <w:sz w:val="24"/>
                <w:szCs w:val="24"/>
                <w:highlight w:val="none"/>
                <w:lang w:val="en-US" w:eastAsia="zh-CN"/>
              </w:rPr>
              <w:t xml:space="preserve">3.4 </w:t>
            </w:r>
            <w:r>
              <w:rPr>
                <w:rFonts w:hint="default" w:ascii="Times New Roman" w:hAnsi="Times New Roman" w:eastAsia="仿宋" w:cs="Times New Roman"/>
                <w:b/>
                <w:bCs/>
                <w:color w:val="auto"/>
                <w:spacing w:val="-4"/>
                <w:sz w:val="24"/>
                <w:szCs w:val="24"/>
                <w:highlight w:val="none"/>
              </w:rPr>
              <w:t>环境敏感区</w:t>
            </w:r>
          </w:p>
          <w:p w14:paraId="2DD72D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27" w:right="0"/>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6"/>
                <w:sz w:val="24"/>
                <w:szCs w:val="24"/>
                <w:highlight w:val="none"/>
              </w:rPr>
              <w:t>1、环境敏感区</w:t>
            </w:r>
          </w:p>
          <w:p w14:paraId="4E54D0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（1）会泽黑颈鹤国家级自然保护区</w:t>
            </w:r>
          </w:p>
          <w:p w14:paraId="2A81FD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68"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1）会泽黑颈鹤国家级自然保护区概况</w:t>
            </w:r>
          </w:p>
          <w:p w14:paraId="7188A8C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会泽黑颈鹤国家级自然保护区由大桥片区和长海子片区</w:t>
            </w:r>
            <w:r>
              <w:rPr>
                <w:rFonts w:hint="eastAsia" w:cs="Times New Roman"/>
                <w:color w:val="auto"/>
                <w:spacing w:val="0"/>
                <w:sz w:val="24"/>
                <w:szCs w:val="24"/>
                <w:highlight w:val="none"/>
                <w:lang w:eastAsia="zh-CN"/>
              </w:rPr>
              <w:t>两个</w:t>
            </w:r>
            <w:r>
              <w:rPr>
                <w:rFonts w:hint="default" w:ascii="Times New Roman" w:hAnsi="Times New Roman" w:eastAsia="仿宋" w:cs="Times New Roman"/>
                <w:color w:val="auto"/>
                <w:spacing w:val="0"/>
                <w:sz w:val="24"/>
                <w:szCs w:val="24"/>
                <w:highlight w:val="none"/>
              </w:rPr>
              <w:t>片区组成。大桥片区位于会泽县大桥乡的大桥海子流域，距县城 42 公里，地理坐标为东经 103°12′06"~103°22′02"，北纬26 °38′00"~26°44′24″；长海子片区位于会泽县者海镇的长海子流域内</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距县城52公里。2006年2月26日经国务院批准建立的国家级自然保护区，被《中国湿地保护行动计划》列入《中国重要湿地名录》。</w:t>
            </w:r>
          </w:p>
          <w:p w14:paraId="0BA994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2）与会泽黑颈鹤国家级自然保护区区位关系</w:t>
            </w:r>
          </w:p>
          <w:p w14:paraId="74F5BE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本项目</w:t>
            </w:r>
            <w:r>
              <w:rPr>
                <w:rFonts w:hint="default" w:ascii="Times New Roman" w:hAnsi="Times New Roman" w:eastAsia="仿宋" w:cs="Times New Roman"/>
                <w:color w:val="auto"/>
                <w:spacing w:val="0"/>
                <w:sz w:val="24"/>
                <w:szCs w:val="24"/>
                <w:highlight w:val="none"/>
                <w:lang w:val="en-US" w:eastAsia="zh-CN"/>
              </w:rPr>
              <w:t>位于</w:t>
            </w:r>
            <w:r>
              <w:rPr>
                <w:rFonts w:hint="default" w:ascii="Times New Roman" w:hAnsi="Times New Roman" w:eastAsia="仿宋" w:cs="Times New Roman"/>
                <w:color w:val="auto"/>
                <w:spacing w:val="0"/>
                <w:sz w:val="24"/>
                <w:szCs w:val="24"/>
                <w:highlight w:val="none"/>
              </w:rPr>
              <w:t>会泽黑颈鹤国家级自然保护区</w:t>
            </w:r>
            <w:r>
              <w:rPr>
                <w:rFonts w:hint="default" w:ascii="Times New Roman" w:hAnsi="Times New Roman" w:eastAsia="仿宋" w:cs="Times New Roman"/>
                <w:color w:val="auto"/>
                <w:spacing w:val="0"/>
                <w:sz w:val="24"/>
                <w:szCs w:val="24"/>
                <w:highlight w:val="none"/>
                <w:lang w:val="en-US" w:eastAsia="zh-CN"/>
              </w:rPr>
              <w:t>东北方向，</w:t>
            </w:r>
            <w:r>
              <w:rPr>
                <w:rFonts w:hint="default" w:ascii="Times New Roman" w:hAnsi="Times New Roman" w:eastAsia="仿宋" w:cs="Times New Roman"/>
                <w:color w:val="auto"/>
                <w:spacing w:val="0"/>
                <w:sz w:val="24"/>
                <w:szCs w:val="24"/>
                <w:highlight w:val="none"/>
              </w:rPr>
              <w:t>最近距离约为</w:t>
            </w:r>
            <w:r>
              <w:rPr>
                <w:rFonts w:hint="default" w:ascii="Times New Roman" w:hAnsi="Times New Roman" w:eastAsia="仿宋" w:cs="Times New Roman"/>
                <w:color w:val="auto"/>
                <w:spacing w:val="0"/>
                <w:sz w:val="24"/>
                <w:szCs w:val="24"/>
                <w:highlight w:val="none"/>
                <w:lang w:val="en-US" w:eastAsia="zh-CN"/>
              </w:rPr>
              <w:t>20</w:t>
            </w:r>
            <w:r>
              <w:rPr>
                <w:rFonts w:hint="default" w:ascii="Times New Roman" w:hAnsi="Times New Roman" w:eastAsia="仿宋" w:cs="Times New Roman"/>
                <w:color w:val="auto"/>
                <w:spacing w:val="0"/>
                <w:sz w:val="24"/>
                <w:szCs w:val="24"/>
                <w:highlight w:val="none"/>
              </w:rPr>
              <w:t>km</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lang w:val="en-US" w:eastAsia="zh-CN"/>
              </w:rPr>
              <w:t>项目区距离该保护区距离较远，同时也不涉及黑颈鹤迁徙路线。项目与自然保护区位置关系图见附图9</w:t>
            </w:r>
            <w:r>
              <w:rPr>
                <w:rFonts w:hint="default" w:ascii="Times New Roman" w:hAnsi="Times New Roman" w:eastAsia="仿宋" w:cs="Times New Roman"/>
                <w:color w:val="auto"/>
                <w:spacing w:val="0"/>
                <w:sz w:val="24"/>
                <w:szCs w:val="24"/>
                <w:highlight w:val="none"/>
              </w:rPr>
              <w:t>。</w:t>
            </w:r>
          </w:p>
          <w:p w14:paraId="746C3B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w:t>
            </w:r>
            <w:r>
              <w:rPr>
                <w:rFonts w:hint="default" w:ascii="Times New Roman" w:hAnsi="Times New Roman" w:eastAsia="仿宋" w:cs="Times New Roman"/>
                <w:color w:val="auto"/>
                <w:spacing w:val="0"/>
                <w:sz w:val="24"/>
                <w:szCs w:val="24"/>
                <w:highlight w:val="none"/>
                <w:lang w:val="en-US" w:eastAsia="zh-CN"/>
              </w:rPr>
              <w:t>鸟类</w:t>
            </w:r>
            <w:r>
              <w:rPr>
                <w:rFonts w:hint="default" w:ascii="Times New Roman" w:hAnsi="Times New Roman" w:eastAsia="仿宋" w:cs="Times New Roman"/>
                <w:color w:val="auto"/>
                <w:spacing w:val="0"/>
                <w:sz w:val="24"/>
                <w:szCs w:val="24"/>
                <w:highlight w:val="none"/>
              </w:rPr>
              <w:t>迁徙通道</w:t>
            </w:r>
          </w:p>
          <w:p w14:paraId="7E4630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w:t>
            </w:r>
            <w:r>
              <w:rPr>
                <w:rFonts w:hint="default" w:ascii="Times New Roman" w:hAnsi="Times New Roman" w:eastAsia="仿宋" w:cs="Times New Roman"/>
                <w:color w:val="auto"/>
                <w:spacing w:val="0"/>
                <w:sz w:val="24"/>
                <w:szCs w:val="24"/>
                <w:highlight w:val="none"/>
                <w:lang w:val="en-US" w:eastAsia="zh-CN"/>
              </w:rPr>
              <w:t>调查</w:t>
            </w:r>
            <w:r>
              <w:rPr>
                <w:rFonts w:hint="default" w:ascii="Times New Roman" w:hAnsi="Times New Roman" w:eastAsia="仿宋" w:cs="Times New Roman"/>
                <w:color w:val="auto"/>
                <w:spacing w:val="0"/>
                <w:sz w:val="24"/>
                <w:szCs w:val="24"/>
                <w:highlight w:val="none"/>
              </w:rPr>
              <w:t>，在云南省境内共发现夜间鸟类迁徙聚集点21个（将部分相邻的点位合并），分布于23县（部分点位处于两县交界区域）。这些区域大部分分布在山间（山脊）垭口的坡地或台地，海拔从1600m至3100m都有分布，植被以低矮的灌丛和草坡为主，缺少高大乔木。</w:t>
            </w:r>
          </w:p>
          <w:p w14:paraId="5BB429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鸟类研究学者发现在云南省境内至少有东西两条秋季候鸟迁徙路线，其中西线为从北边的云岭向南经过哀牢山、无量山，之后顺元江出境，即云岭</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苍山</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哀牢山一线；东线为滇东北乌蒙山至滇东南，即滇东乌蒙山一线。其中，滇西横断山脉地区的山体走向为西北</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东南走向，经过滇西地区的候鸟就在山脉东北的一侧聚集，迁徙路线呈西北</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东南走向。而滇东北的乌蒙山脉则呈东北</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西南走向，而经过滇东北地区的候鸟则是在山脉西北一侧聚集，</w:t>
            </w:r>
            <w:r>
              <w:rPr>
                <w:rFonts w:hint="default" w:ascii="Times New Roman" w:hAnsi="Times New Roman" w:eastAsia="仿宋" w:cs="Times New Roman"/>
                <w:color w:val="auto"/>
                <w:spacing w:val="0"/>
                <w:sz w:val="24"/>
                <w:szCs w:val="24"/>
                <w:highlight w:val="none"/>
                <w:lang w:eastAsia="zh-CN"/>
              </w:rPr>
              <w:t>迁徙</w:t>
            </w:r>
            <w:r>
              <w:rPr>
                <w:rFonts w:hint="default" w:ascii="Times New Roman" w:hAnsi="Times New Roman" w:eastAsia="仿宋" w:cs="Times New Roman"/>
                <w:color w:val="auto"/>
                <w:spacing w:val="0"/>
                <w:sz w:val="24"/>
                <w:szCs w:val="24"/>
                <w:highlight w:val="none"/>
              </w:rPr>
              <w:t>路线呈东北</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西南走向。因此，候鸟在云南境内的迁徙线路不管在东线还是西线都出现在山脉向北的一侧。但候鸟为恢复其北至南磁力线迁徙方向，每当遇到山间沟谷、低矮山脊或者山脊垭口时，大量候鸟就会从这些区域翻越山脊继续向南迁飞，当这些区域出现刮南风或西南风、有</w:t>
            </w:r>
            <w:r>
              <w:rPr>
                <w:rFonts w:hint="eastAsia" w:cs="Times New Roman"/>
                <w:color w:val="auto"/>
                <w:spacing w:val="0"/>
                <w:sz w:val="24"/>
                <w:szCs w:val="24"/>
                <w:highlight w:val="none"/>
                <w:lang w:eastAsia="zh-CN"/>
              </w:rPr>
              <w:t>浓雾</w:t>
            </w:r>
            <w:r>
              <w:rPr>
                <w:rFonts w:hint="default" w:ascii="Times New Roman" w:hAnsi="Times New Roman" w:eastAsia="仿宋" w:cs="Times New Roman"/>
                <w:color w:val="auto"/>
                <w:spacing w:val="0"/>
                <w:sz w:val="24"/>
                <w:szCs w:val="24"/>
                <w:highlight w:val="none"/>
              </w:rPr>
              <w:t>、无月亮的夜间，候鸟就会降低飞行高度，并且会朝向光源（特别为黄色光）方向飞行，一旦遇到灯光或火光，就会趋光而来，形成了夜间扑火的特异现象。所以，“打雀山</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凤凰山”或者“鸟吊山”就是候鸟在云南境内迁徙的主要聚集区，即主要迁徙通道。</w:t>
            </w:r>
          </w:p>
          <w:p w14:paraId="1F19CC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根据现有资料，会泽县境内尚无秋季迁徙候鸟的通道记录，距项目区最近已知的秋季候鸟通道为巧家县的小火塘。根据叠图可知，项目区不涉及鸟类迁徙通道，但距离昭通巧家（马树）小火塘鸟类</w:t>
            </w:r>
            <w:r>
              <w:rPr>
                <w:rFonts w:hint="eastAsia" w:cs="Times New Roman"/>
                <w:color w:val="auto"/>
                <w:spacing w:val="0"/>
                <w:sz w:val="24"/>
                <w:szCs w:val="24"/>
                <w:highlight w:val="none"/>
                <w:lang w:eastAsia="zh-CN"/>
              </w:rPr>
              <w:t>迁徙</w:t>
            </w:r>
            <w:r>
              <w:rPr>
                <w:rFonts w:hint="default" w:ascii="Times New Roman" w:hAnsi="Times New Roman" w:eastAsia="仿宋" w:cs="Times New Roman"/>
                <w:color w:val="auto"/>
                <w:spacing w:val="0"/>
                <w:sz w:val="24"/>
                <w:szCs w:val="24"/>
                <w:highlight w:val="none"/>
              </w:rPr>
              <w:t>通道较近，巧家（马树）小火塘处于项目区西面，距项目区直线距离约</w:t>
            </w:r>
            <w:r>
              <w:rPr>
                <w:rFonts w:hint="default" w:ascii="Times New Roman" w:hAnsi="Times New Roman" w:eastAsia="仿宋" w:cs="Times New Roman"/>
                <w:color w:val="auto"/>
                <w:spacing w:val="0"/>
                <w:sz w:val="24"/>
                <w:szCs w:val="24"/>
                <w:highlight w:val="none"/>
                <w:lang w:val="en-US" w:eastAsia="zh-CN"/>
              </w:rPr>
              <w:t>2</w:t>
            </w:r>
            <w:r>
              <w:rPr>
                <w:rFonts w:hint="eastAsia" w:cs="Times New Roman"/>
                <w:color w:val="auto"/>
                <w:spacing w:val="0"/>
                <w:sz w:val="24"/>
                <w:szCs w:val="24"/>
                <w:highlight w:val="none"/>
                <w:lang w:val="en-US" w:eastAsia="zh-CN"/>
              </w:rPr>
              <w:t>0</w:t>
            </w:r>
            <w:r>
              <w:rPr>
                <w:rFonts w:hint="default" w:ascii="Times New Roman" w:hAnsi="Times New Roman" w:eastAsia="仿宋" w:cs="Times New Roman"/>
                <w:color w:val="auto"/>
                <w:spacing w:val="0"/>
                <w:sz w:val="24"/>
                <w:szCs w:val="24"/>
                <w:highlight w:val="none"/>
              </w:rPr>
              <w:t>km。项目与云南省候鸟迁徙通道的关系见附图</w:t>
            </w:r>
            <w:r>
              <w:rPr>
                <w:rFonts w:hint="default" w:ascii="Times New Roman" w:hAnsi="Times New Roman" w:eastAsia="仿宋" w:cs="Times New Roman"/>
                <w:color w:val="auto"/>
                <w:spacing w:val="0"/>
                <w:sz w:val="24"/>
                <w:szCs w:val="24"/>
                <w:highlight w:val="none"/>
                <w:lang w:val="en-US" w:eastAsia="zh-CN"/>
              </w:rPr>
              <w:t>6</w:t>
            </w:r>
            <w:r>
              <w:rPr>
                <w:rFonts w:hint="default" w:ascii="Times New Roman" w:hAnsi="Times New Roman" w:eastAsia="仿宋" w:cs="Times New Roman"/>
                <w:color w:val="auto"/>
                <w:spacing w:val="0"/>
                <w:sz w:val="24"/>
                <w:szCs w:val="24"/>
                <w:highlight w:val="none"/>
              </w:rPr>
              <w:t>。</w:t>
            </w:r>
          </w:p>
          <w:p w14:paraId="775052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本次评价对周边村民进行了走访调查，根据走访调查，项目区及周边区域没有，也没有听说过秋季夜间上山采用灯光或火光捕鸟的现象。秋季夜间没有发生夜间鸟类飞入有光亮的房屋的事件。所以，根据文献资料查阅和访问调查，目前项目区没有秋季迁徙候鸟迁飞聚集点。</w:t>
            </w:r>
          </w:p>
          <w:p w14:paraId="7E68388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102" w:right="0"/>
              <w:textAlignment w:val="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pacing w:val="-2"/>
                <w:sz w:val="24"/>
                <w:szCs w:val="24"/>
                <w:highlight w:val="none"/>
              </w:rPr>
              <w:t>2、生态保护红线</w:t>
            </w:r>
          </w:p>
          <w:p w14:paraId="661B4F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w:t>
            </w:r>
            <w:r>
              <w:rPr>
                <w:rFonts w:hint="eastAsia" w:cs="Times New Roman"/>
                <w:color w:val="auto"/>
                <w:spacing w:val="0"/>
                <w:sz w:val="24"/>
                <w:szCs w:val="24"/>
                <w:highlight w:val="none"/>
                <w:lang w:val="en-US" w:eastAsia="zh-CN"/>
              </w:rPr>
              <w:t>附件7，</w:t>
            </w:r>
            <w:r>
              <w:rPr>
                <w:rFonts w:hint="default" w:ascii="Times New Roman" w:hAnsi="Times New Roman" w:eastAsia="仿宋" w:cs="Times New Roman"/>
                <w:color w:val="auto"/>
                <w:spacing w:val="0"/>
                <w:sz w:val="24"/>
                <w:szCs w:val="24"/>
                <w:highlight w:val="none"/>
              </w:rPr>
              <w:t>《</w:t>
            </w:r>
            <w:r>
              <w:rPr>
                <w:rFonts w:hint="eastAsia" w:cs="Times New Roman"/>
                <w:color w:val="auto"/>
                <w:spacing w:val="0"/>
                <w:sz w:val="24"/>
                <w:szCs w:val="24"/>
                <w:highlight w:val="none"/>
                <w:lang w:val="en-US" w:eastAsia="zh-CN"/>
              </w:rPr>
              <w:t>项目与</w:t>
            </w:r>
            <w:r>
              <w:rPr>
                <w:rFonts w:hint="default" w:ascii="Times New Roman" w:hAnsi="Times New Roman" w:eastAsia="仿宋" w:cs="Times New Roman"/>
                <w:color w:val="auto"/>
                <w:spacing w:val="0"/>
                <w:sz w:val="24"/>
                <w:szCs w:val="24"/>
                <w:highlight w:val="none"/>
              </w:rPr>
              <w:t>曲靖市生态环境分区管控动态更新方案》叠图</w:t>
            </w:r>
            <w:r>
              <w:rPr>
                <w:rFonts w:hint="eastAsia" w:cs="Times New Roman"/>
                <w:color w:val="auto"/>
                <w:spacing w:val="0"/>
                <w:sz w:val="24"/>
                <w:szCs w:val="24"/>
                <w:highlight w:val="none"/>
                <w:lang w:eastAsia="zh-CN"/>
              </w:rPr>
              <w:t>查询</w:t>
            </w:r>
            <w:r>
              <w:rPr>
                <w:rFonts w:hint="default" w:ascii="Times New Roman" w:hAnsi="Times New Roman" w:eastAsia="仿宋" w:cs="Times New Roman"/>
                <w:color w:val="auto"/>
                <w:spacing w:val="0"/>
                <w:sz w:val="24"/>
                <w:szCs w:val="24"/>
                <w:highlight w:val="none"/>
              </w:rPr>
              <w:t>报告，本项目</w:t>
            </w:r>
            <w:r>
              <w:rPr>
                <w:rFonts w:hint="eastAsia" w:cs="Times New Roman"/>
                <w:color w:val="auto"/>
                <w:spacing w:val="0"/>
                <w:sz w:val="24"/>
                <w:szCs w:val="24"/>
                <w:highlight w:val="none"/>
                <w:lang w:val="en-US" w:eastAsia="zh-CN"/>
              </w:rPr>
              <w:t>不占用</w:t>
            </w:r>
            <w:r>
              <w:rPr>
                <w:rFonts w:hint="default" w:ascii="Times New Roman" w:hAnsi="Times New Roman" w:eastAsia="仿宋" w:cs="Times New Roman"/>
                <w:color w:val="auto"/>
                <w:spacing w:val="0"/>
                <w:sz w:val="24"/>
                <w:szCs w:val="24"/>
                <w:highlight w:val="none"/>
              </w:rPr>
              <w:t>云南省生态保护红线。项目涉及架空集电线路跨越</w:t>
            </w:r>
            <w:r>
              <w:rPr>
                <w:rFonts w:hint="eastAsia" w:cs="Times New Roman"/>
                <w:color w:val="auto"/>
                <w:spacing w:val="0"/>
                <w:sz w:val="24"/>
                <w:szCs w:val="24"/>
                <w:highlight w:val="none"/>
                <w:lang w:eastAsia="zh-CN"/>
              </w:rPr>
              <w:t>生态保护红线</w:t>
            </w:r>
            <w:r>
              <w:rPr>
                <w:rFonts w:hint="default" w:ascii="Times New Roman" w:hAnsi="Times New Roman" w:eastAsia="仿宋" w:cs="Times New Roman"/>
                <w:color w:val="auto"/>
                <w:spacing w:val="0"/>
                <w:sz w:val="24"/>
                <w:szCs w:val="24"/>
                <w:highlight w:val="none"/>
              </w:rPr>
              <w:t>，涉及36#-37#方阵</w:t>
            </w:r>
            <w:r>
              <w:rPr>
                <w:rFonts w:hint="eastAsia" w:cs="Times New Roman"/>
                <w:color w:val="auto"/>
                <w:spacing w:val="0"/>
                <w:sz w:val="24"/>
                <w:szCs w:val="24"/>
                <w:highlight w:val="none"/>
                <w:lang w:val="en-US" w:eastAsia="zh-CN"/>
              </w:rPr>
              <w:t>集电线路</w:t>
            </w:r>
            <w:r>
              <w:rPr>
                <w:rFonts w:hint="default" w:ascii="Times New Roman" w:hAnsi="Times New Roman" w:eastAsia="仿宋" w:cs="Times New Roman"/>
                <w:color w:val="auto"/>
                <w:spacing w:val="0"/>
                <w:sz w:val="24"/>
                <w:szCs w:val="24"/>
                <w:highlight w:val="none"/>
              </w:rPr>
              <w:t>，共7段跨越生态保护红线，累计跨越长度1746.19m。</w:t>
            </w:r>
          </w:p>
          <w:p w14:paraId="524D13F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102" w:right="0"/>
              <w:textAlignment w:val="auto"/>
              <w:rPr>
                <w:rFonts w:hint="default" w:ascii="Times New Roman" w:hAnsi="Times New Roman" w:eastAsia="仿宋" w:cs="Times New Roman"/>
                <w:b/>
                <w:bCs/>
                <w:color w:val="auto"/>
                <w:spacing w:val="-2"/>
                <w:sz w:val="24"/>
                <w:szCs w:val="24"/>
                <w:highlight w:val="none"/>
              </w:rPr>
            </w:pPr>
            <w:r>
              <w:rPr>
                <w:rFonts w:hint="default" w:ascii="Times New Roman" w:hAnsi="Times New Roman" w:eastAsia="仿宋" w:cs="Times New Roman"/>
                <w:b/>
                <w:bCs/>
                <w:color w:val="auto"/>
                <w:spacing w:val="-2"/>
                <w:sz w:val="24"/>
                <w:szCs w:val="24"/>
                <w:highlight w:val="none"/>
              </w:rPr>
              <w:t>3、公益林</w:t>
            </w:r>
          </w:p>
          <w:p w14:paraId="63D062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eastAsia" w:cs="Times New Roman"/>
                <w:color w:val="auto"/>
                <w:spacing w:val="0"/>
                <w:sz w:val="24"/>
                <w:szCs w:val="24"/>
                <w:highlight w:val="none"/>
                <w:lang w:val="en-US" w:eastAsia="zh-CN"/>
              </w:rPr>
              <w:t>根据</w:t>
            </w:r>
            <w:r>
              <w:rPr>
                <w:rFonts w:hint="default" w:ascii="Times New Roman" w:hAnsi="Times New Roman" w:eastAsia="仿宋" w:cs="Times New Roman"/>
                <w:color w:val="auto"/>
                <w:spacing w:val="0"/>
                <w:sz w:val="24"/>
                <w:szCs w:val="24"/>
                <w:highlight w:val="none"/>
              </w:rPr>
              <w:t>附件8</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项目使用林地审核同意书</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（云林许准（曲）</w:t>
            </w:r>
            <w:r>
              <w:rPr>
                <w:rFonts w:hint="eastAsia" w:cs="Times New Roman"/>
                <w:color w:val="auto"/>
                <w:spacing w:val="0"/>
                <w:sz w:val="24"/>
                <w:szCs w:val="24"/>
                <w:highlight w:val="none"/>
                <w:lang w:eastAsia="zh-CN"/>
              </w:rPr>
              <w:t>〔2025〕210号</w:t>
            </w:r>
            <w:r>
              <w:rPr>
                <w:rFonts w:hint="default" w:ascii="Times New Roman" w:hAnsi="Times New Roman" w:eastAsia="仿宋" w:cs="Times New Roman"/>
                <w:color w:val="auto"/>
                <w:spacing w:val="0"/>
                <w:sz w:val="24"/>
                <w:szCs w:val="24"/>
                <w:highlight w:val="none"/>
              </w:rPr>
              <w:t>），本项目</w:t>
            </w:r>
            <w:r>
              <w:rPr>
                <w:rFonts w:hint="eastAsia" w:cs="Times New Roman"/>
                <w:color w:val="auto"/>
                <w:spacing w:val="0"/>
                <w:sz w:val="24"/>
                <w:szCs w:val="24"/>
                <w:highlight w:val="none"/>
                <w:lang w:val="en-US" w:eastAsia="zh-CN"/>
              </w:rPr>
              <w:t>占地</w:t>
            </w:r>
            <w:r>
              <w:rPr>
                <w:rFonts w:hint="default" w:ascii="Times New Roman" w:hAnsi="Times New Roman" w:eastAsia="仿宋" w:cs="Times New Roman"/>
                <w:color w:val="auto"/>
                <w:spacing w:val="0"/>
                <w:sz w:val="24"/>
                <w:szCs w:val="24"/>
                <w:highlight w:val="none"/>
              </w:rPr>
              <w:t>不涉及林草部门管理的公益林。</w:t>
            </w:r>
          </w:p>
          <w:p w14:paraId="492CC08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102" w:right="0"/>
              <w:textAlignment w:val="auto"/>
              <w:rPr>
                <w:rFonts w:hint="default" w:ascii="Times New Roman" w:hAnsi="Times New Roman" w:eastAsia="仿宋" w:cs="Times New Roman"/>
                <w:b/>
                <w:bCs/>
                <w:color w:val="auto"/>
                <w:spacing w:val="-2"/>
                <w:sz w:val="24"/>
                <w:szCs w:val="24"/>
                <w:highlight w:val="none"/>
              </w:rPr>
            </w:pPr>
            <w:r>
              <w:rPr>
                <w:rFonts w:hint="default" w:ascii="Times New Roman" w:hAnsi="Times New Roman" w:eastAsia="仿宋" w:cs="Times New Roman"/>
                <w:b/>
                <w:bCs/>
                <w:color w:val="auto"/>
                <w:spacing w:val="-2"/>
                <w:sz w:val="24"/>
                <w:szCs w:val="24"/>
                <w:highlight w:val="none"/>
              </w:rPr>
              <w:t>4、基本农田</w:t>
            </w:r>
          </w:p>
          <w:p w14:paraId="04AB0D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1"/>
                <w:sz w:val="24"/>
                <w:szCs w:val="24"/>
                <w:highlight w:val="none"/>
                <w:lang w:val="en-US" w:eastAsia="zh-CN"/>
              </w:rPr>
            </w:pPr>
            <w:r>
              <w:rPr>
                <w:rFonts w:hint="default" w:ascii="Times New Roman" w:hAnsi="Times New Roman" w:eastAsia="仿宋" w:cs="Times New Roman"/>
                <w:color w:val="auto"/>
                <w:spacing w:val="0"/>
                <w:sz w:val="24"/>
                <w:szCs w:val="24"/>
                <w:highlight w:val="none"/>
              </w:rPr>
              <w:t>根据会泽县自然资源局 202</w:t>
            </w:r>
            <w:r>
              <w:rPr>
                <w:rFonts w:hint="default" w:ascii="Times New Roman" w:hAnsi="Times New Roman" w:eastAsia="仿宋" w:cs="Times New Roman"/>
                <w:color w:val="auto"/>
                <w:spacing w:val="0"/>
                <w:sz w:val="24"/>
                <w:szCs w:val="24"/>
                <w:highlight w:val="none"/>
                <w:lang w:val="en-US" w:eastAsia="zh-CN"/>
              </w:rPr>
              <w:t>4</w:t>
            </w:r>
            <w:r>
              <w:rPr>
                <w:rFonts w:hint="default" w:ascii="Times New Roman" w:hAnsi="Times New Roman" w:eastAsia="仿宋" w:cs="Times New Roman"/>
                <w:color w:val="auto"/>
                <w:spacing w:val="0"/>
                <w:sz w:val="24"/>
                <w:szCs w:val="24"/>
                <w:highlight w:val="none"/>
              </w:rPr>
              <w:t>年</w:t>
            </w:r>
            <w:r>
              <w:rPr>
                <w:rFonts w:hint="default" w:ascii="Times New Roman" w:hAnsi="Times New Roman" w:eastAsia="仿宋" w:cs="Times New Roman"/>
                <w:color w:val="auto"/>
                <w:spacing w:val="0"/>
                <w:sz w:val="24"/>
                <w:szCs w:val="24"/>
                <w:highlight w:val="none"/>
                <w:lang w:val="en-US" w:eastAsia="zh-CN"/>
              </w:rPr>
              <w:t>11</w:t>
            </w:r>
            <w:r>
              <w:rPr>
                <w:rFonts w:hint="default" w:ascii="Times New Roman" w:hAnsi="Times New Roman" w:eastAsia="仿宋" w:cs="Times New Roman"/>
                <w:color w:val="auto"/>
                <w:spacing w:val="0"/>
                <w:sz w:val="24"/>
                <w:szCs w:val="24"/>
                <w:highlight w:val="none"/>
              </w:rPr>
              <w:t>月</w:t>
            </w:r>
            <w:r>
              <w:rPr>
                <w:rFonts w:hint="default" w:ascii="Times New Roman" w:hAnsi="Times New Roman" w:eastAsia="仿宋" w:cs="Times New Roman"/>
                <w:color w:val="auto"/>
                <w:spacing w:val="0"/>
                <w:sz w:val="24"/>
                <w:szCs w:val="24"/>
                <w:highlight w:val="none"/>
                <w:lang w:val="en-US" w:eastAsia="zh-CN"/>
              </w:rPr>
              <w:t>8</w:t>
            </w:r>
            <w:r>
              <w:rPr>
                <w:rFonts w:hint="default" w:ascii="Times New Roman" w:hAnsi="Times New Roman" w:eastAsia="仿宋" w:cs="Times New Roman"/>
                <w:color w:val="auto"/>
                <w:spacing w:val="0"/>
                <w:sz w:val="24"/>
                <w:szCs w:val="24"/>
                <w:highlight w:val="none"/>
              </w:rPr>
              <w:t>日出具的《会泽县自然资源局关于</w:t>
            </w:r>
            <w:r>
              <w:rPr>
                <w:rFonts w:hint="default" w:ascii="Times New Roman" w:hAnsi="Times New Roman" w:eastAsia="仿宋" w:cs="Times New Roman"/>
                <w:color w:val="auto"/>
                <w:spacing w:val="0"/>
                <w:sz w:val="24"/>
                <w:szCs w:val="24"/>
                <w:highlight w:val="none"/>
                <w:lang w:val="en-US" w:eastAsia="zh-CN"/>
              </w:rPr>
              <w:t>迤车镇中寨</w:t>
            </w:r>
            <w:r>
              <w:rPr>
                <w:rFonts w:hint="default" w:ascii="Times New Roman" w:hAnsi="Times New Roman" w:eastAsia="仿宋" w:cs="Times New Roman"/>
                <w:color w:val="auto"/>
                <w:spacing w:val="0"/>
                <w:sz w:val="24"/>
                <w:szCs w:val="24"/>
                <w:highlight w:val="none"/>
              </w:rPr>
              <w:t>村</w:t>
            </w:r>
            <w:r>
              <w:rPr>
                <w:rFonts w:hint="default" w:ascii="Times New Roman" w:hAnsi="Times New Roman" w:eastAsia="仿宋" w:cs="Times New Roman"/>
                <w:color w:val="auto"/>
                <w:spacing w:val="0"/>
                <w:sz w:val="24"/>
                <w:szCs w:val="24"/>
                <w:highlight w:val="none"/>
                <w:lang w:val="en-US" w:eastAsia="zh-CN"/>
              </w:rPr>
              <w:t>竹子箐</w:t>
            </w:r>
            <w:r>
              <w:rPr>
                <w:rFonts w:hint="default" w:ascii="Times New Roman" w:hAnsi="Times New Roman" w:eastAsia="仿宋" w:cs="Times New Roman"/>
                <w:color w:val="auto"/>
                <w:spacing w:val="0"/>
                <w:sz w:val="24"/>
                <w:szCs w:val="24"/>
                <w:highlight w:val="none"/>
              </w:rPr>
              <w:t>光伏项目</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lang w:val="en-US" w:eastAsia="zh-CN"/>
              </w:rPr>
              <w:t>复合型光伏发电项目</w:t>
            </w:r>
            <w:r>
              <w:rPr>
                <w:rFonts w:hint="default" w:ascii="Times New Roman" w:hAnsi="Times New Roman" w:eastAsia="仿宋" w:cs="Times New Roman"/>
                <w:color w:val="auto"/>
                <w:spacing w:val="0"/>
                <w:sz w:val="24"/>
                <w:szCs w:val="24"/>
                <w:highlight w:val="none"/>
              </w:rPr>
              <w:t>》 （附件 8），本项目占地（包含临时用地）均未涉及永久基本农田及</w:t>
            </w:r>
            <w:r>
              <w:rPr>
                <w:rFonts w:hint="default" w:ascii="Times New Roman" w:hAnsi="Times New Roman" w:eastAsia="仿宋" w:cs="Times New Roman"/>
                <w:color w:val="auto"/>
                <w:spacing w:val="0"/>
                <w:sz w:val="24"/>
                <w:szCs w:val="24"/>
                <w:highlight w:val="none"/>
                <w:lang w:val="en-US" w:eastAsia="zh-CN"/>
              </w:rPr>
              <w:t>“三区三线”划定的</w:t>
            </w:r>
            <w:r>
              <w:rPr>
                <w:rFonts w:hint="default" w:ascii="Times New Roman" w:hAnsi="Times New Roman" w:eastAsia="仿宋" w:cs="Times New Roman"/>
                <w:color w:val="auto"/>
                <w:spacing w:val="0"/>
                <w:sz w:val="24"/>
                <w:szCs w:val="24"/>
                <w:highlight w:val="none"/>
              </w:rPr>
              <w:t>一般耕地</w:t>
            </w:r>
            <w:r>
              <w:rPr>
                <w:rFonts w:hint="default" w:ascii="Times New Roman" w:hAnsi="Times New Roman" w:eastAsia="仿宋" w:cs="Times New Roman"/>
                <w:color w:val="auto"/>
                <w:spacing w:val="0"/>
                <w:sz w:val="24"/>
                <w:szCs w:val="24"/>
                <w:highlight w:val="none"/>
                <w:lang w:val="en-US" w:eastAsia="zh-CN"/>
              </w:rPr>
              <w:t>保护目标，未占用耕地后备资源及耕地后备资源补充空间。</w:t>
            </w:r>
          </w:p>
        </w:tc>
      </w:tr>
      <w:tr w14:paraId="2E394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94" w:type="pct"/>
            <w:noWrap w:val="0"/>
            <w:vAlign w:val="center"/>
          </w:tcPr>
          <w:p w14:paraId="2E1433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bCs/>
                <w:color w:val="auto"/>
                <w:sz w:val="24"/>
                <w:szCs w:val="24"/>
                <w:highlight w:val="none"/>
              </w:rPr>
              <w:t>与项目有关的原有环境污染和生态破坏问题</w:t>
            </w:r>
          </w:p>
        </w:tc>
        <w:tc>
          <w:tcPr>
            <w:tcW w:w="4505" w:type="pct"/>
            <w:noWrap w:val="0"/>
            <w:vAlign w:val="center"/>
          </w:tcPr>
          <w:p w14:paraId="3F096473">
            <w:pPr>
              <w:keepNext w:val="0"/>
              <w:keepLines w:val="0"/>
              <w:suppressLineNumbers w:val="0"/>
              <w:snapToGrid w:val="0"/>
              <w:spacing w:before="0" w:beforeAutospacing="0" w:after="0" w:afterAutospacing="0"/>
              <w:ind w:left="0" w:right="0" w:firstLine="420"/>
              <w:rPr>
                <w:rFonts w:hint="default" w:ascii="Times New Roman" w:hAnsi="Times New Roman" w:eastAsia="仿宋" w:cs="Times New Roman"/>
                <w:color w:val="auto"/>
                <w:sz w:val="24"/>
                <w:szCs w:val="24"/>
                <w:highlight w:val="none"/>
                <w:lang w:val="en-US" w:eastAsia="zh-CN"/>
              </w:rPr>
            </w:pPr>
            <w:r>
              <w:rPr>
                <w:rFonts w:hint="default"/>
                <w:color w:val="auto"/>
                <w:kern w:val="0"/>
                <w:szCs w:val="21"/>
                <w:highlight w:val="none"/>
              </w:rPr>
              <w:t>本项目为新建项目，不存在</w:t>
            </w:r>
            <w:r>
              <w:rPr>
                <w:rFonts w:hint="eastAsia"/>
                <w:color w:val="auto"/>
                <w:kern w:val="0"/>
                <w:szCs w:val="21"/>
                <w:highlight w:val="none"/>
              </w:rPr>
              <w:t>与项目有关的</w:t>
            </w:r>
            <w:r>
              <w:rPr>
                <w:rFonts w:hint="default"/>
                <w:color w:val="auto"/>
                <w:kern w:val="0"/>
                <w:szCs w:val="21"/>
                <w:highlight w:val="none"/>
              </w:rPr>
              <w:t>原有</w:t>
            </w:r>
            <w:r>
              <w:rPr>
                <w:rFonts w:hint="eastAsia"/>
                <w:color w:val="auto"/>
                <w:kern w:val="0"/>
                <w:szCs w:val="21"/>
                <w:highlight w:val="none"/>
              </w:rPr>
              <w:t>环境问题</w:t>
            </w:r>
            <w:r>
              <w:rPr>
                <w:rFonts w:hint="default"/>
                <w:color w:val="auto"/>
                <w:kern w:val="0"/>
                <w:szCs w:val="21"/>
                <w:highlight w:val="none"/>
              </w:rPr>
              <w:t>。</w:t>
            </w:r>
          </w:p>
          <w:p w14:paraId="57A5D6C4">
            <w:pPr>
              <w:keepNext w:val="0"/>
              <w:keepLines w:val="0"/>
              <w:suppressLineNumbers w:val="0"/>
              <w:snapToGrid w:val="0"/>
              <w:spacing w:before="0" w:beforeAutospacing="0" w:after="0" w:afterAutospacing="0"/>
              <w:ind w:left="0" w:right="0" w:firstLine="420"/>
              <w:rPr>
                <w:rFonts w:hint="default" w:ascii="Times New Roman" w:hAnsi="Times New Roman" w:eastAsia="仿宋" w:cs="Times New Roman"/>
                <w:color w:val="auto"/>
                <w:sz w:val="24"/>
                <w:szCs w:val="24"/>
                <w:highlight w:val="none"/>
                <w:lang w:val="en-US" w:eastAsia="zh-CN"/>
              </w:rPr>
            </w:pPr>
          </w:p>
        </w:tc>
      </w:tr>
    </w:tbl>
    <w:p w14:paraId="7A3250BB">
      <w:pPr>
        <w:rPr>
          <w:color w:val="auto"/>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2B4F1A3E">
      <w:pPr>
        <w:rPr>
          <w:color w:val="auto"/>
          <w:highlight w:val="none"/>
        </w:rPr>
      </w:pPr>
    </w:p>
    <w:tbl>
      <w:tblPr>
        <w:tblStyle w:val="10"/>
        <w:tblW w:w="524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13407"/>
      </w:tblGrid>
      <w:tr w14:paraId="34A56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94" w:type="pct"/>
            <w:noWrap w:val="0"/>
            <w:vAlign w:val="center"/>
          </w:tcPr>
          <w:p w14:paraId="6F0128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生态环境保护目标</w:t>
            </w:r>
          </w:p>
        </w:tc>
        <w:tc>
          <w:tcPr>
            <w:tcW w:w="4505" w:type="pct"/>
            <w:noWrap w:val="0"/>
            <w:vAlign w:val="center"/>
          </w:tcPr>
          <w:p w14:paraId="18DFE08A">
            <w:pPr>
              <w:keepNext w:val="0"/>
              <w:keepLines w:val="0"/>
              <w:suppressLineNumbers w:val="0"/>
              <w:spacing w:before="84" w:beforeLines="0" w:beforeAutospacing="0" w:after="0" w:afterLines="0" w:afterAutospacing="0" w:line="219" w:lineRule="auto"/>
              <w:ind w:left="0" w:leftChars="0" w:right="0" w:firstLine="0" w:firstLineChars="0"/>
              <w:rPr>
                <w:rFonts w:hint="default" w:ascii="Times New Roman" w:hAnsi="Times New Roman" w:eastAsia="仿宋" w:cs="Times New Roman"/>
                <w:b/>
                <w:bCs/>
                <w:color w:val="auto"/>
                <w:sz w:val="24"/>
                <w:szCs w:val="24"/>
                <w:highlight w:val="none"/>
              </w:rPr>
            </w:pPr>
            <w:r>
              <w:rPr>
                <w:rFonts w:hint="eastAsia" w:cs="Times New Roman"/>
                <w:b/>
                <w:bCs/>
                <w:color w:val="auto"/>
                <w:spacing w:val="-7"/>
                <w:sz w:val="24"/>
                <w:szCs w:val="24"/>
                <w:highlight w:val="none"/>
                <w:lang w:val="en-US" w:eastAsia="zh-CN"/>
              </w:rPr>
              <w:t xml:space="preserve">3.5 </w:t>
            </w:r>
            <w:r>
              <w:rPr>
                <w:rFonts w:hint="default" w:ascii="Times New Roman" w:hAnsi="Times New Roman" w:eastAsia="仿宋" w:cs="Times New Roman"/>
                <w:b/>
                <w:bCs/>
                <w:color w:val="auto"/>
                <w:spacing w:val="-7"/>
                <w:sz w:val="24"/>
                <w:szCs w:val="24"/>
                <w:highlight w:val="none"/>
              </w:rPr>
              <w:t>评价范围</w:t>
            </w:r>
          </w:p>
          <w:p w14:paraId="099E535E">
            <w:pPr>
              <w:keepNext w:val="0"/>
              <w:keepLines w:val="0"/>
              <w:suppressLineNumbers w:val="0"/>
              <w:spacing w:before="263" w:beforeLines="0" w:beforeAutospacing="0" w:after="0" w:afterLines="0" w:afterAutospacing="0" w:line="359" w:lineRule="auto"/>
              <w:ind w:left="103" w:right="99" w:firstLine="484"/>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根据《建设项目环境影响评价技术导则 总纲》</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HJ2.1-2016）、《环境影响评价技术导则 生态影响》</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HJ19-2022)  、《环境影响评价技术导则 大气环境》</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HJ2.2- 2018</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、《环境影响评价技术导则 声环境》</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HJ2.4-2021</w:t>
            </w:r>
            <w:r>
              <w:rPr>
                <w:rFonts w:hint="eastAsia" w:cs="Times New Roman"/>
                <w:color w:val="auto"/>
                <w:spacing w:val="0"/>
                <w:sz w:val="24"/>
                <w:szCs w:val="24"/>
                <w:highlight w:val="none"/>
                <w:lang w:eastAsia="zh-CN"/>
              </w:rPr>
              <w:t>）、《环境影响评价技术导则 输变电》（</w:t>
            </w:r>
            <w:r>
              <w:rPr>
                <w:rFonts w:hint="eastAsia" w:cs="Times New Roman"/>
                <w:color w:val="auto"/>
                <w:spacing w:val="0"/>
                <w:sz w:val="24"/>
                <w:szCs w:val="24"/>
                <w:highlight w:val="none"/>
                <w:lang w:val="en-US" w:eastAsia="zh-CN"/>
              </w:rPr>
              <w:t>HJ24-2020</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及关于印发《建设项目环境影响报告表》内容、格式及编制指南的通知（环办环评</w:t>
            </w:r>
            <w:r>
              <w:rPr>
                <w:rFonts w:hint="eastAsia" w:cs="Times New Roman"/>
                <w:color w:val="auto"/>
                <w:spacing w:val="0"/>
                <w:sz w:val="24"/>
                <w:szCs w:val="24"/>
                <w:highlight w:val="none"/>
                <w:lang w:eastAsia="zh-CN"/>
              </w:rPr>
              <w:t>〔2020〕33号</w:t>
            </w:r>
            <w:r>
              <w:rPr>
                <w:rFonts w:hint="default" w:ascii="Times New Roman" w:hAnsi="Times New Roman" w:eastAsia="仿宋" w:cs="Times New Roman"/>
                <w:color w:val="auto"/>
                <w:spacing w:val="0"/>
                <w:sz w:val="24"/>
                <w:szCs w:val="24"/>
                <w:highlight w:val="none"/>
              </w:rPr>
              <w:t>），本项目各环境要素评价范围具体见表</w:t>
            </w:r>
            <w:r>
              <w:rPr>
                <w:rFonts w:hint="eastAsia" w:cs="Times New Roman"/>
                <w:color w:val="auto"/>
                <w:spacing w:val="0"/>
                <w:sz w:val="24"/>
                <w:szCs w:val="24"/>
                <w:highlight w:val="none"/>
                <w:lang w:val="en-US" w:eastAsia="zh-CN"/>
              </w:rPr>
              <w:t>3.5-1</w:t>
            </w:r>
            <w:r>
              <w:rPr>
                <w:rFonts w:hint="default" w:ascii="Times New Roman" w:hAnsi="Times New Roman" w:eastAsia="仿宋" w:cs="Times New Roman"/>
                <w:color w:val="auto"/>
                <w:spacing w:val="0"/>
                <w:sz w:val="24"/>
                <w:szCs w:val="24"/>
                <w:highlight w:val="none"/>
              </w:rPr>
              <w:t>。</w:t>
            </w:r>
          </w:p>
          <w:p w14:paraId="11E7EBA5">
            <w:pPr>
              <w:keepNext w:val="0"/>
              <w:keepLines w:val="0"/>
              <w:pageBreakBefore w:val="0"/>
              <w:widowControl w:val="0"/>
              <w:suppressLineNumbers w:val="0"/>
              <w:kinsoku/>
              <w:wordWrap/>
              <w:overflowPunct/>
              <w:topLinePunct w:val="0"/>
              <w:autoSpaceDE/>
              <w:autoSpaceDN/>
              <w:bidi w:val="0"/>
              <w:adjustRightInd/>
              <w:snapToGrid w:val="0"/>
              <w:spacing w:before="157" w:beforeLines="50" w:beforeAutospacing="0" w:after="0" w:afterAutospacing="0" w:line="240" w:lineRule="auto"/>
              <w:ind w:left="0" w:right="0" w:firstLine="422" w:firstLineChars="200"/>
              <w:jc w:val="center"/>
              <w:textAlignment w:val="auto"/>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 xml:space="preserve">表 </w:t>
            </w:r>
            <w:r>
              <w:rPr>
                <w:rFonts w:hint="eastAsia" w:cs="Times New Roman"/>
                <w:b/>
                <w:bCs/>
                <w:color w:val="auto"/>
                <w:sz w:val="21"/>
                <w:szCs w:val="21"/>
                <w:highlight w:val="none"/>
                <w:lang w:val="en-US" w:eastAsia="zh-CN"/>
              </w:rPr>
              <w:t xml:space="preserve">3.5-1 </w:t>
            </w:r>
            <w:r>
              <w:rPr>
                <w:rFonts w:hint="default" w:ascii="Times New Roman" w:hAnsi="Times New Roman" w:eastAsia="仿宋" w:cs="Times New Roman"/>
                <w:b/>
                <w:bCs/>
                <w:color w:val="auto"/>
                <w:sz w:val="21"/>
                <w:szCs w:val="21"/>
                <w:highlight w:val="none"/>
                <w:lang w:val="en-US" w:eastAsia="zh-CN"/>
              </w:rPr>
              <w:t>项目评价范围</w:t>
            </w:r>
          </w:p>
          <w:tbl>
            <w:tblPr>
              <w:tblStyle w:val="10"/>
              <w:tblpPr w:leftFromText="180" w:rightFromText="180" w:vertAnchor="text" w:horzAnchor="page" w:tblpX="172" w:tblpY="17"/>
              <w:tblOverlap w:val="never"/>
              <w:tblW w:w="48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163"/>
              <w:gridCol w:w="9744"/>
            </w:tblGrid>
            <w:tr w14:paraId="2638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1883" w:type="dxa"/>
                  <w:shd w:val="clear" w:color="auto" w:fill="auto"/>
                  <w:vAlign w:val="center"/>
                </w:tcPr>
                <w:p w14:paraId="30AC8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环境要素</w:t>
                  </w:r>
                </w:p>
              </w:tc>
              <w:tc>
                <w:tcPr>
                  <w:tcW w:w="5800" w:type="dxa"/>
                  <w:shd w:val="clear" w:color="auto" w:fill="auto"/>
                  <w:vAlign w:val="center"/>
                </w:tcPr>
                <w:p w14:paraId="4F6D8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评价范围</w:t>
                  </w:r>
                </w:p>
              </w:tc>
            </w:tr>
            <w:tr w14:paraId="3E8B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1883" w:type="dxa"/>
                  <w:shd w:val="clear" w:color="auto" w:fill="auto"/>
                  <w:vAlign w:val="center"/>
                </w:tcPr>
                <w:p w14:paraId="7FCDDF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陆生生态环境</w:t>
                  </w:r>
                </w:p>
              </w:tc>
              <w:tc>
                <w:tcPr>
                  <w:tcW w:w="5800" w:type="dxa"/>
                  <w:shd w:val="clear" w:color="auto" w:fill="auto"/>
                  <w:vAlign w:val="center"/>
                </w:tcPr>
                <w:p w14:paraId="6C678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项目</w:t>
                  </w:r>
                  <w:r>
                    <w:rPr>
                      <w:rFonts w:hint="eastAsia" w:cs="Times New Roman"/>
                      <w:i w:val="0"/>
                      <w:iCs w:val="0"/>
                      <w:color w:val="auto"/>
                      <w:kern w:val="0"/>
                      <w:sz w:val="21"/>
                      <w:szCs w:val="21"/>
                      <w:highlight w:val="none"/>
                      <w:u w:val="none"/>
                      <w:lang w:val="en-US" w:eastAsia="zh-CN" w:bidi="ar"/>
                    </w:rPr>
                    <w:t>升压站边界外延500m，光伏阵列、道路工程及集电线路</w:t>
                  </w:r>
                  <w:r>
                    <w:rPr>
                      <w:rFonts w:hint="default" w:ascii="Times New Roman" w:hAnsi="Times New Roman" w:eastAsia="仿宋" w:cs="Times New Roman"/>
                      <w:i w:val="0"/>
                      <w:iCs w:val="0"/>
                      <w:color w:val="auto"/>
                      <w:kern w:val="0"/>
                      <w:sz w:val="21"/>
                      <w:szCs w:val="21"/>
                      <w:highlight w:val="none"/>
                      <w:u w:val="none"/>
                      <w:lang w:val="en-US" w:eastAsia="zh-CN" w:bidi="ar"/>
                    </w:rPr>
                    <w:t>范围外延</w:t>
                  </w:r>
                  <w:r>
                    <w:rPr>
                      <w:rFonts w:hint="eastAsia" w:cs="Times New Roman"/>
                      <w:i w:val="0"/>
                      <w:iCs w:val="0"/>
                      <w:color w:val="auto"/>
                      <w:kern w:val="0"/>
                      <w:sz w:val="21"/>
                      <w:szCs w:val="21"/>
                      <w:highlight w:val="none"/>
                      <w:u w:val="none"/>
                      <w:lang w:val="en-US" w:eastAsia="zh-CN" w:bidi="ar"/>
                    </w:rPr>
                    <w:t>300</w:t>
                  </w:r>
                  <w:r>
                    <w:rPr>
                      <w:rFonts w:hint="default" w:ascii="Times New Roman" w:hAnsi="Times New Roman" w:eastAsia="仿宋" w:cs="Times New Roman"/>
                      <w:i w:val="0"/>
                      <w:iCs w:val="0"/>
                      <w:color w:val="auto"/>
                      <w:kern w:val="0"/>
                      <w:sz w:val="21"/>
                      <w:szCs w:val="21"/>
                      <w:highlight w:val="none"/>
                      <w:u w:val="none"/>
                      <w:lang w:val="en-US" w:eastAsia="zh-CN" w:bidi="ar"/>
                    </w:rPr>
                    <w:t>m，</w:t>
                  </w:r>
                  <w:r>
                    <w:rPr>
                      <w:rFonts w:hint="eastAsia" w:cs="Times New Roman"/>
                      <w:i w:val="0"/>
                      <w:iCs w:val="0"/>
                      <w:color w:val="auto"/>
                      <w:kern w:val="0"/>
                      <w:sz w:val="21"/>
                      <w:szCs w:val="21"/>
                      <w:highlight w:val="none"/>
                      <w:u w:val="none"/>
                      <w:lang w:val="en-US" w:eastAsia="zh-CN" w:bidi="ar"/>
                    </w:rPr>
                    <w:t>架空线路穿越生态保护红线部分外延1000m</w:t>
                  </w:r>
                </w:p>
              </w:tc>
            </w:tr>
            <w:tr w14:paraId="0BA2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883" w:type="dxa"/>
                  <w:shd w:val="clear" w:color="auto" w:fill="auto"/>
                  <w:vAlign w:val="center"/>
                </w:tcPr>
                <w:p w14:paraId="05055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大气环境</w:t>
                  </w:r>
                </w:p>
              </w:tc>
              <w:tc>
                <w:tcPr>
                  <w:tcW w:w="5800" w:type="dxa"/>
                  <w:shd w:val="clear" w:color="auto" w:fill="auto"/>
                  <w:vAlign w:val="center"/>
                </w:tcPr>
                <w:p w14:paraId="1B79E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调查范围选择项目永久及临时用地</w:t>
                  </w:r>
                  <w:r>
                    <w:rPr>
                      <w:rFonts w:hint="default" w:ascii="Times New Roman" w:hAnsi="Times New Roman" w:eastAsia="仿宋" w:cs="Times New Roman"/>
                      <w:i w:val="0"/>
                      <w:iCs w:val="0"/>
                      <w:color w:val="auto"/>
                      <w:kern w:val="0"/>
                      <w:sz w:val="21"/>
                      <w:szCs w:val="21"/>
                      <w:highlight w:val="none"/>
                      <w:u w:val="none"/>
                      <w:lang w:val="en-US" w:eastAsia="zh-CN" w:bidi="ar"/>
                    </w:rPr>
                    <w:t>红线范围外延200m</w:t>
                  </w:r>
                  <w:r>
                    <w:rPr>
                      <w:rFonts w:hint="eastAsia" w:cs="Times New Roman"/>
                      <w:i w:val="0"/>
                      <w:iCs w:val="0"/>
                      <w:color w:val="auto"/>
                      <w:kern w:val="0"/>
                      <w:sz w:val="21"/>
                      <w:szCs w:val="21"/>
                      <w:highlight w:val="none"/>
                      <w:u w:val="none"/>
                      <w:lang w:val="en-US" w:eastAsia="zh-CN" w:bidi="ar"/>
                    </w:rPr>
                    <w:t>。</w:t>
                  </w:r>
                </w:p>
              </w:tc>
            </w:tr>
            <w:tr w14:paraId="7E2C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883" w:type="dxa"/>
                  <w:shd w:val="clear" w:color="auto" w:fill="auto"/>
                  <w:vAlign w:val="center"/>
                </w:tcPr>
                <w:p w14:paraId="77CAC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声环境</w:t>
                  </w:r>
                </w:p>
              </w:tc>
              <w:tc>
                <w:tcPr>
                  <w:tcW w:w="5800" w:type="dxa"/>
                  <w:shd w:val="clear" w:color="auto" w:fill="auto"/>
                  <w:vAlign w:val="center"/>
                </w:tcPr>
                <w:p w14:paraId="6238F7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项目</w:t>
                  </w:r>
                  <w:r>
                    <w:rPr>
                      <w:rFonts w:hint="eastAsia" w:cs="Times New Roman"/>
                      <w:i w:val="0"/>
                      <w:iCs w:val="0"/>
                      <w:color w:val="auto"/>
                      <w:kern w:val="0"/>
                      <w:sz w:val="21"/>
                      <w:szCs w:val="21"/>
                      <w:highlight w:val="none"/>
                      <w:u w:val="none"/>
                      <w:lang w:val="en-US" w:eastAsia="zh-CN" w:bidi="ar"/>
                    </w:rPr>
                    <w:t>永久及临时用地</w:t>
                  </w:r>
                  <w:r>
                    <w:rPr>
                      <w:rFonts w:hint="default" w:ascii="Times New Roman" w:hAnsi="Times New Roman" w:eastAsia="仿宋" w:cs="Times New Roman"/>
                      <w:i w:val="0"/>
                      <w:iCs w:val="0"/>
                      <w:color w:val="auto"/>
                      <w:kern w:val="0"/>
                      <w:sz w:val="21"/>
                      <w:szCs w:val="21"/>
                      <w:highlight w:val="none"/>
                      <w:u w:val="none"/>
                      <w:lang w:val="en-US" w:eastAsia="zh-CN" w:bidi="ar"/>
                    </w:rPr>
                    <w:t>红线范围外延200m。</w:t>
                  </w:r>
                </w:p>
              </w:tc>
            </w:tr>
            <w:tr w14:paraId="0C39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1883" w:type="dxa"/>
                  <w:shd w:val="clear" w:color="auto" w:fill="auto"/>
                  <w:vAlign w:val="center"/>
                </w:tcPr>
                <w:p w14:paraId="37036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电磁环境</w:t>
                  </w:r>
                </w:p>
              </w:tc>
              <w:tc>
                <w:tcPr>
                  <w:tcW w:w="5800" w:type="dxa"/>
                  <w:shd w:val="clear" w:color="auto" w:fill="auto"/>
                  <w:vAlign w:val="center"/>
                </w:tcPr>
                <w:p w14:paraId="1C87B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升压站征地红线范围外延40m</w:t>
                  </w:r>
                </w:p>
              </w:tc>
            </w:tr>
          </w:tbl>
          <w:p w14:paraId="0B079B8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b/>
                <w:bCs/>
                <w:color w:val="auto"/>
                <w:spacing w:val="-7"/>
                <w:sz w:val="24"/>
                <w:szCs w:val="24"/>
                <w:highlight w:val="none"/>
                <w:lang w:val="en-US" w:eastAsia="zh-CN"/>
              </w:rPr>
            </w:pPr>
            <w:r>
              <w:rPr>
                <w:rFonts w:hint="eastAsia" w:cs="Times New Roman"/>
                <w:b/>
                <w:bCs/>
                <w:color w:val="auto"/>
                <w:spacing w:val="-7"/>
                <w:sz w:val="24"/>
                <w:szCs w:val="24"/>
                <w:highlight w:val="none"/>
                <w:lang w:val="en-US" w:eastAsia="zh-CN"/>
              </w:rPr>
              <w:t xml:space="preserve">3.6 </w:t>
            </w:r>
            <w:r>
              <w:rPr>
                <w:rFonts w:hint="default" w:ascii="Times New Roman" w:hAnsi="Times New Roman" w:eastAsia="仿宋" w:cs="Times New Roman"/>
                <w:b/>
                <w:bCs/>
                <w:color w:val="auto"/>
                <w:spacing w:val="-7"/>
                <w:sz w:val="24"/>
                <w:szCs w:val="24"/>
                <w:highlight w:val="none"/>
                <w:lang w:val="en-US" w:eastAsia="zh-CN"/>
              </w:rPr>
              <w:t>环境保护目标</w:t>
            </w:r>
          </w:p>
          <w:p w14:paraId="135BD3E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pacing w:val="-4"/>
                <w:sz w:val="24"/>
                <w:szCs w:val="24"/>
                <w:highlight w:val="none"/>
              </w:rPr>
            </w:pPr>
            <w:r>
              <w:rPr>
                <w:rFonts w:hint="default" w:ascii="Times New Roman" w:hAnsi="Times New Roman" w:eastAsia="仿宋" w:cs="Times New Roman"/>
                <w:color w:val="auto"/>
                <w:sz w:val="24"/>
                <w:szCs w:val="24"/>
                <w:highlight w:val="none"/>
              </w:rPr>
              <w:t>经调查，本项目不涉及自然保护区、风景名胜区、饮用水水源保护区和珍稀物种集中分布区等环境敏感区，工程影响范围内也未发现古树名木分布。项目建</w:t>
            </w:r>
            <w:r>
              <w:rPr>
                <w:rFonts w:hint="default" w:ascii="Times New Roman" w:hAnsi="Times New Roman" w:eastAsia="仿宋" w:cs="Times New Roman"/>
                <w:color w:val="auto"/>
                <w:spacing w:val="-1"/>
                <w:sz w:val="24"/>
                <w:szCs w:val="24"/>
                <w:highlight w:val="none"/>
              </w:rPr>
              <w:t>设区周边</w:t>
            </w:r>
            <w:r>
              <w:rPr>
                <w:rFonts w:hint="default" w:ascii="Times New Roman" w:hAnsi="Times New Roman" w:eastAsia="仿宋" w:cs="Times New Roman"/>
                <w:color w:val="auto"/>
                <w:spacing w:val="-3"/>
                <w:sz w:val="24"/>
                <w:szCs w:val="24"/>
                <w:highlight w:val="none"/>
              </w:rPr>
              <w:t>敏感保护目标</w:t>
            </w:r>
            <w:r>
              <w:rPr>
                <w:rFonts w:hint="default" w:ascii="Times New Roman" w:hAnsi="Times New Roman" w:eastAsia="仿宋" w:cs="Times New Roman"/>
                <w:color w:val="auto"/>
                <w:spacing w:val="-3"/>
                <w:sz w:val="24"/>
                <w:szCs w:val="24"/>
                <w:highlight w:val="none"/>
                <w:lang w:val="en-US" w:eastAsia="zh-CN"/>
              </w:rPr>
              <w:t>主要为居民</w:t>
            </w:r>
            <w:r>
              <w:rPr>
                <w:rFonts w:hint="default" w:ascii="Times New Roman" w:hAnsi="Times New Roman" w:eastAsia="仿宋" w:cs="Times New Roman"/>
                <w:color w:val="auto"/>
                <w:spacing w:val="-3"/>
                <w:sz w:val="24"/>
                <w:szCs w:val="24"/>
                <w:highlight w:val="none"/>
              </w:rPr>
              <w:t>。主要环境保护目标见表</w:t>
            </w:r>
            <w:r>
              <w:rPr>
                <w:rFonts w:hint="default" w:ascii="Times New Roman" w:hAnsi="Times New Roman" w:eastAsia="仿宋" w:cs="Times New Roman"/>
                <w:color w:val="auto"/>
                <w:spacing w:val="-50"/>
                <w:sz w:val="24"/>
                <w:szCs w:val="24"/>
                <w:highlight w:val="none"/>
              </w:rPr>
              <w:t xml:space="preserve"> </w:t>
            </w:r>
            <w:r>
              <w:rPr>
                <w:rFonts w:hint="eastAsia" w:cs="Times New Roman"/>
                <w:color w:val="auto"/>
                <w:spacing w:val="-3"/>
                <w:sz w:val="24"/>
                <w:szCs w:val="24"/>
                <w:highlight w:val="none"/>
                <w:lang w:val="en-US" w:eastAsia="zh-CN"/>
              </w:rPr>
              <w:t>3.6-1</w:t>
            </w:r>
            <w:r>
              <w:rPr>
                <w:rFonts w:hint="default" w:ascii="Times New Roman" w:hAnsi="Times New Roman" w:eastAsia="仿宋" w:cs="Times New Roman"/>
                <w:color w:val="auto"/>
                <w:spacing w:val="-4"/>
                <w:sz w:val="24"/>
                <w:szCs w:val="24"/>
                <w:highlight w:val="none"/>
              </w:rPr>
              <w:t>、附图</w:t>
            </w:r>
            <w:r>
              <w:rPr>
                <w:rFonts w:hint="default" w:ascii="Times New Roman" w:hAnsi="Times New Roman" w:eastAsia="仿宋" w:cs="Times New Roman"/>
                <w:color w:val="auto"/>
                <w:spacing w:val="-4"/>
                <w:sz w:val="24"/>
                <w:szCs w:val="24"/>
                <w:highlight w:val="none"/>
                <w:lang w:val="en-US" w:eastAsia="zh-CN"/>
              </w:rPr>
              <w:t>7</w:t>
            </w:r>
            <w:r>
              <w:rPr>
                <w:rFonts w:hint="default" w:ascii="Times New Roman" w:hAnsi="Times New Roman" w:eastAsia="仿宋" w:cs="Times New Roman"/>
                <w:color w:val="auto"/>
                <w:spacing w:val="-4"/>
                <w:sz w:val="24"/>
                <w:szCs w:val="24"/>
                <w:highlight w:val="none"/>
              </w:rPr>
              <w:t>。</w:t>
            </w:r>
          </w:p>
          <w:p w14:paraId="2B3049E2">
            <w:pPr>
              <w:keepNext w:val="0"/>
              <w:keepLines w:val="0"/>
              <w:suppressLineNumbers w:val="0"/>
              <w:adjustRightInd w:val="0"/>
              <w:snapToGrid w:val="0"/>
              <w:spacing w:before="0" w:beforeAutospacing="0" w:after="0" w:afterAutospacing="0" w:line="360" w:lineRule="auto"/>
              <w:ind w:left="0" w:right="0" w:firstLine="464" w:firstLineChars="200"/>
              <w:rPr>
                <w:rFonts w:hint="default" w:ascii="Times New Roman" w:hAnsi="Times New Roman" w:eastAsia="仿宋" w:cs="Times New Roman"/>
                <w:color w:val="auto"/>
                <w:spacing w:val="-4"/>
                <w:sz w:val="24"/>
                <w:szCs w:val="24"/>
                <w:highlight w:val="none"/>
                <w:lang w:val="en-US" w:eastAsia="zh-CN"/>
              </w:rPr>
            </w:pPr>
            <w:r>
              <w:rPr>
                <w:rFonts w:hint="eastAsia" w:cs="Times New Roman"/>
                <w:color w:val="auto"/>
                <w:spacing w:val="-4"/>
                <w:sz w:val="24"/>
                <w:szCs w:val="24"/>
                <w:highlight w:val="none"/>
                <w:lang w:val="en-US" w:eastAsia="zh-CN"/>
              </w:rPr>
              <w:t>注：表3.6-1中，敏感目标最近集电线路或塔基，选取最近距离的地埋电缆或塔基选择距离最近的进行说明；最近箱变或施工道路，选取最近距离的箱变或施工道路进行说明；升压站周边200m范围内无敏感目标，不做距离说明。</w:t>
            </w:r>
          </w:p>
          <w:p w14:paraId="0087CC3D">
            <w:pPr>
              <w:keepNext w:val="0"/>
              <w:keepLines w:val="0"/>
              <w:pageBreakBefore w:val="0"/>
              <w:widowControl w:val="0"/>
              <w:suppressLineNumbers w:val="0"/>
              <w:kinsoku/>
              <w:wordWrap/>
              <w:overflowPunct/>
              <w:topLinePunct w:val="0"/>
              <w:autoSpaceDE/>
              <w:autoSpaceDN/>
              <w:bidi w:val="0"/>
              <w:adjustRightInd/>
              <w:snapToGrid w:val="0"/>
              <w:spacing w:before="157" w:beforeLines="50" w:beforeAutospacing="0" w:after="0" w:afterAutospacing="0" w:line="240" w:lineRule="auto"/>
              <w:ind w:left="0" w:right="0" w:firstLine="422" w:firstLineChars="20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1"/>
                <w:szCs w:val="21"/>
                <w:highlight w:val="none"/>
                <w:lang w:val="en-US" w:eastAsia="zh-CN"/>
              </w:rPr>
              <w:t xml:space="preserve">表 </w:t>
            </w:r>
            <w:r>
              <w:rPr>
                <w:rFonts w:hint="eastAsia" w:cs="Times New Roman"/>
                <w:b/>
                <w:bCs/>
                <w:color w:val="auto"/>
                <w:sz w:val="21"/>
                <w:szCs w:val="21"/>
                <w:highlight w:val="none"/>
                <w:lang w:val="en-US" w:eastAsia="zh-CN"/>
              </w:rPr>
              <w:t>3.6-1</w:t>
            </w:r>
            <w:r>
              <w:rPr>
                <w:rFonts w:hint="default" w:ascii="Times New Roman" w:hAnsi="Times New Roman" w:eastAsia="仿宋" w:cs="Times New Roman"/>
                <w:b/>
                <w:bCs/>
                <w:color w:val="auto"/>
                <w:sz w:val="21"/>
                <w:szCs w:val="21"/>
                <w:highlight w:val="none"/>
                <w:lang w:val="en-US" w:eastAsia="zh-CN"/>
              </w:rPr>
              <w:t xml:space="preserve"> 本项目环境保护目标一览表</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431"/>
              <w:gridCol w:w="2916"/>
              <w:gridCol w:w="1437"/>
              <w:gridCol w:w="1474"/>
              <w:gridCol w:w="1184"/>
              <w:gridCol w:w="1371"/>
              <w:gridCol w:w="1975"/>
            </w:tblGrid>
            <w:tr w14:paraId="5FD3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restart"/>
                  <w:tcBorders>
                    <w:top w:val="single" w:color="auto" w:sz="4" w:space="0"/>
                    <w:left w:val="single" w:color="auto" w:sz="4" w:space="0"/>
                    <w:right w:val="single" w:color="auto" w:sz="4" w:space="0"/>
                    <w:tl2br w:val="nil"/>
                    <w:tr2bl w:val="nil"/>
                  </w:tcBorders>
                  <w:noWrap w:val="0"/>
                  <w:vAlign w:val="center"/>
                </w:tcPr>
                <w:p w14:paraId="36E04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环境要素</w:t>
                  </w:r>
                </w:p>
              </w:tc>
              <w:tc>
                <w:tcPr>
                  <w:tcW w:w="543" w:type="pct"/>
                  <w:vMerge w:val="restart"/>
                  <w:tcBorders>
                    <w:top w:val="single" w:color="auto" w:sz="4" w:space="0"/>
                    <w:left w:val="single" w:color="auto" w:sz="4" w:space="0"/>
                    <w:right w:val="single" w:color="auto" w:sz="4" w:space="0"/>
                    <w:tl2br w:val="nil"/>
                    <w:tr2bl w:val="nil"/>
                  </w:tcBorders>
                  <w:noWrap w:val="0"/>
                  <w:vAlign w:val="center"/>
                </w:tcPr>
                <w:p w14:paraId="6507F2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保护目标</w:t>
                  </w:r>
                </w:p>
              </w:tc>
              <w:tc>
                <w:tcPr>
                  <w:tcW w:w="1106" w:type="pct"/>
                  <w:vMerge w:val="restart"/>
                  <w:tcBorders>
                    <w:top w:val="single" w:color="auto" w:sz="4" w:space="0"/>
                    <w:left w:val="single" w:color="auto" w:sz="4" w:space="0"/>
                    <w:right w:val="single" w:color="auto" w:sz="4" w:space="0"/>
                    <w:tl2br w:val="nil"/>
                    <w:tr2bl w:val="nil"/>
                  </w:tcBorders>
                  <w:noWrap w:val="0"/>
                  <w:vAlign w:val="center"/>
                </w:tcPr>
                <w:p w14:paraId="7C273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坐标</w:t>
                  </w:r>
                </w:p>
              </w:tc>
              <w:tc>
                <w:tcPr>
                  <w:tcW w:w="1553"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33C1A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分布位置</w:t>
                  </w:r>
                </w:p>
              </w:tc>
              <w:tc>
                <w:tcPr>
                  <w:tcW w:w="518" w:type="pct"/>
                  <w:vMerge w:val="restart"/>
                  <w:tcBorders>
                    <w:top w:val="single" w:color="auto" w:sz="4" w:space="0"/>
                    <w:left w:val="single" w:color="auto" w:sz="4" w:space="0"/>
                    <w:right w:val="single" w:color="auto" w:sz="4" w:space="0"/>
                    <w:tl2br w:val="nil"/>
                    <w:tr2bl w:val="nil"/>
                  </w:tcBorders>
                  <w:noWrap w:val="0"/>
                  <w:vAlign w:val="center"/>
                </w:tcPr>
                <w:p w14:paraId="5919F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规模、特征</w:t>
                  </w:r>
                </w:p>
              </w:tc>
              <w:tc>
                <w:tcPr>
                  <w:tcW w:w="749" w:type="pct"/>
                  <w:vMerge w:val="restart"/>
                  <w:tcBorders>
                    <w:top w:val="single" w:color="auto" w:sz="4" w:space="0"/>
                    <w:left w:val="single" w:color="auto" w:sz="4" w:space="0"/>
                    <w:right w:val="single" w:color="auto" w:sz="4" w:space="0"/>
                    <w:tl2br w:val="nil"/>
                    <w:tr2bl w:val="nil"/>
                  </w:tcBorders>
                  <w:noWrap w:val="0"/>
                  <w:vAlign w:val="center"/>
                </w:tcPr>
                <w:p w14:paraId="096BB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保护要求</w:t>
                  </w:r>
                </w:p>
              </w:tc>
            </w:tr>
            <w:tr w14:paraId="6B86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 w:type="pct"/>
                  <w:vMerge w:val="continue"/>
                  <w:tcBorders>
                    <w:left w:val="single" w:color="auto" w:sz="4" w:space="0"/>
                    <w:bottom w:val="single" w:color="auto" w:sz="4" w:space="0"/>
                    <w:right w:val="single" w:color="auto" w:sz="4" w:space="0"/>
                    <w:tl2br w:val="nil"/>
                    <w:tr2bl w:val="nil"/>
                  </w:tcBorders>
                  <w:noWrap w:val="0"/>
                  <w:vAlign w:val="center"/>
                </w:tcPr>
                <w:p w14:paraId="57110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43" w:type="pct"/>
                  <w:vMerge w:val="continue"/>
                  <w:tcBorders>
                    <w:left w:val="single" w:color="auto" w:sz="4" w:space="0"/>
                    <w:bottom w:val="single" w:color="auto" w:sz="4" w:space="0"/>
                    <w:right w:val="single" w:color="auto" w:sz="4" w:space="0"/>
                    <w:tl2br w:val="nil"/>
                    <w:tr2bl w:val="nil"/>
                  </w:tcBorders>
                  <w:noWrap w:val="0"/>
                  <w:vAlign w:val="center"/>
                </w:tcPr>
                <w:p w14:paraId="20852D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106" w:type="pct"/>
                  <w:vMerge w:val="continue"/>
                  <w:tcBorders>
                    <w:left w:val="single" w:color="auto" w:sz="4" w:space="0"/>
                    <w:bottom w:val="single" w:color="auto" w:sz="4" w:space="0"/>
                    <w:right w:val="single" w:color="auto" w:sz="4" w:space="0"/>
                    <w:tl2br w:val="nil"/>
                    <w:tr2bl w:val="nil"/>
                  </w:tcBorders>
                  <w:noWrap w:val="0"/>
                  <w:vAlign w:val="center"/>
                </w:tcPr>
                <w:p w14:paraId="1C9119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D8B8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最近方阵</w:t>
                  </w:r>
                </w:p>
              </w:tc>
              <w:tc>
                <w:tcPr>
                  <w:tcW w:w="55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A6B3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最近集电线路或塔基</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2A0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最近箱变或施工道路</w:t>
                  </w:r>
                </w:p>
              </w:tc>
              <w:tc>
                <w:tcPr>
                  <w:tcW w:w="518" w:type="pct"/>
                  <w:vMerge w:val="continue"/>
                  <w:tcBorders>
                    <w:left w:val="single" w:color="auto" w:sz="4" w:space="0"/>
                    <w:bottom w:val="single" w:color="auto" w:sz="4" w:space="0"/>
                    <w:right w:val="single" w:color="auto" w:sz="4" w:space="0"/>
                    <w:tl2br w:val="nil"/>
                    <w:tr2bl w:val="nil"/>
                  </w:tcBorders>
                  <w:noWrap w:val="0"/>
                  <w:vAlign w:val="center"/>
                </w:tcPr>
                <w:p w14:paraId="2B06BC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749" w:type="pct"/>
                  <w:vMerge w:val="continue"/>
                  <w:tcBorders>
                    <w:left w:val="single" w:color="auto" w:sz="4" w:space="0"/>
                    <w:bottom w:val="single" w:color="auto" w:sz="4" w:space="0"/>
                    <w:right w:val="single" w:color="auto" w:sz="4" w:space="0"/>
                    <w:tl2br w:val="nil"/>
                    <w:tr2bl w:val="nil"/>
                  </w:tcBorders>
                  <w:noWrap w:val="0"/>
                  <w:vAlign w:val="center"/>
                </w:tcPr>
                <w:p w14:paraId="06A4E7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53A7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527" w:type="pct"/>
                  <w:vMerge w:val="restart"/>
                  <w:tcBorders>
                    <w:top w:val="single" w:color="auto" w:sz="4" w:space="0"/>
                    <w:left w:val="single" w:color="auto" w:sz="4" w:space="0"/>
                    <w:right w:val="single" w:color="auto" w:sz="4" w:space="0"/>
                    <w:tl2br w:val="nil"/>
                    <w:tr2bl w:val="nil"/>
                  </w:tcBorders>
                  <w:noWrap w:val="0"/>
                  <w:vAlign w:val="center"/>
                </w:tcPr>
                <w:p w14:paraId="7C9DC5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大气及声环境</w:t>
                  </w:r>
                </w:p>
              </w:tc>
              <w:tc>
                <w:tcPr>
                  <w:tcW w:w="543" w:type="pct"/>
                  <w:tcBorders>
                    <w:top w:val="single" w:color="auto" w:sz="4" w:space="0"/>
                    <w:left w:val="single" w:color="auto" w:sz="4" w:space="0"/>
                    <w:right w:val="single" w:color="auto" w:sz="4" w:space="0"/>
                    <w:tl2br w:val="nil"/>
                    <w:tr2bl w:val="nil"/>
                  </w:tcBorders>
                  <w:noWrap w:val="0"/>
                  <w:vAlign w:val="center"/>
                </w:tcPr>
                <w:p w14:paraId="17D2E2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大丫口居民点</w:t>
                  </w:r>
                </w:p>
              </w:tc>
              <w:tc>
                <w:tcPr>
                  <w:tcW w:w="11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55A9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default" w:cs="Times New Roman"/>
                      <w:color w:val="auto"/>
                      <w:sz w:val="21"/>
                      <w:szCs w:val="21"/>
                      <w:highlight w:val="none"/>
                      <w:lang w:val="en-US" w:eastAsia="zh-CN"/>
                    </w:rPr>
                    <w:t>103.53678579</w:t>
                  </w:r>
                  <w:r>
                    <w:rPr>
                      <w:rFonts w:hint="eastAsia" w:cs="Times New Roman"/>
                      <w:color w:val="auto"/>
                      <w:sz w:val="21"/>
                      <w:szCs w:val="21"/>
                      <w:highlight w:val="none"/>
                      <w:lang w:val="en-US" w:eastAsia="zh-CN"/>
                    </w:rPr>
                    <w:t>,26.98025598</w:t>
                  </w:r>
                </w:p>
              </w:tc>
              <w:tc>
                <w:tcPr>
                  <w:tcW w:w="54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001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36#方阵南侧80m</w:t>
                  </w:r>
                </w:p>
              </w:tc>
              <w:tc>
                <w:tcPr>
                  <w:tcW w:w="55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8D9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36#方阵地埋电缆西南76m</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BA4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36#箱变南346m</w:t>
                  </w:r>
                </w:p>
              </w:tc>
              <w:tc>
                <w:tcPr>
                  <w:tcW w:w="518" w:type="pct"/>
                  <w:tcBorders>
                    <w:top w:val="single" w:color="auto" w:sz="4" w:space="0"/>
                    <w:left w:val="single" w:color="auto" w:sz="4" w:space="0"/>
                    <w:right w:val="single" w:color="auto" w:sz="4" w:space="0"/>
                    <w:tl2br w:val="nil"/>
                    <w:tr2bl w:val="nil"/>
                  </w:tcBorders>
                  <w:noWrap w:val="0"/>
                  <w:vAlign w:val="center"/>
                </w:tcPr>
                <w:p w14:paraId="0E2C0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65户约200人</w:t>
                  </w:r>
                </w:p>
              </w:tc>
              <w:tc>
                <w:tcPr>
                  <w:tcW w:w="749" w:type="pct"/>
                  <w:vMerge w:val="restart"/>
                  <w:tcBorders>
                    <w:top w:val="single" w:color="auto" w:sz="4" w:space="0"/>
                    <w:left w:val="single" w:color="auto" w:sz="4" w:space="0"/>
                    <w:right w:val="single" w:color="auto" w:sz="4" w:space="0"/>
                    <w:tl2br w:val="nil"/>
                    <w:tr2bl w:val="nil"/>
                  </w:tcBorders>
                  <w:noWrap w:val="0"/>
                  <w:vAlign w:val="center"/>
                </w:tcPr>
                <w:p w14:paraId="67A45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《环境空气质量标准》（GB3095-20</w:t>
                  </w:r>
                  <w:r>
                    <w:rPr>
                      <w:rFonts w:hint="default" w:ascii="Times New Roman" w:hAnsi="Times New Roman" w:eastAsia="仿宋" w:cs="Times New Roman"/>
                      <w:color w:val="auto"/>
                      <w:sz w:val="21"/>
                      <w:szCs w:val="21"/>
                      <w:highlight w:val="none"/>
                      <w:lang w:val="en-US" w:eastAsia="zh-CN"/>
                    </w:rPr>
                    <w:t>26</w:t>
                  </w:r>
                  <w:r>
                    <w:rPr>
                      <w:rFonts w:hint="default" w:ascii="Times New Roman" w:hAnsi="Times New Roman" w:eastAsia="仿宋" w:cs="Times New Roman"/>
                      <w:color w:val="auto"/>
                      <w:sz w:val="21"/>
                      <w:szCs w:val="21"/>
                      <w:highlight w:val="none"/>
                    </w:rPr>
                    <w:t>）过渡阶段浓度限值二级标准、《声环境质量标准》（GB3096-2008）1类）</w:t>
                  </w:r>
                </w:p>
              </w:tc>
            </w:tr>
            <w:tr w14:paraId="480D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527" w:type="pct"/>
                  <w:vMerge w:val="continue"/>
                  <w:tcBorders>
                    <w:left w:val="single" w:color="auto" w:sz="4" w:space="0"/>
                    <w:right w:val="single" w:color="auto" w:sz="4" w:space="0"/>
                    <w:tl2br w:val="nil"/>
                    <w:tr2bl w:val="nil"/>
                  </w:tcBorders>
                  <w:noWrap w:val="0"/>
                  <w:vAlign w:val="center"/>
                </w:tcPr>
                <w:p w14:paraId="5F296E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543" w:type="pct"/>
                  <w:tcBorders>
                    <w:left w:val="single" w:color="auto" w:sz="4" w:space="0"/>
                    <w:bottom w:val="single" w:color="auto" w:sz="4" w:space="0"/>
                    <w:right w:val="single" w:color="auto" w:sz="4" w:space="0"/>
                    <w:tl2br w:val="nil"/>
                    <w:tr2bl w:val="nil"/>
                  </w:tcBorders>
                  <w:noWrap w:val="0"/>
                  <w:vAlign w:val="center"/>
                </w:tcPr>
                <w:p w14:paraId="00DDC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r>
                    <w:rPr>
                      <w:rFonts w:hint="eastAsia" w:cs="Times New Roman"/>
                      <w:color w:val="auto"/>
                      <w:sz w:val="21"/>
                      <w:szCs w:val="21"/>
                      <w:highlight w:val="none"/>
                      <w:lang w:val="en-US" w:eastAsia="zh-CN"/>
                    </w:rPr>
                    <w:t>唐家村居民点1</w:t>
                  </w:r>
                </w:p>
              </w:tc>
              <w:tc>
                <w:tcPr>
                  <w:tcW w:w="11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5A8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仿宋"/>
                      <w:color w:val="auto"/>
                      <w:highlight w:val="none"/>
                      <w:lang w:eastAsia="zh-CN"/>
                    </w:rPr>
                  </w:pPr>
                  <w:r>
                    <w:rPr>
                      <w:rFonts w:hint="eastAsia"/>
                      <w:color w:val="auto"/>
                      <w:highlight w:val="none"/>
                    </w:rPr>
                    <w:t>103.55094857</w:t>
                  </w:r>
                  <w:r>
                    <w:rPr>
                      <w:rFonts w:hint="eastAsia"/>
                      <w:color w:val="auto"/>
                      <w:highlight w:val="none"/>
                      <w:lang w:eastAsia="zh-CN"/>
                    </w:rPr>
                    <w:t>,26.96564789</w:t>
                  </w:r>
                </w:p>
              </w:tc>
              <w:tc>
                <w:tcPr>
                  <w:tcW w:w="54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B25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35-2#方阵北侧40m</w:t>
                  </w:r>
                </w:p>
              </w:tc>
              <w:tc>
                <w:tcPr>
                  <w:tcW w:w="55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FD70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A35塔基东侧60m</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B32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35-2#箱变北66.5m</w:t>
                  </w:r>
                </w:p>
              </w:tc>
              <w:tc>
                <w:tcPr>
                  <w:tcW w:w="518" w:type="pct"/>
                  <w:tcBorders>
                    <w:left w:val="single" w:color="auto" w:sz="4" w:space="0"/>
                    <w:bottom w:val="single" w:color="auto" w:sz="4" w:space="0"/>
                    <w:right w:val="single" w:color="auto" w:sz="4" w:space="0"/>
                    <w:tl2br w:val="nil"/>
                    <w:tr2bl w:val="nil"/>
                  </w:tcBorders>
                  <w:noWrap w:val="0"/>
                  <w:vAlign w:val="center"/>
                </w:tcPr>
                <w:p w14:paraId="5DA3C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68户约200人</w:t>
                  </w:r>
                </w:p>
              </w:tc>
              <w:tc>
                <w:tcPr>
                  <w:tcW w:w="749" w:type="pct"/>
                  <w:vMerge w:val="continue"/>
                  <w:tcBorders>
                    <w:left w:val="single" w:color="auto" w:sz="4" w:space="0"/>
                    <w:right w:val="single" w:color="auto" w:sz="4" w:space="0"/>
                    <w:tl2br w:val="nil"/>
                    <w:tr2bl w:val="nil"/>
                  </w:tcBorders>
                  <w:noWrap w:val="0"/>
                  <w:vAlign w:val="center"/>
                </w:tcPr>
                <w:p w14:paraId="250E19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p>
              </w:tc>
            </w:tr>
            <w:tr w14:paraId="4C4E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7CB8F9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43" w:type="pct"/>
                  <w:tcBorders>
                    <w:top w:val="single" w:color="auto" w:sz="4" w:space="0"/>
                    <w:left w:val="single" w:color="auto" w:sz="4" w:space="0"/>
                    <w:right w:val="single" w:color="auto" w:sz="4" w:space="0"/>
                    <w:tl2br w:val="nil"/>
                    <w:tr2bl w:val="nil"/>
                  </w:tcBorders>
                  <w:noWrap w:val="0"/>
                  <w:vAlign w:val="center"/>
                </w:tcPr>
                <w:p w14:paraId="09C402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唐家村居民点2</w:t>
                  </w:r>
                </w:p>
              </w:tc>
              <w:tc>
                <w:tcPr>
                  <w:tcW w:w="1106" w:type="pct"/>
                  <w:tcBorders>
                    <w:top w:val="single" w:color="auto" w:sz="4" w:space="0"/>
                    <w:left w:val="single" w:color="auto" w:sz="4" w:space="0"/>
                    <w:right w:val="single" w:color="auto" w:sz="4" w:space="0"/>
                    <w:tl2br w:val="nil"/>
                    <w:tr2bl w:val="nil"/>
                  </w:tcBorders>
                  <w:noWrap w:val="0"/>
                  <w:vAlign w:val="center"/>
                </w:tcPr>
                <w:p w14:paraId="10FE2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103.55243685,26.95990603</w:t>
                  </w:r>
                </w:p>
              </w:tc>
              <w:tc>
                <w:tcPr>
                  <w:tcW w:w="545" w:type="pct"/>
                  <w:tcBorders>
                    <w:top w:val="single" w:color="auto" w:sz="4" w:space="0"/>
                    <w:left w:val="single" w:color="auto" w:sz="4" w:space="0"/>
                    <w:right w:val="single" w:color="auto" w:sz="4" w:space="0"/>
                    <w:tl2br w:val="nil"/>
                    <w:tr2bl w:val="nil"/>
                  </w:tcBorders>
                  <w:noWrap w:val="0"/>
                  <w:vAlign w:val="center"/>
                </w:tcPr>
                <w:p w14:paraId="10567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35-2#方阵西南侧142m</w:t>
                  </w:r>
                </w:p>
              </w:tc>
              <w:tc>
                <w:tcPr>
                  <w:tcW w:w="559" w:type="pct"/>
                  <w:tcBorders>
                    <w:top w:val="single" w:color="auto" w:sz="4" w:space="0"/>
                    <w:left w:val="single" w:color="auto" w:sz="4" w:space="0"/>
                    <w:right w:val="single" w:color="auto" w:sz="4" w:space="0"/>
                    <w:tl2br w:val="nil"/>
                    <w:tr2bl w:val="nil"/>
                  </w:tcBorders>
                  <w:noWrap w:val="0"/>
                  <w:vAlign w:val="center"/>
                </w:tcPr>
                <w:p w14:paraId="4963DF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A38塔基西南侧122m</w:t>
                  </w:r>
                </w:p>
              </w:tc>
              <w:tc>
                <w:tcPr>
                  <w:tcW w:w="449" w:type="pct"/>
                  <w:tcBorders>
                    <w:top w:val="single" w:color="auto" w:sz="4" w:space="0"/>
                    <w:left w:val="single" w:color="auto" w:sz="4" w:space="0"/>
                    <w:right w:val="single" w:color="auto" w:sz="4" w:space="0"/>
                    <w:tl2br w:val="nil"/>
                    <w:tr2bl w:val="nil"/>
                  </w:tcBorders>
                  <w:noWrap w:val="0"/>
                  <w:vAlign w:val="center"/>
                </w:tcPr>
                <w:p w14:paraId="22E97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35-2#箱变西南258m</w:t>
                  </w:r>
                </w:p>
              </w:tc>
              <w:tc>
                <w:tcPr>
                  <w:tcW w:w="518" w:type="pct"/>
                  <w:tcBorders>
                    <w:top w:val="single" w:color="auto" w:sz="4" w:space="0"/>
                    <w:left w:val="single" w:color="auto" w:sz="4" w:space="0"/>
                    <w:right w:val="single" w:color="auto" w:sz="4" w:space="0"/>
                    <w:tl2br w:val="nil"/>
                    <w:tr2bl w:val="nil"/>
                  </w:tcBorders>
                  <w:noWrap w:val="0"/>
                  <w:vAlign w:val="center"/>
                </w:tcPr>
                <w:p w14:paraId="744B5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13户约40人</w:t>
                  </w:r>
                </w:p>
              </w:tc>
              <w:tc>
                <w:tcPr>
                  <w:tcW w:w="749" w:type="pct"/>
                  <w:vMerge w:val="continue"/>
                  <w:tcBorders>
                    <w:left w:val="single" w:color="auto" w:sz="4" w:space="0"/>
                    <w:right w:val="single" w:color="auto" w:sz="4" w:space="0"/>
                    <w:tl2br w:val="nil"/>
                    <w:tr2bl w:val="nil"/>
                  </w:tcBorders>
                  <w:noWrap w:val="0"/>
                  <w:vAlign w:val="center"/>
                </w:tcPr>
                <w:p w14:paraId="3A765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3E7B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565C5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543" w:type="pct"/>
                  <w:tcBorders>
                    <w:top w:val="single" w:color="auto" w:sz="4" w:space="0"/>
                    <w:left w:val="single" w:color="auto" w:sz="4" w:space="0"/>
                    <w:right w:val="single" w:color="auto" w:sz="4" w:space="0"/>
                    <w:tl2br w:val="nil"/>
                    <w:tr2bl w:val="nil"/>
                  </w:tcBorders>
                  <w:noWrap w:val="0"/>
                  <w:vAlign w:val="center"/>
                </w:tcPr>
                <w:p w14:paraId="31851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杨家湾子居民点</w:t>
                  </w:r>
                </w:p>
              </w:tc>
              <w:tc>
                <w:tcPr>
                  <w:tcW w:w="1106" w:type="pct"/>
                  <w:tcBorders>
                    <w:left w:val="single" w:color="auto" w:sz="4" w:space="0"/>
                    <w:right w:val="single" w:color="auto" w:sz="4" w:space="0"/>
                    <w:tl2br w:val="nil"/>
                    <w:tr2bl w:val="nil"/>
                  </w:tcBorders>
                  <w:noWrap w:val="0"/>
                  <w:vAlign w:val="center"/>
                </w:tcPr>
                <w:p w14:paraId="77423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103.53250334,26.93736807</w:t>
                  </w:r>
                </w:p>
              </w:tc>
              <w:tc>
                <w:tcPr>
                  <w:tcW w:w="545" w:type="pct"/>
                  <w:tcBorders>
                    <w:left w:val="single" w:color="auto" w:sz="4" w:space="0"/>
                    <w:right w:val="single" w:color="auto" w:sz="4" w:space="0"/>
                    <w:tl2br w:val="nil"/>
                    <w:tr2bl w:val="nil"/>
                  </w:tcBorders>
                  <w:noWrap w:val="0"/>
                  <w:vAlign w:val="center"/>
                </w:tcPr>
                <w:p w14:paraId="1AA95D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35-2#方阵西南侧3366m</w:t>
                  </w:r>
                </w:p>
              </w:tc>
              <w:tc>
                <w:tcPr>
                  <w:tcW w:w="559" w:type="pct"/>
                  <w:tcBorders>
                    <w:left w:val="single" w:color="auto" w:sz="4" w:space="0"/>
                    <w:right w:val="single" w:color="auto" w:sz="4" w:space="0"/>
                    <w:tl2br w:val="nil"/>
                    <w:tr2bl w:val="nil"/>
                  </w:tcBorders>
                  <w:noWrap w:val="0"/>
                  <w:vAlign w:val="center"/>
                </w:tcPr>
                <w:p w14:paraId="350840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A13塔基南侧114m</w:t>
                  </w:r>
                </w:p>
              </w:tc>
              <w:tc>
                <w:tcPr>
                  <w:tcW w:w="449" w:type="pct"/>
                  <w:tcBorders>
                    <w:left w:val="single" w:color="auto" w:sz="4" w:space="0"/>
                    <w:right w:val="single" w:color="auto" w:sz="4" w:space="0"/>
                    <w:tl2br w:val="nil"/>
                    <w:tr2bl w:val="nil"/>
                  </w:tcBorders>
                  <w:noWrap w:val="0"/>
                  <w:vAlign w:val="center"/>
                </w:tcPr>
                <w:p w14:paraId="66B33B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35-2#箱变西南3481m</w:t>
                  </w:r>
                </w:p>
              </w:tc>
              <w:tc>
                <w:tcPr>
                  <w:tcW w:w="518" w:type="pct"/>
                  <w:tcBorders>
                    <w:left w:val="single" w:color="auto" w:sz="4" w:space="0"/>
                    <w:right w:val="single" w:color="auto" w:sz="4" w:space="0"/>
                    <w:tl2br w:val="nil"/>
                    <w:tr2bl w:val="nil"/>
                  </w:tcBorders>
                  <w:noWrap w:val="0"/>
                  <w:vAlign w:val="center"/>
                </w:tcPr>
                <w:p w14:paraId="451EE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10户约30人</w:t>
                  </w:r>
                </w:p>
              </w:tc>
              <w:tc>
                <w:tcPr>
                  <w:tcW w:w="749" w:type="pct"/>
                  <w:vMerge w:val="continue"/>
                  <w:tcBorders>
                    <w:left w:val="single" w:color="auto" w:sz="4" w:space="0"/>
                    <w:right w:val="single" w:color="auto" w:sz="4" w:space="0"/>
                    <w:tl2br w:val="nil"/>
                    <w:tr2bl w:val="nil"/>
                  </w:tcBorders>
                  <w:noWrap w:val="0"/>
                  <w:vAlign w:val="center"/>
                </w:tcPr>
                <w:p w14:paraId="4F15C5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534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12517B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37317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大路边散户</w:t>
                  </w:r>
                </w:p>
              </w:tc>
              <w:tc>
                <w:tcPr>
                  <w:tcW w:w="1106" w:type="pct"/>
                  <w:tcBorders>
                    <w:left w:val="single" w:color="auto" w:sz="4" w:space="0"/>
                    <w:right w:val="single" w:color="auto" w:sz="4" w:space="0"/>
                    <w:tl2br w:val="nil"/>
                    <w:tr2bl w:val="nil"/>
                  </w:tcBorders>
                  <w:noWrap w:val="0"/>
                  <w:vAlign w:val="center"/>
                </w:tcPr>
                <w:p w14:paraId="706D1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103.52401732,26.92506872</w:t>
                  </w:r>
                </w:p>
              </w:tc>
              <w:tc>
                <w:tcPr>
                  <w:tcW w:w="545" w:type="pct"/>
                  <w:tcBorders>
                    <w:left w:val="single" w:color="auto" w:sz="4" w:space="0"/>
                    <w:right w:val="single" w:color="auto" w:sz="4" w:space="0"/>
                    <w:tl2br w:val="nil"/>
                    <w:tr2bl w:val="nil"/>
                  </w:tcBorders>
                  <w:noWrap w:val="0"/>
                  <w:vAlign w:val="center"/>
                </w:tcPr>
                <w:p w14:paraId="52D639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28#方阵西北侧3642m</w:t>
                  </w:r>
                </w:p>
              </w:tc>
              <w:tc>
                <w:tcPr>
                  <w:tcW w:w="559" w:type="pct"/>
                  <w:tcBorders>
                    <w:left w:val="single" w:color="auto" w:sz="4" w:space="0"/>
                    <w:right w:val="single" w:color="auto" w:sz="4" w:space="0"/>
                    <w:tl2br w:val="nil"/>
                    <w:tr2bl w:val="nil"/>
                  </w:tcBorders>
                  <w:noWrap w:val="0"/>
                  <w:vAlign w:val="center"/>
                </w:tcPr>
                <w:p w14:paraId="65F059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A11塔基西侧37.5m</w:t>
                  </w:r>
                </w:p>
              </w:tc>
              <w:tc>
                <w:tcPr>
                  <w:tcW w:w="449" w:type="pct"/>
                  <w:tcBorders>
                    <w:left w:val="single" w:color="auto" w:sz="4" w:space="0"/>
                    <w:right w:val="single" w:color="auto" w:sz="4" w:space="0"/>
                    <w:tl2br w:val="nil"/>
                    <w:tr2bl w:val="nil"/>
                  </w:tcBorders>
                  <w:noWrap w:val="0"/>
                  <w:vAlign w:val="center"/>
                </w:tcPr>
                <w:p w14:paraId="749C11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28#箱变西北侧3840m</w:t>
                  </w:r>
                </w:p>
              </w:tc>
              <w:tc>
                <w:tcPr>
                  <w:tcW w:w="518" w:type="pct"/>
                  <w:tcBorders>
                    <w:left w:val="single" w:color="auto" w:sz="4" w:space="0"/>
                    <w:right w:val="single" w:color="auto" w:sz="4" w:space="0"/>
                    <w:tl2br w:val="nil"/>
                    <w:tr2bl w:val="nil"/>
                  </w:tcBorders>
                  <w:noWrap w:val="0"/>
                  <w:vAlign w:val="center"/>
                </w:tcPr>
                <w:p w14:paraId="4F903A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4户约12人</w:t>
                  </w:r>
                </w:p>
              </w:tc>
              <w:tc>
                <w:tcPr>
                  <w:tcW w:w="749" w:type="pct"/>
                  <w:vMerge w:val="continue"/>
                  <w:tcBorders>
                    <w:left w:val="single" w:color="auto" w:sz="4" w:space="0"/>
                    <w:right w:val="single" w:color="auto" w:sz="4" w:space="0"/>
                    <w:tl2br w:val="nil"/>
                    <w:tr2bl w:val="nil"/>
                  </w:tcBorders>
                  <w:noWrap w:val="0"/>
                  <w:vAlign w:val="center"/>
                </w:tcPr>
                <w:p w14:paraId="053F0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17B5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2921C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251319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康家湾子散户</w:t>
                  </w:r>
                </w:p>
              </w:tc>
              <w:tc>
                <w:tcPr>
                  <w:tcW w:w="1106" w:type="pct"/>
                  <w:tcBorders>
                    <w:left w:val="single" w:color="auto" w:sz="4" w:space="0"/>
                    <w:right w:val="single" w:color="auto" w:sz="4" w:space="0"/>
                    <w:tl2br w:val="nil"/>
                    <w:tr2bl w:val="nil"/>
                  </w:tcBorders>
                  <w:noWrap w:val="0"/>
                  <w:vAlign w:val="center"/>
                </w:tcPr>
                <w:p w14:paraId="52EFC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103.62028614,26.93991182</w:t>
                  </w:r>
                </w:p>
              </w:tc>
              <w:tc>
                <w:tcPr>
                  <w:tcW w:w="545" w:type="pct"/>
                  <w:tcBorders>
                    <w:left w:val="single" w:color="auto" w:sz="4" w:space="0"/>
                    <w:right w:val="single" w:color="auto" w:sz="4" w:space="0"/>
                    <w:tl2br w:val="nil"/>
                    <w:tr2bl w:val="nil"/>
                  </w:tcBorders>
                  <w:noWrap w:val="0"/>
                  <w:vAlign w:val="center"/>
                </w:tcPr>
                <w:p w14:paraId="6991F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29#方阵西侧437m</w:t>
                  </w:r>
                </w:p>
              </w:tc>
              <w:tc>
                <w:tcPr>
                  <w:tcW w:w="559" w:type="pct"/>
                  <w:tcBorders>
                    <w:left w:val="single" w:color="auto" w:sz="4" w:space="0"/>
                    <w:right w:val="single" w:color="auto" w:sz="4" w:space="0"/>
                    <w:tl2br w:val="nil"/>
                    <w:tr2bl w:val="nil"/>
                  </w:tcBorders>
                  <w:noWrap w:val="0"/>
                  <w:vAlign w:val="center"/>
                </w:tcPr>
                <w:p w14:paraId="3E4A03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B36塔基北侧77m</w:t>
                  </w:r>
                </w:p>
              </w:tc>
              <w:tc>
                <w:tcPr>
                  <w:tcW w:w="449" w:type="pct"/>
                  <w:tcBorders>
                    <w:left w:val="single" w:color="auto" w:sz="4" w:space="0"/>
                    <w:right w:val="single" w:color="auto" w:sz="4" w:space="0"/>
                    <w:tl2br w:val="nil"/>
                    <w:tr2bl w:val="nil"/>
                  </w:tcBorders>
                  <w:noWrap w:val="0"/>
                  <w:vAlign w:val="center"/>
                </w:tcPr>
                <w:p w14:paraId="527D8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29#箱变西侧641m</w:t>
                  </w:r>
                </w:p>
              </w:tc>
              <w:tc>
                <w:tcPr>
                  <w:tcW w:w="518" w:type="pct"/>
                  <w:tcBorders>
                    <w:left w:val="single" w:color="auto" w:sz="4" w:space="0"/>
                    <w:right w:val="single" w:color="auto" w:sz="4" w:space="0"/>
                    <w:tl2br w:val="nil"/>
                    <w:tr2bl w:val="nil"/>
                  </w:tcBorders>
                  <w:noWrap w:val="0"/>
                  <w:vAlign w:val="center"/>
                </w:tcPr>
                <w:p w14:paraId="3C473A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15户约45人</w:t>
                  </w:r>
                </w:p>
              </w:tc>
              <w:tc>
                <w:tcPr>
                  <w:tcW w:w="749" w:type="pct"/>
                  <w:vMerge w:val="continue"/>
                  <w:tcBorders>
                    <w:left w:val="single" w:color="auto" w:sz="4" w:space="0"/>
                    <w:right w:val="single" w:color="auto" w:sz="4" w:space="0"/>
                    <w:tl2br w:val="nil"/>
                    <w:tr2bl w:val="nil"/>
                  </w:tcBorders>
                  <w:noWrap w:val="0"/>
                  <w:vAlign w:val="center"/>
                </w:tcPr>
                <w:p w14:paraId="452D6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A2B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2B9420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4B07D9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小火地散户</w:t>
                  </w:r>
                </w:p>
              </w:tc>
              <w:tc>
                <w:tcPr>
                  <w:tcW w:w="1106" w:type="pct"/>
                  <w:tcBorders>
                    <w:left w:val="single" w:color="auto" w:sz="4" w:space="0"/>
                    <w:right w:val="single" w:color="auto" w:sz="4" w:space="0"/>
                    <w:tl2br w:val="nil"/>
                    <w:tr2bl w:val="nil"/>
                  </w:tcBorders>
                  <w:noWrap w:val="0"/>
                  <w:vAlign w:val="center"/>
                </w:tcPr>
                <w:p w14:paraId="6B5FA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103.60530493,26.93213527</w:t>
                  </w:r>
                </w:p>
              </w:tc>
              <w:tc>
                <w:tcPr>
                  <w:tcW w:w="545" w:type="pct"/>
                  <w:tcBorders>
                    <w:left w:val="single" w:color="auto" w:sz="4" w:space="0"/>
                    <w:right w:val="single" w:color="auto" w:sz="4" w:space="0"/>
                    <w:tl2br w:val="nil"/>
                    <w:tr2bl w:val="nil"/>
                  </w:tcBorders>
                  <w:noWrap w:val="0"/>
                  <w:vAlign w:val="center"/>
                </w:tcPr>
                <w:p w14:paraId="6FA0AA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29#方阵西南侧1922m</w:t>
                  </w:r>
                </w:p>
              </w:tc>
              <w:tc>
                <w:tcPr>
                  <w:tcW w:w="559" w:type="pct"/>
                  <w:tcBorders>
                    <w:left w:val="single" w:color="auto" w:sz="4" w:space="0"/>
                    <w:right w:val="single" w:color="auto" w:sz="4" w:space="0"/>
                    <w:tl2br w:val="nil"/>
                    <w:tr2bl w:val="nil"/>
                  </w:tcBorders>
                  <w:noWrap w:val="0"/>
                  <w:vAlign w:val="center"/>
                </w:tcPr>
                <w:p w14:paraId="7F49F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B29塔基南侧19m</w:t>
                  </w:r>
                </w:p>
              </w:tc>
              <w:tc>
                <w:tcPr>
                  <w:tcW w:w="449" w:type="pct"/>
                  <w:tcBorders>
                    <w:left w:val="single" w:color="auto" w:sz="4" w:space="0"/>
                    <w:right w:val="single" w:color="auto" w:sz="4" w:space="0"/>
                    <w:tl2br w:val="nil"/>
                    <w:tr2bl w:val="nil"/>
                  </w:tcBorders>
                  <w:noWrap w:val="0"/>
                  <w:vAlign w:val="center"/>
                </w:tcPr>
                <w:p w14:paraId="3CC0D2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29#箱变西南侧2252m</w:t>
                  </w:r>
                </w:p>
              </w:tc>
              <w:tc>
                <w:tcPr>
                  <w:tcW w:w="518" w:type="pct"/>
                  <w:tcBorders>
                    <w:left w:val="single" w:color="auto" w:sz="4" w:space="0"/>
                    <w:right w:val="single" w:color="auto" w:sz="4" w:space="0"/>
                    <w:tl2br w:val="nil"/>
                    <w:tr2bl w:val="nil"/>
                  </w:tcBorders>
                  <w:noWrap w:val="0"/>
                  <w:vAlign w:val="center"/>
                </w:tcPr>
                <w:p w14:paraId="1D5CC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20户约60人</w:t>
                  </w:r>
                </w:p>
              </w:tc>
              <w:tc>
                <w:tcPr>
                  <w:tcW w:w="749" w:type="pct"/>
                  <w:vMerge w:val="continue"/>
                  <w:tcBorders>
                    <w:left w:val="single" w:color="auto" w:sz="4" w:space="0"/>
                    <w:right w:val="single" w:color="auto" w:sz="4" w:space="0"/>
                    <w:tl2br w:val="nil"/>
                    <w:tr2bl w:val="nil"/>
                  </w:tcBorders>
                  <w:noWrap w:val="0"/>
                  <w:vAlign w:val="center"/>
                </w:tcPr>
                <w:p w14:paraId="5144E8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1AD9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3D39BC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1F579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滥泥寨居民点</w:t>
                  </w:r>
                </w:p>
              </w:tc>
              <w:tc>
                <w:tcPr>
                  <w:tcW w:w="1106" w:type="pct"/>
                  <w:tcBorders>
                    <w:left w:val="single" w:color="auto" w:sz="4" w:space="0"/>
                    <w:right w:val="single" w:color="auto" w:sz="4" w:space="0"/>
                    <w:tl2br w:val="nil"/>
                    <w:tr2bl w:val="nil"/>
                  </w:tcBorders>
                  <w:noWrap w:val="0"/>
                  <w:vAlign w:val="center"/>
                </w:tcPr>
                <w:p w14:paraId="4BC053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103.58784022,26.92879866</w:t>
                  </w:r>
                </w:p>
              </w:tc>
              <w:tc>
                <w:tcPr>
                  <w:tcW w:w="545" w:type="pct"/>
                  <w:tcBorders>
                    <w:left w:val="single" w:color="auto" w:sz="4" w:space="0"/>
                    <w:right w:val="single" w:color="auto" w:sz="4" w:space="0"/>
                    <w:tl2br w:val="nil"/>
                    <w:tr2bl w:val="nil"/>
                  </w:tcBorders>
                  <w:noWrap w:val="0"/>
                  <w:vAlign w:val="center"/>
                </w:tcPr>
                <w:p w14:paraId="274479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23#方阵北侧3784m</w:t>
                  </w:r>
                </w:p>
              </w:tc>
              <w:tc>
                <w:tcPr>
                  <w:tcW w:w="559" w:type="pct"/>
                  <w:tcBorders>
                    <w:left w:val="single" w:color="auto" w:sz="4" w:space="0"/>
                    <w:right w:val="single" w:color="auto" w:sz="4" w:space="0"/>
                    <w:tl2br w:val="nil"/>
                    <w:tr2bl w:val="nil"/>
                  </w:tcBorders>
                  <w:noWrap w:val="0"/>
                  <w:vAlign w:val="center"/>
                </w:tcPr>
                <w:p w14:paraId="3AEA6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B19塔基东侧59m</w:t>
                  </w:r>
                </w:p>
              </w:tc>
              <w:tc>
                <w:tcPr>
                  <w:tcW w:w="449" w:type="pct"/>
                  <w:tcBorders>
                    <w:left w:val="single" w:color="auto" w:sz="4" w:space="0"/>
                    <w:right w:val="single" w:color="auto" w:sz="4" w:space="0"/>
                    <w:tl2br w:val="nil"/>
                    <w:tr2bl w:val="nil"/>
                  </w:tcBorders>
                  <w:noWrap w:val="0"/>
                  <w:vAlign w:val="center"/>
                </w:tcPr>
                <w:p w14:paraId="2DC709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23#箱变北侧4149m</w:t>
                  </w:r>
                </w:p>
              </w:tc>
              <w:tc>
                <w:tcPr>
                  <w:tcW w:w="518" w:type="pct"/>
                  <w:tcBorders>
                    <w:left w:val="single" w:color="auto" w:sz="4" w:space="0"/>
                    <w:right w:val="single" w:color="auto" w:sz="4" w:space="0"/>
                    <w:tl2br w:val="nil"/>
                    <w:tr2bl w:val="nil"/>
                  </w:tcBorders>
                  <w:noWrap w:val="0"/>
                  <w:vAlign w:val="center"/>
                </w:tcPr>
                <w:p w14:paraId="1B4A5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32户约100人</w:t>
                  </w:r>
                </w:p>
              </w:tc>
              <w:tc>
                <w:tcPr>
                  <w:tcW w:w="749" w:type="pct"/>
                  <w:vMerge w:val="continue"/>
                  <w:tcBorders>
                    <w:left w:val="single" w:color="auto" w:sz="4" w:space="0"/>
                    <w:right w:val="single" w:color="auto" w:sz="4" w:space="0"/>
                    <w:tl2br w:val="nil"/>
                    <w:tr2bl w:val="nil"/>
                  </w:tcBorders>
                  <w:noWrap w:val="0"/>
                  <w:vAlign w:val="center"/>
                </w:tcPr>
                <w:p w14:paraId="589F08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6289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192E43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1456C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腰店子居民点</w:t>
                  </w:r>
                </w:p>
              </w:tc>
              <w:tc>
                <w:tcPr>
                  <w:tcW w:w="1106" w:type="pct"/>
                  <w:tcBorders>
                    <w:left w:val="single" w:color="auto" w:sz="4" w:space="0"/>
                    <w:right w:val="single" w:color="auto" w:sz="4" w:space="0"/>
                    <w:tl2br w:val="nil"/>
                    <w:tr2bl w:val="nil"/>
                  </w:tcBorders>
                  <w:noWrap w:val="0"/>
                  <w:vAlign w:val="center"/>
                </w:tcPr>
                <w:p w14:paraId="1CE7E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103.58417743,26.92674388</w:t>
                  </w:r>
                </w:p>
              </w:tc>
              <w:tc>
                <w:tcPr>
                  <w:tcW w:w="545" w:type="pct"/>
                  <w:tcBorders>
                    <w:left w:val="single" w:color="auto" w:sz="4" w:space="0"/>
                    <w:right w:val="single" w:color="auto" w:sz="4" w:space="0"/>
                    <w:tl2br w:val="nil"/>
                    <w:tr2bl w:val="nil"/>
                  </w:tcBorders>
                  <w:noWrap w:val="0"/>
                  <w:vAlign w:val="center"/>
                </w:tcPr>
                <w:p w14:paraId="58A72A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23#方阵北侧3535m</w:t>
                  </w:r>
                </w:p>
              </w:tc>
              <w:tc>
                <w:tcPr>
                  <w:tcW w:w="559" w:type="pct"/>
                  <w:tcBorders>
                    <w:left w:val="single" w:color="auto" w:sz="4" w:space="0"/>
                    <w:right w:val="single" w:color="auto" w:sz="4" w:space="0"/>
                    <w:tl2br w:val="nil"/>
                    <w:tr2bl w:val="nil"/>
                  </w:tcBorders>
                  <w:noWrap w:val="0"/>
                  <w:vAlign w:val="center"/>
                </w:tcPr>
                <w:p w14:paraId="2966C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B18塔基西侧25m</w:t>
                  </w:r>
                </w:p>
              </w:tc>
              <w:tc>
                <w:tcPr>
                  <w:tcW w:w="449" w:type="pct"/>
                  <w:tcBorders>
                    <w:left w:val="single" w:color="auto" w:sz="4" w:space="0"/>
                    <w:right w:val="single" w:color="auto" w:sz="4" w:space="0"/>
                    <w:tl2br w:val="nil"/>
                    <w:tr2bl w:val="nil"/>
                  </w:tcBorders>
                  <w:noWrap w:val="0"/>
                  <w:vAlign w:val="center"/>
                </w:tcPr>
                <w:p w14:paraId="5FCD47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23#箱变北侧3754m</w:t>
                  </w:r>
                </w:p>
              </w:tc>
              <w:tc>
                <w:tcPr>
                  <w:tcW w:w="518" w:type="pct"/>
                  <w:tcBorders>
                    <w:left w:val="single" w:color="auto" w:sz="4" w:space="0"/>
                    <w:right w:val="single" w:color="auto" w:sz="4" w:space="0"/>
                    <w:tl2br w:val="nil"/>
                    <w:tr2bl w:val="nil"/>
                  </w:tcBorders>
                  <w:noWrap w:val="0"/>
                  <w:vAlign w:val="center"/>
                </w:tcPr>
                <w:p w14:paraId="37957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22户70人</w:t>
                  </w:r>
                </w:p>
              </w:tc>
              <w:tc>
                <w:tcPr>
                  <w:tcW w:w="749" w:type="pct"/>
                  <w:vMerge w:val="continue"/>
                  <w:tcBorders>
                    <w:left w:val="single" w:color="auto" w:sz="4" w:space="0"/>
                    <w:right w:val="single" w:color="auto" w:sz="4" w:space="0"/>
                    <w:tl2br w:val="nil"/>
                    <w:tr2bl w:val="nil"/>
                  </w:tcBorders>
                  <w:noWrap w:val="0"/>
                  <w:vAlign w:val="center"/>
                </w:tcPr>
                <w:p w14:paraId="1013EE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5E76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27A0E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7CC7E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赵家沟散户</w:t>
                  </w:r>
                </w:p>
              </w:tc>
              <w:tc>
                <w:tcPr>
                  <w:tcW w:w="1106" w:type="pct"/>
                  <w:tcBorders>
                    <w:left w:val="single" w:color="auto" w:sz="4" w:space="0"/>
                    <w:right w:val="single" w:color="auto" w:sz="4" w:space="0"/>
                    <w:tl2br w:val="nil"/>
                    <w:tr2bl w:val="nil"/>
                  </w:tcBorders>
                  <w:noWrap w:val="0"/>
                  <w:vAlign w:val="center"/>
                </w:tcPr>
                <w:p w14:paraId="15920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103.56692877,26.91745283</w:t>
                  </w:r>
                </w:p>
              </w:tc>
              <w:tc>
                <w:tcPr>
                  <w:tcW w:w="545" w:type="pct"/>
                  <w:tcBorders>
                    <w:left w:val="single" w:color="auto" w:sz="4" w:space="0"/>
                    <w:right w:val="single" w:color="auto" w:sz="4" w:space="0"/>
                    <w:tl2br w:val="nil"/>
                    <w:tr2bl w:val="nil"/>
                  </w:tcBorders>
                  <w:noWrap w:val="0"/>
                  <w:vAlign w:val="center"/>
                </w:tcPr>
                <w:p w14:paraId="5B9554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28#方阵东北侧2108m</w:t>
                  </w:r>
                </w:p>
              </w:tc>
              <w:tc>
                <w:tcPr>
                  <w:tcW w:w="559" w:type="pct"/>
                  <w:tcBorders>
                    <w:left w:val="single" w:color="auto" w:sz="4" w:space="0"/>
                    <w:right w:val="single" w:color="auto" w:sz="4" w:space="0"/>
                    <w:tl2br w:val="nil"/>
                    <w:tr2bl w:val="nil"/>
                  </w:tcBorders>
                  <w:noWrap w:val="0"/>
                  <w:vAlign w:val="center"/>
                </w:tcPr>
                <w:p w14:paraId="28C62E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B11塔基南侧59m</w:t>
                  </w:r>
                </w:p>
              </w:tc>
              <w:tc>
                <w:tcPr>
                  <w:tcW w:w="449" w:type="pct"/>
                  <w:tcBorders>
                    <w:left w:val="single" w:color="auto" w:sz="4" w:space="0"/>
                    <w:right w:val="single" w:color="auto" w:sz="4" w:space="0"/>
                    <w:tl2br w:val="nil"/>
                    <w:tr2bl w:val="nil"/>
                  </w:tcBorders>
                  <w:noWrap w:val="0"/>
                  <w:vAlign w:val="center"/>
                </w:tcPr>
                <w:p w14:paraId="162BA0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28#箱变东北侧2262m</w:t>
                  </w:r>
                </w:p>
              </w:tc>
              <w:tc>
                <w:tcPr>
                  <w:tcW w:w="518" w:type="pct"/>
                  <w:tcBorders>
                    <w:left w:val="single" w:color="auto" w:sz="4" w:space="0"/>
                    <w:right w:val="single" w:color="auto" w:sz="4" w:space="0"/>
                    <w:tl2br w:val="nil"/>
                    <w:tr2bl w:val="nil"/>
                  </w:tcBorders>
                  <w:noWrap w:val="0"/>
                  <w:vAlign w:val="center"/>
                </w:tcPr>
                <w:p w14:paraId="2288A7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13户约40人</w:t>
                  </w:r>
                </w:p>
              </w:tc>
              <w:tc>
                <w:tcPr>
                  <w:tcW w:w="749" w:type="pct"/>
                  <w:vMerge w:val="continue"/>
                  <w:tcBorders>
                    <w:left w:val="single" w:color="auto" w:sz="4" w:space="0"/>
                    <w:right w:val="single" w:color="auto" w:sz="4" w:space="0"/>
                    <w:tl2br w:val="nil"/>
                    <w:tr2bl w:val="nil"/>
                  </w:tcBorders>
                  <w:noWrap w:val="0"/>
                  <w:vAlign w:val="center"/>
                </w:tcPr>
                <w:p w14:paraId="0C360B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3B3B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0CCEFD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4753B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刺竹塘居民</w:t>
                  </w:r>
                </w:p>
              </w:tc>
              <w:tc>
                <w:tcPr>
                  <w:tcW w:w="1106" w:type="pct"/>
                  <w:tcBorders>
                    <w:left w:val="single" w:color="auto" w:sz="4" w:space="0"/>
                    <w:right w:val="single" w:color="auto" w:sz="4" w:space="0"/>
                    <w:tl2br w:val="nil"/>
                    <w:tr2bl w:val="nil"/>
                  </w:tcBorders>
                  <w:noWrap w:val="0"/>
                  <w:vAlign w:val="center"/>
                </w:tcPr>
                <w:p w14:paraId="649BE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103.55796697,26.91482662</w:t>
                  </w:r>
                </w:p>
              </w:tc>
              <w:tc>
                <w:tcPr>
                  <w:tcW w:w="545" w:type="pct"/>
                  <w:tcBorders>
                    <w:left w:val="single" w:color="auto" w:sz="4" w:space="0"/>
                    <w:right w:val="single" w:color="auto" w:sz="4" w:space="0"/>
                    <w:tl2br w:val="nil"/>
                    <w:tr2bl w:val="nil"/>
                  </w:tcBorders>
                  <w:noWrap w:val="0"/>
                  <w:vAlign w:val="center"/>
                </w:tcPr>
                <w:p w14:paraId="4E05AA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28#方阵东北侧1403m</w:t>
                  </w:r>
                </w:p>
              </w:tc>
              <w:tc>
                <w:tcPr>
                  <w:tcW w:w="559" w:type="pct"/>
                  <w:tcBorders>
                    <w:left w:val="single" w:color="auto" w:sz="4" w:space="0"/>
                    <w:right w:val="single" w:color="auto" w:sz="4" w:space="0"/>
                    <w:tl2br w:val="nil"/>
                    <w:tr2bl w:val="nil"/>
                  </w:tcBorders>
                  <w:noWrap w:val="0"/>
                  <w:vAlign w:val="center"/>
                </w:tcPr>
                <w:p w14:paraId="4AF4A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B7塔基西侧100m</w:t>
                  </w:r>
                </w:p>
              </w:tc>
              <w:tc>
                <w:tcPr>
                  <w:tcW w:w="449" w:type="pct"/>
                  <w:tcBorders>
                    <w:left w:val="single" w:color="auto" w:sz="4" w:space="0"/>
                    <w:right w:val="single" w:color="auto" w:sz="4" w:space="0"/>
                    <w:tl2br w:val="nil"/>
                    <w:tr2bl w:val="nil"/>
                  </w:tcBorders>
                  <w:noWrap w:val="0"/>
                  <w:vAlign w:val="center"/>
                </w:tcPr>
                <w:p w14:paraId="7B530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28#箱变东北侧1526m</w:t>
                  </w:r>
                </w:p>
              </w:tc>
              <w:tc>
                <w:tcPr>
                  <w:tcW w:w="518" w:type="pct"/>
                  <w:tcBorders>
                    <w:left w:val="single" w:color="auto" w:sz="4" w:space="0"/>
                    <w:right w:val="single" w:color="auto" w:sz="4" w:space="0"/>
                    <w:tl2br w:val="nil"/>
                    <w:tr2bl w:val="nil"/>
                  </w:tcBorders>
                  <w:noWrap w:val="0"/>
                  <w:vAlign w:val="center"/>
                </w:tcPr>
                <w:p w14:paraId="102A3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19户约60人</w:t>
                  </w:r>
                </w:p>
              </w:tc>
              <w:tc>
                <w:tcPr>
                  <w:tcW w:w="749" w:type="pct"/>
                  <w:vMerge w:val="continue"/>
                  <w:tcBorders>
                    <w:left w:val="single" w:color="auto" w:sz="4" w:space="0"/>
                    <w:right w:val="single" w:color="auto" w:sz="4" w:space="0"/>
                    <w:tl2br w:val="nil"/>
                    <w:tr2bl w:val="nil"/>
                  </w:tcBorders>
                  <w:noWrap w:val="0"/>
                  <w:vAlign w:val="center"/>
                </w:tcPr>
                <w:p w14:paraId="31D41F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2561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20971B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4B8EEE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杨家丫口居民点1</w:t>
                  </w:r>
                </w:p>
              </w:tc>
              <w:tc>
                <w:tcPr>
                  <w:tcW w:w="1106" w:type="pct"/>
                  <w:tcBorders>
                    <w:left w:val="single" w:color="auto" w:sz="4" w:space="0"/>
                    <w:right w:val="single" w:color="auto" w:sz="4" w:space="0"/>
                    <w:tl2br w:val="nil"/>
                    <w:tr2bl w:val="nil"/>
                  </w:tcBorders>
                  <w:noWrap w:val="0"/>
                  <w:vAlign w:val="center"/>
                </w:tcPr>
                <w:p w14:paraId="18D95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103.56768932,26.90977773</w:t>
                  </w:r>
                </w:p>
              </w:tc>
              <w:tc>
                <w:tcPr>
                  <w:tcW w:w="545" w:type="pct"/>
                  <w:tcBorders>
                    <w:left w:val="single" w:color="auto" w:sz="4" w:space="0"/>
                    <w:right w:val="single" w:color="auto" w:sz="4" w:space="0"/>
                    <w:tl2br w:val="nil"/>
                    <w:tr2bl w:val="nil"/>
                  </w:tcBorders>
                  <w:noWrap w:val="0"/>
                  <w:vAlign w:val="center"/>
                </w:tcPr>
                <w:p w14:paraId="266B94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28#方阵东北侧1618m</w:t>
                  </w:r>
                </w:p>
              </w:tc>
              <w:tc>
                <w:tcPr>
                  <w:tcW w:w="559" w:type="pct"/>
                  <w:tcBorders>
                    <w:left w:val="single" w:color="auto" w:sz="4" w:space="0"/>
                    <w:right w:val="single" w:color="auto" w:sz="4" w:space="0"/>
                    <w:tl2br w:val="nil"/>
                    <w:tr2bl w:val="nil"/>
                  </w:tcBorders>
                  <w:noWrap w:val="0"/>
                  <w:vAlign w:val="center"/>
                </w:tcPr>
                <w:p w14:paraId="2A37C0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C11塔基东侧48m</w:t>
                  </w:r>
                </w:p>
              </w:tc>
              <w:tc>
                <w:tcPr>
                  <w:tcW w:w="449" w:type="pct"/>
                  <w:tcBorders>
                    <w:left w:val="single" w:color="auto" w:sz="4" w:space="0"/>
                    <w:right w:val="single" w:color="auto" w:sz="4" w:space="0"/>
                    <w:tl2br w:val="nil"/>
                    <w:tr2bl w:val="nil"/>
                  </w:tcBorders>
                  <w:noWrap w:val="0"/>
                  <w:vAlign w:val="center"/>
                </w:tcPr>
                <w:p w14:paraId="1D68E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28#箱变东北侧1830m</w:t>
                  </w:r>
                </w:p>
              </w:tc>
              <w:tc>
                <w:tcPr>
                  <w:tcW w:w="518" w:type="pct"/>
                  <w:tcBorders>
                    <w:left w:val="single" w:color="auto" w:sz="4" w:space="0"/>
                    <w:right w:val="single" w:color="auto" w:sz="4" w:space="0"/>
                    <w:tl2br w:val="nil"/>
                    <w:tr2bl w:val="nil"/>
                  </w:tcBorders>
                  <w:noWrap w:val="0"/>
                  <w:vAlign w:val="center"/>
                </w:tcPr>
                <w:p w14:paraId="46385E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25户约75人</w:t>
                  </w:r>
                </w:p>
              </w:tc>
              <w:tc>
                <w:tcPr>
                  <w:tcW w:w="749" w:type="pct"/>
                  <w:vMerge w:val="continue"/>
                  <w:tcBorders>
                    <w:left w:val="single" w:color="auto" w:sz="4" w:space="0"/>
                    <w:right w:val="single" w:color="auto" w:sz="4" w:space="0"/>
                    <w:tl2br w:val="nil"/>
                    <w:tr2bl w:val="nil"/>
                  </w:tcBorders>
                  <w:noWrap w:val="0"/>
                  <w:vAlign w:val="center"/>
                </w:tcPr>
                <w:p w14:paraId="4D6A17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56F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7" w:type="pct"/>
                  <w:vMerge w:val="continue"/>
                  <w:tcBorders>
                    <w:left w:val="single" w:color="auto" w:sz="4" w:space="0"/>
                    <w:right w:val="single" w:color="auto" w:sz="4" w:space="0"/>
                    <w:tl2br w:val="nil"/>
                    <w:tr2bl w:val="nil"/>
                  </w:tcBorders>
                  <w:noWrap w:val="0"/>
                  <w:vAlign w:val="center"/>
                </w:tcPr>
                <w:p w14:paraId="13DFF0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5C7875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杨家丫口居民点2</w:t>
                  </w:r>
                </w:p>
              </w:tc>
              <w:tc>
                <w:tcPr>
                  <w:tcW w:w="1106" w:type="pct"/>
                  <w:tcBorders>
                    <w:left w:val="single" w:color="auto" w:sz="4" w:space="0"/>
                    <w:right w:val="single" w:color="auto" w:sz="4" w:space="0"/>
                    <w:tl2br w:val="nil"/>
                    <w:tr2bl w:val="nil"/>
                  </w:tcBorders>
                  <w:noWrap w:val="0"/>
                  <w:vAlign w:val="center"/>
                </w:tcPr>
                <w:p w14:paraId="54013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103.57015402,26.90713331</w:t>
                  </w:r>
                </w:p>
              </w:tc>
              <w:tc>
                <w:tcPr>
                  <w:tcW w:w="545" w:type="pct"/>
                  <w:tcBorders>
                    <w:left w:val="single" w:color="auto" w:sz="4" w:space="0"/>
                    <w:right w:val="single" w:color="auto" w:sz="4" w:space="0"/>
                    <w:tl2br w:val="nil"/>
                    <w:tr2bl w:val="nil"/>
                  </w:tcBorders>
                  <w:noWrap w:val="0"/>
                  <w:vAlign w:val="center"/>
                </w:tcPr>
                <w:p w14:paraId="42515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28#方阵东北侧1698m</w:t>
                  </w:r>
                </w:p>
              </w:tc>
              <w:tc>
                <w:tcPr>
                  <w:tcW w:w="559" w:type="pct"/>
                  <w:tcBorders>
                    <w:left w:val="single" w:color="auto" w:sz="4" w:space="0"/>
                    <w:right w:val="single" w:color="auto" w:sz="4" w:space="0"/>
                    <w:tl2br w:val="nil"/>
                    <w:tr2bl w:val="nil"/>
                  </w:tcBorders>
                  <w:noWrap w:val="0"/>
                  <w:vAlign w:val="center"/>
                </w:tcPr>
                <w:p w14:paraId="0DDABD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C13塔基西侧122m</w:t>
                  </w:r>
                </w:p>
              </w:tc>
              <w:tc>
                <w:tcPr>
                  <w:tcW w:w="449" w:type="pct"/>
                  <w:tcBorders>
                    <w:left w:val="single" w:color="auto" w:sz="4" w:space="0"/>
                    <w:right w:val="single" w:color="auto" w:sz="4" w:space="0"/>
                    <w:tl2br w:val="nil"/>
                    <w:tr2bl w:val="nil"/>
                  </w:tcBorders>
                  <w:noWrap w:val="0"/>
                  <w:vAlign w:val="center"/>
                </w:tcPr>
                <w:p w14:paraId="7EC217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28#箱变东北侧1940m</w:t>
                  </w:r>
                </w:p>
              </w:tc>
              <w:tc>
                <w:tcPr>
                  <w:tcW w:w="518" w:type="pct"/>
                  <w:tcBorders>
                    <w:left w:val="single" w:color="auto" w:sz="4" w:space="0"/>
                    <w:right w:val="single" w:color="auto" w:sz="4" w:space="0"/>
                    <w:tl2br w:val="nil"/>
                    <w:tr2bl w:val="nil"/>
                  </w:tcBorders>
                  <w:noWrap w:val="0"/>
                  <w:vAlign w:val="center"/>
                </w:tcPr>
                <w:p w14:paraId="3CA59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10户约30人</w:t>
                  </w:r>
                </w:p>
              </w:tc>
              <w:tc>
                <w:tcPr>
                  <w:tcW w:w="749" w:type="pct"/>
                  <w:vMerge w:val="continue"/>
                  <w:tcBorders>
                    <w:left w:val="single" w:color="auto" w:sz="4" w:space="0"/>
                    <w:right w:val="single" w:color="auto" w:sz="4" w:space="0"/>
                    <w:tl2br w:val="nil"/>
                    <w:tr2bl w:val="nil"/>
                  </w:tcBorders>
                  <w:noWrap w:val="0"/>
                  <w:vAlign w:val="center"/>
                </w:tcPr>
                <w:p w14:paraId="09115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3CE7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09314E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3E648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龙潭居民点</w:t>
                  </w:r>
                </w:p>
              </w:tc>
              <w:tc>
                <w:tcPr>
                  <w:tcW w:w="1106" w:type="pct"/>
                  <w:tcBorders>
                    <w:left w:val="single" w:color="auto" w:sz="4" w:space="0"/>
                    <w:right w:val="single" w:color="auto" w:sz="4" w:space="0"/>
                    <w:tl2br w:val="nil"/>
                    <w:tr2bl w:val="nil"/>
                  </w:tcBorders>
                  <w:noWrap w:val="0"/>
                  <w:vAlign w:val="center"/>
                </w:tcPr>
                <w:p w14:paraId="5AD2D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103.55497286,26.90052648</w:t>
                  </w:r>
                </w:p>
              </w:tc>
              <w:tc>
                <w:tcPr>
                  <w:tcW w:w="545" w:type="pct"/>
                  <w:tcBorders>
                    <w:left w:val="single" w:color="auto" w:sz="4" w:space="0"/>
                    <w:right w:val="single" w:color="auto" w:sz="4" w:space="0"/>
                    <w:tl2br w:val="nil"/>
                    <w:tr2bl w:val="nil"/>
                  </w:tcBorders>
                  <w:noWrap w:val="0"/>
                  <w:vAlign w:val="center"/>
                </w:tcPr>
                <w:p w14:paraId="05329C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28#方阵东侧117m</w:t>
                  </w:r>
                </w:p>
              </w:tc>
              <w:tc>
                <w:tcPr>
                  <w:tcW w:w="559" w:type="pct"/>
                  <w:tcBorders>
                    <w:left w:val="single" w:color="auto" w:sz="4" w:space="0"/>
                    <w:right w:val="single" w:color="auto" w:sz="4" w:space="0"/>
                    <w:tl2br w:val="nil"/>
                    <w:tr2bl w:val="nil"/>
                  </w:tcBorders>
                  <w:noWrap w:val="0"/>
                  <w:vAlign w:val="center"/>
                </w:tcPr>
                <w:p w14:paraId="145E69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D2塔基东侧79m</w:t>
                  </w:r>
                </w:p>
              </w:tc>
              <w:tc>
                <w:tcPr>
                  <w:tcW w:w="449" w:type="pct"/>
                  <w:tcBorders>
                    <w:left w:val="single" w:color="auto" w:sz="4" w:space="0"/>
                    <w:right w:val="single" w:color="auto" w:sz="4" w:space="0"/>
                    <w:tl2br w:val="nil"/>
                    <w:tr2bl w:val="nil"/>
                  </w:tcBorders>
                  <w:noWrap w:val="0"/>
                  <w:vAlign w:val="center"/>
                </w:tcPr>
                <w:p w14:paraId="3300E4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28#箱变东侧330m</w:t>
                  </w:r>
                </w:p>
              </w:tc>
              <w:tc>
                <w:tcPr>
                  <w:tcW w:w="518" w:type="pct"/>
                  <w:tcBorders>
                    <w:left w:val="single" w:color="auto" w:sz="4" w:space="0"/>
                    <w:right w:val="single" w:color="auto" w:sz="4" w:space="0"/>
                    <w:tl2br w:val="nil"/>
                    <w:tr2bl w:val="nil"/>
                  </w:tcBorders>
                  <w:noWrap w:val="0"/>
                  <w:vAlign w:val="center"/>
                </w:tcPr>
                <w:p w14:paraId="6051D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53户约170人</w:t>
                  </w:r>
                </w:p>
              </w:tc>
              <w:tc>
                <w:tcPr>
                  <w:tcW w:w="749" w:type="pct"/>
                  <w:vMerge w:val="continue"/>
                  <w:tcBorders>
                    <w:left w:val="single" w:color="auto" w:sz="4" w:space="0"/>
                    <w:right w:val="single" w:color="auto" w:sz="4" w:space="0"/>
                    <w:tl2br w:val="nil"/>
                    <w:tr2bl w:val="nil"/>
                  </w:tcBorders>
                  <w:noWrap w:val="0"/>
                  <w:vAlign w:val="center"/>
                </w:tcPr>
                <w:p w14:paraId="465618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613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682050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732CE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酒房村居民点</w:t>
                  </w:r>
                </w:p>
              </w:tc>
              <w:tc>
                <w:tcPr>
                  <w:tcW w:w="1106" w:type="pct"/>
                  <w:tcBorders>
                    <w:left w:val="single" w:color="auto" w:sz="4" w:space="0"/>
                    <w:right w:val="single" w:color="auto" w:sz="4" w:space="0"/>
                    <w:tl2br w:val="nil"/>
                    <w:tr2bl w:val="nil"/>
                  </w:tcBorders>
                  <w:noWrap w:val="0"/>
                  <w:vAlign w:val="center"/>
                </w:tcPr>
                <w:p w14:paraId="44FCE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103.54557123,26.89831650</w:t>
                  </w:r>
                </w:p>
              </w:tc>
              <w:tc>
                <w:tcPr>
                  <w:tcW w:w="545" w:type="pct"/>
                  <w:tcBorders>
                    <w:left w:val="single" w:color="auto" w:sz="4" w:space="0"/>
                    <w:right w:val="single" w:color="auto" w:sz="4" w:space="0"/>
                    <w:tl2br w:val="nil"/>
                    <w:tr2bl w:val="nil"/>
                  </w:tcBorders>
                  <w:noWrap w:val="0"/>
                  <w:vAlign w:val="center"/>
                </w:tcPr>
                <w:p w14:paraId="7125C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28#方阵西南150.m</w:t>
                  </w:r>
                </w:p>
              </w:tc>
              <w:tc>
                <w:tcPr>
                  <w:tcW w:w="559" w:type="pct"/>
                  <w:tcBorders>
                    <w:left w:val="single" w:color="auto" w:sz="4" w:space="0"/>
                    <w:right w:val="single" w:color="auto" w:sz="4" w:space="0"/>
                    <w:tl2br w:val="nil"/>
                    <w:tr2bl w:val="nil"/>
                  </w:tcBorders>
                  <w:noWrap w:val="0"/>
                  <w:vAlign w:val="center"/>
                </w:tcPr>
                <w:p w14:paraId="32918A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A1塔基西南侧447m</w:t>
                  </w:r>
                </w:p>
              </w:tc>
              <w:tc>
                <w:tcPr>
                  <w:tcW w:w="449" w:type="pct"/>
                  <w:tcBorders>
                    <w:left w:val="single" w:color="auto" w:sz="4" w:space="0"/>
                    <w:right w:val="single" w:color="auto" w:sz="4" w:space="0"/>
                    <w:tl2br w:val="nil"/>
                    <w:tr2bl w:val="nil"/>
                  </w:tcBorders>
                  <w:noWrap w:val="0"/>
                  <w:vAlign w:val="center"/>
                </w:tcPr>
                <w:p w14:paraId="1976AA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28#箱变西南侧417m</w:t>
                  </w:r>
                </w:p>
              </w:tc>
              <w:tc>
                <w:tcPr>
                  <w:tcW w:w="518" w:type="pct"/>
                  <w:tcBorders>
                    <w:left w:val="single" w:color="auto" w:sz="4" w:space="0"/>
                    <w:right w:val="single" w:color="auto" w:sz="4" w:space="0"/>
                    <w:tl2br w:val="nil"/>
                    <w:tr2bl w:val="nil"/>
                  </w:tcBorders>
                  <w:noWrap w:val="0"/>
                  <w:vAlign w:val="center"/>
                </w:tcPr>
                <w:p w14:paraId="758803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14户约45人</w:t>
                  </w:r>
                </w:p>
              </w:tc>
              <w:tc>
                <w:tcPr>
                  <w:tcW w:w="749" w:type="pct"/>
                  <w:vMerge w:val="continue"/>
                  <w:tcBorders>
                    <w:left w:val="single" w:color="auto" w:sz="4" w:space="0"/>
                    <w:right w:val="single" w:color="auto" w:sz="4" w:space="0"/>
                    <w:tl2br w:val="nil"/>
                    <w:tr2bl w:val="nil"/>
                  </w:tcBorders>
                  <w:noWrap w:val="0"/>
                  <w:vAlign w:val="center"/>
                </w:tcPr>
                <w:p w14:paraId="42408B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37C4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6F72F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3A7913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大箐湾子居民点</w:t>
                  </w:r>
                </w:p>
              </w:tc>
              <w:tc>
                <w:tcPr>
                  <w:tcW w:w="1106" w:type="pct"/>
                  <w:tcBorders>
                    <w:left w:val="single" w:color="auto" w:sz="4" w:space="0"/>
                    <w:right w:val="single" w:color="auto" w:sz="4" w:space="0"/>
                    <w:tl2br w:val="nil"/>
                    <w:tr2bl w:val="nil"/>
                  </w:tcBorders>
                  <w:noWrap w:val="0"/>
                  <w:vAlign w:val="center"/>
                </w:tcPr>
                <w:p w14:paraId="31961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103.59293974,26.88590791</w:t>
                  </w:r>
                </w:p>
              </w:tc>
              <w:tc>
                <w:tcPr>
                  <w:tcW w:w="545" w:type="pct"/>
                  <w:tcBorders>
                    <w:left w:val="single" w:color="auto" w:sz="4" w:space="0"/>
                    <w:right w:val="single" w:color="auto" w:sz="4" w:space="0"/>
                    <w:tl2br w:val="nil"/>
                    <w:tr2bl w:val="nil"/>
                  </w:tcBorders>
                  <w:noWrap w:val="0"/>
                  <w:vAlign w:val="center"/>
                </w:tcPr>
                <w:p w14:paraId="0F65CA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20-1#方阵南侧60m</w:t>
                  </w:r>
                </w:p>
              </w:tc>
              <w:tc>
                <w:tcPr>
                  <w:tcW w:w="559" w:type="pct"/>
                  <w:tcBorders>
                    <w:left w:val="single" w:color="auto" w:sz="4" w:space="0"/>
                    <w:right w:val="single" w:color="auto" w:sz="4" w:space="0"/>
                    <w:tl2br w:val="nil"/>
                    <w:tr2bl w:val="nil"/>
                  </w:tcBorders>
                  <w:noWrap w:val="0"/>
                  <w:vAlign w:val="center"/>
                </w:tcPr>
                <w:p w14:paraId="5125B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C28塔基东南侧330m</w:t>
                  </w:r>
                </w:p>
              </w:tc>
              <w:tc>
                <w:tcPr>
                  <w:tcW w:w="449" w:type="pct"/>
                  <w:tcBorders>
                    <w:left w:val="single" w:color="auto" w:sz="4" w:space="0"/>
                    <w:right w:val="single" w:color="auto" w:sz="4" w:space="0"/>
                    <w:tl2br w:val="nil"/>
                    <w:tr2bl w:val="nil"/>
                  </w:tcBorders>
                  <w:noWrap w:val="0"/>
                  <w:vAlign w:val="center"/>
                </w:tcPr>
                <w:p w14:paraId="12DEDB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距离10#道路75m</w:t>
                  </w:r>
                </w:p>
              </w:tc>
              <w:tc>
                <w:tcPr>
                  <w:tcW w:w="518" w:type="pct"/>
                  <w:tcBorders>
                    <w:left w:val="single" w:color="auto" w:sz="4" w:space="0"/>
                    <w:right w:val="single" w:color="auto" w:sz="4" w:space="0"/>
                    <w:tl2br w:val="nil"/>
                    <w:tr2bl w:val="nil"/>
                  </w:tcBorders>
                  <w:noWrap w:val="0"/>
                  <w:vAlign w:val="center"/>
                </w:tcPr>
                <w:p w14:paraId="1B789C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20户约60人</w:t>
                  </w:r>
                </w:p>
              </w:tc>
              <w:tc>
                <w:tcPr>
                  <w:tcW w:w="749" w:type="pct"/>
                  <w:vMerge w:val="continue"/>
                  <w:tcBorders>
                    <w:left w:val="single" w:color="auto" w:sz="4" w:space="0"/>
                    <w:right w:val="single" w:color="auto" w:sz="4" w:space="0"/>
                    <w:tl2br w:val="nil"/>
                    <w:tr2bl w:val="nil"/>
                  </w:tcBorders>
                  <w:noWrap w:val="0"/>
                  <w:vAlign w:val="center"/>
                </w:tcPr>
                <w:p w14:paraId="3826A9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5C78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6BF345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7485B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义庄散户</w:t>
                  </w:r>
                </w:p>
              </w:tc>
              <w:tc>
                <w:tcPr>
                  <w:tcW w:w="1106" w:type="pct"/>
                  <w:tcBorders>
                    <w:left w:val="single" w:color="auto" w:sz="4" w:space="0"/>
                    <w:right w:val="single" w:color="auto" w:sz="4" w:space="0"/>
                    <w:tl2br w:val="nil"/>
                    <w:tr2bl w:val="nil"/>
                  </w:tcBorders>
                  <w:noWrap w:val="0"/>
                  <w:vAlign w:val="center"/>
                </w:tcPr>
                <w:p w14:paraId="02998A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103.58396126,26.87886809</w:t>
                  </w:r>
                </w:p>
              </w:tc>
              <w:tc>
                <w:tcPr>
                  <w:tcW w:w="545" w:type="pct"/>
                  <w:tcBorders>
                    <w:left w:val="single" w:color="auto" w:sz="4" w:space="0"/>
                    <w:right w:val="single" w:color="auto" w:sz="4" w:space="0"/>
                    <w:tl2br w:val="nil"/>
                    <w:tr2bl w:val="nil"/>
                  </w:tcBorders>
                  <w:noWrap w:val="0"/>
                  <w:vAlign w:val="center"/>
                </w:tcPr>
                <w:p w14:paraId="0624E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18#方阵南侧65m</w:t>
                  </w:r>
                </w:p>
              </w:tc>
              <w:tc>
                <w:tcPr>
                  <w:tcW w:w="559" w:type="pct"/>
                  <w:tcBorders>
                    <w:left w:val="single" w:color="auto" w:sz="4" w:space="0"/>
                    <w:right w:val="single" w:color="auto" w:sz="4" w:space="0"/>
                    <w:tl2br w:val="nil"/>
                    <w:tr2bl w:val="nil"/>
                  </w:tcBorders>
                  <w:noWrap w:val="0"/>
                  <w:vAlign w:val="center"/>
                </w:tcPr>
                <w:p w14:paraId="5FD9DC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C38塔基东侧366m</w:t>
                  </w:r>
                </w:p>
              </w:tc>
              <w:tc>
                <w:tcPr>
                  <w:tcW w:w="449" w:type="pct"/>
                  <w:tcBorders>
                    <w:left w:val="single" w:color="auto" w:sz="4" w:space="0"/>
                    <w:right w:val="single" w:color="auto" w:sz="4" w:space="0"/>
                    <w:tl2br w:val="nil"/>
                    <w:tr2bl w:val="nil"/>
                  </w:tcBorders>
                  <w:noWrap w:val="0"/>
                  <w:vAlign w:val="center"/>
                </w:tcPr>
                <w:p w14:paraId="2339E9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距离9#道路90m</w:t>
                  </w:r>
                </w:p>
              </w:tc>
              <w:tc>
                <w:tcPr>
                  <w:tcW w:w="518" w:type="pct"/>
                  <w:tcBorders>
                    <w:left w:val="single" w:color="auto" w:sz="4" w:space="0"/>
                    <w:right w:val="single" w:color="auto" w:sz="4" w:space="0"/>
                    <w:tl2br w:val="nil"/>
                    <w:tr2bl w:val="nil"/>
                  </w:tcBorders>
                  <w:noWrap w:val="0"/>
                  <w:vAlign w:val="center"/>
                </w:tcPr>
                <w:p w14:paraId="40769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23户约70人</w:t>
                  </w:r>
                </w:p>
              </w:tc>
              <w:tc>
                <w:tcPr>
                  <w:tcW w:w="749" w:type="pct"/>
                  <w:vMerge w:val="continue"/>
                  <w:tcBorders>
                    <w:left w:val="single" w:color="auto" w:sz="4" w:space="0"/>
                    <w:right w:val="single" w:color="auto" w:sz="4" w:space="0"/>
                    <w:tl2br w:val="nil"/>
                    <w:tr2bl w:val="nil"/>
                  </w:tcBorders>
                  <w:noWrap w:val="0"/>
                  <w:vAlign w:val="center"/>
                </w:tcPr>
                <w:p w14:paraId="0FFC0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6F35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568EA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773E1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山王庙居民点</w:t>
                  </w:r>
                </w:p>
              </w:tc>
              <w:tc>
                <w:tcPr>
                  <w:tcW w:w="1106" w:type="pct"/>
                  <w:tcBorders>
                    <w:left w:val="single" w:color="auto" w:sz="4" w:space="0"/>
                    <w:right w:val="single" w:color="auto" w:sz="4" w:space="0"/>
                    <w:tl2br w:val="nil"/>
                    <w:tr2bl w:val="nil"/>
                  </w:tcBorders>
                  <w:noWrap w:val="0"/>
                  <w:vAlign w:val="center"/>
                </w:tcPr>
                <w:p w14:paraId="1B1424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103.57716287,26.86957979</w:t>
                  </w:r>
                </w:p>
              </w:tc>
              <w:tc>
                <w:tcPr>
                  <w:tcW w:w="545" w:type="pct"/>
                  <w:tcBorders>
                    <w:left w:val="single" w:color="auto" w:sz="4" w:space="0"/>
                    <w:right w:val="single" w:color="auto" w:sz="4" w:space="0"/>
                    <w:tl2br w:val="nil"/>
                    <w:tr2bl w:val="nil"/>
                  </w:tcBorders>
                  <w:noWrap w:val="0"/>
                  <w:vAlign w:val="center"/>
                </w:tcPr>
                <w:p w14:paraId="1A091F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15#方阵东侧138m</w:t>
                  </w:r>
                </w:p>
              </w:tc>
              <w:tc>
                <w:tcPr>
                  <w:tcW w:w="559" w:type="pct"/>
                  <w:tcBorders>
                    <w:left w:val="single" w:color="auto" w:sz="4" w:space="0"/>
                    <w:right w:val="single" w:color="auto" w:sz="4" w:space="0"/>
                    <w:tl2br w:val="nil"/>
                    <w:tr2bl w:val="nil"/>
                  </w:tcBorders>
                  <w:noWrap w:val="0"/>
                  <w:vAlign w:val="center"/>
                </w:tcPr>
                <w:p w14:paraId="013C6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C45塔基东南80m</w:t>
                  </w:r>
                </w:p>
              </w:tc>
              <w:tc>
                <w:tcPr>
                  <w:tcW w:w="449" w:type="pct"/>
                  <w:tcBorders>
                    <w:left w:val="single" w:color="auto" w:sz="4" w:space="0"/>
                    <w:right w:val="single" w:color="auto" w:sz="4" w:space="0"/>
                    <w:tl2br w:val="nil"/>
                    <w:tr2bl w:val="nil"/>
                  </w:tcBorders>
                  <w:noWrap w:val="0"/>
                  <w:vAlign w:val="center"/>
                </w:tcPr>
                <w:p w14:paraId="29E64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距离8#道路21m</w:t>
                  </w:r>
                </w:p>
              </w:tc>
              <w:tc>
                <w:tcPr>
                  <w:tcW w:w="518" w:type="pct"/>
                  <w:tcBorders>
                    <w:left w:val="single" w:color="auto" w:sz="4" w:space="0"/>
                    <w:right w:val="single" w:color="auto" w:sz="4" w:space="0"/>
                    <w:tl2br w:val="nil"/>
                    <w:tr2bl w:val="nil"/>
                  </w:tcBorders>
                  <w:noWrap w:val="0"/>
                  <w:vAlign w:val="center"/>
                </w:tcPr>
                <w:p w14:paraId="6FE6B0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20户约60人</w:t>
                  </w:r>
                </w:p>
              </w:tc>
              <w:tc>
                <w:tcPr>
                  <w:tcW w:w="749" w:type="pct"/>
                  <w:vMerge w:val="continue"/>
                  <w:tcBorders>
                    <w:left w:val="single" w:color="auto" w:sz="4" w:space="0"/>
                    <w:right w:val="single" w:color="auto" w:sz="4" w:space="0"/>
                    <w:tl2br w:val="nil"/>
                    <w:tr2bl w:val="nil"/>
                  </w:tcBorders>
                  <w:noWrap w:val="0"/>
                  <w:vAlign w:val="center"/>
                </w:tcPr>
                <w:p w14:paraId="5A36A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25B1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501A8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4ACF5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竹子箐居民点</w:t>
                  </w:r>
                </w:p>
              </w:tc>
              <w:tc>
                <w:tcPr>
                  <w:tcW w:w="1106" w:type="pct"/>
                  <w:tcBorders>
                    <w:left w:val="single" w:color="auto" w:sz="4" w:space="0"/>
                    <w:right w:val="single" w:color="auto" w:sz="4" w:space="0"/>
                    <w:tl2br w:val="nil"/>
                    <w:tr2bl w:val="nil"/>
                  </w:tcBorders>
                  <w:noWrap w:val="0"/>
                  <w:vAlign w:val="center"/>
                </w:tcPr>
                <w:p w14:paraId="56B75E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103.56951464,26.85827410</w:t>
                  </w:r>
                </w:p>
              </w:tc>
              <w:tc>
                <w:tcPr>
                  <w:tcW w:w="545" w:type="pct"/>
                  <w:tcBorders>
                    <w:left w:val="single" w:color="auto" w:sz="4" w:space="0"/>
                    <w:right w:val="single" w:color="auto" w:sz="4" w:space="0"/>
                    <w:tl2br w:val="nil"/>
                    <w:tr2bl w:val="nil"/>
                  </w:tcBorders>
                  <w:noWrap w:val="0"/>
                  <w:vAlign w:val="center"/>
                </w:tcPr>
                <w:p w14:paraId="134AA5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14#方阵南侧969m</w:t>
                  </w:r>
                </w:p>
              </w:tc>
              <w:tc>
                <w:tcPr>
                  <w:tcW w:w="559" w:type="pct"/>
                  <w:tcBorders>
                    <w:left w:val="single" w:color="auto" w:sz="4" w:space="0"/>
                    <w:right w:val="single" w:color="auto" w:sz="4" w:space="0"/>
                    <w:tl2br w:val="nil"/>
                    <w:tr2bl w:val="nil"/>
                  </w:tcBorders>
                  <w:noWrap w:val="0"/>
                  <w:vAlign w:val="center"/>
                </w:tcPr>
                <w:p w14:paraId="003660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C62塔基东侧126m</w:t>
                  </w:r>
                </w:p>
              </w:tc>
              <w:tc>
                <w:tcPr>
                  <w:tcW w:w="449" w:type="pct"/>
                  <w:tcBorders>
                    <w:left w:val="single" w:color="auto" w:sz="4" w:space="0"/>
                    <w:right w:val="single" w:color="auto" w:sz="4" w:space="0"/>
                    <w:tl2br w:val="nil"/>
                    <w:tr2bl w:val="nil"/>
                  </w:tcBorders>
                  <w:noWrap w:val="0"/>
                  <w:vAlign w:val="center"/>
                </w:tcPr>
                <w:p w14:paraId="1689D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14#箱变南侧1111m</w:t>
                  </w:r>
                </w:p>
              </w:tc>
              <w:tc>
                <w:tcPr>
                  <w:tcW w:w="518" w:type="pct"/>
                  <w:tcBorders>
                    <w:left w:val="single" w:color="auto" w:sz="4" w:space="0"/>
                    <w:right w:val="single" w:color="auto" w:sz="4" w:space="0"/>
                    <w:tl2br w:val="nil"/>
                    <w:tr2bl w:val="nil"/>
                  </w:tcBorders>
                  <w:noWrap w:val="0"/>
                  <w:vAlign w:val="center"/>
                </w:tcPr>
                <w:p w14:paraId="1ABB5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40户约120人</w:t>
                  </w:r>
                </w:p>
              </w:tc>
              <w:tc>
                <w:tcPr>
                  <w:tcW w:w="749" w:type="pct"/>
                  <w:vMerge w:val="continue"/>
                  <w:tcBorders>
                    <w:left w:val="single" w:color="auto" w:sz="4" w:space="0"/>
                    <w:right w:val="single" w:color="auto" w:sz="4" w:space="0"/>
                    <w:tl2br w:val="nil"/>
                    <w:tr2bl w:val="nil"/>
                  </w:tcBorders>
                  <w:noWrap w:val="0"/>
                  <w:vAlign w:val="center"/>
                </w:tcPr>
                <w:p w14:paraId="342622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6E4D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42565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391C8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半山居民点</w:t>
                  </w:r>
                </w:p>
              </w:tc>
              <w:tc>
                <w:tcPr>
                  <w:tcW w:w="1106" w:type="pct"/>
                  <w:tcBorders>
                    <w:left w:val="single" w:color="auto" w:sz="4" w:space="0"/>
                    <w:right w:val="single" w:color="auto" w:sz="4" w:space="0"/>
                    <w:tl2br w:val="nil"/>
                    <w:tr2bl w:val="nil"/>
                  </w:tcBorders>
                  <w:noWrap w:val="0"/>
                  <w:vAlign w:val="center"/>
                </w:tcPr>
                <w:p w14:paraId="40220B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103.56302618,26.84647015</w:t>
                  </w:r>
                </w:p>
              </w:tc>
              <w:tc>
                <w:tcPr>
                  <w:tcW w:w="545" w:type="pct"/>
                  <w:tcBorders>
                    <w:left w:val="single" w:color="auto" w:sz="4" w:space="0"/>
                    <w:right w:val="single" w:color="auto" w:sz="4" w:space="0"/>
                    <w:tl2br w:val="nil"/>
                    <w:tr2bl w:val="nil"/>
                  </w:tcBorders>
                  <w:noWrap w:val="0"/>
                  <w:vAlign w:val="center"/>
                </w:tcPr>
                <w:p w14:paraId="740AB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13#方阵东侧136m</w:t>
                  </w:r>
                </w:p>
              </w:tc>
              <w:tc>
                <w:tcPr>
                  <w:tcW w:w="559" w:type="pct"/>
                  <w:tcBorders>
                    <w:left w:val="single" w:color="auto" w:sz="4" w:space="0"/>
                    <w:right w:val="single" w:color="auto" w:sz="4" w:space="0"/>
                    <w:tl2br w:val="nil"/>
                    <w:tr2bl w:val="nil"/>
                  </w:tcBorders>
                  <w:noWrap w:val="0"/>
                  <w:vAlign w:val="center"/>
                </w:tcPr>
                <w:p w14:paraId="69D76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C71塔基东侧142m</w:t>
                  </w:r>
                </w:p>
              </w:tc>
              <w:tc>
                <w:tcPr>
                  <w:tcW w:w="449" w:type="pct"/>
                  <w:tcBorders>
                    <w:left w:val="single" w:color="auto" w:sz="4" w:space="0"/>
                    <w:right w:val="single" w:color="auto" w:sz="4" w:space="0"/>
                    <w:tl2br w:val="nil"/>
                    <w:tr2bl w:val="nil"/>
                  </w:tcBorders>
                  <w:noWrap w:val="0"/>
                  <w:vAlign w:val="center"/>
                </w:tcPr>
                <w:p w14:paraId="6FC66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13#箱变东北495m</w:t>
                  </w:r>
                </w:p>
              </w:tc>
              <w:tc>
                <w:tcPr>
                  <w:tcW w:w="518" w:type="pct"/>
                  <w:tcBorders>
                    <w:left w:val="single" w:color="auto" w:sz="4" w:space="0"/>
                    <w:right w:val="single" w:color="auto" w:sz="4" w:space="0"/>
                    <w:tl2br w:val="nil"/>
                    <w:tr2bl w:val="nil"/>
                  </w:tcBorders>
                  <w:noWrap w:val="0"/>
                  <w:vAlign w:val="center"/>
                </w:tcPr>
                <w:p w14:paraId="1B3EE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20户约60人</w:t>
                  </w:r>
                </w:p>
              </w:tc>
              <w:tc>
                <w:tcPr>
                  <w:tcW w:w="749" w:type="pct"/>
                  <w:vMerge w:val="continue"/>
                  <w:tcBorders>
                    <w:left w:val="single" w:color="auto" w:sz="4" w:space="0"/>
                    <w:right w:val="single" w:color="auto" w:sz="4" w:space="0"/>
                    <w:tl2br w:val="nil"/>
                    <w:tr2bl w:val="nil"/>
                  </w:tcBorders>
                  <w:noWrap w:val="0"/>
                  <w:vAlign w:val="center"/>
                </w:tcPr>
                <w:p w14:paraId="66B77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2538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571472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1372A9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堰边沟居民点</w:t>
                  </w:r>
                </w:p>
              </w:tc>
              <w:tc>
                <w:tcPr>
                  <w:tcW w:w="1106" w:type="pct"/>
                  <w:tcBorders>
                    <w:left w:val="single" w:color="auto" w:sz="4" w:space="0"/>
                    <w:right w:val="single" w:color="auto" w:sz="4" w:space="0"/>
                    <w:tl2br w:val="nil"/>
                    <w:tr2bl w:val="nil"/>
                  </w:tcBorders>
                  <w:noWrap w:val="0"/>
                  <w:vAlign w:val="center"/>
                </w:tcPr>
                <w:p w14:paraId="3B3C16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103.54919937,26.85746255</w:t>
                  </w:r>
                </w:p>
              </w:tc>
              <w:tc>
                <w:tcPr>
                  <w:tcW w:w="545" w:type="pct"/>
                  <w:tcBorders>
                    <w:left w:val="single" w:color="auto" w:sz="4" w:space="0"/>
                    <w:right w:val="single" w:color="auto" w:sz="4" w:space="0"/>
                    <w:tl2br w:val="nil"/>
                    <w:tr2bl w:val="nil"/>
                  </w:tcBorders>
                  <w:noWrap w:val="0"/>
                  <w:vAlign w:val="center"/>
                </w:tcPr>
                <w:p w14:paraId="4C6809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12#方阵西侧185m</w:t>
                  </w:r>
                </w:p>
              </w:tc>
              <w:tc>
                <w:tcPr>
                  <w:tcW w:w="559" w:type="pct"/>
                  <w:tcBorders>
                    <w:left w:val="single" w:color="auto" w:sz="4" w:space="0"/>
                    <w:right w:val="single" w:color="auto" w:sz="4" w:space="0"/>
                    <w:tl2br w:val="nil"/>
                    <w:tr2bl w:val="nil"/>
                  </w:tcBorders>
                  <w:noWrap w:val="0"/>
                  <w:vAlign w:val="center"/>
                </w:tcPr>
                <w:p w14:paraId="6D9640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D43塔基西侧96m</w:t>
                  </w:r>
                </w:p>
              </w:tc>
              <w:tc>
                <w:tcPr>
                  <w:tcW w:w="449" w:type="pct"/>
                  <w:tcBorders>
                    <w:left w:val="single" w:color="auto" w:sz="4" w:space="0"/>
                    <w:right w:val="single" w:color="auto" w:sz="4" w:space="0"/>
                    <w:tl2br w:val="nil"/>
                    <w:tr2bl w:val="nil"/>
                  </w:tcBorders>
                  <w:noWrap w:val="0"/>
                  <w:vAlign w:val="center"/>
                </w:tcPr>
                <w:p w14:paraId="3BE62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12#箱变西侧22m</w:t>
                  </w:r>
                </w:p>
              </w:tc>
              <w:tc>
                <w:tcPr>
                  <w:tcW w:w="518" w:type="pct"/>
                  <w:tcBorders>
                    <w:left w:val="single" w:color="auto" w:sz="4" w:space="0"/>
                    <w:right w:val="single" w:color="auto" w:sz="4" w:space="0"/>
                    <w:tl2br w:val="nil"/>
                    <w:tr2bl w:val="nil"/>
                  </w:tcBorders>
                  <w:noWrap w:val="0"/>
                  <w:vAlign w:val="center"/>
                </w:tcPr>
                <w:p w14:paraId="4E6CEF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30户约90人</w:t>
                  </w:r>
                </w:p>
              </w:tc>
              <w:tc>
                <w:tcPr>
                  <w:tcW w:w="749" w:type="pct"/>
                  <w:vMerge w:val="continue"/>
                  <w:tcBorders>
                    <w:left w:val="single" w:color="auto" w:sz="4" w:space="0"/>
                    <w:right w:val="single" w:color="auto" w:sz="4" w:space="0"/>
                    <w:tl2br w:val="nil"/>
                    <w:tr2bl w:val="nil"/>
                  </w:tcBorders>
                  <w:noWrap w:val="0"/>
                  <w:vAlign w:val="center"/>
                </w:tcPr>
                <w:p w14:paraId="0C042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8AA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0D38E7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6E54CF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宋家岩居民点</w:t>
                  </w:r>
                </w:p>
              </w:tc>
              <w:tc>
                <w:tcPr>
                  <w:tcW w:w="1106" w:type="pct"/>
                  <w:tcBorders>
                    <w:left w:val="single" w:color="auto" w:sz="4" w:space="0"/>
                    <w:right w:val="single" w:color="auto" w:sz="4" w:space="0"/>
                    <w:tl2br w:val="nil"/>
                    <w:tr2bl w:val="nil"/>
                  </w:tcBorders>
                  <w:noWrap w:val="0"/>
                  <w:vAlign w:val="center"/>
                </w:tcPr>
                <w:p w14:paraId="769CD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103.54829453,26.85545895</w:t>
                  </w:r>
                </w:p>
              </w:tc>
              <w:tc>
                <w:tcPr>
                  <w:tcW w:w="545" w:type="pct"/>
                  <w:tcBorders>
                    <w:left w:val="single" w:color="auto" w:sz="4" w:space="0"/>
                    <w:right w:val="single" w:color="auto" w:sz="4" w:space="0"/>
                    <w:tl2br w:val="nil"/>
                    <w:tr2bl w:val="nil"/>
                  </w:tcBorders>
                  <w:noWrap w:val="0"/>
                  <w:vAlign w:val="center"/>
                </w:tcPr>
                <w:p w14:paraId="19D06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11#方阵西北侧340m</w:t>
                  </w:r>
                </w:p>
              </w:tc>
              <w:tc>
                <w:tcPr>
                  <w:tcW w:w="559" w:type="pct"/>
                  <w:tcBorders>
                    <w:left w:val="single" w:color="auto" w:sz="4" w:space="0"/>
                    <w:right w:val="single" w:color="auto" w:sz="4" w:space="0"/>
                    <w:tl2br w:val="nil"/>
                    <w:tr2bl w:val="nil"/>
                  </w:tcBorders>
                  <w:noWrap w:val="0"/>
                  <w:vAlign w:val="center"/>
                </w:tcPr>
                <w:p w14:paraId="59F23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D44塔基西北侧68m</w:t>
                  </w:r>
                </w:p>
              </w:tc>
              <w:tc>
                <w:tcPr>
                  <w:tcW w:w="449" w:type="pct"/>
                  <w:tcBorders>
                    <w:left w:val="single" w:color="auto" w:sz="4" w:space="0"/>
                    <w:right w:val="single" w:color="auto" w:sz="4" w:space="0"/>
                    <w:tl2br w:val="nil"/>
                    <w:tr2bl w:val="nil"/>
                  </w:tcBorders>
                  <w:noWrap w:val="0"/>
                  <w:vAlign w:val="center"/>
                </w:tcPr>
                <w:p w14:paraId="0D8D4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12#箱变西南侧370m</w:t>
                  </w:r>
                </w:p>
              </w:tc>
              <w:tc>
                <w:tcPr>
                  <w:tcW w:w="518" w:type="pct"/>
                  <w:tcBorders>
                    <w:left w:val="single" w:color="auto" w:sz="4" w:space="0"/>
                    <w:right w:val="single" w:color="auto" w:sz="4" w:space="0"/>
                    <w:tl2br w:val="nil"/>
                    <w:tr2bl w:val="nil"/>
                  </w:tcBorders>
                  <w:noWrap w:val="0"/>
                  <w:vAlign w:val="center"/>
                </w:tcPr>
                <w:p w14:paraId="64DC8F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26户约80人</w:t>
                  </w:r>
                </w:p>
              </w:tc>
              <w:tc>
                <w:tcPr>
                  <w:tcW w:w="749" w:type="pct"/>
                  <w:vMerge w:val="continue"/>
                  <w:tcBorders>
                    <w:left w:val="single" w:color="auto" w:sz="4" w:space="0"/>
                    <w:right w:val="single" w:color="auto" w:sz="4" w:space="0"/>
                    <w:tl2br w:val="nil"/>
                    <w:tr2bl w:val="nil"/>
                  </w:tcBorders>
                  <w:noWrap w:val="0"/>
                  <w:vAlign w:val="center"/>
                </w:tcPr>
                <w:p w14:paraId="70A8AD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6067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27" w:type="pct"/>
                  <w:vMerge w:val="continue"/>
                  <w:tcBorders>
                    <w:left w:val="single" w:color="auto" w:sz="4" w:space="0"/>
                    <w:right w:val="single" w:color="auto" w:sz="4" w:space="0"/>
                    <w:tl2br w:val="nil"/>
                    <w:tr2bl w:val="nil"/>
                  </w:tcBorders>
                  <w:noWrap w:val="0"/>
                  <w:vAlign w:val="center"/>
                </w:tcPr>
                <w:p w14:paraId="43B95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400632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周家沟居民点</w:t>
                  </w:r>
                </w:p>
              </w:tc>
              <w:tc>
                <w:tcPr>
                  <w:tcW w:w="1106" w:type="pct"/>
                  <w:tcBorders>
                    <w:left w:val="single" w:color="auto" w:sz="4" w:space="0"/>
                    <w:right w:val="single" w:color="auto" w:sz="4" w:space="0"/>
                    <w:tl2br w:val="nil"/>
                    <w:tr2bl w:val="nil"/>
                  </w:tcBorders>
                  <w:noWrap w:val="0"/>
                  <w:vAlign w:val="center"/>
                </w:tcPr>
                <w:p w14:paraId="65AD5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103.55124433,26.85066603</w:t>
                  </w:r>
                </w:p>
              </w:tc>
              <w:tc>
                <w:tcPr>
                  <w:tcW w:w="545" w:type="pct"/>
                  <w:tcBorders>
                    <w:left w:val="single" w:color="auto" w:sz="4" w:space="0"/>
                    <w:right w:val="single" w:color="auto" w:sz="4" w:space="0"/>
                    <w:tl2br w:val="nil"/>
                    <w:tr2bl w:val="nil"/>
                  </w:tcBorders>
                  <w:noWrap w:val="0"/>
                  <w:vAlign w:val="center"/>
                </w:tcPr>
                <w:p w14:paraId="642F3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11#方阵东侧15m</w:t>
                  </w:r>
                </w:p>
              </w:tc>
              <w:tc>
                <w:tcPr>
                  <w:tcW w:w="559" w:type="pct"/>
                  <w:tcBorders>
                    <w:left w:val="single" w:color="auto" w:sz="4" w:space="0"/>
                    <w:right w:val="single" w:color="auto" w:sz="4" w:space="0"/>
                    <w:tl2br w:val="nil"/>
                    <w:tr2bl w:val="nil"/>
                  </w:tcBorders>
                  <w:noWrap w:val="0"/>
                  <w:vAlign w:val="center"/>
                </w:tcPr>
                <w:p w14:paraId="3D59A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D46塔基东侧325m</w:t>
                  </w:r>
                </w:p>
              </w:tc>
              <w:tc>
                <w:tcPr>
                  <w:tcW w:w="449" w:type="pct"/>
                  <w:tcBorders>
                    <w:left w:val="single" w:color="auto" w:sz="4" w:space="0"/>
                    <w:right w:val="single" w:color="auto" w:sz="4" w:space="0"/>
                    <w:tl2br w:val="nil"/>
                    <w:tr2bl w:val="nil"/>
                  </w:tcBorders>
                  <w:noWrap w:val="0"/>
                  <w:vAlign w:val="center"/>
                </w:tcPr>
                <w:p w14:paraId="05B92D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距离5#道路22m</w:t>
                  </w:r>
                </w:p>
              </w:tc>
              <w:tc>
                <w:tcPr>
                  <w:tcW w:w="518" w:type="pct"/>
                  <w:tcBorders>
                    <w:left w:val="single" w:color="auto" w:sz="4" w:space="0"/>
                    <w:right w:val="single" w:color="auto" w:sz="4" w:space="0"/>
                    <w:tl2br w:val="nil"/>
                    <w:tr2bl w:val="nil"/>
                  </w:tcBorders>
                  <w:noWrap w:val="0"/>
                  <w:vAlign w:val="center"/>
                </w:tcPr>
                <w:p w14:paraId="3D09E5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17户约50人</w:t>
                  </w:r>
                </w:p>
              </w:tc>
              <w:tc>
                <w:tcPr>
                  <w:tcW w:w="749" w:type="pct"/>
                  <w:vMerge w:val="continue"/>
                  <w:tcBorders>
                    <w:left w:val="single" w:color="auto" w:sz="4" w:space="0"/>
                    <w:right w:val="single" w:color="auto" w:sz="4" w:space="0"/>
                    <w:tl2br w:val="nil"/>
                    <w:tr2bl w:val="nil"/>
                  </w:tcBorders>
                  <w:noWrap w:val="0"/>
                  <w:vAlign w:val="center"/>
                </w:tcPr>
                <w:p w14:paraId="693A4D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CEE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553752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00F51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马路沟居民点</w:t>
                  </w:r>
                </w:p>
              </w:tc>
              <w:tc>
                <w:tcPr>
                  <w:tcW w:w="1106" w:type="pct"/>
                  <w:tcBorders>
                    <w:left w:val="single" w:color="auto" w:sz="4" w:space="0"/>
                    <w:right w:val="single" w:color="auto" w:sz="4" w:space="0"/>
                    <w:tl2br w:val="nil"/>
                    <w:tr2bl w:val="nil"/>
                  </w:tcBorders>
                  <w:noWrap w:val="0"/>
                  <w:vAlign w:val="center"/>
                </w:tcPr>
                <w:p w14:paraId="531337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103.52043072,26.86011606</w:t>
                  </w:r>
                </w:p>
              </w:tc>
              <w:tc>
                <w:tcPr>
                  <w:tcW w:w="545" w:type="pct"/>
                  <w:tcBorders>
                    <w:left w:val="single" w:color="auto" w:sz="4" w:space="0"/>
                    <w:right w:val="single" w:color="auto" w:sz="4" w:space="0"/>
                    <w:tl2br w:val="nil"/>
                    <w:tr2bl w:val="nil"/>
                  </w:tcBorders>
                  <w:noWrap w:val="0"/>
                  <w:vAlign w:val="center"/>
                </w:tcPr>
                <w:p w14:paraId="1D503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7#方阵东南126m</w:t>
                  </w:r>
                </w:p>
              </w:tc>
              <w:tc>
                <w:tcPr>
                  <w:tcW w:w="559" w:type="pct"/>
                  <w:tcBorders>
                    <w:left w:val="single" w:color="auto" w:sz="4" w:space="0"/>
                    <w:right w:val="single" w:color="auto" w:sz="4" w:space="0"/>
                    <w:tl2br w:val="nil"/>
                    <w:tr2bl w:val="nil"/>
                  </w:tcBorders>
                  <w:noWrap w:val="0"/>
                  <w:vAlign w:val="center"/>
                </w:tcPr>
                <w:p w14:paraId="79EBE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D66塔基东南225m</w:t>
                  </w:r>
                </w:p>
              </w:tc>
              <w:tc>
                <w:tcPr>
                  <w:tcW w:w="449" w:type="pct"/>
                  <w:tcBorders>
                    <w:left w:val="single" w:color="auto" w:sz="4" w:space="0"/>
                    <w:right w:val="single" w:color="auto" w:sz="4" w:space="0"/>
                    <w:tl2br w:val="nil"/>
                    <w:tr2bl w:val="nil"/>
                  </w:tcBorders>
                  <w:noWrap w:val="0"/>
                  <w:vAlign w:val="center"/>
                </w:tcPr>
                <w:p w14:paraId="2AD6DE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7#箱变东南218m</w:t>
                  </w:r>
                </w:p>
              </w:tc>
              <w:tc>
                <w:tcPr>
                  <w:tcW w:w="518" w:type="pct"/>
                  <w:tcBorders>
                    <w:left w:val="single" w:color="auto" w:sz="4" w:space="0"/>
                    <w:right w:val="single" w:color="auto" w:sz="4" w:space="0"/>
                    <w:tl2br w:val="nil"/>
                    <w:tr2bl w:val="nil"/>
                  </w:tcBorders>
                  <w:noWrap w:val="0"/>
                  <w:vAlign w:val="center"/>
                </w:tcPr>
                <w:p w14:paraId="598E3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25户约75人</w:t>
                  </w:r>
                </w:p>
              </w:tc>
              <w:tc>
                <w:tcPr>
                  <w:tcW w:w="749" w:type="pct"/>
                  <w:vMerge w:val="continue"/>
                  <w:tcBorders>
                    <w:left w:val="single" w:color="auto" w:sz="4" w:space="0"/>
                    <w:right w:val="single" w:color="auto" w:sz="4" w:space="0"/>
                    <w:tl2br w:val="nil"/>
                    <w:tr2bl w:val="nil"/>
                  </w:tcBorders>
                  <w:noWrap w:val="0"/>
                  <w:vAlign w:val="center"/>
                </w:tcPr>
                <w:p w14:paraId="291666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2727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697590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7BC08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杨家村居民点</w:t>
                  </w:r>
                </w:p>
              </w:tc>
              <w:tc>
                <w:tcPr>
                  <w:tcW w:w="1106" w:type="pct"/>
                  <w:tcBorders>
                    <w:left w:val="single" w:color="auto" w:sz="4" w:space="0"/>
                    <w:right w:val="single" w:color="auto" w:sz="4" w:space="0"/>
                    <w:tl2br w:val="nil"/>
                    <w:tr2bl w:val="nil"/>
                  </w:tcBorders>
                  <w:noWrap w:val="0"/>
                  <w:vAlign w:val="center"/>
                </w:tcPr>
                <w:p w14:paraId="5E2FA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103.51233157,26.84704835</w:t>
                  </w:r>
                </w:p>
              </w:tc>
              <w:tc>
                <w:tcPr>
                  <w:tcW w:w="545" w:type="pct"/>
                  <w:tcBorders>
                    <w:left w:val="single" w:color="auto" w:sz="4" w:space="0"/>
                    <w:right w:val="single" w:color="auto" w:sz="4" w:space="0"/>
                    <w:tl2br w:val="nil"/>
                    <w:tr2bl w:val="nil"/>
                  </w:tcBorders>
                  <w:noWrap w:val="0"/>
                  <w:vAlign w:val="center"/>
                </w:tcPr>
                <w:p w14:paraId="0F7524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3-2#方阵东侧453m</w:t>
                  </w:r>
                </w:p>
              </w:tc>
              <w:tc>
                <w:tcPr>
                  <w:tcW w:w="559" w:type="pct"/>
                  <w:tcBorders>
                    <w:left w:val="single" w:color="auto" w:sz="4" w:space="0"/>
                    <w:right w:val="single" w:color="auto" w:sz="4" w:space="0"/>
                    <w:tl2br w:val="nil"/>
                    <w:tr2bl w:val="nil"/>
                  </w:tcBorders>
                  <w:noWrap w:val="0"/>
                  <w:vAlign w:val="center"/>
                </w:tcPr>
                <w:p w14:paraId="4738C0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D74塔基东南673m</w:t>
                  </w:r>
                </w:p>
              </w:tc>
              <w:tc>
                <w:tcPr>
                  <w:tcW w:w="449" w:type="pct"/>
                  <w:tcBorders>
                    <w:left w:val="single" w:color="auto" w:sz="4" w:space="0"/>
                    <w:right w:val="single" w:color="auto" w:sz="4" w:space="0"/>
                    <w:tl2br w:val="nil"/>
                    <w:tr2bl w:val="nil"/>
                  </w:tcBorders>
                  <w:noWrap w:val="0"/>
                  <w:vAlign w:val="center"/>
                </w:tcPr>
                <w:p w14:paraId="6FB720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距离2#道路10m</w:t>
                  </w:r>
                </w:p>
              </w:tc>
              <w:tc>
                <w:tcPr>
                  <w:tcW w:w="518" w:type="pct"/>
                  <w:tcBorders>
                    <w:left w:val="single" w:color="auto" w:sz="4" w:space="0"/>
                    <w:right w:val="single" w:color="auto" w:sz="4" w:space="0"/>
                    <w:tl2br w:val="nil"/>
                    <w:tr2bl w:val="nil"/>
                  </w:tcBorders>
                  <w:noWrap w:val="0"/>
                  <w:vAlign w:val="center"/>
                </w:tcPr>
                <w:p w14:paraId="1FDF61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15户约45人</w:t>
                  </w:r>
                </w:p>
              </w:tc>
              <w:tc>
                <w:tcPr>
                  <w:tcW w:w="749" w:type="pct"/>
                  <w:vMerge w:val="continue"/>
                  <w:tcBorders>
                    <w:left w:val="single" w:color="auto" w:sz="4" w:space="0"/>
                    <w:right w:val="single" w:color="auto" w:sz="4" w:space="0"/>
                    <w:tl2br w:val="nil"/>
                    <w:tr2bl w:val="nil"/>
                  </w:tcBorders>
                  <w:noWrap w:val="0"/>
                  <w:vAlign w:val="center"/>
                </w:tcPr>
                <w:p w14:paraId="6EC735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712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tcBorders>
                    <w:left w:val="single" w:color="auto" w:sz="4" w:space="0"/>
                    <w:right w:val="single" w:color="auto" w:sz="4" w:space="0"/>
                    <w:tl2br w:val="nil"/>
                    <w:tr2bl w:val="nil"/>
                  </w:tcBorders>
                  <w:noWrap w:val="0"/>
                  <w:vAlign w:val="center"/>
                </w:tcPr>
                <w:p w14:paraId="0D1BE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电磁环境</w:t>
                  </w:r>
                </w:p>
              </w:tc>
              <w:tc>
                <w:tcPr>
                  <w:tcW w:w="543" w:type="pct"/>
                  <w:tcBorders>
                    <w:top w:val="single" w:color="auto" w:sz="4" w:space="0"/>
                    <w:left w:val="single" w:color="auto" w:sz="4" w:space="0"/>
                    <w:right w:val="single" w:color="auto" w:sz="4" w:space="0"/>
                    <w:tl2br w:val="nil"/>
                    <w:tr2bl w:val="nil"/>
                  </w:tcBorders>
                  <w:noWrap w:val="0"/>
                  <w:vAlign w:val="center"/>
                </w:tcPr>
                <w:p w14:paraId="7901CF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升压站内值守员工</w:t>
                  </w:r>
                </w:p>
              </w:tc>
              <w:tc>
                <w:tcPr>
                  <w:tcW w:w="1106" w:type="pct"/>
                  <w:tcBorders>
                    <w:left w:val="single" w:color="auto" w:sz="4" w:space="0"/>
                    <w:right w:val="single" w:color="auto" w:sz="4" w:space="0"/>
                    <w:tl2br w:val="nil"/>
                    <w:tr2bl w:val="nil"/>
                  </w:tcBorders>
                  <w:noWrap w:val="0"/>
                  <w:vAlign w:val="center"/>
                </w:tcPr>
                <w:p w14:paraId="5FBE64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103.55052059,26.89966940</w:t>
                  </w:r>
                </w:p>
              </w:tc>
              <w:tc>
                <w:tcPr>
                  <w:tcW w:w="1553" w:type="pct"/>
                  <w:gridSpan w:val="3"/>
                  <w:tcBorders>
                    <w:left w:val="single" w:color="auto" w:sz="4" w:space="0"/>
                    <w:right w:val="single" w:color="auto" w:sz="4" w:space="0"/>
                    <w:tl2br w:val="nil"/>
                    <w:tr2bl w:val="nil"/>
                  </w:tcBorders>
                  <w:noWrap w:val="0"/>
                  <w:vAlign w:val="center"/>
                </w:tcPr>
                <w:p w14:paraId="3D8A7D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升压站内生活区</w:t>
                  </w:r>
                </w:p>
              </w:tc>
              <w:tc>
                <w:tcPr>
                  <w:tcW w:w="518" w:type="pct"/>
                  <w:tcBorders>
                    <w:left w:val="single" w:color="auto" w:sz="4" w:space="0"/>
                    <w:right w:val="single" w:color="auto" w:sz="4" w:space="0"/>
                    <w:tl2br w:val="nil"/>
                    <w:tr2bl w:val="nil"/>
                  </w:tcBorders>
                  <w:noWrap w:val="0"/>
                  <w:vAlign w:val="center"/>
                </w:tcPr>
                <w:p w14:paraId="03F17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9人</w:t>
                  </w:r>
                </w:p>
              </w:tc>
              <w:tc>
                <w:tcPr>
                  <w:tcW w:w="749" w:type="pct"/>
                  <w:tcBorders>
                    <w:left w:val="single" w:color="auto" w:sz="4" w:space="0"/>
                    <w:right w:val="single" w:color="auto" w:sz="4" w:space="0"/>
                    <w:tl2br w:val="nil"/>
                    <w:tr2bl w:val="nil"/>
                  </w:tcBorders>
                  <w:noWrap w:val="0"/>
                  <w:vAlign w:val="center"/>
                </w:tcPr>
                <w:p w14:paraId="3D99B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电磁环境控制限值GB8702-2014</w:t>
                  </w:r>
                </w:p>
              </w:tc>
            </w:tr>
            <w:tr w14:paraId="759C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restart"/>
                  <w:tcBorders>
                    <w:left w:val="single" w:color="auto" w:sz="4" w:space="0"/>
                    <w:right w:val="single" w:color="auto" w:sz="4" w:space="0"/>
                    <w:tl2br w:val="nil"/>
                    <w:tr2bl w:val="nil"/>
                  </w:tcBorders>
                  <w:noWrap w:val="0"/>
                  <w:vAlign w:val="center"/>
                </w:tcPr>
                <w:p w14:paraId="02114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地表水环境</w:t>
                  </w:r>
                </w:p>
              </w:tc>
              <w:tc>
                <w:tcPr>
                  <w:tcW w:w="543" w:type="pct"/>
                  <w:tcBorders>
                    <w:top w:val="single" w:color="auto" w:sz="4" w:space="0"/>
                    <w:left w:val="single" w:color="auto" w:sz="4" w:space="0"/>
                    <w:right w:val="single" w:color="auto" w:sz="4" w:space="0"/>
                    <w:tl2br w:val="nil"/>
                    <w:tr2bl w:val="nil"/>
                  </w:tcBorders>
                  <w:noWrap w:val="0"/>
                  <w:vAlign w:val="center"/>
                </w:tcPr>
                <w:p w14:paraId="0EE14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小河</w:t>
                  </w:r>
                </w:p>
              </w:tc>
              <w:tc>
                <w:tcPr>
                  <w:tcW w:w="1106" w:type="pct"/>
                  <w:tcBorders>
                    <w:left w:val="single" w:color="auto" w:sz="4" w:space="0"/>
                    <w:right w:val="single" w:color="auto" w:sz="4" w:space="0"/>
                    <w:tl2br w:val="nil"/>
                    <w:tr2bl w:val="nil"/>
                  </w:tcBorders>
                  <w:noWrap w:val="0"/>
                  <w:vAlign w:val="center"/>
                </w:tcPr>
                <w:p w14:paraId="48CAB9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迤车镇灌溉用水</w:t>
                  </w:r>
                </w:p>
              </w:tc>
              <w:tc>
                <w:tcPr>
                  <w:tcW w:w="1553" w:type="pct"/>
                  <w:gridSpan w:val="3"/>
                  <w:tcBorders>
                    <w:left w:val="single" w:color="auto" w:sz="4" w:space="0"/>
                    <w:right w:val="single" w:color="auto" w:sz="4" w:space="0"/>
                    <w:tl2br w:val="nil"/>
                    <w:tr2bl w:val="nil"/>
                  </w:tcBorders>
                  <w:noWrap w:val="0"/>
                  <w:vAlign w:val="center"/>
                </w:tcPr>
                <w:p w14:paraId="07A39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7#方阵北侧573m</w:t>
                  </w:r>
                </w:p>
              </w:tc>
              <w:tc>
                <w:tcPr>
                  <w:tcW w:w="518" w:type="pct"/>
                  <w:tcBorders>
                    <w:left w:val="single" w:color="auto" w:sz="4" w:space="0"/>
                    <w:right w:val="single" w:color="auto" w:sz="4" w:space="0"/>
                    <w:tl2br w:val="nil"/>
                    <w:tr2bl w:val="nil"/>
                  </w:tcBorders>
                  <w:noWrap w:val="0"/>
                  <w:vAlign w:val="center"/>
                </w:tcPr>
                <w:p w14:paraId="35F00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牛栏江支流</w:t>
                  </w:r>
                </w:p>
              </w:tc>
              <w:tc>
                <w:tcPr>
                  <w:tcW w:w="749" w:type="pct"/>
                  <w:vMerge w:val="restart"/>
                  <w:tcBorders>
                    <w:left w:val="single" w:color="auto" w:sz="4" w:space="0"/>
                    <w:right w:val="single" w:color="auto" w:sz="4" w:space="0"/>
                    <w:tl2br w:val="nil"/>
                    <w:tr2bl w:val="nil"/>
                  </w:tcBorders>
                  <w:noWrap w:val="0"/>
                  <w:vAlign w:val="center"/>
                </w:tcPr>
                <w:p w14:paraId="5E9246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《地表水环境质量标准》（GB3838-2002）Ⅲ类水标准</w:t>
                  </w:r>
                </w:p>
              </w:tc>
            </w:tr>
            <w:tr w14:paraId="2D08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047A25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141F5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坪洞河</w:t>
                  </w:r>
                </w:p>
              </w:tc>
              <w:tc>
                <w:tcPr>
                  <w:tcW w:w="1106" w:type="pct"/>
                  <w:tcBorders>
                    <w:left w:val="single" w:color="auto" w:sz="4" w:space="0"/>
                    <w:right w:val="single" w:color="auto" w:sz="4" w:space="0"/>
                    <w:tl2br w:val="nil"/>
                    <w:tr2bl w:val="nil"/>
                  </w:tcBorders>
                  <w:noWrap w:val="0"/>
                  <w:vAlign w:val="center"/>
                </w:tcPr>
                <w:p w14:paraId="692718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马路乡至迤车镇灌溉用水</w:t>
                  </w:r>
                </w:p>
              </w:tc>
              <w:tc>
                <w:tcPr>
                  <w:tcW w:w="1553" w:type="pct"/>
                  <w:gridSpan w:val="3"/>
                  <w:tcBorders>
                    <w:left w:val="single" w:color="auto" w:sz="4" w:space="0"/>
                    <w:right w:val="single" w:color="auto" w:sz="4" w:space="0"/>
                    <w:tl2br w:val="nil"/>
                    <w:tr2bl w:val="nil"/>
                  </w:tcBorders>
                  <w:noWrap w:val="0"/>
                  <w:vAlign w:val="center"/>
                </w:tcPr>
                <w:p w14:paraId="789D9F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31-1#方阵西侧709m</w:t>
                  </w:r>
                </w:p>
              </w:tc>
              <w:tc>
                <w:tcPr>
                  <w:tcW w:w="518" w:type="pct"/>
                  <w:tcBorders>
                    <w:left w:val="single" w:color="auto" w:sz="4" w:space="0"/>
                    <w:right w:val="single" w:color="auto" w:sz="4" w:space="0"/>
                    <w:tl2br w:val="nil"/>
                    <w:tr2bl w:val="nil"/>
                  </w:tcBorders>
                  <w:noWrap w:val="0"/>
                  <w:vAlign w:val="center"/>
                </w:tcPr>
                <w:p w14:paraId="588EF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牛栏江支流</w:t>
                  </w:r>
                </w:p>
              </w:tc>
              <w:tc>
                <w:tcPr>
                  <w:tcW w:w="749" w:type="pct"/>
                  <w:vMerge w:val="continue"/>
                  <w:tcBorders>
                    <w:left w:val="single" w:color="auto" w:sz="4" w:space="0"/>
                    <w:right w:val="single" w:color="auto" w:sz="4" w:space="0"/>
                    <w:tl2br w:val="nil"/>
                    <w:tr2bl w:val="nil"/>
                  </w:tcBorders>
                  <w:noWrap w:val="0"/>
                  <w:vAlign w:val="center"/>
                </w:tcPr>
                <w:p w14:paraId="130DB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694B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1DB7DC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077C17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中寨河</w:t>
                  </w:r>
                </w:p>
              </w:tc>
              <w:tc>
                <w:tcPr>
                  <w:tcW w:w="1106" w:type="pct"/>
                  <w:tcBorders>
                    <w:left w:val="single" w:color="auto" w:sz="4" w:space="0"/>
                    <w:right w:val="single" w:color="auto" w:sz="4" w:space="0"/>
                    <w:tl2br w:val="nil"/>
                    <w:tr2bl w:val="nil"/>
                  </w:tcBorders>
                  <w:noWrap w:val="0"/>
                  <w:vAlign w:val="center"/>
                </w:tcPr>
                <w:p w14:paraId="50D40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迤车镇灌溉用水</w:t>
                  </w:r>
                </w:p>
              </w:tc>
              <w:tc>
                <w:tcPr>
                  <w:tcW w:w="1553" w:type="pct"/>
                  <w:gridSpan w:val="3"/>
                  <w:tcBorders>
                    <w:left w:val="single" w:color="auto" w:sz="4" w:space="0"/>
                    <w:right w:val="single" w:color="auto" w:sz="4" w:space="0"/>
                    <w:tl2br w:val="nil"/>
                    <w:tr2bl w:val="nil"/>
                  </w:tcBorders>
                  <w:noWrap w:val="0"/>
                  <w:vAlign w:val="center"/>
                </w:tcPr>
                <w:p w14:paraId="192B5A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12#方阵西侧275m</w:t>
                  </w:r>
                </w:p>
              </w:tc>
              <w:tc>
                <w:tcPr>
                  <w:tcW w:w="518" w:type="pct"/>
                  <w:tcBorders>
                    <w:left w:val="single" w:color="auto" w:sz="4" w:space="0"/>
                    <w:right w:val="single" w:color="auto" w:sz="4" w:space="0"/>
                    <w:tl2br w:val="nil"/>
                    <w:tr2bl w:val="nil"/>
                  </w:tcBorders>
                  <w:noWrap w:val="0"/>
                  <w:vAlign w:val="center"/>
                </w:tcPr>
                <w:p w14:paraId="1CAFB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小河上游</w:t>
                  </w:r>
                </w:p>
              </w:tc>
              <w:tc>
                <w:tcPr>
                  <w:tcW w:w="749" w:type="pct"/>
                  <w:vMerge w:val="continue"/>
                  <w:tcBorders>
                    <w:left w:val="single" w:color="auto" w:sz="4" w:space="0"/>
                    <w:right w:val="single" w:color="auto" w:sz="4" w:space="0"/>
                    <w:tl2br w:val="nil"/>
                    <w:tr2bl w:val="nil"/>
                  </w:tcBorders>
                  <w:noWrap w:val="0"/>
                  <w:vAlign w:val="center"/>
                </w:tcPr>
                <w:p w14:paraId="0DB260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45A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7" w:type="pct"/>
                  <w:vMerge w:val="continue"/>
                  <w:tcBorders>
                    <w:left w:val="single" w:color="auto" w:sz="4" w:space="0"/>
                    <w:right w:val="single" w:color="auto" w:sz="4" w:space="0"/>
                    <w:tl2br w:val="nil"/>
                    <w:tr2bl w:val="nil"/>
                  </w:tcBorders>
                  <w:noWrap w:val="0"/>
                  <w:vAlign w:val="center"/>
                </w:tcPr>
                <w:p w14:paraId="78C767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shd w:val="clear" w:color="auto" w:fill="auto"/>
                  <w:noWrap w:val="0"/>
                  <w:vAlign w:val="center"/>
                </w:tcPr>
                <w:p w14:paraId="247B8B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小街河</w:t>
                  </w:r>
                </w:p>
              </w:tc>
              <w:tc>
                <w:tcPr>
                  <w:tcW w:w="1106" w:type="pct"/>
                  <w:tcBorders>
                    <w:left w:val="single" w:color="auto" w:sz="4" w:space="0"/>
                    <w:right w:val="single" w:color="auto" w:sz="4" w:space="0"/>
                    <w:tl2br w:val="nil"/>
                    <w:tr2bl w:val="nil"/>
                  </w:tcBorders>
                  <w:noWrap w:val="0"/>
                  <w:vAlign w:val="center"/>
                </w:tcPr>
                <w:p w14:paraId="0741B5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小街村灌溉用水</w:t>
                  </w:r>
                </w:p>
              </w:tc>
              <w:tc>
                <w:tcPr>
                  <w:tcW w:w="1553" w:type="pct"/>
                  <w:gridSpan w:val="3"/>
                  <w:tcBorders>
                    <w:left w:val="single" w:color="auto" w:sz="4" w:space="0"/>
                    <w:right w:val="single" w:color="auto" w:sz="4" w:space="0"/>
                    <w:tl2br w:val="nil"/>
                    <w:tr2bl w:val="nil"/>
                  </w:tcBorders>
                  <w:noWrap w:val="0"/>
                  <w:vAlign w:val="center"/>
                </w:tcPr>
                <w:p w14:paraId="385F8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A11-A12塔基间线路跨越</w:t>
                  </w:r>
                </w:p>
              </w:tc>
              <w:tc>
                <w:tcPr>
                  <w:tcW w:w="518" w:type="pct"/>
                  <w:tcBorders>
                    <w:left w:val="single" w:color="auto" w:sz="4" w:space="0"/>
                    <w:right w:val="single" w:color="auto" w:sz="4" w:space="0"/>
                    <w:tl2br w:val="nil"/>
                    <w:tr2bl w:val="nil"/>
                  </w:tcBorders>
                  <w:noWrap w:val="0"/>
                  <w:vAlign w:val="center"/>
                </w:tcPr>
                <w:p w14:paraId="22BD04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小河支流</w:t>
                  </w:r>
                </w:p>
              </w:tc>
              <w:tc>
                <w:tcPr>
                  <w:tcW w:w="749" w:type="pct"/>
                  <w:vMerge w:val="continue"/>
                  <w:tcBorders>
                    <w:left w:val="single" w:color="auto" w:sz="4" w:space="0"/>
                    <w:right w:val="single" w:color="auto" w:sz="4" w:space="0"/>
                    <w:tl2br w:val="nil"/>
                    <w:tr2bl w:val="nil"/>
                  </w:tcBorders>
                  <w:noWrap w:val="0"/>
                  <w:vAlign w:val="center"/>
                </w:tcPr>
                <w:p w14:paraId="0EA1B6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4371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27" w:type="pct"/>
                  <w:vMerge w:val="continue"/>
                  <w:tcBorders>
                    <w:left w:val="single" w:color="auto" w:sz="4" w:space="0"/>
                    <w:right w:val="single" w:color="auto" w:sz="4" w:space="0"/>
                    <w:tl2br w:val="nil"/>
                    <w:tr2bl w:val="nil"/>
                  </w:tcBorders>
                  <w:noWrap w:val="0"/>
                  <w:vAlign w:val="center"/>
                </w:tcPr>
                <w:p w14:paraId="3DA5A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c>
                <w:tcPr>
                  <w:tcW w:w="543" w:type="pct"/>
                  <w:tcBorders>
                    <w:top w:val="single" w:color="auto" w:sz="4" w:space="0"/>
                    <w:left w:val="single" w:color="auto" w:sz="4" w:space="0"/>
                    <w:right w:val="single" w:color="auto" w:sz="4" w:space="0"/>
                    <w:tl2br w:val="nil"/>
                    <w:tr2bl w:val="nil"/>
                  </w:tcBorders>
                  <w:noWrap w:val="0"/>
                  <w:vAlign w:val="center"/>
                </w:tcPr>
                <w:p w14:paraId="7DAE6F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牛栏江</w:t>
                  </w:r>
                </w:p>
              </w:tc>
              <w:tc>
                <w:tcPr>
                  <w:tcW w:w="1106" w:type="pct"/>
                  <w:tcBorders>
                    <w:left w:val="single" w:color="auto" w:sz="4" w:space="0"/>
                    <w:right w:val="single" w:color="auto" w:sz="4" w:space="0"/>
                    <w:tl2br w:val="nil"/>
                    <w:tr2bl w:val="nil"/>
                  </w:tcBorders>
                  <w:noWrap w:val="0"/>
                  <w:vAlign w:val="center"/>
                </w:tcPr>
                <w:p w14:paraId="28CE38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农业用水，开发利用程度较低</w:t>
                  </w:r>
                </w:p>
              </w:tc>
              <w:tc>
                <w:tcPr>
                  <w:tcW w:w="1553" w:type="pct"/>
                  <w:gridSpan w:val="3"/>
                  <w:tcBorders>
                    <w:left w:val="single" w:color="auto" w:sz="4" w:space="0"/>
                    <w:right w:val="single" w:color="auto" w:sz="4" w:space="0"/>
                    <w:tl2br w:val="nil"/>
                    <w:tr2bl w:val="nil"/>
                  </w:tcBorders>
                  <w:noWrap w:val="0"/>
                  <w:vAlign w:val="center"/>
                </w:tcPr>
                <w:p w14:paraId="49223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37#方阵西北1077m</w:t>
                  </w:r>
                </w:p>
              </w:tc>
              <w:tc>
                <w:tcPr>
                  <w:tcW w:w="518" w:type="pct"/>
                  <w:tcBorders>
                    <w:left w:val="single" w:color="auto" w:sz="4" w:space="0"/>
                    <w:right w:val="single" w:color="auto" w:sz="4" w:space="0"/>
                    <w:tl2br w:val="nil"/>
                    <w:tr2bl w:val="nil"/>
                  </w:tcBorders>
                  <w:noWrap w:val="0"/>
                  <w:vAlign w:val="center"/>
                </w:tcPr>
                <w:p w14:paraId="4632A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金沙江支流</w:t>
                  </w:r>
                </w:p>
              </w:tc>
              <w:tc>
                <w:tcPr>
                  <w:tcW w:w="749" w:type="pct"/>
                  <w:vMerge w:val="continue"/>
                  <w:tcBorders>
                    <w:left w:val="single" w:color="auto" w:sz="4" w:space="0"/>
                    <w:right w:val="single" w:color="auto" w:sz="4" w:space="0"/>
                    <w:tl2br w:val="nil"/>
                    <w:tr2bl w:val="nil"/>
                  </w:tcBorders>
                  <w:noWrap w:val="0"/>
                  <w:vAlign w:val="center"/>
                </w:tcPr>
                <w:p w14:paraId="510A2F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2C6A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527" w:type="pct"/>
                  <w:vMerge w:val="restart"/>
                  <w:tcBorders>
                    <w:top w:val="single" w:color="auto" w:sz="4" w:space="0"/>
                    <w:left w:val="single" w:color="auto" w:sz="4" w:space="0"/>
                    <w:right w:val="single" w:color="auto" w:sz="4" w:space="0"/>
                    <w:tl2br w:val="nil"/>
                    <w:tr2bl w:val="nil"/>
                  </w:tcBorders>
                  <w:noWrap w:val="0"/>
                  <w:vAlign w:val="center"/>
                </w:tcPr>
                <w:p w14:paraId="29E56B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生态环境</w:t>
                  </w:r>
                </w:p>
              </w:tc>
              <w:tc>
                <w:tcPr>
                  <w:tcW w:w="543" w:type="pct"/>
                  <w:vMerge w:val="restart"/>
                  <w:tcBorders>
                    <w:top w:val="single" w:color="auto" w:sz="4" w:space="0"/>
                    <w:left w:val="single" w:color="auto" w:sz="4" w:space="0"/>
                    <w:right w:val="single" w:color="auto" w:sz="4" w:space="0"/>
                    <w:tl2br w:val="nil"/>
                    <w:tr2bl w:val="nil"/>
                  </w:tcBorders>
                  <w:noWrap w:val="0"/>
                  <w:vAlign w:val="center"/>
                </w:tcPr>
                <w:p w14:paraId="30C62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金沙江下游-小江流域水土流失控制生态保护红线</w:t>
                  </w:r>
                </w:p>
              </w:tc>
              <w:tc>
                <w:tcPr>
                  <w:tcW w:w="3179" w:type="pct"/>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2A5E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评价范围内包含</w:t>
                  </w:r>
                  <w:r>
                    <w:rPr>
                      <w:rFonts w:hint="default" w:ascii="Times New Roman" w:hAnsi="Times New Roman" w:eastAsia="仿宋" w:cs="Times New Roman"/>
                      <w:color w:val="auto"/>
                      <w:sz w:val="21"/>
                      <w:szCs w:val="21"/>
                      <w:highlight w:val="none"/>
                      <w:lang w:val="en-US" w:eastAsia="zh-CN"/>
                    </w:rPr>
                    <w:t>小江流域水土流失控制生态保护红线</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37#方阵与</w:t>
                  </w:r>
                  <w:r>
                    <w:rPr>
                      <w:rFonts w:hint="eastAsia" w:cs="Times New Roman"/>
                      <w:color w:val="auto"/>
                      <w:sz w:val="21"/>
                      <w:szCs w:val="21"/>
                      <w:highlight w:val="none"/>
                      <w:lang w:eastAsia="zh-CN"/>
                    </w:rPr>
                    <w:t>生态保护红线</w:t>
                  </w:r>
                  <w:r>
                    <w:rPr>
                      <w:rFonts w:hint="default" w:ascii="Times New Roman" w:hAnsi="Times New Roman" w:eastAsia="仿宋" w:cs="Times New Roman"/>
                      <w:color w:val="auto"/>
                      <w:sz w:val="21"/>
                      <w:szCs w:val="21"/>
                      <w:highlight w:val="none"/>
                    </w:rPr>
                    <w:t>的距离分别为：北侧11.39m、东侧36.99m、西侧10.32m；38#方阵与</w:t>
                  </w:r>
                  <w:r>
                    <w:rPr>
                      <w:rFonts w:hint="eastAsia" w:cs="Times New Roman"/>
                      <w:color w:val="auto"/>
                      <w:sz w:val="21"/>
                      <w:szCs w:val="21"/>
                      <w:highlight w:val="none"/>
                      <w:lang w:eastAsia="zh-CN"/>
                    </w:rPr>
                    <w:t>生态保护红线</w:t>
                  </w:r>
                  <w:r>
                    <w:rPr>
                      <w:rFonts w:hint="default" w:ascii="Times New Roman" w:hAnsi="Times New Roman" w:eastAsia="仿宋" w:cs="Times New Roman"/>
                      <w:color w:val="auto"/>
                      <w:sz w:val="21"/>
                      <w:szCs w:val="21"/>
                      <w:highlight w:val="none"/>
                    </w:rPr>
                    <w:t>的距离分别为：西侧4.94m，东侧68.7m；13#方阵与</w:t>
                  </w:r>
                  <w:r>
                    <w:rPr>
                      <w:rFonts w:hint="eastAsia" w:cs="Times New Roman"/>
                      <w:color w:val="auto"/>
                      <w:sz w:val="21"/>
                      <w:szCs w:val="21"/>
                      <w:highlight w:val="none"/>
                      <w:lang w:eastAsia="zh-CN"/>
                    </w:rPr>
                    <w:t>生态保护红线</w:t>
                  </w:r>
                  <w:r>
                    <w:rPr>
                      <w:rFonts w:hint="default" w:ascii="Times New Roman" w:hAnsi="Times New Roman" w:eastAsia="仿宋" w:cs="Times New Roman"/>
                      <w:color w:val="auto"/>
                      <w:sz w:val="21"/>
                      <w:szCs w:val="21"/>
                      <w:highlight w:val="none"/>
                    </w:rPr>
                    <w:t>的距离为南侧218.14m；8#方阵与</w:t>
                  </w:r>
                  <w:r>
                    <w:rPr>
                      <w:rFonts w:hint="eastAsia" w:cs="Times New Roman"/>
                      <w:color w:val="auto"/>
                      <w:sz w:val="21"/>
                      <w:szCs w:val="21"/>
                      <w:highlight w:val="none"/>
                      <w:lang w:eastAsia="zh-CN"/>
                    </w:rPr>
                    <w:t>生态保护红线</w:t>
                  </w:r>
                  <w:r>
                    <w:rPr>
                      <w:rFonts w:hint="default" w:ascii="Times New Roman" w:hAnsi="Times New Roman" w:eastAsia="仿宋" w:cs="Times New Roman"/>
                      <w:color w:val="auto"/>
                      <w:sz w:val="21"/>
                      <w:szCs w:val="21"/>
                      <w:highlight w:val="none"/>
                    </w:rPr>
                    <w:t>的距离分别为：南侧12.93m，东南侧5.57m。</w:t>
                  </w:r>
                </w:p>
              </w:tc>
              <w:tc>
                <w:tcPr>
                  <w:tcW w:w="749" w:type="pct"/>
                  <w:tcBorders>
                    <w:top w:val="single" w:color="auto" w:sz="4" w:space="0"/>
                    <w:left w:val="single" w:color="auto" w:sz="4" w:space="0"/>
                    <w:right w:val="single" w:color="auto" w:sz="4" w:space="0"/>
                    <w:tl2br w:val="nil"/>
                    <w:tr2bl w:val="nil"/>
                  </w:tcBorders>
                  <w:noWrap w:val="0"/>
                  <w:vAlign w:val="center"/>
                </w:tcPr>
                <w:p w14:paraId="4C7DD2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光伏阵列</w:t>
                  </w:r>
                  <w:r>
                    <w:rPr>
                      <w:rFonts w:hint="default" w:ascii="Times New Roman" w:hAnsi="Times New Roman" w:eastAsia="仿宋" w:cs="Times New Roman"/>
                      <w:color w:val="auto"/>
                      <w:sz w:val="21"/>
                      <w:szCs w:val="21"/>
                      <w:highlight w:val="none"/>
                    </w:rPr>
                    <w:t>建设及施工人员活动完全避让生态保护红线，避免贴线开发</w:t>
                  </w:r>
                </w:p>
              </w:tc>
            </w:tr>
            <w:tr w14:paraId="0A28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27" w:type="pct"/>
                  <w:vMerge w:val="continue"/>
                  <w:tcBorders>
                    <w:left w:val="single" w:color="auto" w:sz="4" w:space="0"/>
                    <w:right w:val="single" w:color="auto" w:sz="4" w:space="0"/>
                    <w:tl2br w:val="nil"/>
                    <w:tr2bl w:val="nil"/>
                  </w:tcBorders>
                  <w:noWrap w:val="0"/>
                  <w:vAlign w:val="center"/>
                </w:tcPr>
                <w:p w14:paraId="7F990C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543" w:type="pct"/>
                  <w:vMerge w:val="continue"/>
                  <w:tcBorders>
                    <w:left w:val="single" w:color="auto" w:sz="4" w:space="0"/>
                    <w:bottom w:val="single" w:color="auto" w:sz="4" w:space="0"/>
                    <w:right w:val="single" w:color="auto" w:sz="4" w:space="0"/>
                    <w:tl2br w:val="nil"/>
                    <w:tr2bl w:val="nil"/>
                  </w:tcBorders>
                  <w:noWrap w:val="0"/>
                  <w:vAlign w:val="center"/>
                </w:tcPr>
                <w:p w14:paraId="1FAC8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highlight w:val="none"/>
                    </w:rPr>
                  </w:pPr>
                </w:p>
              </w:tc>
              <w:tc>
                <w:tcPr>
                  <w:tcW w:w="3179" w:type="pct"/>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D540F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项目共7段塔基跨越生态保护红线，共计1746.19m。</w:t>
                  </w:r>
                </w:p>
                <w:p w14:paraId="1A6890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1.</w:t>
                  </w:r>
                  <w:r>
                    <w:rPr>
                      <w:rFonts w:hint="default" w:ascii="Times New Roman" w:hAnsi="Times New Roman" w:eastAsia="仿宋" w:cs="Times New Roman"/>
                      <w:color w:val="auto"/>
                      <w:sz w:val="21"/>
                      <w:szCs w:val="21"/>
                      <w:highlight w:val="none"/>
                    </w:rPr>
                    <w:t>A8-A9之间351.26米</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2.A10-A11之间478.42米</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3.A11-A12之间234.90米</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4.A12-A13之间235.39米</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5.A13-A14之间31.00米</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6.A16-A17之间227.44米</w:t>
                  </w:r>
                  <w:r>
                    <w:rPr>
                      <w:rFonts w:hint="eastAsia"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7.A30-A31之间187.78米。</w:t>
                  </w:r>
                </w:p>
              </w:tc>
              <w:tc>
                <w:tcPr>
                  <w:tcW w:w="749" w:type="pct"/>
                  <w:tcBorders>
                    <w:left w:val="single" w:color="auto" w:sz="4" w:space="0"/>
                    <w:bottom w:val="single" w:color="auto" w:sz="4" w:space="0"/>
                    <w:right w:val="single" w:color="auto" w:sz="4" w:space="0"/>
                    <w:tl2br w:val="nil"/>
                    <w:tr2bl w:val="nil"/>
                  </w:tcBorders>
                  <w:noWrap w:val="0"/>
                  <w:vAlign w:val="center"/>
                </w:tcPr>
                <w:p w14:paraId="55DA7D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rPr>
                  </w:pPr>
                  <w:r>
                    <w:rPr>
                      <w:rFonts w:hint="eastAsia" w:cs="Times New Roman"/>
                      <w:color w:val="auto"/>
                      <w:sz w:val="21"/>
                      <w:szCs w:val="21"/>
                      <w:highlight w:val="none"/>
                      <w:lang w:val="en-US" w:eastAsia="zh-CN"/>
                    </w:rPr>
                    <w:t>架空线路穿越生态保护红线采用无人机放线，施工人员不得进入生态保护红线内活动。</w:t>
                  </w:r>
                </w:p>
              </w:tc>
            </w:tr>
            <w:tr w14:paraId="02C4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27" w:type="pct"/>
                  <w:vMerge w:val="continue"/>
                  <w:tcBorders>
                    <w:left w:val="single" w:color="auto" w:sz="4" w:space="0"/>
                    <w:right w:val="single" w:color="auto" w:sz="4" w:space="0"/>
                    <w:tl2br w:val="nil"/>
                    <w:tr2bl w:val="nil"/>
                  </w:tcBorders>
                  <w:noWrap w:val="0"/>
                  <w:vAlign w:val="center"/>
                </w:tcPr>
                <w:p w14:paraId="08C084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43" w:type="pct"/>
                  <w:vMerge w:val="restart"/>
                  <w:tcBorders>
                    <w:top w:val="single" w:color="auto" w:sz="4" w:space="0"/>
                    <w:left w:val="single" w:color="auto" w:sz="4" w:space="0"/>
                    <w:right w:val="single" w:color="auto" w:sz="4" w:space="0"/>
                    <w:tl2br w:val="nil"/>
                    <w:tr2bl w:val="nil"/>
                  </w:tcBorders>
                  <w:shd w:val="clear" w:color="auto" w:fill="auto"/>
                  <w:noWrap w:val="0"/>
                  <w:vAlign w:val="center"/>
                </w:tcPr>
                <w:p w14:paraId="7A1EB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植被</w:t>
                  </w:r>
                </w:p>
              </w:tc>
              <w:tc>
                <w:tcPr>
                  <w:tcW w:w="3179" w:type="pct"/>
                  <w:gridSpan w:val="5"/>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0135FF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评价区分布的自然植被类型包括</w:t>
                  </w:r>
                  <w:r>
                    <w:rPr>
                      <w:rFonts w:hint="default" w:ascii="Times New Roman" w:hAnsi="Times New Roman" w:eastAsia="仿宋" w:cs="Times New Roman"/>
                      <w:color w:val="auto"/>
                      <w:sz w:val="21"/>
                      <w:szCs w:val="21"/>
                      <w:highlight w:val="none"/>
                      <w:lang w:val="en-US" w:eastAsia="zh-CN"/>
                    </w:rPr>
                    <w:t>落叶阔叶林、暖性针叶林</w:t>
                  </w:r>
                  <w:r>
                    <w:rPr>
                      <w:rFonts w:hint="default" w:ascii="Times New Roman" w:hAnsi="Times New Roman" w:eastAsia="仿宋" w:cs="Times New Roman"/>
                      <w:color w:val="auto"/>
                      <w:sz w:val="21"/>
                      <w:szCs w:val="21"/>
                      <w:highlight w:val="none"/>
                    </w:rPr>
                    <w:t>。</w:t>
                  </w:r>
                </w:p>
              </w:tc>
              <w:tc>
                <w:tcPr>
                  <w:tcW w:w="749" w:type="pct"/>
                  <w:tcBorders>
                    <w:top w:val="single" w:color="auto" w:sz="4" w:space="0"/>
                    <w:left w:val="single" w:color="auto" w:sz="4" w:space="0"/>
                    <w:right w:val="single" w:color="auto" w:sz="4" w:space="0"/>
                    <w:tl2br w:val="nil"/>
                    <w:tr2bl w:val="nil"/>
                  </w:tcBorders>
                  <w:shd w:val="clear" w:color="auto" w:fill="auto"/>
                  <w:noWrap w:val="0"/>
                  <w:vAlign w:val="center"/>
                </w:tcPr>
                <w:p w14:paraId="76F5C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项目建设不会导致某种植被类型严重受损，保持生态系统结构和功能的平衡。</w:t>
                  </w:r>
                </w:p>
              </w:tc>
            </w:tr>
            <w:tr w14:paraId="04A0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27" w:type="pct"/>
                  <w:vMerge w:val="continue"/>
                  <w:tcBorders>
                    <w:left w:val="single" w:color="auto" w:sz="4" w:space="0"/>
                    <w:right w:val="single" w:color="auto" w:sz="4" w:space="0"/>
                    <w:tl2br w:val="nil"/>
                    <w:tr2bl w:val="nil"/>
                  </w:tcBorders>
                  <w:noWrap w:val="0"/>
                  <w:vAlign w:val="center"/>
                </w:tcPr>
                <w:p w14:paraId="101C07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543" w:type="pct"/>
                  <w:vMerge w:val="continue"/>
                  <w:tcBorders>
                    <w:left w:val="single" w:color="auto" w:sz="4" w:space="0"/>
                    <w:bottom w:val="single" w:color="auto" w:sz="4" w:space="0"/>
                    <w:right w:val="single" w:color="auto" w:sz="4" w:space="0"/>
                    <w:tl2br w:val="nil"/>
                    <w:tr2bl w:val="nil"/>
                  </w:tcBorders>
                  <w:shd w:val="clear" w:color="auto" w:fill="auto"/>
                  <w:noWrap w:val="0"/>
                  <w:vAlign w:val="center"/>
                </w:tcPr>
                <w:p w14:paraId="42F3A6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olor w:val="auto"/>
                      <w:highlight w:val="none"/>
                    </w:rPr>
                  </w:pPr>
                </w:p>
              </w:tc>
              <w:tc>
                <w:tcPr>
                  <w:tcW w:w="3179" w:type="pct"/>
                  <w:gridSpan w:val="5"/>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4A6B3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项目用地红线外围天然林、公益林。集电线路跨越的天然林</w:t>
                  </w:r>
                </w:p>
              </w:tc>
              <w:tc>
                <w:tcPr>
                  <w:tcW w:w="749" w:type="pct"/>
                  <w:tcBorders>
                    <w:left w:val="single" w:color="auto" w:sz="4" w:space="0"/>
                    <w:bottom w:val="single" w:color="auto" w:sz="4" w:space="0"/>
                    <w:right w:val="single" w:color="auto" w:sz="4" w:space="0"/>
                    <w:tl2br w:val="nil"/>
                    <w:tr2bl w:val="nil"/>
                  </w:tcBorders>
                  <w:shd w:val="clear" w:color="auto" w:fill="auto"/>
                  <w:noWrap w:val="0"/>
                  <w:vAlign w:val="center"/>
                </w:tcPr>
                <w:p w14:paraId="3EC063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项目建设不会导致某种植物灭绝，也不会因项目建设造成某种植物种群和生境发生剧烈变化</w:t>
                  </w:r>
                  <w:r>
                    <w:rPr>
                      <w:rFonts w:hint="eastAsia"/>
                      <w:color w:val="auto"/>
                      <w:highlight w:val="none"/>
                      <w:lang w:eastAsia="zh-CN"/>
                    </w:rPr>
                    <w:t>。</w:t>
                  </w:r>
                  <w:r>
                    <w:rPr>
                      <w:rFonts w:hint="eastAsia"/>
                      <w:color w:val="auto"/>
                      <w:sz w:val="21"/>
                      <w:szCs w:val="21"/>
                      <w:highlight w:val="none"/>
                      <w:lang w:val="en-US" w:eastAsia="zh-CN"/>
                    </w:rPr>
                    <w:t>不超范围砍伐林木，不进入天然林地、公益林地内进行地面施工。</w:t>
                  </w:r>
                </w:p>
              </w:tc>
            </w:tr>
            <w:tr w14:paraId="7784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527" w:type="pct"/>
                  <w:vMerge w:val="continue"/>
                  <w:tcBorders>
                    <w:left w:val="single" w:color="auto" w:sz="4" w:space="0"/>
                    <w:right w:val="single" w:color="auto" w:sz="4" w:space="0"/>
                    <w:tl2br w:val="nil"/>
                    <w:tr2bl w:val="nil"/>
                  </w:tcBorders>
                  <w:noWrap w:val="0"/>
                  <w:vAlign w:val="center"/>
                </w:tcPr>
                <w:p w14:paraId="0DF0C8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43" w:type="pct"/>
                  <w:tcBorders>
                    <w:top w:val="single" w:color="auto" w:sz="4" w:space="0"/>
                    <w:left w:val="single" w:color="auto" w:sz="4" w:space="0"/>
                    <w:right w:val="single" w:color="auto" w:sz="4" w:space="0"/>
                    <w:tl2br w:val="nil"/>
                    <w:tr2bl w:val="nil"/>
                  </w:tcBorders>
                  <w:noWrap w:val="0"/>
                  <w:vAlign w:val="center"/>
                </w:tcPr>
                <w:p w14:paraId="49AA6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动物</w:t>
                  </w:r>
                </w:p>
              </w:tc>
              <w:tc>
                <w:tcPr>
                  <w:tcW w:w="3179" w:type="pct"/>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C4F3E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保护动物：包含</w:t>
                  </w:r>
                  <w:r>
                    <w:rPr>
                      <w:rFonts w:hint="default" w:ascii="Times New Roman" w:hAnsi="Times New Roman" w:eastAsia="仿宋" w:cs="Times New Roman"/>
                      <w:color w:val="auto"/>
                      <w:sz w:val="21"/>
                      <w:szCs w:val="21"/>
                      <w:highlight w:val="none"/>
                      <w:lang w:val="en-US" w:eastAsia="zh-CN"/>
                    </w:rPr>
                    <w:t>4</w:t>
                  </w:r>
                  <w:r>
                    <w:rPr>
                      <w:rFonts w:hint="default" w:ascii="Times New Roman" w:hAnsi="Times New Roman" w:eastAsia="仿宋" w:cs="Times New Roman"/>
                      <w:color w:val="auto"/>
                      <w:sz w:val="21"/>
                      <w:szCs w:val="21"/>
                      <w:highlight w:val="none"/>
                    </w:rPr>
                    <w:t>种国家二级重点保护动物</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普通鵟、红隼、凤头鹰、黑翅鸢</w:t>
                  </w:r>
                </w:p>
                <w:p w14:paraId="0BFBE4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受胁动物：</w:t>
                  </w:r>
                  <w:r>
                    <w:rPr>
                      <w:rFonts w:hint="default" w:ascii="Times New Roman" w:hAnsi="Times New Roman" w:eastAsia="仿宋" w:cs="Times New Roman"/>
                      <w:color w:val="auto"/>
                      <w:sz w:val="21"/>
                      <w:szCs w:val="21"/>
                      <w:highlight w:val="none"/>
                    </w:rPr>
                    <w:t>棘腹蛙</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王锦蛇</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黑眉锦蛇</w:t>
                  </w:r>
                </w:p>
              </w:tc>
              <w:tc>
                <w:tcPr>
                  <w:tcW w:w="749" w:type="pct"/>
                  <w:tcBorders>
                    <w:top w:val="single" w:color="auto" w:sz="4" w:space="0"/>
                    <w:left w:val="single" w:color="auto" w:sz="4" w:space="0"/>
                    <w:right w:val="single" w:color="auto" w:sz="4" w:space="0"/>
                    <w:tl2br w:val="nil"/>
                    <w:tr2bl w:val="nil"/>
                  </w:tcBorders>
                  <w:noWrap w:val="0"/>
                  <w:vAlign w:val="center"/>
                </w:tcPr>
                <w:p w14:paraId="40C058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项目建设不会导致某种野生动植物灭绝，也不会因项目建设造成某种动物种群和栖息生境发生剧烈变化</w:t>
                  </w:r>
                </w:p>
              </w:tc>
            </w:tr>
            <w:tr w14:paraId="62BD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527" w:type="pct"/>
                  <w:vMerge w:val="continue"/>
                  <w:tcBorders>
                    <w:left w:val="single" w:color="auto" w:sz="4" w:space="0"/>
                    <w:right w:val="single" w:color="auto" w:sz="4" w:space="0"/>
                    <w:tl2br w:val="nil"/>
                    <w:tr2bl w:val="nil"/>
                  </w:tcBorders>
                  <w:noWrap w:val="0"/>
                  <w:vAlign w:val="center"/>
                </w:tcPr>
                <w:p w14:paraId="2CB86A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543" w:type="pct"/>
                  <w:tcBorders>
                    <w:top w:val="single" w:color="auto" w:sz="4" w:space="0"/>
                    <w:left w:val="single" w:color="auto" w:sz="4" w:space="0"/>
                    <w:right w:val="single" w:color="auto" w:sz="4" w:space="0"/>
                    <w:tl2br w:val="nil"/>
                    <w:tr2bl w:val="nil"/>
                  </w:tcBorders>
                  <w:noWrap w:val="0"/>
                  <w:vAlign w:val="center"/>
                </w:tcPr>
                <w:p w14:paraId="1B53B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基本农田</w:t>
                  </w:r>
                </w:p>
              </w:tc>
              <w:tc>
                <w:tcPr>
                  <w:tcW w:w="3179" w:type="pct"/>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1EFFC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eastAsia="zh-CN"/>
                    </w:rPr>
                    <w:t>本项目不占用基本农田</w:t>
                  </w:r>
                  <w:r>
                    <w:rPr>
                      <w:rFonts w:hint="eastAsia" w:cs="Times New Roman"/>
                      <w:color w:val="auto"/>
                      <w:sz w:val="21"/>
                      <w:szCs w:val="21"/>
                      <w:highlight w:val="none"/>
                      <w:lang w:val="en-US" w:eastAsia="zh-CN"/>
                    </w:rPr>
                    <w:t>，部分架空线路跨越基本农田</w:t>
                  </w:r>
                </w:p>
              </w:tc>
              <w:tc>
                <w:tcPr>
                  <w:tcW w:w="749" w:type="pct"/>
                  <w:tcBorders>
                    <w:left w:val="single" w:color="auto" w:sz="4" w:space="0"/>
                    <w:right w:val="single" w:color="auto" w:sz="4" w:space="0"/>
                    <w:tl2br w:val="nil"/>
                    <w:tr2bl w:val="nil"/>
                  </w:tcBorders>
                  <w:noWrap w:val="0"/>
                  <w:vAlign w:val="center"/>
                </w:tcPr>
                <w:p w14:paraId="771D13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严控施工活动范围，</w:t>
                  </w:r>
                  <w:r>
                    <w:rPr>
                      <w:rFonts w:hint="default" w:ascii="Times New Roman" w:hAnsi="Times New Roman" w:eastAsia="仿宋" w:cs="Times New Roman"/>
                      <w:color w:val="auto"/>
                      <w:sz w:val="21"/>
                      <w:szCs w:val="21"/>
                      <w:highlight w:val="none"/>
                      <w:lang w:val="en-US" w:eastAsia="zh-CN"/>
                    </w:rPr>
                    <w:t>不影响基本农田土壤质量和农作物产量，不改变基本农田土地利用现状</w:t>
                  </w:r>
                </w:p>
              </w:tc>
            </w:tr>
          </w:tbl>
          <w:p w14:paraId="6590052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p>
        </w:tc>
      </w:tr>
    </w:tbl>
    <w:p w14:paraId="6E6ADC2B">
      <w:pPr>
        <w:rPr>
          <w:color w:val="auto"/>
          <w:highlight w:val="none"/>
        </w:rPr>
        <w:sectPr>
          <w:pgSz w:w="16838" w:h="11906" w:orient="landscape"/>
          <w:pgMar w:top="1800" w:right="1440" w:bottom="1800" w:left="1440" w:header="851" w:footer="1077" w:gutter="0"/>
          <w:pgBorders>
            <w:top w:val="none" w:sz="0" w:space="0"/>
            <w:left w:val="none" w:sz="0" w:space="0"/>
            <w:bottom w:val="none" w:sz="0" w:space="0"/>
            <w:right w:val="none" w:sz="0" w:space="0"/>
          </w:pgBorders>
          <w:pgNumType w:fmt="decimal"/>
          <w:cols w:space="720" w:num="1"/>
          <w:docGrid w:linePitch="312" w:charSpace="0"/>
        </w:sectPr>
      </w:pPr>
    </w:p>
    <w:tbl>
      <w:tblPr>
        <w:tblStyle w:val="10"/>
        <w:tblW w:w="524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4"/>
        <w:gridCol w:w="8061"/>
      </w:tblGrid>
      <w:tr w14:paraId="6CD335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63" w:hRule="atLeast"/>
          <w:jc w:val="center"/>
        </w:trPr>
        <w:tc>
          <w:tcPr>
            <w:tcW w:w="494" w:type="pct"/>
            <w:noWrap w:val="0"/>
            <w:vAlign w:val="center"/>
          </w:tcPr>
          <w:p w14:paraId="3F50BC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评价</w:t>
            </w:r>
          </w:p>
          <w:p w14:paraId="298538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标准</w:t>
            </w:r>
          </w:p>
        </w:tc>
        <w:tc>
          <w:tcPr>
            <w:tcW w:w="4505" w:type="pct"/>
            <w:noWrap w:val="0"/>
            <w:vAlign w:val="center"/>
          </w:tcPr>
          <w:p w14:paraId="3B209C81">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kern w:val="0"/>
                <w:sz w:val="24"/>
                <w:szCs w:val="24"/>
                <w:highlight w:val="none"/>
              </w:rPr>
            </w:pPr>
            <w:r>
              <w:rPr>
                <w:rFonts w:hint="eastAsia" w:cs="Times New Roman"/>
                <w:b/>
                <w:color w:val="auto"/>
                <w:kern w:val="0"/>
                <w:sz w:val="24"/>
                <w:szCs w:val="24"/>
                <w:highlight w:val="none"/>
                <w:lang w:val="en-US" w:eastAsia="zh-CN"/>
              </w:rPr>
              <w:t>3.7</w:t>
            </w:r>
            <w:r>
              <w:rPr>
                <w:rFonts w:hint="default" w:ascii="Times New Roman" w:hAnsi="Times New Roman" w:eastAsia="仿宋" w:cs="Times New Roman"/>
                <w:b/>
                <w:color w:val="auto"/>
                <w:kern w:val="0"/>
                <w:sz w:val="24"/>
                <w:szCs w:val="24"/>
                <w:highlight w:val="none"/>
              </w:rPr>
              <w:t>环境质量标准</w:t>
            </w:r>
          </w:p>
          <w:p w14:paraId="2236B7AA">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kern w:val="0"/>
                <w:sz w:val="24"/>
                <w:szCs w:val="24"/>
                <w:highlight w:val="none"/>
              </w:rPr>
            </w:pPr>
            <w:r>
              <w:rPr>
                <w:rFonts w:hint="eastAsia" w:cs="Times New Roman"/>
                <w:b/>
                <w:color w:val="auto"/>
                <w:kern w:val="0"/>
                <w:sz w:val="24"/>
                <w:szCs w:val="24"/>
                <w:highlight w:val="none"/>
                <w:lang w:val="en-US" w:eastAsia="zh-CN"/>
              </w:rPr>
              <w:t>3.7.1</w:t>
            </w:r>
            <w:r>
              <w:rPr>
                <w:rFonts w:hint="default" w:ascii="Times New Roman" w:hAnsi="Times New Roman" w:eastAsia="仿宋" w:cs="Times New Roman"/>
                <w:b/>
                <w:color w:val="auto"/>
                <w:kern w:val="0"/>
                <w:sz w:val="24"/>
                <w:szCs w:val="24"/>
                <w:highlight w:val="none"/>
              </w:rPr>
              <w:t>大气环境</w:t>
            </w:r>
          </w:p>
          <w:p w14:paraId="3739EDFE">
            <w:pPr>
              <w:keepNext w:val="0"/>
              <w:keepLines w:val="0"/>
              <w:suppressLineNumbers w:val="0"/>
              <w:snapToGrid w:val="0"/>
              <w:spacing w:before="0" w:beforeAutospacing="0" w:after="0" w:afterAutospacing="0"/>
              <w:ind w:left="0" w:right="0" w:firstLine="42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项目所在区域大气环境功能区划属于二类区。项目区环境空气质量执行《环境空气质量标准》（GB3095-2</w:t>
            </w:r>
            <w:r>
              <w:rPr>
                <w:rFonts w:hint="default" w:ascii="Times New Roman" w:hAnsi="Times New Roman" w:eastAsia="仿宋" w:cs="Times New Roman"/>
                <w:color w:val="auto"/>
                <w:sz w:val="24"/>
                <w:szCs w:val="24"/>
                <w:highlight w:val="none"/>
                <w:lang w:val="en-US" w:eastAsia="zh-CN"/>
              </w:rPr>
              <w:t>026</w:t>
            </w:r>
            <w:r>
              <w:rPr>
                <w:rFonts w:hint="default" w:ascii="Times New Roman" w:hAnsi="Times New Roman" w:eastAsia="仿宋" w:cs="Times New Roman"/>
                <w:color w:val="auto"/>
                <w:sz w:val="24"/>
                <w:szCs w:val="24"/>
                <w:highlight w:val="none"/>
              </w:rPr>
              <w:t>）中</w:t>
            </w:r>
            <w:r>
              <w:rPr>
                <w:rFonts w:hint="eastAsia" w:cs="Times New Roman"/>
                <w:color w:val="auto"/>
                <w:sz w:val="24"/>
                <w:szCs w:val="24"/>
                <w:highlight w:val="none"/>
                <w:lang w:val="en-US" w:eastAsia="zh-CN"/>
              </w:rPr>
              <w:t>的</w:t>
            </w:r>
            <w:r>
              <w:rPr>
                <w:rFonts w:hint="default" w:ascii="Times New Roman" w:hAnsi="Times New Roman" w:eastAsia="仿宋" w:cs="Times New Roman"/>
                <w:color w:val="auto"/>
                <w:sz w:val="24"/>
                <w:szCs w:val="24"/>
                <w:highlight w:val="none"/>
              </w:rPr>
              <w:t>过渡阶段浓度限值二级标准。</w:t>
            </w:r>
          </w:p>
          <w:p w14:paraId="0FB3C643">
            <w:pPr>
              <w:keepNext w:val="0"/>
              <w:keepLines w:val="0"/>
              <w:suppressLineNumbers w:val="0"/>
              <w:snapToGrid w:val="0"/>
              <w:spacing w:before="0" w:beforeAutospacing="0" w:after="0" w:afterAutospacing="0"/>
              <w:ind w:left="0" w:right="0" w:firstLine="42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环境空气2026年3月1日至2030年12月31日止执行《环境空气质量标准》（GB3095—2026）中过渡阶段二级浓度限值，2031年1月1日起执行《环境空气质量标准》（GB3095—2026）中二级浓度限值。标准值见</w:t>
            </w:r>
            <w:r>
              <w:rPr>
                <w:rFonts w:hint="default" w:ascii="Times New Roman" w:hAnsi="Times New Roman" w:eastAsia="仿宋" w:cs="Times New Roman"/>
                <w:color w:val="auto"/>
                <w:sz w:val="24"/>
                <w:szCs w:val="24"/>
                <w:highlight w:val="none"/>
                <w:lang w:val="en-US" w:eastAsia="zh-CN"/>
              </w:rPr>
              <w:t>下</w:t>
            </w:r>
            <w:r>
              <w:rPr>
                <w:rFonts w:hint="default" w:ascii="Times New Roman" w:hAnsi="Times New Roman" w:eastAsia="仿宋" w:cs="Times New Roman"/>
                <w:color w:val="auto"/>
                <w:sz w:val="24"/>
                <w:szCs w:val="24"/>
                <w:highlight w:val="none"/>
              </w:rPr>
              <w:t>表。</w:t>
            </w:r>
          </w:p>
          <w:p w14:paraId="5857C512">
            <w:pPr>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3.7-1</w:t>
            </w:r>
            <w:r>
              <w:rPr>
                <w:rFonts w:hint="default" w:ascii="Times New Roman" w:hAnsi="Times New Roman" w:eastAsia="仿宋" w:cs="Times New Roman"/>
                <w:b/>
                <w:color w:val="auto"/>
                <w:sz w:val="21"/>
                <w:szCs w:val="21"/>
                <w:highlight w:val="none"/>
                <w:lang w:val="en-US" w:eastAsia="zh-CN"/>
              </w:rPr>
              <w:t xml:space="preserve">  </w:t>
            </w:r>
            <w:r>
              <w:rPr>
                <w:rFonts w:hint="default" w:ascii="Times New Roman" w:hAnsi="Times New Roman" w:eastAsia="仿宋" w:cs="Times New Roman"/>
                <w:b/>
                <w:color w:val="auto"/>
                <w:sz w:val="21"/>
                <w:szCs w:val="21"/>
                <w:highlight w:val="none"/>
              </w:rPr>
              <w:t>环境空气质量标准</w:t>
            </w:r>
          </w:p>
          <w:tbl>
            <w:tblPr>
              <w:tblStyle w:val="10"/>
              <w:tblW w:w="45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956"/>
              <w:gridCol w:w="1778"/>
              <w:gridCol w:w="1211"/>
            </w:tblGrid>
            <w:tr w14:paraId="4DE7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noWrap w:val="0"/>
                  <w:vAlign w:val="center"/>
                </w:tcPr>
                <w:p w14:paraId="15AFC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default"/>
                      <w:color w:val="auto"/>
                      <w:sz w:val="21"/>
                      <w:szCs w:val="18"/>
                      <w:highlight w:val="none"/>
                    </w:rPr>
                    <w:t>污染物名称</w:t>
                  </w:r>
                </w:p>
              </w:tc>
              <w:tc>
                <w:tcPr>
                  <w:tcW w:w="1359" w:type="pct"/>
                  <w:noWrap w:val="0"/>
                  <w:vAlign w:val="center"/>
                </w:tcPr>
                <w:p w14:paraId="12CED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default"/>
                      <w:color w:val="auto"/>
                      <w:sz w:val="21"/>
                      <w:szCs w:val="18"/>
                      <w:highlight w:val="none"/>
                    </w:rPr>
                    <w:t>取值时间</w:t>
                  </w:r>
                </w:p>
              </w:tc>
              <w:tc>
                <w:tcPr>
                  <w:tcW w:w="1236" w:type="pct"/>
                  <w:noWrap w:val="0"/>
                  <w:vAlign w:val="center"/>
                </w:tcPr>
                <w:p w14:paraId="08324E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eastAsia"/>
                      <w:color w:val="auto"/>
                      <w:sz w:val="21"/>
                      <w:szCs w:val="18"/>
                      <w:highlight w:val="none"/>
                    </w:rPr>
                    <w:t>过渡阶段二级浓度限值</w:t>
                  </w:r>
                </w:p>
              </w:tc>
              <w:tc>
                <w:tcPr>
                  <w:tcW w:w="841" w:type="pct"/>
                  <w:noWrap w:val="0"/>
                  <w:vAlign w:val="center"/>
                </w:tcPr>
                <w:p w14:paraId="3FEF8D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default"/>
                      <w:color w:val="auto"/>
                      <w:sz w:val="21"/>
                      <w:szCs w:val="18"/>
                      <w:highlight w:val="none"/>
                    </w:rPr>
                    <w:t>单位</w:t>
                  </w:r>
                </w:p>
              </w:tc>
            </w:tr>
            <w:tr w14:paraId="605F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restart"/>
                  <w:shd w:val="clear" w:color="auto" w:fill="auto"/>
                  <w:noWrap w:val="0"/>
                  <w:vAlign w:val="center"/>
                </w:tcPr>
                <w:p w14:paraId="248D1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default"/>
                      <w:color w:val="auto"/>
                      <w:sz w:val="21"/>
                      <w:szCs w:val="18"/>
                      <w:highlight w:val="none"/>
                    </w:rPr>
                    <w:t>二氧化硫</w:t>
                  </w:r>
                  <w:r>
                    <w:rPr>
                      <w:rFonts w:hint="eastAsia"/>
                      <w:color w:val="auto"/>
                      <w:sz w:val="21"/>
                      <w:szCs w:val="18"/>
                      <w:highlight w:val="none"/>
                      <w:lang w:eastAsia="zh-CN"/>
                    </w:rPr>
                    <w:t>（</w:t>
                  </w:r>
                  <w:r>
                    <w:rPr>
                      <w:rFonts w:hint="default"/>
                      <w:color w:val="auto"/>
                      <w:sz w:val="21"/>
                      <w:szCs w:val="18"/>
                      <w:highlight w:val="none"/>
                    </w:rPr>
                    <w:t>SO</w:t>
                  </w:r>
                  <w:r>
                    <w:rPr>
                      <w:rFonts w:hint="default"/>
                      <w:color w:val="auto"/>
                      <w:sz w:val="21"/>
                      <w:szCs w:val="18"/>
                      <w:highlight w:val="none"/>
                      <w:vertAlign w:val="subscript"/>
                    </w:rPr>
                    <w:t>2</w:t>
                  </w:r>
                  <w:r>
                    <w:rPr>
                      <w:rFonts w:hint="eastAsia"/>
                      <w:color w:val="auto"/>
                      <w:sz w:val="21"/>
                      <w:szCs w:val="18"/>
                      <w:highlight w:val="none"/>
                      <w:vertAlign w:val="subscript"/>
                      <w:lang w:eastAsia="zh-CN"/>
                    </w:rPr>
                    <w:t>）</w:t>
                  </w:r>
                </w:p>
              </w:tc>
              <w:tc>
                <w:tcPr>
                  <w:tcW w:w="1359" w:type="pct"/>
                  <w:shd w:val="clear" w:color="auto" w:fill="auto"/>
                  <w:noWrap w:val="0"/>
                  <w:vAlign w:val="center"/>
                </w:tcPr>
                <w:p w14:paraId="0AC65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年平均</w:t>
                  </w:r>
                </w:p>
              </w:tc>
              <w:tc>
                <w:tcPr>
                  <w:tcW w:w="1236" w:type="pct"/>
                  <w:shd w:val="clear" w:color="auto" w:fill="auto"/>
                  <w:noWrap w:val="0"/>
                  <w:vAlign w:val="center"/>
                </w:tcPr>
                <w:p w14:paraId="02CF1E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60</w:t>
                  </w:r>
                </w:p>
              </w:tc>
              <w:tc>
                <w:tcPr>
                  <w:tcW w:w="841" w:type="pct"/>
                  <w:vMerge w:val="restart"/>
                  <w:noWrap w:val="0"/>
                  <w:vAlign w:val="center"/>
                </w:tcPr>
                <w:p w14:paraId="2B6C0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eastAsia"/>
                      <w:b w:val="0"/>
                      <w:bCs w:val="0"/>
                      <w:color w:val="auto"/>
                      <w:sz w:val="21"/>
                      <w:szCs w:val="18"/>
                      <w:highlight w:val="none"/>
                      <w:lang w:eastAsia="zh-CN"/>
                    </w:rPr>
                    <w:t>μg/m3</w:t>
                  </w:r>
                </w:p>
              </w:tc>
            </w:tr>
            <w:tr w14:paraId="4795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7915F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c>
                <w:tcPr>
                  <w:tcW w:w="1359" w:type="pct"/>
                  <w:shd w:val="clear" w:color="auto" w:fill="auto"/>
                  <w:noWrap w:val="0"/>
                  <w:vAlign w:val="center"/>
                </w:tcPr>
                <w:p w14:paraId="30EF5E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日平均</w:t>
                  </w:r>
                </w:p>
              </w:tc>
              <w:tc>
                <w:tcPr>
                  <w:tcW w:w="1236" w:type="pct"/>
                  <w:shd w:val="clear" w:color="auto" w:fill="auto"/>
                  <w:noWrap w:val="0"/>
                  <w:vAlign w:val="center"/>
                </w:tcPr>
                <w:p w14:paraId="44A1B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150</w:t>
                  </w:r>
                </w:p>
              </w:tc>
              <w:tc>
                <w:tcPr>
                  <w:tcW w:w="841" w:type="pct"/>
                  <w:vMerge w:val="continue"/>
                  <w:noWrap w:val="0"/>
                  <w:vAlign w:val="center"/>
                </w:tcPr>
                <w:p w14:paraId="63094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0F44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0353C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c>
                <w:tcPr>
                  <w:tcW w:w="1359" w:type="pct"/>
                  <w:shd w:val="clear" w:color="auto" w:fill="auto"/>
                  <w:noWrap w:val="0"/>
                  <w:vAlign w:val="center"/>
                </w:tcPr>
                <w:p w14:paraId="7399D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1小时平均</w:t>
                  </w:r>
                </w:p>
              </w:tc>
              <w:tc>
                <w:tcPr>
                  <w:tcW w:w="1236" w:type="pct"/>
                  <w:shd w:val="clear" w:color="auto" w:fill="auto"/>
                  <w:noWrap w:val="0"/>
                  <w:vAlign w:val="center"/>
                </w:tcPr>
                <w:p w14:paraId="6A407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500</w:t>
                  </w:r>
                </w:p>
              </w:tc>
              <w:tc>
                <w:tcPr>
                  <w:tcW w:w="841" w:type="pct"/>
                  <w:vMerge w:val="continue"/>
                  <w:noWrap w:val="0"/>
                  <w:vAlign w:val="center"/>
                </w:tcPr>
                <w:p w14:paraId="38317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5A1E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restart"/>
                  <w:shd w:val="clear" w:color="auto" w:fill="auto"/>
                  <w:noWrap w:val="0"/>
                  <w:vAlign w:val="center"/>
                </w:tcPr>
                <w:p w14:paraId="6DFCA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default"/>
                      <w:color w:val="auto"/>
                      <w:sz w:val="21"/>
                      <w:szCs w:val="18"/>
                      <w:highlight w:val="none"/>
                    </w:rPr>
                    <w:t>二氧化氮</w:t>
                  </w:r>
                  <w:r>
                    <w:rPr>
                      <w:rFonts w:hint="eastAsia"/>
                      <w:color w:val="auto"/>
                      <w:sz w:val="21"/>
                      <w:szCs w:val="18"/>
                      <w:highlight w:val="none"/>
                      <w:lang w:eastAsia="zh-CN"/>
                    </w:rPr>
                    <w:t>（</w:t>
                  </w:r>
                  <w:r>
                    <w:rPr>
                      <w:rFonts w:hint="default"/>
                      <w:color w:val="auto"/>
                      <w:sz w:val="21"/>
                      <w:szCs w:val="18"/>
                      <w:highlight w:val="none"/>
                    </w:rPr>
                    <w:t>NO</w:t>
                  </w:r>
                  <w:r>
                    <w:rPr>
                      <w:rFonts w:hint="default"/>
                      <w:color w:val="auto"/>
                      <w:sz w:val="21"/>
                      <w:szCs w:val="18"/>
                      <w:highlight w:val="none"/>
                      <w:vertAlign w:val="subscript"/>
                    </w:rPr>
                    <w:t>2</w:t>
                  </w:r>
                  <w:r>
                    <w:rPr>
                      <w:rFonts w:hint="eastAsia"/>
                      <w:color w:val="auto"/>
                      <w:sz w:val="21"/>
                      <w:szCs w:val="18"/>
                      <w:highlight w:val="none"/>
                      <w:vertAlign w:val="subscript"/>
                      <w:lang w:eastAsia="zh-CN"/>
                    </w:rPr>
                    <w:t>）</w:t>
                  </w:r>
                </w:p>
              </w:tc>
              <w:tc>
                <w:tcPr>
                  <w:tcW w:w="1359" w:type="pct"/>
                  <w:shd w:val="clear" w:color="auto" w:fill="auto"/>
                  <w:noWrap w:val="0"/>
                  <w:vAlign w:val="center"/>
                </w:tcPr>
                <w:p w14:paraId="7A0D2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年平均</w:t>
                  </w:r>
                </w:p>
              </w:tc>
              <w:tc>
                <w:tcPr>
                  <w:tcW w:w="1236" w:type="pct"/>
                  <w:shd w:val="clear" w:color="auto" w:fill="auto"/>
                  <w:noWrap w:val="0"/>
                  <w:vAlign w:val="center"/>
                </w:tcPr>
                <w:p w14:paraId="4AD28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40</w:t>
                  </w:r>
                </w:p>
              </w:tc>
              <w:tc>
                <w:tcPr>
                  <w:tcW w:w="841" w:type="pct"/>
                  <w:vMerge w:val="continue"/>
                  <w:noWrap w:val="0"/>
                  <w:vAlign w:val="center"/>
                </w:tcPr>
                <w:p w14:paraId="765D88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30F0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3212D6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color w:val="auto"/>
                      <w:sz w:val="21"/>
                      <w:szCs w:val="18"/>
                      <w:highlight w:val="none"/>
                    </w:rPr>
                  </w:pPr>
                </w:p>
              </w:tc>
              <w:tc>
                <w:tcPr>
                  <w:tcW w:w="1359" w:type="pct"/>
                  <w:shd w:val="clear" w:color="auto" w:fill="auto"/>
                  <w:noWrap w:val="0"/>
                  <w:vAlign w:val="center"/>
                </w:tcPr>
                <w:p w14:paraId="1F6008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日平均</w:t>
                  </w:r>
                </w:p>
              </w:tc>
              <w:tc>
                <w:tcPr>
                  <w:tcW w:w="1236" w:type="pct"/>
                  <w:shd w:val="clear" w:color="auto" w:fill="auto"/>
                  <w:noWrap w:val="0"/>
                  <w:vAlign w:val="center"/>
                </w:tcPr>
                <w:p w14:paraId="04C82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80</w:t>
                  </w:r>
                </w:p>
              </w:tc>
              <w:tc>
                <w:tcPr>
                  <w:tcW w:w="841" w:type="pct"/>
                  <w:vMerge w:val="continue"/>
                  <w:noWrap w:val="0"/>
                  <w:vAlign w:val="center"/>
                </w:tcPr>
                <w:p w14:paraId="1C2F0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0CA6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1B7964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color w:val="auto"/>
                      <w:sz w:val="21"/>
                      <w:szCs w:val="18"/>
                      <w:highlight w:val="none"/>
                    </w:rPr>
                  </w:pPr>
                </w:p>
              </w:tc>
              <w:tc>
                <w:tcPr>
                  <w:tcW w:w="1359" w:type="pct"/>
                  <w:shd w:val="clear" w:color="auto" w:fill="auto"/>
                  <w:noWrap w:val="0"/>
                  <w:vAlign w:val="center"/>
                </w:tcPr>
                <w:p w14:paraId="17DE3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1小时平均</w:t>
                  </w:r>
                </w:p>
              </w:tc>
              <w:tc>
                <w:tcPr>
                  <w:tcW w:w="1236" w:type="pct"/>
                  <w:shd w:val="clear" w:color="auto" w:fill="auto"/>
                  <w:noWrap w:val="0"/>
                  <w:vAlign w:val="center"/>
                </w:tcPr>
                <w:p w14:paraId="46657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200</w:t>
                  </w:r>
                </w:p>
              </w:tc>
              <w:tc>
                <w:tcPr>
                  <w:tcW w:w="841" w:type="pct"/>
                  <w:vMerge w:val="continue"/>
                  <w:noWrap w:val="0"/>
                  <w:vAlign w:val="center"/>
                </w:tcPr>
                <w:p w14:paraId="38612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1A68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restart"/>
                  <w:shd w:val="clear" w:color="auto" w:fill="auto"/>
                  <w:noWrap w:val="0"/>
                  <w:vAlign w:val="center"/>
                </w:tcPr>
                <w:p w14:paraId="5C889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r>
                    <w:rPr>
                      <w:rFonts w:hint="default"/>
                      <w:color w:val="auto"/>
                      <w:sz w:val="21"/>
                      <w:szCs w:val="18"/>
                      <w:highlight w:val="none"/>
                    </w:rPr>
                    <w:t>颗粒物（PM</w:t>
                  </w:r>
                  <w:r>
                    <w:rPr>
                      <w:rFonts w:hint="default"/>
                      <w:color w:val="auto"/>
                      <w:sz w:val="21"/>
                      <w:szCs w:val="18"/>
                      <w:highlight w:val="none"/>
                      <w:vertAlign w:val="subscript"/>
                    </w:rPr>
                    <w:t>10</w:t>
                  </w:r>
                  <w:r>
                    <w:rPr>
                      <w:rFonts w:hint="default"/>
                      <w:color w:val="auto"/>
                      <w:sz w:val="21"/>
                      <w:szCs w:val="18"/>
                      <w:highlight w:val="none"/>
                    </w:rPr>
                    <w:t>）</w:t>
                  </w:r>
                </w:p>
              </w:tc>
              <w:tc>
                <w:tcPr>
                  <w:tcW w:w="1359" w:type="pct"/>
                  <w:shd w:val="clear" w:color="auto" w:fill="auto"/>
                  <w:noWrap w:val="0"/>
                  <w:vAlign w:val="center"/>
                </w:tcPr>
                <w:p w14:paraId="6C2D3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年平均</w:t>
                  </w:r>
                </w:p>
              </w:tc>
              <w:tc>
                <w:tcPr>
                  <w:tcW w:w="1236" w:type="pct"/>
                  <w:shd w:val="clear" w:color="auto" w:fill="auto"/>
                  <w:noWrap w:val="0"/>
                  <w:vAlign w:val="center"/>
                </w:tcPr>
                <w:p w14:paraId="1589C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eastAsia"/>
                      <w:color w:val="auto"/>
                      <w:sz w:val="21"/>
                      <w:szCs w:val="18"/>
                      <w:highlight w:val="none"/>
                      <w:lang w:val="en-US" w:eastAsia="zh-CN"/>
                    </w:rPr>
                    <w:t>60</w:t>
                  </w:r>
                </w:p>
              </w:tc>
              <w:tc>
                <w:tcPr>
                  <w:tcW w:w="841" w:type="pct"/>
                  <w:vMerge w:val="continue"/>
                  <w:noWrap w:val="0"/>
                  <w:vAlign w:val="center"/>
                </w:tcPr>
                <w:p w14:paraId="4DBFE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2FD2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37EC4A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c>
                <w:tcPr>
                  <w:tcW w:w="1359" w:type="pct"/>
                  <w:shd w:val="clear" w:color="auto" w:fill="auto"/>
                  <w:noWrap w:val="0"/>
                  <w:vAlign w:val="center"/>
                </w:tcPr>
                <w:p w14:paraId="17454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日平均</w:t>
                  </w:r>
                </w:p>
              </w:tc>
              <w:tc>
                <w:tcPr>
                  <w:tcW w:w="1236" w:type="pct"/>
                  <w:shd w:val="clear" w:color="auto" w:fill="auto"/>
                  <w:noWrap w:val="0"/>
                  <w:vAlign w:val="center"/>
                </w:tcPr>
                <w:p w14:paraId="60710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eastAsia"/>
                      <w:color w:val="auto"/>
                      <w:sz w:val="21"/>
                      <w:szCs w:val="18"/>
                      <w:highlight w:val="none"/>
                      <w:lang w:val="en-US" w:eastAsia="zh-CN"/>
                    </w:rPr>
                    <w:t>120</w:t>
                  </w:r>
                </w:p>
              </w:tc>
              <w:tc>
                <w:tcPr>
                  <w:tcW w:w="841" w:type="pct"/>
                  <w:vMerge w:val="continue"/>
                  <w:noWrap w:val="0"/>
                  <w:vAlign w:val="center"/>
                </w:tcPr>
                <w:p w14:paraId="7052D6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58AD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restart"/>
                  <w:shd w:val="clear" w:color="auto" w:fill="auto"/>
                  <w:noWrap w:val="0"/>
                  <w:vAlign w:val="center"/>
                </w:tcPr>
                <w:p w14:paraId="2D8A1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颗粒物（PM</w:t>
                  </w:r>
                  <w:r>
                    <w:rPr>
                      <w:rFonts w:hint="default"/>
                      <w:color w:val="auto"/>
                      <w:sz w:val="21"/>
                      <w:szCs w:val="18"/>
                      <w:highlight w:val="none"/>
                      <w:vertAlign w:val="subscript"/>
                    </w:rPr>
                    <w:t>2.5</w:t>
                  </w:r>
                  <w:r>
                    <w:rPr>
                      <w:rFonts w:hint="default"/>
                      <w:color w:val="auto"/>
                      <w:sz w:val="21"/>
                      <w:szCs w:val="18"/>
                      <w:highlight w:val="none"/>
                    </w:rPr>
                    <w:t>）</w:t>
                  </w:r>
                </w:p>
              </w:tc>
              <w:tc>
                <w:tcPr>
                  <w:tcW w:w="1359" w:type="pct"/>
                  <w:shd w:val="clear" w:color="auto" w:fill="auto"/>
                  <w:noWrap w:val="0"/>
                  <w:vAlign w:val="center"/>
                </w:tcPr>
                <w:p w14:paraId="786D3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年平均</w:t>
                  </w:r>
                </w:p>
              </w:tc>
              <w:tc>
                <w:tcPr>
                  <w:tcW w:w="1236" w:type="pct"/>
                  <w:shd w:val="clear" w:color="auto" w:fill="auto"/>
                  <w:noWrap w:val="0"/>
                  <w:vAlign w:val="center"/>
                </w:tcPr>
                <w:p w14:paraId="048AA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eastAsia"/>
                      <w:color w:val="auto"/>
                      <w:sz w:val="21"/>
                      <w:szCs w:val="18"/>
                      <w:highlight w:val="none"/>
                      <w:lang w:val="en-US" w:eastAsia="zh-CN"/>
                    </w:rPr>
                    <w:t>30</w:t>
                  </w:r>
                </w:p>
              </w:tc>
              <w:tc>
                <w:tcPr>
                  <w:tcW w:w="841" w:type="pct"/>
                  <w:vMerge w:val="continue"/>
                  <w:noWrap w:val="0"/>
                  <w:vAlign w:val="center"/>
                </w:tcPr>
                <w:p w14:paraId="2B001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1571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21202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c>
                <w:tcPr>
                  <w:tcW w:w="1359" w:type="pct"/>
                  <w:shd w:val="clear" w:color="auto" w:fill="auto"/>
                  <w:noWrap w:val="0"/>
                  <w:vAlign w:val="center"/>
                </w:tcPr>
                <w:p w14:paraId="47145C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日平均</w:t>
                  </w:r>
                </w:p>
              </w:tc>
              <w:tc>
                <w:tcPr>
                  <w:tcW w:w="1236" w:type="pct"/>
                  <w:shd w:val="clear" w:color="auto" w:fill="auto"/>
                  <w:noWrap w:val="0"/>
                  <w:vAlign w:val="center"/>
                </w:tcPr>
                <w:p w14:paraId="46AA9E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eastAsia"/>
                      <w:color w:val="auto"/>
                      <w:sz w:val="21"/>
                      <w:szCs w:val="18"/>
                      <w:highlight w:val="none"/>
                      <w:lang w:val="en-US" w:eastAsia="zh-CN"/>
                    </w:rPr>
                    <w:t>60</w:t>
                  </w:r>
                </w:p>
              </w:tc>
              <w:tc>
                <w:tcPr>
                  <w:tcW w:w="841" w:type="pct"/>
                  <w:vMerge w:val="continue"/>
                  <w:noWrap w:val="0"/>
                  <w:vAlign w:val="center"/>
                </w:tcPr>
                <w:p w14:paraId="117D2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54DE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restart"/>
                  <w:noWrap w:val="0"/>
                  <w:vAlign w:val="center"/>
                </w:tcPr>
                <w:p w14:paraId="1562E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仿宋"/>
                      <w:color w:val="auto"/>
                      <w:sz w:val="21"/>
                      <w:szCs w:val="18"/>
                      <w:highlight w:val="none"/>
                      <w:lang w:val="en-US" w:eastAsia="zh-CN"/>
                    </w:rPr>
                  </w:pPr>
                  <w:r>
                    <w:rPr>
                      <w:rFonts w:hint="eastAsia"/>
                      <w:color w:val="auto"/>
                      <w:sz w:val="21"/>
                      <w:szCs w:val="18"/>
                      <w:highlight w:val="none"/>
                      <w:lang w:val="en-US" w:eastAsia="zh-CN"/>
                    </w:rPr>
                    <w:t>臭氧（O</w:t>
                  </w:r>
                  <w:r>
                    <w:rPr>
                      <w:rFonts w:hint="eastAsia"/>
                      <w:color w:val="auto"/>
                      <w:sz w:val="21"/>
                      <w:szCs w:val="18"/>
                      <w:highlight w:val="none"/>
                      <w:vertAlign w:val="subscript"/>
                      <w:lang w:val="en-US" w:eastAsia="zh-CN"/>
                    </w:rPr>
                    <w:t>3</w:t>
                  </w:r>
                  <w:r>
                    <w:rPr>
                      <w:rFonts w:hint="eastAsia"/>
                      <w:color w:val="auto"/>
                      <w:sz w:val="21"/>
                      <w:szCs w:val="18"/>
                      <w:highlight w:val="none"/>
                      <w:lang w:val="en-US" w:eastAsia="zh-CN"/>
                    </w:rPr>
                    <w:t>）</w:t>
                  </w:r>
                </w:p>
              </w:tc>
              <w:tc>
                <w:tcPr>
                  <w:tcW w:w="1359" w:type="pct"/>
                  <w:shd w:val="clear" w:color="auto" w:fill="auto"/>
                  <w:noWrap w:val="0"/>
                  <w:vAlign w:val="center"/>
                </w:tcPr>
                <w:p w14:paraId="7C32B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eastAsia="仿宋"/>
                      <w:color w:val="auto"/>
                      <w:sz w:val="21"/>
                      <w:szCs w:val="18"/>
                      <w:highlight w:val="none"/>
                      <w:lang w:val="en-US" w:eastAsia="zh-CN"/>
                    </w:rPr>
                  </w:pPr>
                  <w:r>
                    <w:rPr>
                      <w:rFonts w:hint="eastAsia"/>
                      <w:color w:val="auto"/>
                      <w:sz w:val="21"/>
                      <w:szCs w:val="18"/>
                      <w:highlight w:val="none"/>
                      <w:lang w:val="en-US" w:eastAsia="zh-CN"/>
                    </w:rPr>
                    <w:t>日最大半小时平均</w:t>
                  </w:r>
                </w:p>
              </w:tc>
              <w:tc>
                <w:tcPr>
                  <w:tcW w:w="1236" w:type="pct"/>
                  <w:shd w:val="clear" w:color="auto" w:fill="auto"/>
                  <w:noWrap w:val="0"/>
                  <w:vAlign w:val="center"/>
                </w:tcPr>
                <w:p w14:paraId="03D84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18"/>
                      <w:highlight w:val="none"/>
                      <w:lang w:val="en-US" w:eastAsia="zh-CN"/>
                    </w:rPr>
                  </w:pPr>
                  <w:r>
                    <w:rPr>
                      <w:rFonts w:hint="eastAsia"/>
                      <w:color w:val="auto"/>
                      <w:sz w:val="21"/>
                      <w:szCs w:val="18"/>
                      <w:highlight w:val="none"/>
                      <w:lang w:val="en-US" w:eastAsia="zh-CN"/>
                    </w:rPr>
                    <w:t>160</w:t>
                  </w:r>
                </w:p>
              </w:tc>
              <w:tc>
                <w:tcPr>
                  <w:tcW w:w="841" w:type="pct"/>
                  <w:vMerge w:val="continue"/>
                  <w:noWrap w:val="0"/>
                  <w:vAlign w:val="center"/>
                </w:tcPr>
                <w:p w14:paraId="6924EB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5985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577D0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c>
                <w:tcPr>
                  <w:tcW w:w="1359" w:type="pct"/>
                  <w:shd w:val="clear" w:color="auto" w:fill="auto"/>
                  <w:noWrap w:val="0"/>
                  <w:vAlign w:val="center"/>
                </w:tcPr>
                <w:p w14:paraId="76852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18"/>
                      <w:highlight w:val="none"/>
                    </w:rPr>
                  </w:pPr>
                  <w:r>
                    <w:rPr>
                      <w:rFonts w:hint="default"/>
                      <w:color w:val="auto"/>
                      <w:sz w:val="21"/>
                      <w:szCs w:val="18"/>
                      <w:highlight w:val="none"/>
                    </w:rPr>
                    <w:t>1小时平均</w:t>
                  </w:r>
                </w:p>
              </w:tc>
              <w:tc>
                <w:tcPr>
                  <w:tcW w:w="1236" w:type="pct"/>
                  <w:shd w:val="clear" w:color="auto" w:fill="auto"/>
                  <w:noWrap w:val="0"/>
                  <w:vAlign w:val="center"/>
                </w:tcPr>
                <w:p w14:paraId="46BD06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18"/>
                      <w:highlight w:val="none"/>
                      <w:lang w:val="en-US" w:eastAsia="zh-CN"/>
                    </w:rPr>
                  </w:pPr>
                  <w:r>
                    <w:rPr>
                      <w:rFonts w:hint="eastAsia"/>
                      <w:color w:val="auto"/>
                      <w:sz w:val="21"/>
                      <w:szCs w:val="18"/>
                      <w:highlight w:val="none"/>
                      <w:lang w:val="en-US" w:eastAsia="zh-CN"/>
                    </w:rPr>
                    <w:t>200</w:t>
                  </w:r>
                </w:p>
              </w:tc>
              <w:tc>
                <w:tcPr>
                  <w:tcW w:w="841" w:type="pct"/>
                  <w:vMerge w:val="continue"/>
                  <w:noWrap w:val="0"/>
                  <w:vAlign w:val="center"/>
                </w:tcPr>
                <w:p w14:paraId="219B9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41E0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restart"/>
                  <w:noWrap w:val="0"/>
                  <w:vAlign w:val="center"/>
                </w:tcPr>
                <w:p w14:paraId="14448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仿宋"/>
                      <w:color w:val="auto"/>
                      <w:sz w:val="21"/>
                      <w:szCs w:val="18"/>
                      <w:highlight w:val="none"/>
                      <w:lang w:val="en-US" w:eastAsia="zh-CN"/>
                    </w:rPr>
                  </w:pPr>
                  <w:r>
                    <w:rPr>
                      <w:rFonts w:hint="eastAsia"/>
                      <w:color w:val="auto"/>
                      <w:sz w:val="21"/>
                      <w:szCs w:val="18"/>
                      <w:highlight w:val="none"/>
                      <w:lang w:val="en-US" w:eastAsia="zh-CN"/>
                    </w:rPr>
                    <w:t>一氧化碳（CO）（mg/m</w:t>
                  </w:r>
                  <w:r>
                    <w:rPr>
                      <w:rFonts w:hint="eastAsia"/>
                      <w:color w:val="auto"/>
                      <w:sz w:val="21"/>
                      <w:szCs w:val="18"/>
                      <w:highlight w:val="none"/>
                      <w:vertAlign w:val="superscript"/>
                      <w:lang w:val="en-US" w:eastAsia="zh-CN"/>
                    </w:rPr>
                    <w:t>3</w:t>
                  </w:r>
                  <w:r>
                    <w:rPr>
                      <w:rFonts w:hint="eastAsia"/>
                      <w:color w:val="auto"/>
                      <w:sz w:val="21"/>
                      <w:szCs w:val="18"/>
                      <w:highlight w:val="none"/>
                      <w:lang w:val="en-US" w:eastAsia="zh-CN"/>
                    </w:rPr>
                    <w:t>）</w:t>
                  </w:r>
                </w:p>
              </w:tc>
              <w:tc>
                <w:tcPr>
                  <w:tcW w:w="1359" w:type="pct"/>
                  <w:shd w:val="clear" w:color="auto" w:fill="auto"/>
                  <w:noWrap w:val="0"/>
                  <w:vAlign w:val="center"/>
                </w:tcPr>
                <w:p w14:paraId="74B6A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日平均</w:t>
                  </w:r>
                </w:p>
              </w:tc>
              <w:tc>
                <w:tcPr>
                  <w:tcW w:w="1236" w:type="pct"/>
                  <w:noWrap w:val="0"/>
                  <w:vAlign w:val="center"/>
                </w:tcPr>
                <w:p w14:paraId="54EF2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仿宋"/>
                      <w:color w:val="auto"/>
                      <w:sz w:val="21"/>
                      <w:szCs w:val="18"/>
                      <w:highlight w:val="none"/>
                      <w:lang w:val="en-US" w:eastAsia="zh-CN"/>
                    </w:rPr>
                  </w:pPr>
                  <w:r>
                    <w:rPr>
                      <w:rFonts w:hint="eastAsia"/>
                      <w:color w:val="auto"/>
                      <w:sz w:val="21"/>
                      <w:szCs w:val="18"/>
                      <w:highlight w:val="none"/>
                      <w:lang w:val="en-US" w:eastAsia="zh-CN"/>
                    </w:rPr>
                    <w:t>4</w:t>
                  </w:r>
                </w:p>
              </w:tc>
              <w:tc>
                <w:tcPr>
                  <w:tcW w:w="841" w:type="pct"/>
                  <w:vMerge w:val="continue"/>
                  <w:noWrap w:val="0"/>
                  <w:vAlign w:val="center"/>
                </w:tcPr>
                <w:p w14:paraId="2D945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r w14:paraId="0201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2" w:type="pct"/>
                  <w:vMerge w:val="continue"/>
                  <w:noWrap w:val="0"/>
                  <w:vAlign w:val="center"/>
                </w:tcPr>
                <w:p w14:paraId="38BD6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c>
                <w:tcPr>
                  <w:tcW w:w="1359" w:type="pct"/>
                  <w:shd w:val="clear" w:color="auto" w:fill="auto"/>
                  <w:noWrap w:val="0"/>
                  <w:vAlign w:val="center"/>
                </w:tcPr>
                <w:p w14:paraId="2D5F7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18"/>
                      <w:highlight w:val="none"/>
                      <w:lang w:val="en-US" w:eastAsia="zh-CN" w:bidi="ar-SA"/>
                    </w:rPr>
                  </w:pPr>
                  <w:r>
                    <w:rPr>
                      <w:rFonts w:hint="default"/>
                      <w:color w:val="auto"/>
                      <w:sz w:val="21"/>
                      <w:szCs w:val="18"/>
                      <w:highlight w:val="none"/>
                    </w:rPr>
                    <w:t>1小时平均</w:t>
                  </w:r>
                </w:p>
              </w:tc>
              <w:tc>
                <w:tcPr>
                  <w:tcW w:w="1236" w:type="pct"/>
                  <w:noWrap w:val="0"/>
                  <w:vAlign w:val="center"/>
                </w:tcPr>
                <w:p w14:paraId="151F6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仿宋"/>
                      <w:color w:val="auto"/>
                      <w:sz w:val="21"/>
                      <w:szCs w:val="18"/>
                      <w:highlight w:val="none"/>
                      <w:lang w:val="en-US" w:eastAsia="zh-CN"/>
                    </w:rPr>
                  </w:pPr>
                  <w:r>
                    <w:rPr>
                      <w:rFonts w:hint="eastAsia"/>
                      <w:color w:val="auto"/>
                      <w:sz w:val="21"/>
                      <w:szCs w:val="18"/>
                      <w:highlight w:val="none"/>
                      <w:lang w:val="en-US" w:eastAsia="zh-CN"/>
                    </w:rPr>
                    <w:t>10</w:t>
                  </w:r>
                </w:p>
              </w:tc>
              <w:tc>
                <w:tcPr>
                  <w:tcW w:w="841" w:type="pct"/>
                  <w:vMerge w:val="continue"/>
                  <w:noWrap w:val="0"/>
                  <w:vAlign w:val="center"/>
                </w:tcPr>
                <w:p w14:paraId="7B7A3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18"/>
                      <w:highlight w:val="none"/>
                    </w:rPr>
                  </w:pPr>
                </w:p>
              </w:tc>
            </w:tr>
          </w:tbl>
          <w:p w14:paraId="3E70E0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textAlignment w:val="auto"/>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3.7.2</w:t>
            </w:r>
            <w:r>
              <w:rPr>
                <w:rFonts w:hint="default" w:ascii="Times New Roman" w:hAnsi="Times New Roman" w:eastAsia="仿宋" w:cs="Times New Roman"/>
                <w:b/>
                <w:color w:val="auto"/>
                <w:sz w:val="24"/>
                <w:szCs w:val="24"/>
                <w:highlight w:val="none"/>
              </w:rPr>
              <w:t>地表水环境</w:t>
            </w:r>
          </w:p>
          <w:p w14:paraId="7E0689B2">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本项目位于牛栏江流域，根据《云南省水功能区划》（2014年 5月），本项目属于牛栏江鲁甸</w:t>
            </w:r>
            <w:r>
              <w:rPr>
                <w:rFonts w:hint="eastAsia"/>
                <w:color w:val="auto"/>
                <w:highlight w:val="none"/>
                <w:lang w:eastAsia="zh-CN"/>
              </w:rPr>
              <w:t>－</w:t>
            </w:r>
            <w:r>
              <w:rPr>
                <w:rFonts w:hint="default"/>
                <w:color w:val="auto"/>
                <w:highlight w:val="none"/>
              </w:rPr>
              <w:t>巧家保留区，水质目标为Ⅲ类。故本项目地表水环境质量标准执行《地表水环境质量标准》（GB3838-2002）Ⅲ类水标准。标准值详见表</w:t>
            </w:r>
            <w:r>
              <w:rPr>
                <w:rFonts w:hint="eastAsia"/>
                <w:color w:val="auto"/>
                <w:highlight w:val="none"/>
                <w:lang w:val="en-US" w:eastAsia="zh-CN"/>
              </w:rPr>
              <w:t>3.7-2</w:t>
            </w:r>
            <w:r>
              <w:rPr>
                <w:rFonts w:hint="default"/>
                <w:color w:val="auto"/>
                <w:highlight w:val="none"/>
              </w:rPr>
              <w:t>。</w:t>
            </w:r>
          </w:p>
          <w:p w14:paraId="6BE9D04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Lines="0" w:afterAutospacing="0" w:line="212" w:lineRule="auto"/>
              <w:ind w:left="2069" w:right="0"/>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pacing w:val="-1"/>
                <w:sz w:val="21"/>
                <w:szCs w:val="21"/>
                <w:highlight w:val="none"/>
              </w:rPr>
              <w:t>表</w:t>
            </w:r>
            <w:r>
              <w:rPr>
                <w:rFonts w:hint="default" w:ascii="Times New Roman" w:hAnsi="Times New Roman" w:eastAsia="仿宋" w:cs="Times New Roman"/>
                <w:b/>
                <w:bCs/>
                <w:color w:val="auto"/>
                <w:spacing w:val="-49"/>
                <w:sz w:val="21"/>
                <w:szCs w:val="21"/>
                <w:highlight w:val="none"/>
              </w:rPr>
              <w:t xml:space="preserve"> </w:t>
            </w:r>
            <w:r>
              <w:rPr>
                <w:rFonts w:hint="eastAsia" w:cs="Times New Roman"/>
                <w:b/>
                <w:bCs/>
                <w:color w:val="auto"/>
                <w:spacing w:val="-1"/>
                <w:sz w:val="21"/>
                <w:szCs w:val="21"/>
                <w:highlight w:val="none"/>
                <w:lang w:val="en-US" w:eastAsia="zh-CN"/>
              </w:rPr>
              <w:t>3.7-2</w:t>
            </w:r>
            <w:r>
              <w:rPr>
                <w:rFonts w:hint="default" w:ascii="Times New Roman" w:hAnsi="Times New Roman" w:eastAsia="仿宋" w:cs="Times New Roman"/>
                <w:b/>
                <w:bCs/>
                <w:color w:val="auto"/>
                <w:spacing w:val="-1"/>
                <w:sz w:val="21"/>
                <w:szCs w:val="21"/>
                <w:highlight w:val="none"/>
              </w:rPr>
              <w:t xml:space="preserve">  地表水环境质量标准  单位：mg/L</w:t>
            </w:r>
          </w:p>
          <w:p w14:paraId="0A72F371">
            <w:pPr>
              <w:keepNext w:val="0"/>
              <w:keepLines w:val="0"/>
              <w:suppressLineNumbers w:val="0"/>
              <w:spacing w:before="0" w:beforeLines="0" w:beforeAutospacing="0" w:after="0" w:afterLines="0" w:afterAutospacing="0" w:line="32" w:lineRule="auto"/>
              <w:ind w:left="0" w:right="0"/>
              <w:rPr>
                <w:rFonts w:hint="default" w:ascii="Times New Roman" w:hAnsi="Times New Roman" w:eastAsia="仿宋" w:cs="Times New Roman"/>
                <w:color w:val="auto"/>
                <w:sz w:val="2"/>
                <w:szCs w:val="21"/>
                <w:highlight w:val="none"/>
              </w:rPr>
            </w:pPr>
          </w:p>
          <w:tbl>
            <w:tblPr>
              <w:tblStyle w:val="10"/>
              <w:tblW w:w="485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3409"/>
              <w:gridCol w:w="3327"/>
            </w:tblGrid>
            <w:tr w14:paraId="120E1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D4A217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序号</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7EB2F7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项目</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138003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Ⅲ类标准值</w:t>
                  </w:r>
                </w:p>
              </w:tc>
            </w:tr>
            <w:tr w14:paraId="366B7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99AE8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8B9A10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pH 值（无量纲）</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D41601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6~9</w:t>
                  </w:r>
                </w:p>
              </w:tc>
            </w:tr>
            <w:tr w14:paraId="72CE4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4BC8E0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17DC17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化学需氧量</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9FC2AA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w:t>
                  </w:r>
                </w:p>
              </w:tc>
            </w:tr>
            <w:tr w14:paraId="5080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B44BA7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378E0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五日生化需氧量</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640ECF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≤4</w:t>
                  </w:r>
                </w:p>
              </w:tc>
            </w:tr>
            <w:tr w14:paraId="102E4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FF68F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93552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氨氮</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84DC00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≤1.0</w:t>
                  </w:r>
                </w:p>
              </w:tc>
            </w:tr>
            <w:tr w14:paraId="6ADC1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A030D1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961318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总磷（以</w:t>
                  </w:r>
                  <w:r>
                    <w:rPr>
                      <w:rFonts w:hint="default" w:ascii="Times New Roman" w:hAnsi="Times New Roman" w:eastAsia="仿宋" w:cs="Times New Roman"/>
                      <w:color w:val="auto"/>
                      <w:spacing w:val="-46"/>
                      <w:sz w:val="21"/>
                      <w:szCs w:val="21"/>
                      <w:highlight w:val="none"/>
                    </w:rPr>
                    <w:t xml:space="preserve"> </w:t>
                  </w:r>
                  <w:r>
                    <w:rPr>
                      <w:rFonts w:hint="default" w:ascii="Times New Roman" w:hAnsi="Times New Roman" w:eastAsia="仿宋" w:cs="Times New Roman"/>
                      <w:color w:val="auto"/>
                      <w:spacing w:val="-3"/>
                      <w:sz w:val="21"/>
                      <w:szCs w:val="21"/>
                      <w:highlight w:val="none"/>
                    </w:rPr>
                    <w:t>P 计）</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FAB38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≤0.2</w:t>
                  </w:r>
                </w:p>
              </w:tc>
            </w:tr>
            <w:tr w14:paraId="49708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95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BEFFDA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w:t>
                  </w:r>
                </w:p>
              </w:tc>
              <w:tc>
                <w:tcPr>
                  <w:tcW w:w="37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839503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石油类</w:t>
                  </w:r>
                </w:p>
              </w:tc>
              <w:tc>
                <w:tcPr>
                  <w:tcW w:w="368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2F70C8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≤0.05</w:t>
                  </w:r>
                </w:p>
              </w:tc>
            </w:tr>
          </w:tbl>
          <w:p w14:paraId="298C08E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textAlignment w:val="auto"/>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3.7.3</w:t>
            </w:r>
            <w:r>
              <w:rPr>
                <w:rFonts w:hint="default" w:ascii="Times New Roman" w:hAnsi="Times New Roman" w:eastAsia="仿宋" w:cs="Times New Roman"/>
                <w:b/>
                <w:color w:val="auto"/>
                <w:sz w:val="24"/>
                <w:szCs w:val="24"/>
                <w:highlight w:val="none"/>
              </w:rPr>
              <w:t>声环境</w:t>
            </w:r>
          </w:p>
          <w:p w14:paraId="021E97C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firstLine="42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项目所在区域为农村地区，执行《声环境质量标准》（GB3096-2008）中1类标准，标准值详见表</w:t>
            </w:r>
            <w:r>
              <w:rPr>
                <w:rFonts w:hint="eastAsia" w:cs="Times New Roman"/>
                <w:color w:val="auto"/>
                <w:sz w:val="24"/>
                <w:szCs w:val="24"/>
                <w:highlight w:val="none"/>
                <w:lang w:val="en-US" w:eastAsia="zh-CN"/>
              </w:rPr>
              <w:t>3.7-3</w:t>
            </w:r>
            <w:r>
              <w:rPr>
                <w:rFonts w:hint="default" w:ascii="Times New Roman" w:hAnsi="Times New Roman" w:eastAsia="仿宋" w:cs="Times New Roman"/>
                <w:color w:val="auto"/>
                <w:sz w:val="24"/>
                <w:szCs w:val="24"/>
                <w:highlight w:val="none"/>
              </w:rPr>
              <w:t>。</w:t>
            </w:r>
          </w:p>
          <w:p w14:paraId="583B214F">
            <w:pPr>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3.7-3</w:t>
            </w:r>
            <w:r>
              <w:rPr>
                <w:rFonts w:hint="default" w:ascii="Times New Roman" w:hAnsi="Times New Roman" w:eastAsia="仿宋" w:cs="Times New Roman"/>
                <w:b/>
                <w:color w:val="auto"/>
                <w:sz w:val="21"/>
                <w:szCs w:val="21"/>
                <w:highlight w:val="none"/>
              </w:rPr>
              <w:t xml:space="preserve"> 声环境质量标准  单位：dB（A）</w:t>
            </w:r>
          </w:p>
          <w:tbl>
            <w:tblPr>
              <w:tblStyle w:val="10"/>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3"/>
              <w:gridCol w:w="2534"/>
              <w:gridCol w:w="2534"/>
            </w:tblGrid>
            <w:tr w14:paraId="6DCB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666" w:type="pct"/>
                  <w:noWrap w:val="0"/>
                  <w:vAlign w:val="center"/>
                </w:tcPr>
                <w:p w14:paraId="2ECC8A4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类别</w:t>
                  </w:r>
                </w:p>
              </w:tc>
              <w:tc>
                <w:tcPr>
                  <w:tcW w:w="1667" w:type="pct"/>
                  <w:noWrap w:val="0"/>
                  <w:vAlign w:val="center"/>
                </w:tcPr>
                <w:p w14:paraId="38A296F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昼间</w:t>
                  </w:r>
                </w:p>
              </w:tc>
              <w:tc>
                <w:tcPr>
                  <w:tcW w:w="1667" w:type="pct"/>
                  <w:noWrap w:val="0"/>
                  <w:vAlign w:val="center"/>
                </w:tcPr>
                <w:p w14:paraId="4D405EA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rPr>
                    <w:t>夜间</w:t>
                  </w:r>
                </w:p>
              </w:tc>
            </w:tr>
            <w:tr w14:paraId="3730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666" w:type="pct"/>
                  <w:noWrap w:val="0"/>
                  <w:vAlign w:val="center"/>
                </w:tcPr>
                <w:p w14:paraId="3DD126C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2"/>
                      <w:sz w:val="21"/>
                      <w:szCs w:val="21"/>
                      <w:highlight w:val="none"/>
                      <w:lang w:val="en-US" w:eastAsia="zh-CN"/>
                    </w:rPr>
                    <w:t>1</w:t>
                  </w:r>
                  <w:r>
                    <w:rPr>
                      <w:rFonts w:hint="default" w:ascii="Times New Roman" w:hAnsi="Times New Roman" w:eastAsia="仿宋" w:cs="Times New Roman"/>
                      <w:color w:val="auto"/>
                      <w:spacing w:val="-2"/>
                      <w:sz w:val="21"/>
                      <w:szCs w:val="21"/>
                      <w:highlight w:val="none"/>
                    </w:rPr>
                    <w:t>类</w:t>
                  </w:r>
                </w:p>
              </w:tc>
              <w:tc>
                <w:tcPr>
                  <w:tcW w:w="1667" w:type="pct"/>
                  <w:noWrap w:val="0"/>
                  <w:vAlign w:val="center"/>
                </w:tcPr>
                <w:p w14:paraId="2622255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55</w:t>
                  </w:r>
                </w:p>
              </w:tc>
              <w:tc>
                <w:tcPr>
                  <w:tcW w:w="1667" w:type="pct"/>
                  <w:noWrap w:val="0"/>
                  <w:vAlign w:val="center"/>
                </w:tcPr>
                <w:p w14:paraId="10DD003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45</w:t>
                  </w:r>
                </w:p>
              </w:tc>
            </w:tr>
          </w:tbl>
          <w:p w14:paraId="42E617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color w:val="auto"/>
                <w:kern w:val="0"/>
                <w:sz w:val="24"/>
                <w:szCs w:val="24"/>
                <w:highlight w:val="none"/>
                <w:lang w:val="en-US" w:eastAsia="zh-CN"/>
              </w:rPr>
            </w:pPr>
          </w:p>
          <w:p w14:paraId="327FEB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color w:val="auto"/>
                <w:kern w:val="0"/>
                <w:sz w:val="24"/>
                <w:szCs w:val="24"/>
                <w:highlight w:val="none"/>
              </w:rPr>
            </w:pPr>
            <w:r>
              <w:rPr>
                <w:rFonts w:hint="eastAsia" w:cs="Times New Roman"/>
                <w:b/>
                <w:color w:val="auto"/>
                <w:kern w:val="0"/>
                <w:sz w:val="24"/>
                <w:szCs w:val="24"/>
                <w:highlight w:val="none"/>
                <w:lang w:val="en-US" w:eastAsia="zh-CN"/>
              </w:rPr>
              <w:t xml:space="preserve">3.8 </w:t>
            </w:r>
            <w:r>
              <w:rPr>
                <w:rFonts w:hint="default" w:ascii="Times New Roman" w:hAnsi="Times New Roman" w:eastAsia="仿宋" w:cs="Times New Roman"/>
                <w:b/>
                <w:color w:val="auto"/>
                <w:kern w:val="0"/>
                <w:sz w:val="24"/>
                <w:szCs w:val="24"/>
                <w:highlight w:val="none"/>
              </w:rPr>
              <w:t>污染物排放标准</w:t>
            </w:r>
          </w:p>
          <w:p w14:paraId="7ED7F40E">
            <w:pPr>
              <w:keepNext w:val="0"/>
              <w:keepLines w:val="0"/>
              <w:suppressLineNumbers w:val="0"/>
              <w:snapToGrid w:val="0"/>
              <w:spacing w:before="0" w:beforeAutospacing="0" w:after="0" w:afterAutospacing="0"/>
              <w:ind w:left="0" w:leftChars="0" w:right="0" w:firstLine="0" w:firstLineChars="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3.8.1</w:t>
            </w:r>
            <w:r>
              <w:rPr>
                <w:rFonts w:hint="default" w:ascii="Times New Roman" w:hAnsi="Times New Roman" w:eastAsia="仿宋" w:cs="Times New Roman"/>
                <w:b/>
                <w:color w:val="auto"/>
                <w:sz w:val="24"/>
                <w:szCs w:val="24"/>
                <w:highlight w:val="none"/>
              </w:rPr>
              <w:t>大气污染物排放标准</w:t>
            </w:r>
          </w:p>
          <w:p w14:paraId="692EC55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en-US" w:eastAsia="zh-CN"/>
              </w:rPr>
              <w:t>（1）施工期</w:t>
            </w:r>
          </w:p>
          <w:p w14:paraId="5E8CEAB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项目施工期大气污染物排放执行《大气污染物综合排放标准》（GB16297-1996）中无组织排放监控浓度限值要求，见</w:t>
            </w:r>
            <w:r>
              <w:rPr>
                <w:rFonts w:hint="default" w:ascii="Times New Roman" w:hAnsi="Times New Roman" w:eastAsia="仿宋" w:cs="Times New Roman"/>
                <w:color w:val="auto"/>
                <w:kern w:val="0"/>
                <w:sz w:val="24"/>
                <w:szCs w:val="24"/>
                <w:highlight w:val="none"/>
                <w:lang w:val="en-US" w:eastAsia="zh-CN"/>
              </w:rPr>
              <w:t>下</w:t>
            </w:r>
            <w:r>
              <w:rPr>
                <w:rFonts w:hint="default" w:ascii="Times New Roman" w:hAnsi="Times New Roman" w:eastAsia="仿宋" w:cs="Times New Roman"/>
                <w:color w:val="auto"/>
                <w:kern w:val="0"/>
                <w:sz w:val="24"/>
                <w:szCs w:val="24"/>
                <w:highlight w:val="none"/>
              </w:rPr>
              <w:t>表。</w:t>
            </w:r>
          </w:p>
          <w:p w14:paraId="4F6076F2">
            <w:pPr>
              <w:keepNext w:val="0"/>
              <w:keepLines w:val="0"/>
              <w:pageBreakBefore w:val="0"/>
              <w:widowControl w:val="0"/>
              <w:suppressLineNumbers w:val="0"/>
              <w:kinsoku/>
              <w:wordWrap/>
              <w:overflowPunct/>
              <w:topLinePunct w:val="0"/>
              <w:autoSpaceDE/>
              <w:autoSpaceDN/>
              <w:bidi w:val="0"/>
              <w:adjustRightInd/>
              <w:snapToGrid w:val="0"/>
              <w:spacing w:before="157" w:beforeLines="50" w:beforeAutospacing="0" w:after="0" w:afterAutospacing="0"/>
              <w:ind w:left="0" w:right="0"/>
              <w:jc w:val="center"/>
              <w:textAlignment w:val="auto"/>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3.8-1</w:t>
            </w:r>
            <w:r>
              <w:rPr>
                <w:rFonts w:hint="default" w:ascii="Times New Roman" w:hAnsi="Times New Roman" w:eastAsia="仿宋" w:cs="Times New Roman"/>
                <w:b/>
                <w:color w:val="auto"/>
                <w:sz w:val="21"/>
                <w:szCs w:val="21"/>
                <w:highlight w:val="none"/>
              </w:rPr>
              <w:t xml:space="preserve"> 大气污染物综合排放标准  单位：mg/m</w:t>
            </w:r>
            <w:r>
              <w:rPr>
                <w:rFonts w:hint="default" w:ascii="Times New Roman" w:hAnsi="Times New Roman" w:eastAsia="仿宋" w:cs="Times New Roman"/>
                <w:b/>
                <w:color w:val="auto"/>
                <w:sz w:val="21"/>
                <w:szCs w:val="21"/>
                <w:highlight w:val="none"/>
                <w:vertAlign w:val="superscript"/>
              </w:rPr>
              <w:t>3</w:t>
            </w:r>
          </w:p>
          <w:tbl>
            <w:tblPr>
              <w:tblStyle w:val="10"/>
              <w:tblW w:w="48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00"/>
              <w:gridCol w:w="3800"/>
            </w:tblGrid>
            <w:tr w14:paraId="47D25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499" w:type="pct"/>
                  <w:noWrap w:val="0"/>
                  <w:vAlign w:val="center"/>
                </w:tcPr>
                <w:p w14:paraId="5C9F1A4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项目</w:t>
                  </w:r>
                </w:p>
              </w:tc>
              <w:tc>
                <w:tcPr>
                  <w:tcW w:w="2500" w:type="pct"/>
                  <w:noWrap w:val="0"/>
                  <w:vAlign w:val="center"/>
                </w:tcPr>
                <w:p w14:paraId="27C62D8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颗粒物</w:t>
                  </w:r>
                </w:p>
              </w:tc>
            </w:tr>
            <w:tr w14:paraId="066CD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499" w:type="pct"/>
                  <w:noWrap w:val="0"/>
                  <w:vAlign w:val="center"/>
                </w:tcPr>
                <w:p w14:paraId="0986797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无组织排放监控浓度限值</w:t>
                  </w:r>
                </w:p>
              </w:tc>
              <w:tc>
                <w:tcPr>
                  <w:tcW w:w="2500" w:type="pct"/>
                  <w:noWrap w:val="0"/>
                  <w:vAlign w:val="center"/>
                </w:tcPr>
                <w:p w14:paraId="7447BCE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w:t>
                  </w:r>
                </w:p>
              </w:tc>
            </w:tr>
          </w:tbl>
          <w:p w14:paraId="5ACEC59A">
            <w:pPr>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color w:val="auto"/>
                <w:kern w:val="0"/>
                <w:sz w:val="21"/>
                <w:szCs w:val="21"/>
                <w:highlight w:val="none"/>
              </w:rPr>
            </w:pPr>
          </w:p>
          <w:p w14:paraId="7E88336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（2）运营期</w:t>
            </w:r>
          </w:p>
          <w:p w14:paraId="4975D8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本项目为光伏发电项目，运营期无生产废气产生，不设置废气排放标准。</w:t>
            </w:r>
          </w:p>
          <w:p w14:paraId="1B803F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3.8.2</w:t>
            </w:r>
            <w:r>
              <w:rPr>
                <w:rFonts w:hint="default" w:ascii="Times New Roman" w:hAnsi="Times New Roman" w:eastAsia="仿宋" w:cs="Times New Roman"/>
                <w:b/>
                <w:color w:val="auto"/>
                <w:sz w:val="24"/>
                <w:szCs w:val="24"/>
                <w:highlight w:val="none"/>
              </w:rPr>
              <w:t>废水排放标准</w:t>
            </w:r>
          </w:p>
          <w:p w14:paraId="01DFD13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（1）施工期</w:t>
            </w:r>
          </w:p>
          <w:p w14:paraId="7A54E5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施工期产生的废水主要为设备清洗废水、施工人员生活污水及雨天地表径流。设备清洗废水经沉淀池收集后用于场地洒水降尘及施工用水，不外排；生活污水经租用房屋自带化粪池预处理后</w:t>
            </w:r>
            <w:r>
              <w:rPr>
                <w:rFonts w:hint="default" w:ascii="Times New Roman" w:hAnsi="Times New Roman" w:eastAsia="仿宋" w:cs="Times New Roman"/>
                <w:color w:val="auto"/>
                <w:sz w:val="24"/>
                <w:szCs w:val="24"/>
                <w:highlight w:val="none"/>
                <w:lang w:val="en-US" w:eastAsia="zh-CN"/>
              </w:rPr>
              <w:t>定期清掏用作周边农田农肥</w:t>
            </w:r>
            <w:r>
              <w:rPr>
                <w:rFonts w:hint="default" w:ascii="Times New Roman" w:hAnsi="Times New Roman" w:eastAsia="仿宋" w:cs="Times New Roman"/>
                <w:color w:val="auto"/>
                <w:sz w:val="24"/>
                <w:szCs w:val="24"/>
                <w:highlight w:val="none"/>
              </w:rPr>
              <w:t>；雨天地表径流经</w:t>
            </w:r>
            <w:r>
              <w:rPr>
                <w:rFonts w:hint="default" w:ascii="Times New Roman" w:hAnsi="Times New Roman" w:eastAsia="仿宋" w:cs="Times New Roman"/>
                <w:color w:val="auto"/>
                <w:sz w:val="24"/>
                <w:szCs w:val="24"/>
                <w:highlight w:val="none"/>
                <w:lang w:val="en-US" w:eastAsia="zh-CN"/>
              </w:rPr>
              <w:t>沉砂</w:t>
            </w:r>
            <w:r>
              <w:rPr>
                <w:rFonts w:hint="default" w:ascii="Times New Roman" w:hAnsi="Times New Roman" w:eastAsia="仿宋" w:cs="Times New Roman"/>
                <w:color w:val="auto"/>
                <w:sz w:val="24"/>
                <w:szCs w:val="24"/>
                <w:highlight w:val="none"/>
              </w:rPr>
              <w:t>池收集沉淀后回用于项目区道路洒水降尘，不外排。故不设废水排放标准。</w:t>
            </w:r>
          </w:p>
          <w:p w14:paraId="74668A9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（2）运营期</w:t>
            </w:r>
          </w:p>
          <w:p w14:paraId="444EC12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仿宋" w:cs="Times New Roman"/>
                <w:color w:val="auto"/>
                <w:kern w:val="0"/>
                <w:sz w:val="24"/>
                <w:highlight w:val="none"/>
              </w:rPr>
            </w:pPr>
            <w:r>
              <w:rPr>
                <w:rFonts w:hint="default" w:ascii="Times New Roman" w:hAnsi="Times New Roman" w:eastAsia="仿宋" w:cs="Times New Roman"/>
                <w:color w:val="auto"/>
                <w:sz w:val="24"/>
                <w:szCs w:val="24"/>
                <w:highlight w:val="none"/>
                <w:lang w:val="en-US" w:eastAsia="zh-CN"/>
              </w:rPr>
              <w:t>运营期废水主要为光伏板清洗废水和升压站生活污水，项目运营期光伏板清洗不使用清洁剂，仅用清水进行清洗，光伏板清洗废水直接用于光伏板区底层林草浇灌消耗。</w:t>
            </w:r>
            <w:r>
              <w:rPr>
                <w:rFonts w:hint="default" w:ascii="Times New Roman" w:hAnsi="Times New Roman" w:eastAsia="仿宋" w:cs="Times New Roman"/>
                <w:color w:val="auto"/>
                <w:sz w:val="24"/>
                <w:highlight w:val="none"/>
              </w:rPr>
              <w:t>运营期工作人员生活污水经隔油池、化粪池预处理后，进入一体化污水处理设施</w:t>
            </w:r>
            <w:r>
              <w:rPr>
                <w:rFonts w:hint="eastAsia" w:cs="Times New Roman"/>
                <w:color w:val="auto"/>
                <w:sz w:val="24"/>
                <w:highlight w:val="none"/>
                <w:lang w:eastAsia="zh-CN"/>
              </w:rPr>
              <w:t>处理达到《城市污水</w:t>
            </w:r>
            <w:r>
              <w:rPr>
                <w:rFonts w:hint="default" w:ascii="Times New Roman" w:hAnsi="Times New Roman" w:eastAsia="仿宋" w:cs="Times New Roman"/>
                <w:color w:val="auto"/>
                <w:sz w:val="24"/>
                <w:highlight w:val="none"/>
              </w:rPr>
              <w:t>再生利用 城市杂用水水质》（GB/T18920-2020）中绿化标准后（见表3</w:t>
            </w:r>
            <w:r>
              <w:rPr>
                <w:rFonts w:hint="eastAsia" w:cs="Times New Roman"/>
                <w:color w:val="auto"/>
                <w:sz w:val="24"/>
                <w:highlight w:val="none"/>
                <w:lang w:val="en-US" w:eastAsia="zh-CN"/>
              </w:rPr>
              <w:t>.8-2</w:t>
            </w:r>
            <w:r>
              <w:rPr>
                <w:rFonts w:hint="default" w:ascii="Times New Roman" w:hAnsi="Times New Roman" w:eastAsia="仿宋" w:cs="Times New Roman"/>
                <w:color w:val="auto"/>
                <w:sz w:val="24"/>
                <w:highlight w:val="none"/>
              </w:rPr>
              <w:t>），回用于场区及周边绿化，不外排</w:t>
            </w:r>
            <w:r>
              <w:rPr>
                <w:rFonts w:hint="default" w:ascii="Times New Roman" w:hAnsi="Times New Roman" w:eastAsia="仿宋" w:cs="Times New Roman"/>
                <w:color w:val="auto"/>
                <w:kern w:val="0"/>
                <w:sz w:val="24"/>
                <w:highlight w:val="none"/>
              </w:rPr>
              <w:t>。</w:t>
            </w:r>
          </w:p>
          <w:p w14:paraId="4C48E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仿宋" w:cs="Times New Roman"/>
                <w:b/>
                <w:color w:val="auto"/>
                <w:szCs w:val="21"/>
                <w:highlight w:val="none"/>
              </w:rPr>
            </w:pPr>
            <w:r>
              <w:rPr>
                <w:rFonts w:hint="default"/>
                <w:color w:val="auto"/>
                <w:sz w:val="21"/>
                <w:szCs w:val="21"/>
                <w:highlight w:val="none"/>
              </w:rPr>
              <w:t>表</w:t>
            </w:r>
            <w:r>
              <w:rPr>
                <w:rFonts w:hint="eastAsia"/>
                <w:color w:val="auto"/>
                <w:sz w:val="21"/>
                <w:szCs w:val="21"/>
                <w:highlight w:val="none"/>
                <w:lang w:val="en-US" w:eastAsia="zh-CN"/>
              </w:rPr>
              <w:t>3.8-2</w:t>
            </w:r>
            <w:r>
              <w:rPr>
                <w:rFonts w:hint="default"/>
                <w:color w:val="auto"/>
                <w:sz w:val="21"/>
                <w:szCs w:val="21"/>
                <w:highlight w:val="none"/>
              </w:rPr>
              <w:t xml:space="preserve"> 《城市污水再生利用 城市杂用水水质》标准</w:t>
            </w:r>
          </w:p>
          <w:tbl>
            <w:tblPr>
              <w:tblStyle w:val="10"/>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3299"/>
              <w:gridCol w:w="1709"/>
              <w:gridCol w:w="2125"/>
            </w:tblGrid>
            <w:tr w14:paraId="20CA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307" w:type="pct"/>
                  <w:noWrap/>
                  <w:vAlign w:val="center"/>
                </w:tcPr>
                <w:p w14:paraId="641A937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序号</w:t>
                  </w:r>
                </w:p>
              </w:tc>
              <w:tc>
                <w:tcPr>
                  <w:tcW w:w="2170" w:type="pct"/>
                  <w:tcBorders>
                    <w:tl2br w:val="single" w:color="auto" w:sz="4" w:space="0"/>
                  </w:tcBorders>
                  <w:noWrap/>
                  <w:vAlign w:val="center"/>
                </w:tcPr>
                <w:p w14:paraId="7595AB8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 xml:space="preserve">          项目</w:t>
                  </w:r>
                </w:p>
                <w:p w14:paraId="0D434F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指标</w:t>
                  </w:r>
                </w:p>
              </w:tc>
              <w:tc>
                <w:tcPr>
                  <w:tcW w:w="1124" w:type="pct"/>
                  <w:noWrap/>
                  <w:vAlign w:val="center"/>
                </w:tcPr>
                <w:p w14:paraId="0C3B3CE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冲厕、车辆冲洗</w:t>
                  </w:r>
                </w:p>
              </w:tc>
              <w:tc>
                <w:tcPr>
                  <w:tcW w:w="1397" w:type="pct"/>
                  <w:noWrap/>
                  <w:vAlign w:val="center"/>
                </w:tcPr>
                <w:p w14:paraId="122DA3E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城市绿化、道路清扫、消防、建筑施工</w:t>
                  </w:r>
                </w:p>
              </w:tc>
            </w:tr>
            <w:tr w14:paraId="0433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23F9B7A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w:t>
                  </w:r>
                </w:p>
              </w:tc>
              <w:tc>
                <w:tcPr>
                  <w:tcW w:w="2170" w:type="pct"/>
                  <w:noWrap/>
                  <w:vAlign w:val="center"/>
                </w:tcPr>
                <w:p w14:paraId="7B0E793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pH</w:t>
                  </w:r>
                </w:p>
              </w:tc>
              <w:tc>
                <w:tcPr>
                  <w:tcW w:w="1124" w:type="pct"/>
                  <w:noWrap/>
                  <w:vAlign w:val="center"/>
                </w:tcPr>
                <w:p w14:paraId="60D6544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6.0</w:t>
                  </w:r>
                  <w:r>
                    <w:rPr>
                      <w:rFonts w:hint="eastAsia" w:cs="Times New Roman"/>
                      <w:color w:val="auto"/>
                      <w:spacing w:val="-2"/>
                      <w:sz w:val="21"/>
                      <w:szCs w:val="21"/>
                      <w:highlight w:val="none"/>
                      <w:lang w:val="en-US" w:eastAsia="zh-CN"/>
                    </w:rPr>
                    <w:t>~</w:t>
                  </w:r>
                  <w:r>
                    <w:rPr>
                      <w:rFonts w:hint="default" w:ascii="Times New Roman" w:hAnsi="Times New Roman" w:eastAsia="仿宋" w:cs="Times New Roman"/>
                      <w:color w:val="auto"/>
                      <w:spacing w:val="-2"/>
                      <w:sz w:val="21"/>
                      <w:szCs w:val="21"/>
                      <w:highlight w:val="none"/>
                      <w:lang w:val="en-US" w:eastAsia="zh-CN"/>
                    </w:rPr>
                    <w:t>9.0</w:t>
                  </w:r>
                </w:p>
              </w:tc>
              <w:tc>
                <w:tcPr>
                  <w:tcW w:w="1397" w:type="pct"/>
                  <w:noWrap w:val="0"/>
                  <w:vAlign w:val="center"/>
                </w:tcPr>
                <w:p w14:paraId="039B7DD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6.0</w:t>
                  </w:r>
                  <w:r>
                    <w:rPr>
                      <w:rFonts w:hint="eastAsia" w:cs="Times New Roman"/>
                      <w:color w:val="auto"/>
                      <w:spacing w:val="-2"/>
                      <w:sz w:val="21"/>
                      <w:szCs w:val="21"/>
                      <w:highlight w:val="none"/>
                      <w:lang w:val="en-US" w:eastAsia="zh-CN"/>
                    </w:rPr>
                    <w:t>~</w:t>
                  </w:r>
                  <w:r>
                    <w:rPr>
                      <w:rFonts w:hint="default" w:ascii="Times New Roman" w:hAnsi="Times New Roman" w:eastAsia="仿宋" w:cs="Times New Roman"/>
                      <w:color w:val="auto"/>
                      <w:spacing w:val="-2"/>
                      <w:sz w:val="21"/>
                      <w:szCs w:val="21"/>
                      <w:highlight w:val="none"/>
                      <w:lang w:val="en-US" w:eastAsia="zh-CN"/>
                    </w:rPr>
                    <w:t>9.0</w:t>
                  </w:r>
                </w:p>
              </w:tc>
            </w:tr>
            <w:tr w14:paraId="729B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65867B8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w:t>
                  </w:r>
                </w:p>
              </w:tc>
              <w:tc>
                <w:tcPr>
                  <w:tcW w:w="2170" w:type="pct"/>
                  <w:noWrap/>
                  <w:vAlign w:val="center"/>
                </w:tcPr>
                <w:p w14:paraId="03BE8E0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色（度）                   ≤</w:t>
                  </w:r>
                </w:p>
              </w:tc>
              <w:tc>
                <w:tcPr>
                  <w:tcW w:w="1124" w:type="pct"/>
                  <w:noWrap/>
                  <w:vAlign w:val="center"/>
                </w:tcPr>
                <w:p w14:paraId="51FE2CF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15</w:t>
                  </w:r>
                </w:p>
              </w:tc>
              <w:tc>
                <w:tcPr>
                  <w:tcW w:w="1397" w:type="pct"/>
                  <w:noWrap w:val="0"/>
                  <w:vAlign w:val="center"/>
                </w:tcPr>
                <w:p w14:paraId="4409CFF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30</w:t>
                  </w:r>
                </w:p>
              </w:tc>
            </w:tr>
            <w:tr w14:paraId="3143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5DD8F0E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3</w:t>
                  </w:r>
                </w:p>
              </w:tc>
              <w:tc>
                <w:tcPr>
                  <w:tcW w:w="2170" w:type="pct"/>
                  <w:noWrap/>
                  <w:vAlign w:val="center"/>
                </w:tcPr>
                <w:p w14:paraId="71DC0B8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嗅</w:t>
                  </w:r>
                </w:p>
              </w:tc>
              <w:tc>
                <w:tcPr>
                  <w:tcW w:w="1124" w:type="pct"/>
                  <w:noWrap/>
                  <w:vAlign w:val="center"/>
                </w:tcPr>
                <w:p w14:paraId="5112E86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无不快感</w:t>
                  </w:r>
                </w:p>
              </w:tc>
              <w:tc>
                <w:tcPr>
                  <w:tcW w:w="1397" w:type="pct"/>
                  <w:noWrap w:val="0"/>
                  <w:vAlign w:val="center"/>
                </w:tcPr>
                <w:p w14:paraId="300BD54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无不快感</w:t>
                  </w:r>
                </w:p>
              </w:tc>
            </w:tr>
            <w:tr w14:paraId="3415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1CBE33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w:t>
                  </w:r>
                </w:p>
              </w:tc>
              <w:tc>
                <w:tcPr>
                  <w:tcW w:w="2170" w:type="pct"/>
                  <w:noWrap/>
                  <w:vAlign w:val="center"/>
                </w:tcPr>
                <w:p w14:paraId="65BA949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浊度（NTU）                ≤</w:t>
                  </w:r>
                </w:p>
              </w:tc>
              <w:tc>
                <w:tcPr>
                  <w:tcW w:w="1124" w:type="pct"/>
                  <w:noWrap/>
                  <w:vAlign w:val="center"/>
                </w:tcPr>
                <w:p w14:paraId="3AE01EC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w:t>
                  </w:r>
                </w:p>
              </w:tc>
              <w:tc>
                <w:tcPr>
                  <w:tcW w:w="1397" w:type="pct"/>
                  <w:noWrap/>
                  <w:vAlign w:val="center"/>
                </w:tcPr>
                <w:p w14:paraId="367D081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w:t>
                  </w:r>
                </w:p>
              </w:tc>
            </w:tr>
            <w:tr w14:paraId="76C7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1A3CCAF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w:t>
                  </w:r>
                </w:p>
              </w:tc>
              <w:tc>
                <w:tcPr>
                  <w:tcW w:w="2170" w:type="pct"/>
                  <w:noWrap/>
                  <w:vAlign w:val="center"/>
                </w:tcPr>
                <w:p w14:paraId="113847E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五日生化需氧量BOD5（mg/L） ≤</w:t>
                  </w:r>
                </w:p>
              </w:tc>
              <w:tc>
                <w:tcPr>
                  <w:tcW w:w="1124" w:type="pct"/>
                  <w:noWrap/>
                  <w:vAlign w:val="center"/>
                </w:tcPr>
                <w:p w14:paraId="4D7BD6C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w:t>
                  </w:r>
                </w:p>
              </w:tc>
              <w:tc>
                <w:tcPr>
                  <w:tcW w:w="1397" w:type="pct"/>
                  <w:noWrap/>
                  <w:vAlign w:val="center"/>
                </w:tcPr>
                <w:p w14:paraId="72DC459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w:t>
                  </w:r>
                </w:p>
              </w:tc>
            </w:tr>
            <w:tr w14:paraId="0CF8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757EEB8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6</w:t>
                  </w:r>
                </w:p>
              </w:tc>
              <w:tc>
                <w:tcPr>
                  <w:tcW w:w="2170" w:type="pct"/>
                  <w:noWrap/>
                  <w:vAlign w:val="center"/>
                </w:tcPr>
                <w:p w14:paraId="3BAA805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氨氮（mg/L）                ≤</w:t>
                  </w:r>
                </w:p>
              </w:tc>
              <w:tc>
                <w:tcPr>
                  <w:tcW w:w="1124" w:type="pct"/>
                  <w:noWrap/>
                  <w:vAlign w:val="center"/>
                </w:tcPr>
                <w:p w14:paraId="3CD3408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w:t>
                  </w:r>
                </w:p>
              </w:tc>
              <w:tc>
                <w:tcPr>
                  <w:tcW w:w="1397" w:type="pct"/>
                  <w:noWrap/>
                  <w:vAlign w:val="center"/>
                </w:tcPr>
                <w:p w14:paraId="7A05CF5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8</w:t>
                  </w:r>
                </w:p>
              </w:tc>
            </w:tr>
            <w:tr w14:paraId="7A04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7FE365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7</w:t>
                  </w:r>
                </w:p>
              </w:tc>
              <w:tc>
                <w:tcPr>
                  <w:tcW w:w="2170" w:type="pct"/>
                  <w:noWrap/>
                  <w:vAlign w:val="center"/>
                </w:tcPr>
                <w:p w14:paraId="6C5DEB3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阴离子表面活性（mg/L）      ≤</w:t>
                  </w:r>
                </w:p>
              </w:tc>
              <w:tc>
                <w:tcPr>
                  <w:tcW w:w="1124" w:type="pct"/>
                  <w:noWrap/>
                  <w:vAlign w:val="center"/>
                </w:tcPr>
                <w:p w14:paraId="54AE5E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0.5</w:t>
                  </w:r>
                </w:p>
              </w:tc>
              <w:tc>
                <w:tcPr>
                  <w:tcW w:w="1397" w:type="pct"/>
                  <w:noWrap/>
                  <w:vAlign w:val="center"/>
                </w:tcPr>
                <w:p w14:paraId="6BF4792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0.5</w:t>
                  </w:r>
                </w:p>
              </w:tc>
            </w:tr>
            <w:tr w14:paraId="4F7C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26F325A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8</w:t>
                  </w:r>
                </w:p>
              </w:tc>
              <w:tc>
                <w:tcPr>
                  <w:tcW w:w="2170" w:type="pct"/>
                  <w:noWrap/>
                  <w:vAlign w:val="center"/>
                </w:tcPr>
                <w:p w14:paraId="243DFEE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铁（mg/L）                  ≤</w:t>
                  </w:r>
                </w:p>
              </w:tc>
              <w:tc>
                <w:tcPr>
                  <w:tcW w:w="1124" w:type="pct"/>
                  <w:noWrap/>
                  <w:vAlign w:val="center"/>
                </w:tcPr>
                <w:p w14:paraId="22FA6EB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0.3</w:t>
                  </w:r>
                </w:p>
              </w:tc>
              <w:tc>
                <w:tcPr>
                  <w:tcW w:w="1397" w:type="pct"/>
                  <w:noWrap/>
                  <w:vAlign w:val="center"/>
                </w:tcPr>
                <w:p w14:paraId="03E2092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w:t>
                  </w:r>
                </w:p>
              </w:tc>
            </w:tr>
            <w:tr w14:paraId="3BC3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7A371AC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9</w:t>
                  </w:r>
                </w:p>
              </w:tc>
              <w:tc>
                <w:tcPr>
                  <w:tcW w:w="2170" w:type="pct"/>
                  <w:noWrap/>
                  <w:vAlign w:val="center"/>
                </w:tcPr>
                <w:p w14:paraId="1B6FB5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锰（mg/L）                  ≤</w:t>
                  </w:r>
                </w:p>
              </w:tc>
              <w:tc>
                <w:tcPr>
                  <w:tcW w:w="1124" w:type="pct"/>
                  <w:noWrap/>
                  <w:vAlign w:val="center"/>
                </w:tcPr>
                <w:p w14:paraId="0B7E2F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0.1</w:t>
                  </w:r>
                </w:p>
              </w:tc>
              <w:tc>
                <w:tcPr>
                  <w:tcW w:w="1397" w:type="pct"/>
                  <w:noWrap/>
                  <w:vAlign w:val="center"/>
                </w:tcPr>
                <w:p w14:paraId="3E3E625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w:t>
                  </w:r>
                </w:p>
              </w:tc>
            </w:tr>
            <w:tr w14:paraId="5473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3A6598F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w:t>
                  </w:r>
                </w:p>
              </w:tc>
              <w:tc>
                <w:tcPr>
                  <w:tcW w:w="2170" w:type="pct"/>
                  <w:noWrap/>
                  <w:vAlign w:val="center"/>
                </w:tcPr>
                <w:p w14:paraId="23921DF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溶解性总固体（mg/L）        ≤</w:t>
                  </w:r>
                </w:p>
              </w:tc>
              <w:tc>
                <w:tcPr>
                  <w:tcW w:w="1124" w:type="pct"/>
                  <w:noWrap/>
                  <w:vAlign w:val="center"/>
                </w:tcPr>
                <w:p w14:paraId="4C9801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1000(2000)a</w:t>
                  </w:r>
                </w:p>
              </w:tc>
              <w:tc>
                <w:tcPr>
                  <w:tcW w:w="1397" w:type="pct"/>
                  <w:noWrap/>
                  <w:vAlign w:val="center"/>
                </w:tcPr>
                <w:p w14:paraId="5801206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1000(2000)a</w:t>
                  </w:r>
                </w:p>
              </w:tc>
            </w:tr>
            <w:tr w14:paraId="767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2B78AD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11</w:t>
                  </w:r>
                </w:p>
              </w:tc>
              <w:tc>
                <w:tcPr>
                  <w:tcW w:w="2170" w:type="pct"/>
                  <w:noWrap/>
                  <w:vAlign w:val="center"/>
                </w:tcPr>
                <w:p w14:paraId="73FE730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溶解氧（mg/L）               ≥</w:t>
                  </w:r>
                </w:p>
              </w:tc>
              <w:tc>
                <w:tcPr>
                  <w:tcW w:w="1124" w:type="pct"/>
                  <w:noWrap/>
                  <w:vAlign w:val="center"/>
                </w:tcPr>
                <w:p w14:paraId="68A348B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2.0</w:t>
                  </w:r>
                </w:p>
              </w:tc>
              <w:tc>
                <w:tcPr>
                  <w:tcW w:w="1397" w:type="pct"/>
                  <w:noWrap/>
                  <w:vAlign w:val="center"/>
                </w:tcPr>
                <w:p w14:paraId="503940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2.0</w:t>
                  </w:r>
                </w:p>
              </w:tc>
            </w:tr>
            <w:tr w14:paraId="799E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42C8ED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12</w:t>
                  </w:r>
                </w:p>
              </w:tc>
              <w:tc>
                <w:tcPr>
                  <w:tcW w:w="2170" w:type="pct"/>
                  <w:noWrap/>
                  <w:vAlign w:val="center"/>
                </w:tcPr>
                <w:p w14:paraId="1AFCF85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总氯（mg/L）</w:t>
                  </w:r>
                </w:p>
              </w:tc>
              <w:tc>
                <w:tcPr>
                  <w:tcW w:w="1124" w:type="pct"/>
                  <w:noWrap/>
                  <w:vAlign w:val="center"/>
                </w:tcPr>
                <w:p w14:paraId="781C4F6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1.0（出厂），0.2（管网末端）</w:t>
                  </w:r>
                </w:p>
              </w:tc>
              <w:tc>
                <w:tcPr>
                  <w:tcW w:w="1397" w:type="pct"/>
                  <w:noWrap w:val="0"/>
                  <w:vAlign w:val="center"/>
                </w:tcPr>
                <w:p w14:paraId="4653A1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1.0（出厂），0.2b（管网末端）</w:t>
                  </w:r>
                </w:p>
              </w:tc>
            </w:tr>
            <w:tr w14:paraId="0221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7" w:type="pct"/>
                  <w:noWrap/>
                  <w:vAlign w:val="center"/>
                </w:tcPr>
                <w:p w14:paraId="28F8E88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13</w:t>
                  </w:r>
                </w:p>
              </w:tc>
              <w:tc>
                <w:tcPr>
                  <w:tcW w:w="2170" w:type="pct"/>
                  <w:noWrap/>
                  <w:vAlign w:val="center"/>
                </w:tcPr>
                <w:p w14:paraId="79B4D4B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大肠埃希氏菌（MPN/100mL或CFU/100mL）</w:t>
                  </w:r>
                </w:p>
              </w:tc>
              <w:tc>
                <w:tcPr>
                  <w:tcW w:w="1124" w:type="pct"/>
                  <w:noWrap/>
                  <w:vAlign w:val="center"/>
                </w:tcPr>
                <w:p w14:paraId="53C0953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无c</w:t>
                  </w:r>
                </w:p>
              </w:tc>
              <w:tc>
                <w:tcPr>
                  <w:tcW w:w="1397" w:type="pct"/>
                  <w:noWrap w:val="0"/>
                  <w:vAlign w:val="center"/>
                </w:tcPr>
                <w:p w14:paraId="4D18928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无c</w:t>
                  </w:r>
                </w:p>
              </w:tc>
            </w:tr>
            <w:tr w14:paraId="59FA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000" w:type="pct"/>
                  <w:gridSpan w:val="4"/>
                  <w:noWrap/>
                  <w:vAlign w:val="center"/>
                </w:tcPr>
                <w:p w14:paraId="2937C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注：“—”表示对此项无要求</w:t>
                  </w:r>
                </w:p>
              </w:tc>
            </w:tr>
            <w:tr w14:paraId="0B97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5000" w:type="pct"/>
                  <w:gridSpan w:val="4"/>
                  <w:noWrap/>
                  <w:vAlign w:val="center"/>
                </w:tcPr>
                <w:p w14:paraId="41CAAF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vertAlign w:val="superscript"/>
                    </w:rPr>
                    <w:t>a</w:t>
                  </w:r>
                  <w:r>
                    <w:rPr>
                      <w:rFonts w:hint="default" w:ascii="Times New Roman" w:hAnsi="Times New Roman" w:eastAsia="仿宋" w:cs="Times New Roman"/>
                      <w:color w:val="auto"/>
                      <w:sz w:val="21"/>
                      <w:szCs w:val="21"/>
                      <w:highlight w:val="none"/>
                    </w:rPr>
                    <w:t xml:space="preserve"> 括号内指标为沿海及本地水源中溶解性固体含量较高的区域的指标。</w:t>
                  </w:r>
                </w:p>
                <w:p w14:paraId="2F78BB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vertAlign w:val="superscript"/>
                    </w:rPr>
                    <w:t>b</w:t>
                  </w:r>
                  <w:r>
                    <w:rPr>
                      <w:rFonts w:hint="default" w:ascii="Times New Roman" w:hAnsi="Times New Roman" w:eastAsia="仿宋" w:cs="Times New Roman"/>
                      <w:color w:val="auto"/>
                      <w:sz w:val="21"/>
                      <w:szCs w:val="21"/>
                      <w:highlight w:val="none"/>
                    </w:rPr>
                    <w:t xml:space="preserve"> 用于城市绿化时，不应超过2.5mg/L。</w:t>
                  </w:r>
                </w:p>
                <w:p w14:paraId="699CDE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left"/>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vertAlign w:val="superscript"/>
                    </w:rPr>
                    <w:t xml:space="preserve">c </w:t>
                  </w:r>
                  <w:r>
                    <w:rPr>
                      <w:rFonts w:hint="default" w:ascii="Times New Roman" w:hAnsi="Times New Roman" w:eastAsia="仿宋" w:cs="Times New Roman"/>
                      <w:color w:val="auto"/>
                      <w:sz w:val="21"/>
                      <w:szCs w:val="21"/>
                      <w:highlight w:val="none"/>
                    </w:rPr>
                    <w:t>大肠埃希氏菌不应检出。</w:t>
                  </w:r>
                </w:p>
              </w:tc>
            </w:tr>
          </w:tbl>
          <w:p w14:paraId="52171F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auto"/>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 xml:space="preserve">3.8.3 </w:t>
            </w:r>
            <w:r>
              <w:rPr>
                <w:rFonts w:hint="default" w:ascii="Times New Roman" w:hAnsi="Times New Roman" w:eastAsia="仿宋" w:cs="Times New Roman"/>
                <w:b/>
                <w:color w:val="auto"/>
                <w:sz w:val="24"/>
                <w:szCs w:val="24"/>
                <w:highlight w:val="none"/>
              </w:rPr>
              <w:t>噪声排放标准</w:t>
            </w:r>
          </w:p>
          <w:p w14:paraId="003FEAA7">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施工期</w:t>
            </w:r>
          </w:p>
          <w:p w14:paraId="0B8D67AC">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项目施工期噪声执行《</w:t>
            </w:r>
            <w:r>
              <w:rPr>
                <w:rFonts w:hint="eastAsia" w:cs="Times New Roman"/>
                <w:bCs/>
                <w:color w:val="auto"/>
                <w:spacing w:val="8"/>
                <w:sz w:val="24"/>
                <w:szCs w:val="24"/>
                <w:highlight w:val="none"/>
                <w:lang w:eastAsia="zh-CN"/>
              </w:rPr>
              <w:t>建筑施工噪声排放标准</w:t>
            </w:r>
            <w:r>
              <w:rPr>
                <w:rFonts w:hint="default" w:ascii="Times New Roman" w:hAnsi="Times New Roman" w:eastAsia="仿宋" w:cs="Times New Roman"/>
                <w:color w:val="auto"/>
                <w:sz w:val="24"/>
                <w:szCs w:val="24"/>
                <w:highlight w:val="none"/>
              </w:rPr>
              <w:t>》（GB12523-20</w:t>
            </w:r>
            <w:r>
              <w:rPr>
                <w:rFonts w:hint="default" w:ascii="Times New Roman" w:hAnsi="Times New Roman" w:eastAsia="仿宋" w:cs="Times New Roman"/>
                <w:color w:val="auto"/>
                <w:sz w:val="24"/>
                <w:szCs w:val="24"/>
                <w:highlight w:val="none"/>
                <w:lang w:val="en-US" w:eastAsia="zh-CN"/>
              </w:rPr>
              <w:t>25</w:t>
            </w:r>
            <w:r>
              <w:rPr>
                <w:rFonts w:hint="default" w:ascii="Times New Roman" w:hAnsi="Times New Roman" w:eastAsia="仿宋" w:cs="Times New Roman"/>
                <w:color w:val="auto"/>
                <w:sz w:val="24"/>
                <w:szCs w:val="24"/>
                <w:highlight w:val="none"/>
              </w:rPr>
              <w:t>），标准值如</w:t>
            </w:r>
            <w:r>
              <w:rPr>
                <w:rFonts w:hint="default" w:ascii="Times New Roman" w:hAnsi="Times New Roman" w:eastAsia="仿宋" w:cs="Times New Roman"/>
                <w:color w:val="auto"/>
                <w:sz w:val="24"/>
                <w:szCs w:val="24"/>
                <w:highlight w:val="none"/>
                <w:lang w:val="en-US" w:eastAsia="zh-CN"/>
              </w:rPr>
              <w:t>下</w:t>
            </w:r>
            <w:r>
              <w:rPr>
                <w:rFonts w:hint="default" w:ascii="Times New Roman" w:hAnsi="Times New Roman" w:eastAsia="仿宋" w:cs="Times New Roman"/>
                <w:color w:val="auto"/>
                <w:sz w:val="24"/>
                <w:szCs w:val="24"/>
                <w:highlight w:val="none"/>
              </w:rPr>
              <w:t>表</w:t>
            </w:r>
            <w:r>
              <w:rPr>
                <w:rFonts w:hint="default" w:ascii="Times New Roman" w:hAnsi="Times New Roman" w:eastAsia="仿宋" w:cs="Times New Roman"/>
                <w:color w:val="auto"/>
                <w:sz w:val="24"/>
                <w:szCs w:val="24"/>
                <w:highlight w:val="none"/>
                <w:lang w:val="en-US" w:eastAsia="zh-CN"/>
              </w:rPr>
              <w:t>。</w:t>
            </w:r>
          </w:p>
          <w:p w14:paraId="79947460">
            <w:pPr>
              <w:keepNext w:val="0"/>
              <w:keepLines w:val="0"/>
              <w:suppressLineNumbers w:val="0"/>
              <w:snapToGrid w:val="0"/>
              <w:spacing w:before="0" w:beforeAutospacing="0" w:after="0" w:afterAutospacing="0"/>
              <w:ind w:left="0" w:right="0"/>
              <w:jc w:val="center"/>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3.8-3</w:t>
            </w:r>
            <w:r>
              <w:rPr>
                <w:rFonts w:hint="default" w:ascii="Times New Roman" w:hAnsi="Times New Roman" w:eastAsia="仿宋" w:cs="Times New Roman"/>
                <w:b/>
                <w:color w:val="auto"/>
                <w:sz w:val="21"/>
                <w:szCs w:val="21"/>
                <w:highlight w:val="none"/>
              </w:rPr>
              <w:t xml:space="preserve"> </w:t>
            </w:r>
            <w:r>
              <w:rPr>
                <w:rFonts w:hint="default" w:ascii="Times New Roman" w:hAnsi="Times New Roman" w:eastAsia="仿宋" w:cs="Times New Roman"/>
                <w:b/>
                <w:color w:val="auto"/>
                <w:sz w:val="21"/>
                <w:szCs w:val="21"/>
                <w:highlight w:val="none"/>
                <w:lang w:val="en-US" w:eastAsia="zh-CN"/>
              </w:rPr>
              <w:t xml:space="preserve"> </w:t>
            </w:r>
            <w:r>
              <w:rPr>
                <w:rFonts w:hint="default" w:ascii="Times New Roman" w:hAnsi="Times New Roman" w:eastAsia="仿宋" w:cs="Times New Roman"/>
                <w:b/>
                <w:color w:val="auto"/>
                <w:sz w:val="21"/>
                <w:szCs w:val="21"/>
                <w:highlight w:val="none"/>
              </w:rPr>
              <w:t>《建筑施工噪声排放标准》   单位：dB（A）</w:t>
            </w:r>
          </w:p>
          <w:tbl>
            <w:tblPr>
              <w:tblStyle w:val="10"/>
              <w:tblW w:w="485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692"/>
              <w:gridCol w:w="3912"/>
            </w:tblGrid>
            <w:tr w14:paraId="3DBE5E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 w:hRule="atLeast"/>
                <w:jc w:val="center"/>
              </w:trPr>
              <w:tc>
                <w:tcPr>
                  <w:tcW w:w="2427" w:type="pct"/>
                  <w:noWrap w:val="0"/>
                  <w:vAlign w:val="center"/>
                </w:tcPr>
                <w:p w14:paraId="6385A2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昼间</w:t>
                  </w:r>
                </w:p>
              </w:tc>
              <w:tc>
                <w:tcPr>
                  <w:tcW w:w="2572" w:type="pct"/>
                  <w:noWrap w:val="0"/>
                  <w:vAlign w:val="center"/>
                </w:tcPr>
                <w:p w14:paraId="0099C74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夜间</w:t>
                  </w:r>
                </w:p>
              </w:tc>
            </w:tr>
            <w:tr w14:paraId="3FD54D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 w:hRule="atLeast"/>
                <w:jc w:val="center"/>
              </w:trPr>
              <w:tc>
                <w:tcPr>
                  <w:tcW w:w="2427" w:type="pct"/>
                  <w:noWrap w:val="0"/>
                  <w:vAlign w:val="center"/>
                </w:tcPr>
                <w:p w14:paraId="40D1C95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70</w:t>
                  </w:r>
                </w:p>
              </w:tc>
              <w:tc>
                <w:tcPr>
                  <w:tcW w:w="2572" w:type="pct"/>
                  <w:noWrap w:val="0"/>
                  <w:vAlign w:val="center"/>
                </w:tcPr>
                <w:p w14:paraId="22DF344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55</w:t>
                  </w:r>
                </w:p>
              </w:tc>
            </w:tr>
          </w:tbl>
          <w:p w14:paraId="06D85E5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②运营期</w:t>
            </w:r>
          </w:p>
          <w:p w14:paraId="383A39C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项目光伏场区</w:t>
            </w:r>
            <w:r>
              <w:rPr>
                <w:rFonts w:hint="eastAsia" w:cs="Times New Roman"/>
                <w:color w:val="auto"/>
                <w:sz w:val="24"/>
                <w:szCs w:val="24"/>
                <w:highlight w:val="none"/>
                <w:lang w:val="en-US" w:eastAsia="zh-CN"/>
              </w:rPr>
              <w:t>及升压站</w:t>
            </w:r>
            <w:r>
              <w:rPr>
                <w:rFonts w:hint="default" w:ascii="Times New Roman" w:hAnsi="Times New Roman" w:eastAsia="仿宋" w:cs="Times New Roman"/>
                <w:color w:val="auto"/>
                <w:sz w:val="24"/>
                <w:szCs w:val="24"/>
                <w:highlight w:val="none"/>
                <w:lang w:val="en-US" w:eastAsia="zh-CN"/>
              </w:rPr>
              <w:t>运营期噪声排放执行《工业企业厂界环境噪声排放标准》（GB12348-2008）中1类标准，标准值见下表。</w:t>
            </w:r>
          </w:p>
          <w:p w14:paraId="57C1E98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3.8-4</w:t>
            </w:r>
            <w:r>
              <w:rPr>
                <w:rFonts w:hint="default" w:ascii="Times New Roman" w:hAnsi="Times New Roman" w:eastAsia="仿宋" w:cs="Times New Roman"/>
                <w:b/>
                <w:bCs/>
                <w:color w:val="auto"/>
                <w:sz w:val="21"/>
                <w:szCs w:val="21"/>
                <w:highlight w:val="none"/>
                <w:lang w:val="en-US" w:eastAsia="zh-CN"/>
              </w:rPr>
              <w:t xml:space="preserve"> 工业企业厂界环境噪声排放标准 单位：dB（A）</w:t>
            </w:r>
          </w:p>
          <w:tbl>
            <w:tblPr>
              <w:tblStyle w:val="10"/>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1"/>
              <w:gridCol w:w="1233"/>
              <w:gridCol w:w="1156"/>
            </w:tblGrid>
            <w:tr w14:paraId="2E72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76" w:type="dxa"/>
                  <w:noWrap w:val="0"/>
                  <w:vAlign w:val="center"/>
                </w:tcPr>
                <w:p w14:paraId="6A25CFF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标准</w:t>
                  </w:r>
                </w:p>
              </w:tc>
              <w:tc>
                <w:tcPr>
                  <w:tcW w:w="1177" w:type="dxa"/>
                  <w:noWrap w:val="0"/>
                  <w:vAlign w:val="center"/>
                </w:tcPr>
                <w:p w14:paraId="2BDFD7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昼间</w:t>
                  </w:r>
                </w:p>
              </w:tc>
              <w:tc>
                <w:tcPr>
                  <w:tcW w:w="1104" w:type="dxa"/>
                  <w:noWrap w:val="0"/>
                  <w:vAlign w:val="center"/>
                </w:tcPr>
                <w:p w14:paraId="075512B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夜间</w:t>
                  </w:r>
                </w:p>
              </w:tc>
            </w:tr>
            <w:tr w14:paraId="0856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976" w:type="dxa"/>
                  <w:noWrap w:val="0"/>
                  <w:vAlign w:val="center"/>
                </w:tcPr>
                <w:p w14:paraId="6E7B84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《工业企业厂界环境噪声排放标准》（GB212348-2008）1类标准</w:t>
                  </w:r>
                </w:p>
              </w:tc>
              <w:tc>
                <w:tcPr>
                  <w:tcW w:w="1177" w:type="dxa"/>
                  <w:noWrap w:val="0"/>
                  <w:vAlign w:val="center"/>
                </w:tcPr>
                <w:p w14:paraId="39FEFD4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55</w:t>
                  </w:r>
                </w:p>
              </w:tc>
              <w:tc>
                <w:tcPr>
                  <w:tcW w:w="1104" w:type="dxa"/>
                  <w:noWrap w:val="0"/>
                  <w:vAlign w:val="center"/>
                </w:tcPr>
                <w:p w14:paraId="74DAA8A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45</w:t>
                  </w:r>
                </w:p>
              </w:tc>
            </w:tr>
          </w:tbl>
          <w:p w14:paraId="5487237C">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3.8.4</w:t>
            </w:r>
            <w:r>
              <w:rPr>
                <w:rFonts w:hint="default" w:ascii="Times New Roman" w:hAnsi="Times New Roman" w:eastAsia="仿宋" w:cs="Times New Roman"/>
                <w:b/>
                <w:bCs/>
                <w:color w:val="auto"/>
                <w:sz w:val="24"/>
                <w:szCs w:val="24"/>
                <w:highlight w:val="none"/>
                <w:lang w:val="en-US" w:eastAsia="zh-CN"/>
              </w:rPr>
              <w:t>固体废物</w:t>
            </w:r>
          </w:p>
          <w:p w14:paraId="2363458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项目产生的一般固体废物贮存、处置过程执行《一般工业固体废物贮存和填埋污染控制标准》（GB18599-2020）相关规定；危险废物贮存执行《危险废物贮存污染控制标准》（GB18597-2023）相关规定。</w:t>
            </w:r>
          </w:p>
          <w:p w14:paraId="0E9DC18B">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3.8.5 </w:t>
            </w:r>
            <w:r>
              <w:rPr>
                <w:rFonts w:hint="default" w:ascii="Times New Roman" w:hAnsi="Times New Roman" w:eastAsia="仿宋" w:cs="Times New Roman"/>
                <w:b/>
                <w:bCs/>
                <w:color w:val="auto"/>
                <w:sz w:val="24"/>
                <w:szCs w:val="24"/>
                <w:highlight w:val="none"/>
                <w:lang w:val="en-US" w:eastAsia="zh-CN"/>
              </w:rPr>
              <w:t>电磁环境</w:t>
            </w:r>
          </w:p>
          <w:p w14:paraId="2CF9FFE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szCs w:val="24"/>
                <w:highlight w:val="none"/>
                <w:lang w:val="en-US" w:eastAsia="zh-CN"/>
              </w:rPr>
              <w:t>根据《电磁环境控制限值》（GB8702-2014）中公众曝露控制限值要求。</w:t>
            </w:r>
          </w:p>
          <w:p w14:paraId="2D8BBCF0">
            <w:pPr>
              <w:keepNext w:val="0"/>
              <w:keepLines w:val="0"/>
              <w:suppressLineNumbers w:val="0"/>
              <w:spacing w:before="0" w:beforeAutospacing="0" w:after="0" w:afterAutospacing="0"/>
              <w:ind w:left="0" w:right="0"/>
              <w:jc w:val="center"/>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w:t>
            </w:r>
            <w:r>
              <w:rPr>
                <w:rFonts w:hint="eastAsia" w:cs="Times New Roman"/>
                <w:b/>
                <w:color w:val="auto"/>
                <w:sz w:val="21"/>
                <w:szCs w:val="21"/>
                <w:highlight w:val="none"/>
                <w:lang w:val="en-US" w:eastAsia="zh-CN"/>
              </w:rPr>
              <w:t>3.8-5</w:t>
            </w:r>
            <w:r>
              <w:rPr>
                <w:rFonts w:hint="default" w:ascii="Times New Roman" w:hAnsi="Times New Roman" w:eastAsia="仿宋" w:cs="Times New Roman"/>
                <w:b/>
                <w:color w:val="auto"/>
                <w:sz w:val="21"/>
                <w:szCs w:val="21"/>
                <w:highlight w:val="none"/>
              </w:rPr>
              <w:t xml:space="preserve">  电磁环境公众曝露控制限值</w:t>
            </w:r>
          </w:p>
          <w:tbl>
            <w:tblPr>
              <w:tblStyle w:val="10"/>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8"/>
              <w:gridCol w:w="2403"/>
              <w:gridCol w:w="2270"/>
            </w:tblGrid>
            <w:tr w14:paraId="4F12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1" w:type="dxa"/>
                  <w:tcBorders>
                    <w:top w:val="single" w:color="auto" w:sz="4" w:space="0"/>
                    <w:left w:val="single" w:color="auto" w:sz="4" w:space="0"/>
                    <w:bottom w:val="single" w:color="auto" w:sz="4" w:space="0"/>
                    <w:right w:val="single" w:color="auto" w:sz="4" w:space="0"/>
                  </w:tcBorders>
                  <w:noWrap w:val="0"/>
                  <w:vAlign w:val="center"/>
                </w:tcPr>
                <w:p w14:paraId="729CECC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频率范围</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242A99A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电场强度E（V/m）</w:t>
                  </w:r>
                </w:p>
              </w:tc>
              <w:tc>
                <w:tcPr>
                  <w:tcW w:w="2378" w:type="dxa"/>
                  <w:tcBorders>
                    <w:top w:val="single" w:color="auto" w:sz="4" w:space="0"/>
                    <w:left w:val="single" w:color="auto" w:sz="4" w:space="0"/>
                    <w:bottom w:val="single" w:color="auto" w:sz="4" w:space="0"/>
                    <w:right w:val="single" w:color="auto" w:sz="4" w:space="0"/>
                  </w:tcBorders>
                  <w:noWrap w:val="0"/>
                  <w:vAlign w:val="center"/>
                </w:tcPr>
                <w:p w14:paraId="7A158DA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磁感应强度B（μT）</w:t>
                  </w:r>
                </w:p>
              </w:tc>
            </w:tr>
            <w:tr w14:paraId="38A3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1" w:type="dxa"/>
                  <w:tcBorders>
                    <w:top w:val="single" w:color="auto" w:sz="4" w:space="0"/>
                    <w:left w:val="single" w:color="auto" w:sz="4" w:space="0"/>
                    <w:bottom w:val="single" w:color="auto" w:sz="4" w:space="0"/>
                    <w:right w:val="single" w:color="auto" w:sz="4" w:space="0"/>
                  </w:tcBorders>
                  <w:noWrap w:val="0"/>
                  <w:vAlign w:val="center"/>
                </w:tcPr>
                <w:p w14:paraId="601C27E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25Hz</w:t>
                  </w:r>
                  <w:r>
                    <w:rPr>
                      <w:rFonts w:hint="eastAsia" w:cs="Times New Roman"/>
                      <w:color w:val="auto"/>
                      <w:spacing w:val="-2"/>
                      <w:sz w:val="21"/>
                      <w:szCs w:val="21"/>
                      <w:highlight w:val="none"/>
                      <w:lang w:val="en-US" w:eastAsia="zh-CN"/>
                    </w:rPr>
                    <w:t>～</w:t>
                  </w:r>
                  <w:r>
                    <w:rPr>
                      <w:rFonts w:hint="default" w:ascii="Times New Roman" w:hAnsi="Times New Roman" w:eastAsia="仿宋" w:cs="Times New Roman"/>
                      <w:color w:val="auto"/>
                      <w:spacing w:val="-2"/>
                      <w:sz w:val="21"/>
                      <w:szCs w:val="21"/>
                      <w:highlight w:val="none"/>
                      <w:lang w:val="en-US" w:eastAsia="zh-CN"/>
                    </w:rPr>
                    <w:t>1200Hz</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012A8C5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200/f</w:t>
                  </w:r>
                </w:p>
              </w:tc>
              <w:tc>
                <w:tcPr>
                  <w:tcW w:w="2378" w:type="dxa"/>
                  <w:tcBorders>
                    <w:top w:val="single" w:color="auto" w:sz="4" w:space="0"/>
                    <w:left w:val="single" w:color="auto" w:sz="4" w:space="0"/>
                    <w:bottom w:val="single" w:color="auto" w:sz="4" w:space="0"/>
                    <w:right w:val="single" w:color="auto" w:sz="4" w:space="0"/>
                  </w:tcBorders>
                  <w:noWrap w:val="0"/>
                  <w:vAlign w:val="center"/>
                </w:tcPr>
                <w:p w14:paraId="78B0A7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5/f</w:t>
                  </w:r>
                </w:p>
              </w:tc>
            </w:tr>
            <w:tr w14:paraId="3B4B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1" w:type="dxa"/>
                  <w:tcBorders>
                    <w:top w:val="single" w:color="auto" w:sz="4" w:space="0"/>
                    <w:left w:val="single" w:color="auto" w:sz="4" w:space="0"/>
                    <w:bottom w:val="single" w:color="auto" w:sz="4" w:space="0"/>
                    <w:right w:val="single" w:color="auto" w:sz="4" w:space="0"/>
                  </w:tcBorders>
                  <w:noWrap w:val="0"/>
                  <w:vAlign w:val="center"/>
                </w:tcPr>
                <w:p w14:paraId="1715FBA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工作频率（0.05kHz）</w:t>
                  </w:r>
                </w:p>
              </w:tc>
              <w:tc>
                <w:tcPr>
                  <w:tcW w:w="2518" w:type="dxa"/>
                  <w:tcBorders>
                    <w:top w:val="single" w:color="auto" w:sz="4" w:space="0"/>
                    <w:left w:val="single" w:color="auto" w:sz="4" w:space="0"/>
                    <w:bottom w:val="single" w:color="auto" w:sz="4" w:space="0"/>
                    <w:right w:val="single" w:color="auto" w:sz="4" w:space="0"/>
                  </w:tcBorders>
                  <w:noWrap w:val="0"/>
                  <w:vAlign w:val="center"/>
                </w:tcPr>
                <w:p w14:paraId="60BDD83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4000 V/m</w:t>
                  </w:r>
                  <w:r>
                    <w:rPr>
                      <w:rFonts w:hint="eastAsia" w:cs="Times New Roman"/>
                      <w:color w:val="auto"/>
                      <w:spacing w:val="-2"/>
                      <w:sz w:val="21"/>
                      <w:szCs w:val="21"/>
                      <w:highlight w:val="none"/>
                      <w:lang w:val="en-US" w:eastAsia="zh-CN"/>
                    </w:rPr>
                    <w:t>(</w:t>
                  </w:r>
                  <w:r>
                    <w:rPr>
                      <w:rFonts w:hint="default" w:ascii="Times New Roman" w:hAnsi="Times New Roman" w:eastAsia="仿宋" w:cs="Times New Roman"/>
                      <w:color w:val="auto"/>
                      <w:spacing w:val="-2"/>
                      <w:sz w:val="21"/>
                      <w:szCs w:val="21"/>
                      <w:highlight w:val="none"/>
                      <w:lang w:val="en-US" w:eastAsia="zh-CN"/>
                    </w:rPr>
                    <w:t>4kV/m</w:t>
                  </w:r>
                  <w:r>
                    <w:rPr>
                      <w:rFonts w:hint="eastAsia" w:cs="Times New Roman"/>
                      <w:color w:val="auto"/>
                      <w:spacing w:val="-2"/>
                      <w:sz w:val="21"/>
                      <w:szCs w:val="21"/>
                      <w:highlight w:val="none"/>
                      <w:lang w:val="en-US" w:eastAsia="zh-CN"/>
                    </w:rPr>
                    <w:t>)</w:t>
                  </w:r>
                </w:p>
              </w:tc>
              <w:tc>
                <w:tcPr>
                  <w:tcW w:w="2378" w:type="dxa"/>
                  <w:tcBorders>
                    <w:top w:val="single" w:color="auto" w:sz="4" w:space="0"/>
                    <w:left w:val="single" w:color="auto" w:sz="4" w:space="0"/>
                    <w:bottom w:val="single" w:color="auto" w:sz="4" w:space="0"/>
                    <w:right w:val="single" w:color="auto" w:sz="4" w:space="0"/>
                  </w:tcBorders>
                  <w:noWrap w:val="0"/>
                  <w:vAlign w:val="center"/>
                </w:tcPr>
                <w:p w14:paraId="6DF80DD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100μT</w:t>
                  </w:r>
                  <w:r>
                    <w:rPr>
                      <w:rFonts w:hint="eastAsia" w:cs="Times New Roman"/>
                      <w:color w:val="auto"/>
                      <w:spacing w:val="-2"/>
                      <w:sz w:val="21"/>
                      <w:szCs w:val="21"/>
                      <w:highlight w:val="none"/>
                      <w:lang w:val="en-US" w:eastAsia="zh-CN"/>
                    </w:rPr>
                    <w:t>(</w:t>
                  </w:r>
                  <w:r>
                    <w:rPr>
                      <w:rFonts w:hint="default" w:ascii="Times New Roman" w:hAnsi="Times New Roman" w:eastAsia="仿宋" w:cs="Times New Roman"/>
                      <w:color w:val="auto"/>
                      <w:spacing w:val="-2"/>
                      <w:sz w:val="21"/>
                      <w:szCs w:val="21"/>
                      <w:highlight w:val="none"/>
                      <w:lang w:val="en-US" w:eastAsia="zh-CN"/>
                    </w:rPr>
                    <w:t>0.1mT</w:t>
                  </w:r>
                  <w:r>
                    <w:rPr>
                      <w:rFonts w:hint="eastAsia" w:cs="Times New Roman"/>
                      <w:color w:val="auto"/>
                      <w:spacing w:val="-2"/>
                      <w:sz w:val="21"/>
                      <w:szCs w:val="21"/>
                      <w:highlight w:val="none"/>
                      <w:lang w:val="en-US" w:eastAsia="zh-CN"/>
                    </w:rPr>
                    <w:t>)</w:t>
                  </w:r>
                </w:p>
              </w:tc>
            </w:tr>
            <w:tr w14:paraId="7827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7" w:type="dxa"/>
                  <w:gridSpan w:val="3"/>
                  <w:tcBorders>
                    <w:top w:val="single" w:color="auto" w:sz="4" w:space="0"/>
                    <w:left w:val="single" w:color="auto" w:sz="4" w:space="0"/>
                    <w:bottom w:val="single" w:color="auto" w:sz="4" w:space="0"/>
                    <w:right w:val="single" w:color="auto" w:sz="4" w:space="0"/>
                  </w:tcBorders>
                  <w:noWrap w:val="0"/>
                  <w:vAlign w:val="center"/>
                </w:tcPr>
                <w:p w14:paraId="713CEFD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2"/>
                      <w:sz w:val="21"/>
                      <w:szCs w:val="21"/>
                      <w:highlight w:val="none"/>
                      <w:lang w:val="en-US" w:eastAsia="zh-CN"/>
                    </w:rPr>
                  </w:pPr>
                  <w:r>
                    <w:rPr>
                      <w:rFonts w:hint="default" w:ascii="Times New Roman" w:hAnsi="Times New Roman" w:eastAsia="仿宋" w:cs="Times New Roman"/>
                      <w:color w:val="auto"/>
                      <w:spacing w:val="-2"/>
                      <w:sz w:val="21"/>
                      <w:szCs w:val="21"/>
                      <w:highlight w:val="none"/>
                      <w:lang w:val="en-US" w:eastAsia="zh-CN"/>
                    </w:rPr>
                    <w:t>注：1、频率f的取值为0.05kHz。</w:t>
                  </w:r>
                </w:p>
              </w:tc>
            </w:tr>
          </w:tbl>
          <w:p w14:paraId="5C738EDD">
            <w:pPr>
              <w:keepNext w:val="0"/>
              <w:keepLines w:val="0"/>
              <w:suppressLineNumbers w:val="0"/>
              <w:spacing w:before="0" w:beforeAutospacing="0" w:after="0" w:afterAutospacing="0"/>
              <w:ind w:left="0" w:right="0"/>
              <w:rPr>
                <w:rFonts w:hint="default" w:ascii="Times New Roman" w:hAnsi="Times New Roman" w:eastAsia="仿宋" w:cs="Times New Roman"/>
                <w:color w:val="auto"/>
                <w:highlight w:val="none"/>
                <w:lang w:val="en-US" w:eastAsia="zh-CN"/>
              </w:rPr>
            </w:pPr>
          </w:p>
        </w:tc>
      </w:tr>
      <w:tr w14:paraId="2A60BD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94" w:type="pct"/>
            <w:noWrap w:val="0"/>
            <w:vAlign w:val="center"/>
          </w:tcPr>
          <w:p w14:paraId="0A0612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其他</w:t>
            </w:r>
          </w:p>
        </w:tc>
        <w:tc>
          <w:tcPr>
            <w:tcW w:w="4505" w:type="pct"/>
            <w:noWrap w:val="0"/>
            <w:vAlign w:val="center"/>
          </w:tcPr>
          <w:p w14:paraId="3A838D7F">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kern w:val="0"/>
                <w:sz w:val="24"/>
                <w:szCs w:val="24"/>
                <w:highlight w:val="none"/>
              </w:rPr>
            </w:pPr>
          </w:p>
          <w:p w14:paraId="74949212">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根据项目实际情况，结合国家污染物排放总量控制原则，本项目运营期无废气产生；光伏板清洗废水</w:t>
            </w:r>
            <w:r>
              <w:rPr>
                <w:rFonts w:hint="default" w:ascii="Times New Roman" w:hAnsi="Times New Roman" w:eastAsia="仿宋" w:cs="Times New Roman"/>
                <w:color w:val="auto"/>
                <w:kern w:val="0"/>
                <w:sz w:val="24"/>
                <w:szCs w:val="24"/>
                <w:highlight w:val="none"/>
                <w:lang w:val="en-US" w:eastAsia="zh-CN"/>
              </w:rPr>
              <w:t>直接</w:t>
            </w:r>
            <w:r>
              <w:rPr>
                <w:rFonts w:hint="default" w:ascii="Times New Roman" w:hAnsi="Times New Roman" w:eastAsia="仿宋" w:cs="Times New Roman"/>
                <w:color w:val="auto"/>
                <w:kern w:val="0"/>
                <w:sz w:val="24"/>
                <w:szCs w:val="24"/>
                <w:highlight w:val="none"/>
              </w:rPr>
              <w:t>用于光伏板区底层林草浇灌用水消耗</w:t>
            </w:r>
            <w:r>
              <w:rPr>
                <w:rFonts w:hint="default" w:ascii="Times New Roman" w:hAnsi="Times New Roman" w:eastAsia="仿宋" w:cs="Times New Roman"/>
                <w:color w:val="auto"/>
                <w:kern w:val="0"/>
                <w:sz w:val="24"/>
                <w:szCs w:val="24"/>
                <w:highlight w:val="none"/>
                <w:lang w:eastAsia="zh-CN"/>
              </w:rPr>
              <w:t>，</w:t>
            </w:r>
            <w:r>
              <w:rPr>
                <w:rFonts w:hint="default" w:ascii="Times New Roman" w:hAnsi="Times New Roman" w:eastAsia="仿宋" w:cs="Times New Roman"/>
                <w:color w:val="auto"/>
                <w:kern w:val="0"/>
                <w:sz w:val="24"/>
                <w:szCs w:val="24"/>
                <w:highlight w:val="none"/>
                <w:lang w:val="en-US" w:eastAsia="zh-CN"/>
              </w:rPr>
              <w:t>升压生活污水经隔油池、化粪池和一体化污水处理设施处理后用于绿化灌溉</w:t>
            </w:r>
            <w:r>
              <w:rPr>
                <w:rFonts w:hint="default" w:ascii="Times New Roman" w:hAnsi="Times New Roman" w:eastAsia="仿宋" w:cs="Times New Roman"/>
                <w:color w:val="auto"/>
                <w:kern w:val="0"/>
                <w:sz w:val="24"/>
                <w:szCs w:val="24"/>
                <w:highlight w:val="none"/>
                <w:lang w:eastAsia="zh-CN"/>
              </w:rPr>
              <w:t>；</w:t>
            </w:r>
            <w:r>
              <w:rPr>
                <w:rFonts w:hint="default" w:ascii="Times New Roman" w:hAnsi="Times New Roman" w:eastAsia="仿宋" w:cs="Times New Roman"/>
                <w:color w:val="auto"/>
                <w:kern w:val="0"/>
                <w:sz w:val="24"/>
                <w:szCs w:val="24"/>
                <w:highlight w:val="none"/>
              </w:rPr>
              <w:t>固废处置率为100%。</w:t>
            </w:r>
          </w:p>
          <w:p w14:paraId="44C06FB2">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综上，</w:t>
            </w:r>
            <w:r>
              <w:rPr>
                <w:rFonts w:hint="default" w:ascii="Times New Roman" w:hAnsi="Times New Roman" w:eastAsia="仿宋" w:cs="Times New Roman"/>
                <w:color w:val="auto"/>
                <w:kern w:val="0"/>
                <w:sz w:val="24"/>
                <w:szCs w:val="24"/>
                <w:highlight w:val="none"/>
              </w:rPr>
              <w:t>本项目不</w:t>
            </w:r>
            <w:r>
              <w:rPr>
                <w:rFonts w:hint="default" w:ascii="Times New Roman" w:hAnsi="Times New Roman" w:eastAsia="仿宋" w:cs="Times New Roman"/>
                <w:color w:val="auto"/>
                <w:kern w:val="0"/>
                <w:sz w:val="24"/>
                <w:szCs w:val="24"/>
                <w:highlight w:val="none"/>
                <w:lang w:val="en-US" w:eastAsia="zh-CN"/>
              </w:rPr>
              <w:t>设置</w:t>
            </w:r>
            <w:r>
              <w:rPr>
                <w:rFonts w:hint="default" w:ascii="Times New Roman" w:hAnsi="Times New Roman" w:eastAsia="仿宋" w:cs="Times New Roman"/>
                <w:color w:val="auto"/>
                <w:kern w:val="0"/>
                <w:sz w:val="24"/>
                <w:szCs w:val="24"/>
                <w:highlight w:val="none"/>
              </w:rPr>
              <w:t>总量控制指标。</w:t>
            </w:r>
          </w:p>
          <w:p w14:paraId="55DF7AC9">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kern w:val="0"/>
                <w:sz w:val="24"/>
                <w:szCs w:val="24"/>
                <w:highlight w:val="none"/>
              </w:rPr>
            </w:pPr>
          </w:p>
          <w:p w14:paraId="02C8D6E1">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kern w:val="0"/>
                <w:sz w:val="24"/>
                <w:szCs w:val="24"/>
                <w:highlight w:val="none"/>
              </w:rPr>
            </w:pPr>
          </w:p>
        </w:tc>
      </w:tr>
    </w:tbl>
    <w:p w14:paraId="430C360E">
      <w:pPr>
        <w:jc w:val="center"/>
        <w:outlineLvl w:val="0"/>
        <w:rPr>
          <w:rFonts w:hint="default" w:ascii="Times New Roman" w:hAnsi="Times New Roman" w:eastAsia="仿宋" w:cs="Times New Roman"/>
          <w:snapToGrid w:val="0"/>
          <w:color w:val="auto"/>
          <w:sz w:val="30"/>
          <w:szCs w:val="30"/>
          <w:highlight w:val="none"/>
        </w:rPr>
      </w:pPr>
      <w:r>
        <w:rPr>
          <w:rFonts w:hint="default" w:ascii="Times New Roman" w:hAnsi="Times New Roman" w:eastAsia="仿宋" w:cs="Times New Roman"/>
          <w:snapToGrid w:val="0"/>
          <w:color w:val="auto"/>
          <w:kern w:val="2"/>
          <w:sz w:val="36"/>
          <w:szCs w:val="36"/>
          <w:highlight w:val="none"/>
        </w:rPr>
        <w:br w:type="page"/>
      </w:r>
      <w:bookmarkStart w:id="4" w:name="_Toc27286"/>
      <w:r>
        <w:rPr>
          <w:rFonts w:hint="default" w:ascii="Times New Roman" w:hAnsi="Times New Roman" w:eastAsia="仿宋" w:cs="Times New Roman"/>
          <w:snapToGrid w:val="0"/>
          <w:color w:val="auto"/>
          <w:sz w:val="30"/>
          <w:szCs w:val="30"/>
          <w:highlight w:val="none"/>
        </w:rPr>
        <w:t>四、生态环境影响分析</w:t>
      </w:r>
      <w:bookmarkEnd w:id="4"/>
    </w:p>
    <w:tbl>
      <w:tblPr>
        <w:tblStyle w:val="10"/>
        <w:tblW w:w="545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8526"/>
      </w:tblGrid>
      <w:tr w14:paraId="2918BC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69" w:type="pct"/>
            <w:noWrap w:val="0"/>
            <w:tcMar>
              <w:left w:w="28" w:type="dxa"/>
              <w:right w:w="28" w:type="dxa"/>
            </w:tcMar>
            <w:vAlign w:val="center"/>
          </w:tcPr>
          <w:p w14:paraId="5D8413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bCs/>
                <w:color w:val="auto"/>
                <w:kern w:val="2"/>
                <w:sz w:val="24"/>
                <w:szCs w:val="24"/>
                <w:highlight w:val="none"/>
              </w:rPr>
            </w:pPr>
            <w:bookmarkStart w:id="5" w:name="_Hlk49796138"/>
            <w:r>
              <w:rPr>
                <w:rFonts w:hint="default" w:ascii="Times New Roman" w:hAnsi="Times New Roman" w:eastAsia="仿宋" w:cs="Times New Roman"/>
                <w:bCs/>
                <w:color w:val="auto"/>
                <w:spacing w:val="10"/>
                <w:kern w:val="2"/>
                <w:sz w:val="24"/>
                <w:szCs w:val="24"/>
                <w:highlight w:val="none"/>
              </w:rPr>
              <w:t>施工期生态环境影响分析</w:t>
            </w:r>
            <w:bookmarkEnd w:id="5"/>
          </w:p>
        </w:tc>
        <w:tc>
          <w:tcPr>
            <w:tcW w:w="4630" w:type="pct"/>
            <w:noWrap w:val="0"/>
            <w:vAlign w:val="top"/>
          </w:tcPr>
          <w:p w14:paraId="1D6566EC">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4.1 </w:t>
            </w:r>
            <w:r>
              <w:rPr>
                <w:rFonts w:hint="default" w:ascii="Times New Roman" w:hAnsi="Times New Roman" w:eastAsia="仿宋" w:cs="Times New Roman"/>
                <w:b/>
                <w:bCs/>
                <w:color w:val="auto"/>
                <w:sz w:val="24"/>
                <w:szCs w:val="24"/>
                <w:highlight w:val="none"/>
                <w:lang w:val="en-US" w:eastAsia="zh-CN"/>
              </w:rPr>
              <w:t>施工工艺流程简述及产污节点</w:t>
            </w:r>
          </w:p>
          <w:p w14:paraId="263F977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本项目主要施工内容包括光伏发电系统施工、升压站施工、道路施工等，施工工艺流程及产污环节分别</w:t>
            </w:r>
            <w:r>
              <w:rPr>
                <w:rFonts w:hint="eastAsia" w:cs="Times New Roman"/>
                <w:b w:val="0"/>
                <w:bCs w:val="0"/>
                <w:color w:val="auto"/>
                <w:sz w:val="24"/>
                <w:szCs w:val="24"/>
                <w:highlight w:val="none"/>
                <w:lang w:val="en-US" w:eastAsia="zh-CN"/>
              </w:rPr>
              <w:t>如</w:t>
            </w:r>
            <w:r>
              <w:rPr>
                <w:rFonts w:hint="default" w:ascii="Times New Roman" w:hAnsi="Times New Roman" w:eastAsia="仿宋" w:cs="Times New Roman"/>
                <w:b w:val="0"/>
                <w:bCs w:val="0"/>
                <w:color w:val="auto"/>
                <w:sz w:val="24"/>
                <w:szCs w:val="24"/>
                <w:highlight w:val="none"/>
                <w:lang w:val="en-US" w:eastAsia="zh-CN"/>
              </w:rPr>
              <w:t>图</w:t>
            </w:r>
            <w:r>
              <w:rPr>
                <w:rFonts w:hint="eastAsia" w:cs="Times New Roman"/>
                <w:b w:val="0"/>
                <w:bCs w:val="0"/>
                <w:color w:val="auto"/>
                <w:sz w:val="24"/>
                <w:szCs w:val="24"/>
                <w:highlight w:val="none"/>
                <w:lang w:val="en-US" w:eastAsia="zh-CN"/>
              </w:rPr>
              <w:t>4.1-1</w:t>
            </w:r>
            <w:r>
              <w:rPr>
                <w:rFonts w:hint="default" w:ascii="Times New Roman" w:hAnsi="Times New Roman" w:eastAsia="仿宋" w:cs="Times New Roman"/>
                <w:b w:val="0"/>
                <w:bCs w:val="0"/>
                <w:color w:val="auto"/>
                <w:sz w:val="24"/>
                <w:szCs w:val="24"/>
                <w:highlight w:val="none"/>
                <w:lang w:val="en-US" w:eastAsia="zh-CN"/>
              </w:rPr>
              <w:t>、图</w:t>
            </w:r>
            <w:r>
              <w:rPr>
                <w:rFonts w:hint="eastAsia" w:cs="Times New Roman"/>
                <w:b w:val="0"/>
                <w:bCs w:val="0"/>
                <w:color w:val="auto"/>
                <w:sz w:val="24"/>
                <w:szCs w:val="24"/>
                <w:highlight w:val="none"/>
                <w:lang w:val="en-US" w:eastAsia="zh-CN"/>
              </w:rPr>
              <w:t>4.1-2</w:t>
            </w:r>
            <w:r>
              <w:rPr>
                <w:rFonts w:hint="default" w:ascii="Times New Roman" w:hAnsi="Times New Roman" w:eastAsia="仿宋" w:cs="Times New Roman"/>
                <w:b w:val="0"/>
                <w:bCs w:val="0"/>
                <w:color w:val="auto"/>
                <w:sz w:val="24"/>
                <w:szCs w:val="24"/>
                <w:highlight w:val="none"/>
                <w:lang w:val="en-US" w:eastAsia="zh-CN"/>
              </w:rPr>
              <w:t>所示，具体施工方案见“表二”中“施工方案”相应的内容，此处不再赘述。</w:t>
            </w:r>
          </w:p>
          <w:p w14:paraId="07B5D03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object>
                <v:shape id="_x0000_i1025" o:spt="75" type="#_x0000_t75" style="height:193.35pt;width:222.75pt;" o:ole="t" filled="f" o:preferrelative="t" stroked="f" coordsize="21600,21600">
                  <v:path/>
                  <v:fill on="f" focussize="0,0"/>
                  <v:stroke on="f"/>
                  <v:imagedata r:id="rId39" croptop="5186f" cropbottom="5666f" o:title=""/>
                  <o:lock v:ext="edit" aspectratio="t"/>
                  <w10:wrap type="none"/>
                  <w10:anchorlock/>
                </v:shape>
                <o:OLEObject Type="Embed" ProgID="Visio.Drawing.11" ShapeID="_x0000_i1025" DrawAspect="Content" ObjectID="_1468075725" r:id="rId38">
                  <o:LockedField>false</o:LockedField>
                </o:OLEObject>
              </w:object>
            </w:r>
          </w:p>
          <w:p w14:paraId="3FB514A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图</w:t>
            </w:r>
            <w:r>
              <w:rPr>
                <w:rFonts w:hint="eastAsia" w:cs="Times New Roman"/>
                <w:b/>
                <w:bCs/>
                <w:color w:val="auto"/>
                <w:sz w:val="21"/>
                <w:szCs w:val="21"/>
                <w:highlight w:val="none"/>
                <w:lang w:val="en-US" w:eastAsia="zh-CN"/>
              </w:rPr>
              <w:t xml:space="preserve">4.1-1 </w:t>
            </w:r>
            <w:r>
              <w:rPr>
                <w:rFonts w:hint="default" w:ascii="Times New Roman" w:hAnsi="Times New Roman" w:eastAsia="仿宋" w:cs="Times New Roman"/>
                <w:b/>
                <w:bCs/>
                <w:color w:val="auto"/>
                <w:sz w:val="21"/>
                <w:szCs w:val="21"/>
                <w:highlight w:val="none"/>
                <w:lang w:val="en-US" w:eastAsia="zh-CN"/>
              </w:rPr>
              <w:t>光伏发电系统施工工艺流程及产污节点图</w:t>
            </w:r>
          </w:p>
          <w:p w14:paraId="5FE0B01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color w:val="auto"/>
                <w:position w:val="-38"/>
                <w:highlight w:val="none"/>
              </w:rPr>
              <w:object>
                <v:shape id="_x0000_i1026" o:spt="75" type="#_x0000_t75" style="height:97.25pt;width:388.15pt;" o:ole="t" filled="f" o:preferrelative="t" stroked="f" coordsize="21600,21600">
                  <v:path/>
                  <v:fill on="f" focussize="0,0"/>
                  <v:stroke on="f"/>
                  <v:imagedata r:id="rId41" o:title=""/>
                  <o:lock v:ext="edit" aspectratio="f"/>
                  <w10:wrap type="none"/>
                  <w10:anchorlock/>
                </v:shape>
                <o:OLEObject Type="Embed" ProgID="Visio.Drawing.11" ShapeID="_x0000_i1026" DrawAspect="Content" ObjectID="_1468075726" r:id="rId40">
                  <o:LockedField>false</o:LockedField>
                </o:OLEObject>
              </w:object>
            </w:r>
          </w:p>
          <w:p w14:paraId="49437F6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图</w:t>
            </w:r>
            <w:r>
              <w:rPr>
                <w:rFonts w:hint="eastAsia" w:cs="Times New Roman"/>
                <w:b/>
                <w:bCs/>
                <w:color w:val="auto"/>
                <w:sz w:val="21"/>
                <w:szCs w:val="21"/>
                <w:highlight w:val="none"/>
                <w:lang w:val="en-US" w:eastAsia="zh-CN"/>
              </w:rPr>
              <w:t>4.2-2</w:t>
            </w:r>
            <w:r>
              <w:rPr>
                <w:rFonts w:hint="default" w:ascii="Times New Roman" w:hAnsi="Times New Roman" w:eastAsia="仿宋" w:cs="Times New Roman"/>
                <w:b/>
                <w:bCs/>
                <w:color w:val="auto"/>
                <w:sz w:val="21"/>
                <w:szCs w:val="21"/>
                <w:highlight w:val="none"/>
                <w:lang w:val="en-US" w:eastAsia="zh-CN"/>
              </w:rPr>
              <w:t xml:space="preserve"> 升压站施工工艺流程及产污节点图</w:t>
            </w:r>
          </w:p>
          <w:p w14:paraId="71A7B65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object>
                <v:shape id="_x0000_i1027" o:spt="75" type="#_x0000_t75" style="height:167.45pt;width:236.5pt;" o:ole="t" filled="f" o:preferrelative="t" stroked="f" coordsize="21600,21600">
                  <v:path/>
                  <v:fill on="f" focussize="0,0"/>
                  <v:stroke on="f"/>
                  <v:imagedata r:id="rId43" croptop="7352f" cropbottom="8234f" o:title=""/>
                  <o:lock v:ext="edit" aspectratio="t"/>
                  <w10:wrap type="none"/>
                  <w10:anchorlock/>
                </v:shape>
                <o:OLEObject Type="Embed" ProgID="Visio.Drawing.15" ShapeID="_x0000_i1027" DrawAspect="Content" ObjectID="_1468075727" r:id="rId42">
                  <o:LockedField>false</o:LockedField>
                </o:OLEObject>
              </w:object>
            </w:r>
          </w:p>
          <w:p w14:paraId="230E7D6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图</w:t>
            </w:r>
            <w:r>
              <w:rPr>
                <w:rFonts w:hint="eastAsia" w:cs="Times New Roman"/>
                <w:b/>
                <w:bCs/>
                <w:color w:val="auto"/>
                <w:sz w:val="21"/>
                <w:szCs w:val="21"/>
                <w:highlight w:val="none"/>
                <w:lang w:val="en-US" w:eastAsia="zh-CN"/>
              </w:rPr>
              <w:t>4.1-2</w:t>
            </w:r>
            <w:r>
              <w:rPr>
                <w:rFonts w:hint="default" w:ascii="Times New Roman" w:hAnsi="Times New Roman" w:eastAsia="仿宋" w:cs="Times New Roman"/>
                <w:b/>
                <w:bCs/>
                <w:color w:val="auto"/>
                <w:sz w:val="21"/>
                <w:szCs w:val="21"/>
                <w:highlight w:val="none"/>
                <w:lang w:val="en-US" w:eastAsia="zh-CN"/>
              </w:rPr>
              <w:t xml:space="preserve"> 道路施工工艺流程及产污节点图</w:t>
            </w:r>
          </w:p>
          <w:p w14:paraId="0E6082A0">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4.2 施工期环境影响分析</w:t>
            </w:r>
          </w:p>
          <w:p w14:paraId="4B1EE4C8">
            <w:pPr>
              <w:keepNext w:val="0"/>
              <w:keepLines w:val="0"/>
              <w:suppressLineNumbers w:val="0"/>
              <w:adjustRightInd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 w:val="24"/>
                <w:szCs w:val="24"/>
                <w:highlight w:val="none"/>
              </w:rPr>
            </w:pPr>
            <w:r>
              <w:rPr>
                <w:rFonts w:hint="eastAsia" w:cs="Times New Roman"/>
                <w:b/>
                <w:bCs/>
                <w:color w:val="auto"/>
                <w:sz w:val="24"/>
                <w:szCs w:val="24"/>
                <w:highlight w:val="none"/>
                <w:lang w:val="en-US" w:eastAsia="zh-CN"/>
              </w:rPr>
              <w:t>4.2.1</w:t>
            </w:r>
            <w:r>
              <w:rPr>
                <w:rFonts w:hint="default" w:ascii="Times New Roman" w:hAnsi="Times New Roman" w:eastAsia="仿宋" w:cs="Times New Roman"/>
                <w:b/>
                <w:bCs/>
                <w:color w:val="auto"/>
                <w:sz w:val="24"/>
                <w:szCs w:val="24"/>
                <w:highlight w:val="none"/>
              </w:rPr>
              <w:t>生态环境影响分析</w:t>
            </w:r>
          </w:p>
          <w:p w14:paraId="55FC2F99">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1</w:t>
            </w:r>
            <w:r>
              <w:rPr>
                <w:rFonts w:hint="default" w:ascii="Times New Roman" w:hAnsi="Times New Roman" w:eastAsia="仿宋" w:cs="Times New Roman"/>
                <w:b/>
                <w:bCs/>
                <w:color w:val="auto"/>
                <w:sz w:val="24"/>
                <w:szCs w:val="24"/>
                <w:highlight w:val="none"/>
                <w:lang w:eastAsia="zh-CN"/>
              </w:rPr>
              <w:t>）对土地利用的影响</w:t>
            </w:r>
          </w:p>
          <w:p w14:paraId="794396F8">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项目总占地</w:t>
            </w:r>
            <w:r>
              <w:rPr>
                <w:rFonts w:hint="eastAsia" w:cs="Times New Roman"/>
                <w:color w:val="auto"/>
                <w:highlight w:val="none"/>
                <w:lang w:val="en-US" w:eastAsia="zh-CN"/>
              </w:rPr>
              <w:t>203.14</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default" w:ascii="Times New Roman" w:hAnsi="Times New Roman" w:eastAsia="仿宋" w:cs="Times New Roman"/>
                <w:color w:val="auto"/>
                <w:highlight w:val="none"/>
                <w:lang w:eastAsia="zh-CN"/>
              </w:rPr>
              <w:t>，其中，</w:t>
            </w:r>
            <w:r>
              <w:rPr>
                <w:rFonts w:hint="eastAsia" w:cs="Times New Roman"/>
                <w:color w:val="auto"/>
                <w:highlight w:val="none"/>
                <w:lang w:val="en-US" w:eastAsia="zh-CN"/>
              </w:rPr>
              <w:t>其他土地</w:t>
            </w:r>
            <w:r>
              <w:rPr>
                <w:rFonts w:hint="default" w:ascii="Times New Roman" w:hAnsi="Times New Roman" w:eastAsia="仿宋" w:cs="Times New Roman"/>
                <w:color w:val="auto"/>
                <w:highlight w:val="none"/>
                <w:lang w:eastAsia="zh-CN"/>
              </w:rPr>
              <w:t>比例最大，</w:t>
            </w:r>
            <w:r>
              <w:rPr>
                <w:rFonts w:hint="eastAsia" w:cs="Times New Roman"/>
                <w:color w:val="auto"/>
                <w:highlight w:val="none"/>
                <w:lang w:val="en-US" w:eastAsia="zh-CN"/>
              </w:rPr>
              <w:t>为74.65</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default" w:ascii="Times New Roman" w:hAnsi="Times New Roman" w:eastAsia="仿宋" w:cs="Times New Roman"/>
                <w:color w:val="auto"/>
                <w:highlight w:val="none"/>
                <w:lang w:eastAsia="zh-CN"/>
              </w:rPr>
              <w:t>，占比</w:t>
            </w:r>
            <w:r>
              <w:rPr>
                <w:rFonts w:hint="eastAsia" w:cs="Times New Roman"/>
                <w:color w:val="auto"/>
                <w:highlight w:val="none"/>
                <w:lang w:val="en-US" w:eastAsia="zh-CN"/>
              </w:rPr>
              <w:t>36.74</w:t>
            </w:r>
            <w:r>
              <w:rPr>
                <w:rFonts w:hint="default" w:ascii="Times New Roman" w:hAnsi="Times New Roman" w:eastAsia="仿宋" w:cs="Times New Roman"/>
                <w:color w:val="auto"/>
                <w:highlight w:val="none"/>
                <w:lang w:eastAsia="zh-CN"/>
              </w:rPr>
              <w:t>%；占用林地、草地</w:t>
            </w:r>
            <w:r>
              <w:rPr>
                <w:rFonts w:hint="eastAsia" w:cs="Times New Roman"/>
                <w:color w:val="auto"/>
                <w:highlight w:val="none"/>
                <w:lang w:eastAsia="zh-CN"/>
              </w:rPr>
              <w:t>、</w:t>
            </w:r>
            <w:r>
              <w:rPr>
                <w:rFonts w:hint="eastAsia" w:cs="Times New Roman"/>
                <w:color w:val="auto"/>
                <w:highlight w:val="none"/>
                <w:lang w:val="en-US" w:eastAsia="zh-CN"/>
              </w:rPr>
              <w:t>园地和建设用地</w:t>
            </w:r>
            <w:r>
              <w:rPr>
                <w:rFonts w:hint="default" w:ascii="Times New Roman" w:hAnsi="Times New Roman" w:eastAsia="仿宋" w:cs="Times New Roman"/>
                <w:color w:val="auto"/>
                <w:highlight w:val="none"/>
                <w:lang w:eastAsia="zh-CN"/>
              </w:rPr>
              <w:t>面积</w:t>
            </w:r>
            <w:r>
              <w:rPr>
                <w:rFonts w:hint="eastAsia" w:cs="Times New Roman"/>
                <w:color w:val="auto"/>
                <w:highlight w:val="none"/>
                <w:lang w:val="en-US" w:eastAsia="zh-CN"/>
              </w:rPr>
              <w:t>较少，</w:t>
            </w:r>
            <w:r>
              <w:rPr>
                <w:rFonts w:hint="default" w:ascii="Times New Roman" w:hAnsi="Times New Roman" w:eastAsia="仿宋" w:cs="Times New Roman"/>
                <w:color w:val="auto"/>
                <w:highlight w:val="none"/>
                <w:lang w:eastAsia="zh-CN"/>
              </w:rPr>
              <w:t>分别为</w:t>
            </w:r>
            <w:r>
              <w:rPr>
                <w:rFonts w:hint="eastAsia" w:cs="Times New Roman"/>
                <w:color w:val="auto"/>
                <w:highlight w:val="none"/>
                <w:lang w:val="en-US" w:eastAsia="zh-CN"/>
              </w:rPr>
              <w:t>0.61</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default" w:ascii="Times New Roman" w:hAnsi="Times New Roman" w:eastAsia="仿宋" w:cs="Times New Roman"/>
                <w:color w:val="auto"/>
                <w:highlight w:val="none"/>
                <w:lang w:eastAsia="zh-CN"/>
              </w:rPr>
              <w:t>、</w:t>
            </w:r>
            <w:r>
              <w:rPr>
                <w:rFonts w:hint="eastAsia" w:cs="Times New Roman"/>
                <w:color w:val="auto"/>
                <w:highlight w:val="none"/>
                <w:lang w:val="en-US" w:eastAsia="zh-CN"/>
              </w:rPr>
              <w:t>4.95</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eastAsia" w:cs="Times New Roman"/>
                <w:color w:val="auto"/>
                <w:highlight w:val="none"/>
                <w:lang w:eastAsia="zh-CN"/>
              </w:rPr>
              <w:t>、</w:t>
            </w:r>
            <w:r>
              <w:rPr>
                <w:rFonts w:hint="eastAsia" w:cs="Times New Roman"/>
                <w:color w:val="auto"/>
                <w:highlight w:val="none"/>
                <w:lang w:val="en-US" w:eastAsia="zh-CN"/>
              </w:rPr>
              <w:t>20.92</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eastAsia" w:cs="Times New Roman"/>
                <w:color w:val="auto"/>
                <w:highlight w:val="none"/>
                <w:lang w:val="en-US" w:eastAsia="zh-CN"/>
              </w:rPr>
              <w:t>和7.75</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default" w:ascii="Times New Roman" w:hAnsi="Times New Roman" w:eastAsia="仿宋" w:cs="Times New Roman"/>
                <w:color w:val="auto"/>
                <w:highlight w:val="none"/>
                <w:lang w:eastAsia="zh-CN"/>
              </w:rPr>
              <w:t>，占比分别为</w:t>
            </w:r>
            <w:r>
              <w:rPr>
                <w:rFonts w:hint="eastAsia" w:cs="Times New Roman"/>
                <w:color w:val="auto"/>
                <w:highlight w:val="none"/>
                <w:lang w:val="en-US" w:eastAsia="zh-CN"/>
              </w:rPr>
              <w:t>0.3</w:t>
            </w:r>
            <w:r>
              <w:rPr>
                <w:rFonts w:hint="default" w:ascii="Times New Roman" w:hAnsi="Times New Roman" w:eastAsia="仿宋" w:cs="Times New Roman"/>
                <w:color w:val="auto"/>
                <w:highlight w:val="none"/>
                <w:lang w:eastAsia="zh-CN"/>
              </w:rPr>
              <w:t>%、</w:t>
            </w:r>
            <w:r>
              <w:rPr>
                <w:rFonts w:hint="eastAsia" w:cs="Times New Roman"/>
                <w:color w:val="auto"/>
                <w:highlight w:val="none"/>
                <w:lang w:val="en-US" w:eastAsia="zh-CN"/>
              </w:rPr>
              <w:t>2.4</w:t>
            </w:r>
            <w:r>
              <w:rPr>
                <w:rFonts w:hint="default" w:ascii="Times New Roman" w:hAnsi="Times New Roman" w:eastAsia="仿宋" w:cs="Times New Roman"/>
                <w:color w:val="auto"/>
                <w:highlight w:val="none"/>
                <w:lang w:eastAsia="zh-CN"/>
              </w:rPr>
              <w:t>%</w:t>
            </w:r>
            <w:r>
              <w:rPr>
                <w:rFonts w:hint="eastAsia" w:cs="Times New Roman"/>
                <w:color w:val="auto"/>
                <w:highlight w:val="none"/>
                <w:lang w:eastAsia="zh-CN"/>
              </w:rPr>
              <w:t>、</w:t>
            </w:r>
            <w:r>
              <w:rPr>
                <w:rFonts w:hint="eastAsia" w:cs="Times New Roman"/>
                <w:color w:val="auto"/>
                <w:highlight w:val="none"/>
                <w:lang w:val="en-US" w:eastAsia="zh-CN"/>
              </w:rPr>
              <w:t>10.3</w:t>
            </w:r>
            <w:r>
              <w:rPr>
                <w:rFonts w:hint="default" w:ascii="Times New Roman" w:hAnsi="Times New Roman" w:eastAsia="仿宋" w:cs="Times New Roman"/>
                <w:color w:val="auto"/>
                <w:highlight w:val="none"/>
                <w:lang w:eastAsia="zh-CN"/>
              </w:rPr>
              <w:t>%</w:t>
            </w:r>
            <w:r>
              <w:rPr>
                <w:rFonts w:hint="eastAsia" w:cs="Times New Roman"/>
                <w:color w:val="auto"/>
                <w:highlight w:val="none"/>
                <w:lang w:val="en-US" w:eastAsia="zh-CN"/>
              </w:rPr>
              <w:t>和3.8%</w:t>
            </w:r>
            <w:r>
              <w:rPr>
                <w:rFonts w:hint="eastAsia" w:cs="Times New Roman"/>
                <w:color w:val="auto"/>
                <w:highlight w:val="none"/>
                <w:lang w:eastAsia="zh-CN"/>
              </w:rPr>
              <w:t>。</w:t>
            </w:r>
            <w:r>
              <w:rPr>
                <w:rFonts w:hint="default" w:ascii="Times New Roman" w:hAnsi="Times New Roman" w:eastAsia="仿宋" w:cs="Times New Roman"/>
                <w:color w:val="auto"/>
                <w:highlight w:val="none"/>
                <w:lang w:eastAsia="zh-CN"/>
              </w:rPr>
              <w:t>占用</w:t>
            </w:r>
            <w:r>
              <w:rPr>
                <w:rFonts w:hint="eastAsia" w:cs="Times New Roman"/>
                <w:color w:val="auto"/>
                <w:highlight w:val="none"/>
                <w:lang w:val="en-US" w:eastAsia="zh-CN"/>
              </w:rPr>
              <w:t>灌草丛</w:t>
            </w:r>
            <w:r>
              <w:rPr>
                <w:rFonts w:hint="default" w:ascii="Times New Roman" w:hAnsi="Times New Roman" w:eastAsia="仿宋" w:cs="Times New Roman"/>
                <w:color w:val="auto"/>
                <w:highlight w:val="none"/>
                <w:lang w:eastAsia="zh-CN"/>
              </w:rPr>
              <w:t>的面积</w:t>
            </w:r>
            <w:r>
              <w:rPr>
                <w:rFonts w:hint="eastAsia" w:cs="Times New Roman"/>
                <w:color w:val="auto"/>
                <w:highlight w:val="none"/>
                <w:lang w:val="en-US" w:eastAsia="zh-CN"/>
              </w:rPr>
              <w:t>为65.19</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default" w:ascii="Times New Roman" w:hAnsi="Times New Roman" w:eastAsia="仿宋" w:cs="Times New Roman"/>
                <w:color w:val="auto"/>
                <w:highlight w:val="none"/>
                <w:lang w:eastAsia="zh-CN"/>
              </w:rPr>
              <w:t>，比例为</w:t>
            </w:r>
            <w:r>
              <w:rPr>
                <w:rFonts w:hint="eastAsia" w:cs="Times New Roman"/>
                <w:color w:val="auto"/>
                <w:highlight w:val="none"/>
                <w:lang w:val="en-US" w:eastAsia="zh-CN"/>
              </w:rPr>
              <w:t>32.1</w:t>
            </w:r>
            <w:r>
              <w:rPr>
                <w:rFonts w:hint="default" w:ascii="Times New Roman" w:hAnsi="Times New Roman" w:eastAsia="仿宋" w:cs="Times New Roman"/>
                <w:color w:val="auto"/>
                <w:highlight w:val="none"/>
                <w:lang w:eastAsia="zh-CN"/>
              </w:rPr>
              <w:t>%。</w:t>
            </w:r>
          </w:p>
          <w:p w14:paraId="29CC6F3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highlight w:val="none"/>
                <w:lang w:eastAsia="zh-CN"/>
              </w:rPr>
              <w:t>由于本项目</w:t>
            </w:r>
            <w:r>
              <w:rPr>
                <w:rFonts w:hint="eastAsia" w:cs="Times New Roman"/>
                <w:color w:val="auto"/>
                <w:highlight w:val="none"/>
                <w:lang w:val="en-US" w:eastAsia="zh-CN"/>
              </w:rPr>
              <w:t>永久</w:t>
            </w:r>
            <w:r>
              <w:rPr>
                <w:rFonts w:hint="default" w:ascii="Times New Roman" w:hAnsi="Times New Roman" w:eastAsia="仿宋" w:cs="Times New Roman"/>
                <w:color w:val="auto"/>
                <w:highlight w:val="none"/>
                <w:lang w:eastAsia="zh-CN"/>
              </w:rPr>
              <w:t>占地面积</w:t>
            </w:r>
            <w:r>
              <w:rPr>
                <w:rFonts w:hint="eastAsia" w:cs="Times New Roman"/>
                <w:color w:val="auto"/>
                <w:highlight w:val="none"/>
                <w:lang w:val="en-US" w:eastAsia="zh-CN"/>
              </w:rPr>
              <w:t>为3.05</w:t>
            </w:r>
            <w:r>
              <w:rPr>
                <w:rFonts w:hint="default" w:ascii="Times New Roman" w:hAnsi="Times New Roman" w:eastAsia="仿宋" w:cs="Times New Roman"/>
                <w:color w:val="auto"/>
                <w:highlight w:val="none"/>
                <w:lang w:eastAsia="zh-CN"/>
              </w:rPr>
              <w:t>hm</w:t>
            </w:r>
            <w:r>
              <w:rPr>
                <w:rFonts w:hint="default" w:ascii="Times New Roman" w:hAnsi="Times New Roman" w:eastAsia="仿宋" w:cs="Times New Roman"/>
                <w:color w:val="auto"/>
                <w:highlight w:val="none"/>
                <w:vertAlign w:val="superscript"/>
                <w:lang w:eastAsia="zh-CN"/>
              </w:rPr>
              <w:t>2</w:t>
            </w:r>
            <w:r>
              <w:rPr>
                <w:rFonts w:hint="default" w:ascii="Times New Roman" w:hAnsi="Times New Roman" w:eastAsia="仿宋" w:cs="Times New Roman"/>
                <w:color w:val="auto"/>
                <w:highlight w:val="none"/>
                <w:lang w:eastAsia="zh-CN"/>
              </w:rPr>
              <w:t>，且</w:t>
            </w:r>
            <w:r>
              <w:rPr>
                <w:rFonts w:hint="eastAsia" w:cs="Times New Roman"/>
                <w:color w:val="auto"/>
                <w:highlight w:val="none"/>
                <w:lang w:val="en-US" w:eastAsia="zh-CN"/>
              </w:rPr>
              <w:t>永久</w:t>
            </w:r>
            <w:r>
              <w:rPr>
                <w:rFonts w:hint="default" w:ascii="Times New Roman" w:hAnsi="Times New Roman" w:eastAsia="仿宋" w:cs="Times New Roman"/>
                <w:color w:val="auto"/>
                <w:highlight w:val="none"/>
                <w:lang w:eastAsia="zh-CN"/>
              </w:rPr>
              <w:t>占地所占用各类土地利用类型的面积占</w:t>
            </w:r>
            <w:r>
              <w:rPr>
                <w:rFonts w:hint="eastAsia" w:cs="Times New Roman"/>
                <w:color w:val="auto"/>
                <w:highlight w:val="none"/>
                <w:lang w:val="en-US" w:eastAsia="zh-CN"/>
              </w:rPr>
              <w:t>总用地</w:t>
            </w:r>
            <w:r>
              <w:rPr>
                <w:rFonts w:hint="default" w:ascii="Times New Roman" w:hAnsi="Times New Roman" w:eastAsia="仿宋" w:cs="Times New Roman"/>
                <w:color w:val="auto"/>
                <w:highlight w:val="none"/>
                <w:lang w:eastAsia="zh-CN"/>
              </w:rPr>
              <w:t>面积的比重仅</w:t>
            </w:r>
            <w:r>
              <w:rPr>
                <w:rFonts w:hint="eastAsia" w:cs="Times New Roman"/>
                <w:color w:val="auto"/>
                <w:highlight w:val="none"/>
                <w:lang w:val="en-US" w:eastAsia="zh-CN"/>
              </w:rPr>
              <w:t>1.5</w:t>
            </w:r>
            <w:r>
              <w:rPr>
                <w:rFonts w:hint="default" w:ascii="Times New Roman" w:hAnsi="Times New Roman" w:eastAsia="仿宋" w:cs="Times New Roman"/>
                <w:color w:val="auto"/>
                <w:highlight w:val="none"/>
                <w:lang w:eastAsia="zh-CN"/>
              </w:rPr>
              <w:t>%，</w:t>
            </w:r>
            <w:r>
              <w:rPr>
                <w:rFonts w:hint="eastAsia" w:cs="Times New Roman"/>
                <w:color w:val="auto"/>
                <w:highlight w:val="none"/>
                <w:lang w:val="en-US" w:eastAsia="zh-CN"/>
              </w:rPr>
              <w:t>因此项目建设不会改变当地土地利用格局。本项目</w:t>
            </w:r>
            <w:r>
              <w:rPr>
                <w:rFonts w:hint="default" w:ascii="Times New Roman" w:hAnsi="Times New Roman" w:eastAsia="仿宋" w:cs="Times New Roman"/>
                <w:color w:val="auto"/>
                <w:highlight w:val="none"/>
                <w:lang w:eastAsia="zh-CN"/>
              </w:rPr>
              <w:t>临时用地将通过施工结束后的植被恢复得到修复</w:t>
            </w:r>
            <w:r>
              <w:rPr>
                <w:rFonts w:hint="eastAsia" w:cs="Times New Roman"/>
                <w:color w:val="auto"/>
                <w:highlight w:val="none"/>
                <w:lang w:eastAsia="zh-CN"/>
              </w:rPr>
              <w:t>，</w:t>
            </w:r>
            <w:r>
              <w:rPr>
                <w:rFonts w:hint="eastAsia" w:cs="Times New Roman"/>
                <w:color w:val="auto"/>
                <w:highlight w:val="none"/>
                <w:lang w:val="en-US" w:eastAsia="zh-CN"/>
              </w:rPr>
              <w:t>项目建设不会改变原有土地功能</w:t>
            </w:r>
            <w:r>
              <w:rPr>
                <w:rFonts w:hint="default" w:ascii="Times New Roman" w:hAnsi="Times New Roman" w:eastAsia="仿宋" w:cs="Times New Roman"/>
                <w:color w:val="auto"/>
                <w:highlight w:val="none"/>
                <w:lang w:eastAsia="zh-CN"/>
              </w:rPr>
              <w:t>。</w:t>
            </w:r>
          </w:p>
          <w:p w14:paraId="31896E7F">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2</w:t>
            </w:r>
            <w:r>
              <w:rPr>
                <w:rFonts w:hint="default" w:ascii="Times New Roman" w:hAnsi="Times New Roman" w:eastAsia="仿宋" w:cs="Times New Roman"/>
                <w:b/>
                <w:bCs/>
                <w:color w:val="auto"/>
                <w:sz w:val="24"/>
                <w:szCs w:val="24"/>
                <w:highlight w:val="none"/>
                <w:lang w:eastAsia="zh-CN"/>
              </w:rPr>
              <w:t>）对植被的影响</w:t>
            </w:r>
          </w:p>
          <w:p w14:paraId="335DB30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项目对植被的影响主要是占地及施工造成的植被破坏。</w:t>
            </w:r>
          </w:p>
          <w:p w14:paraId="4A377F3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①对植被的影响</w:t>
            </w:r>
          </w:p>
          <w:p w14:paraId="4B502D6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工程建设对植被的直接影响主要是施工期的影响。施工期对植被影响和破坏的途径主要是主体工程占用和分割土地，改变土地利用性质，使场内植被覆盖率降低；新修道路，弃土占地，破坏土壤结构；工程活动扰动了自然的生态平衡，对沿线植被的生存将产生一定的不利影响。</w:t>
            </w:r>
          </w:p>
          <w:p w14:paraId="57CFE158">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本工程建设内容主要包括升压站、太阳能光伏阵列单元基础工程、道路工程、直埋电缆、箱式变电站以及施工临时设施等，工程总占地面积</w:t>
            </w:r>
            <w:r>
              <w:rPr>
                <w:rFonts w:hint="eastAsia" w:cs="Times New Roman"/>
                <w:color w:val="auto"/>
                <w:sz w:val="24"/>
                <w:szCs w:val="24"/>
                <w:highlight w:val="none"/>
                <w:lang w:eastAsia="zh-CN"/>
              </w:rPr>
              <w:t>203.14</w:t>
            </w:r>
            <w:r>
              <w:rPr>
                <w:rFonts w:hint="default" w:ascii="Times New Roman" w:hAnsi="Times New Roman" w:eastAsia="仿宋" w:cs="Times New Roman"/>
                <w:color w:val="auto"/>
                <w:sz w:val="24"/>
                <w:szCs w:val="24"/>
                <w:highlight w:val="none"/>
                <w:lang w:eastAsia="zh-CN"/>
              </w:rPr>
              <w:t>hm</w:t>
            </w:r>
            <w:r>
              <w:rPr>
                <w:rFonts w:hint="default" w:ascii="Times New Roman" w:hAnsi="Times New Roman" w:eastAsia="仿宋" w:cs="Times New Roman"/>
                <w:color w:val="auto"/>
                <w:sz w:val="24"/>
                <w:szCs w:val="24"/>
                <w:highlight w:val="none"/>
                <w:vertAlign w:val="superscript"/>
                <w:lang w:eastAsia="zh-CN"/>
              </w:rPr>
              <w:t>2</w:t>
            </w:r>
            <w:r>
              <w:rPr>
                <w:rFonts w:hint="default" w:ascii="Times New Roman" w:hAnsi="Times New Roman" w:eastAsia="仿宋" w:cs="Times New Roman"/>
                <w:color w:val="auto"/>
                <w:sz w:val="24"/>
                <w:szCs w:val="24"/>
                <w:highlight w:val="none"/>
                <w:lang w:eastAsia="zh-CN"/>
              </w:rPr>
              <w:t>。本项目占用土地类型以林草覆盖率较低的灌木草丛、</w:t>
            </w:r>
            <w:r>
              <w:rPr>
                <w:rFonts w:hint="eastAsia" w:cs="Times New Roman"/>
                <w:color w:val="auto"/>
                <w:sz w:val="24"/>
                <w:szCs w:val="24"/>
                <w:highlight w:val="none"/>
                <w:lang w:val="en-US" w:eastAsia="zh-CN"/>
              </w:rPr>
              <w:t>草地</w:t>
            </w:r>
            <w:r>
              <w:rPr>
                <w:rFonts w:hint="default" w:ascii="Times New Roman" w:hAnsi="Times New Roman" w:eastAsia="仿宋" w:cs="Times New Roman"/>
                <w:color w:val="auto"/>
                <w:sz w:val="24"/>
                <w:szCs w:val="24"/>
                <w:highlight w:val="none"/>
                <w:lang w:eastAsia="zh-CN"/>
              </w:rPr>
              <w:t>和</w:t>
            </w:r>
            <w:r>
              <w:rPr>
                <w:rFonts w:hint="default" w:ascii="Times New Roman" w:hAnsi="Times New Roman" w:eastAsia="仿宋" w:cs="Times New Roman"/>
                <w:color w:val="auto"/>
                <w:sz w:val="24"/>
                <w:szCs w:val="24"/>
                <w:highlight w:val="none"/>
                <w:lang w:val="en-US" w:eastAsia="zh-CN"/>
              </w:rPr>
              <w:t>未利用地</w:t>
            </w:r>
            <w:r>
              <w:rPr>
                <w:rFonts w:hint="default" w:ascii="Times New Roman" w:hAnsi="Times New Roman" w:eastAsia="仿宋" w:cs="Times New Roman"/>
                <w:color w:val="auto"/>
                <w:sz w:val="24"/>
                <w:szCs w:val="24"/>
                <w:highlight w:val="none"/>
                <w:lang w:eastAsia="zh-CN"/>
              </w:rPr>
              <w:t>为主，存在一定的原生水土流失。占用林草覆盖率高、水土保持功能强的有林地面积小，较大程度减小了对当地的水土保持和生态环境造成的影响。</w:t>
            </w:r>
          </w:p>
          <w:p w14:paraId="427C8A73">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工程建设影响植被面积就整个评价范围来说所占比例较小，且所影响类型在评价区及周边地区均广泛分布，无特殊保护类型。综上，工程施工过程、施工活动中扰动地表，将对地表植被造成破坏，仅导致部分植被面积和常见植物种类数量的损失，不会导致种类消失，工程建设对当地植被的影响小。</w:t>
            </w:r>
          </w:p>
          <w:p w14:paraId="59669BDB">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②对植物的影响</w:t>
            </w:r>
          </w:p>
          <w:p w14:paraId="7CFA0BF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评价区植物的影响主要是临时用地对评价区内植物的直接破坏，项目光伏板支架高度最小为2.5m，项目区域主要为</w:t>
            </w:r>
            <w:r>
              <w:rPr>
                <w:rFonts w:hint="default" w:ascii="Times New Roman" w:hAnsi="Times New Roman" w:eastAsia="仿宋" w:cs="Times New Roman"/>
                <w:color w:val="auto"/>
                <w:sz w:val="24"/>
                <w:szCs w:val="24"/>
                <w:highlight w:val="none"/>
                <w:lang w:val="en-US" w:eastAsia="zh-CN"/>
              </w:rPr>
              <w:t>灌草丛、</w:t>
            </w:r>
            <w:r>
              <w:rPr>
                <w:rFonts w:hint="eastAsia" w:cs="Times New Roman"/>
                <w:color w:val="auto"/>
                <w:sz w:val="24"/>
                <w:szCs w:val="24"/>
                <w:highlight w:val="none"/>
                <w:lang w:val="en-US" w:eastAsia="zh-CN"/>
              </w:rPr>
              <w:t>草地</w:t>
            </w:r>
            <w:r>
              <w:rPr>
                <w:rFonts w:hint="default" w:ascii="Times New Roman" w:hAnsi="Times New Roman" w:eastAsia="仿宋" w:cs="Times New Roman"/>
                <w:color w:val="auto"/>
                <w:sz w:val="24"/>
                <w:szCs w:val="24"/>
                <w:highlight w:val="none"/>
                <w:lang w:eastAsia="zh-CN"/>
              </w:rPr>
              <w:t>及</w:t>
            </w:r>
            <w:r>
              <w:rPr>
                <w:rFonts w:hint="default" w:ascii="Times New Roman" w:hAnsi="Times New Roman" w:eastAsia="仿宋" w:cs="Times New Roman"/>
                <w:color w:val="auto"/>
                <w:sz w:val="24"/>
                <w:szCs w:val="24"/>
                <w:highlight w:val="none"/>
                <w:lang w:val="en-US" w:eastAsia="zh-CN"/>
              </w:rPr>
              <w:t>未利用地</w:t>
            </w:r>
            <w:r>
              <w:rPr>
                <w:rFonts w:hint="default" w:ascii="Times New Roman" w:hAnsi="Times New Roman" w:eastAsia="仿宋" w:cs="Times New Roman"/>
                <w:color w:val="auto"/>
                <w:sz w:val="24"/>
                <w:szCs w:val="24"/>
                <w:highlight w:val="none"/>
                <w:lang w:eastAsia="zh-CN"/>
              </w:rPr>
              <w:t>。本工程影响的主要植被以黄背草、白草、蔗茅群落为主的稀树灌木草丛和以种植花椒为主的经济林以及以旱地、水田为主的农田植被，受影响的植物种类为黄背草、白草、蔗茅等。这些为区域的常见种和广布种，并且工程影响到的是植物种群的部分个体，种群的大部分个体在影响区域以外广泛分布，不会导致物种灭绝，也不会改变评价区域的区系性质，不会造成较大的生物多样性流失。</w:t>
            </w:r>
          </w:p>
          <w:p w14:paraId="5C1BC4EC">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根据《国家重点保护野生植物名录》（2021年）、《云南省重点保护野生植物名录》、《中国生物多样性红色名录》等资料，评价区内未发现国家级和省级保护植物，未发现红色名录极危、濒危、易危植物物种，无极小种群分布。拟建项目区内无狭域特有动物和植物，项目建设施工对保护动植物无影响。项目建设期间将对光伏阵列下方</w:t>
            </w:r>
            <w:r>
              <w:rPr>
                <w:rFonts w:hint="default" w:ascii="Times New Roman" w:hAnsi="Times New Roman" w:eastAsia="仿宋" w:cs="Times New Roman"/>
                <w:color w:val="auto"/>
                <w:sz w:val="24"/>
                <w:szCs w:val="24"/>
                <w:highlight w:val="none"/>
                <w:lang w:val="en-US" w:eastAsia="zh-CN"/>
              </w:rPr>
              <w:t>进行钻孔</w:t>
            </w:r>
            <w:r>
              <w:rPr>
                <w:rFonts w:hint="default" w:ascii="Times New Roman" w:hAnsi="Times New Roman" w:eastAsia="仿宋" w:cs="Times New Roman"/>
                <w:color w:val="auto"/>
                <w:sz w:val="24"/>
                <w:szCs w:val="24"/>
                <w:highlight w:val="none"/>
                <w:lang w:eastAsia="zh-CN"/>
              </w:rPr>
              <w:t>，</w:t>
            </w:r>
            <w:r>
              <w:rPr>
                <w:rFonts w:hint="eastAsia" w:cs="Times New Roman"/>
                <w:color w:val="auto"/>
                <w:sz w:val="24"/>
                <w:szCs w:val="24"/>
                <w:highlight w:val="none"/>
                <w:lang w:eastAsia="zh-CN"/>
              </w:rPr>
              <w:t>部分</w:t>
            </w:r>
            <w:r>
              <w:rPr>
                <w:rFonts w:hint="default" w:ascii="Times New Roman" w:hAnsi="Times New Roman" w:eastAsia="仿宋" w:cs="Times New Roman"/>
                <w:color w:val="auto"/>
                <w:sz w:val="24"/>
                <w:szCs w:val="24"/>
                <w:highlight w:val="none"/>
                <w:lang w:eastAsia="zh-CN"/>
              </w:rPr>
              <w:t>植被将会被部分铲除，建设期间区域植被覆盖率会下降。但随着林业工程实施后，植被覆盖率会得到恢复。</w:t>
            </w:r>
          </w:p>
          <w:p w14:paraId="61727CB9">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lang w:eastAsia="zh-CN"/>
              </w:rPr>
              <w:t>）对动物的影响</w:t>
            </w:r>
          </w:p>
          <w:p w14:paraId="128772B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本工程建设对陆生脊椎动物的影响主要表现在施工期施工占地和开挖对生境的破坏；施工机械噪声、运输噪声的干扰等。</w:t>
            </w:r>
          </w:p>
          <w:p w14:paraId="230A1459">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①两栖动物</w:t>
            </w:r>
          </w:p>
          <w:p w14:paraId="1458D829">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项目施工期的各项活动可能</w:t>
            </w:r>
            <w:r>
              <w:rPr>
                <w:rFonts w:hint="eastAsia" w:cs="Times New Roman"/>
                <w:color w:val="auto"/>
                <w:sz w:val="24"/>
                <w:szCs w:val="24"/>
                <w:highlight w:val="none"/>
                <w:lang w:val="en-US" w:eastAsia="zh-CN"/>
              </w:rPr>
              <w:t>造成</w:t>
            </w:r>
            <w:r>
              <w:rPr>
                <w:rFonts w:hint="default" w:ascii="Times New Roman" w:hAnsi="Times New Roman" w:eastAsia="仿宋" w:cs="Times New Roman"/>
                <w:color w:val="auto"/>
                <w:sz w:val="24"/>
                <w:szCs w:val="24"/>
                <w:highlight w:val="none"/>
                <w:lang w:val="en-US" w:eastAsia="zh-CN"/>
              </w:rPr>
              <w:t>蛙类动物种群数量的下降。施工中建设各种永久性建筑或临时性建筑，将使原有的两栖动物活动范围缩小，但影响十分有限。受影响的两栖动物在区域内广泛分布，工程建设不会对其生物多样性造成影响。</w:t>
            </w:r>
          </w:p>
          <w:p w14:paraId="176CA30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评价区内无国家级和云南省级重点保护野生动物分布。根据资料记载，有中国生物多样性红色名录易危物种1种，棘腹蛙。但现场调查项目区现状未发现有棘腹蛙分布，施工活动可能会影响其活动范围，同时蛙类受到影响后会远离施工区至其他山体活动，加之工程施工工期短，工程建设对其影响不大。</w:t>
            </w:r>
          </w:p>
          <w:p w14:paraId="02D66DF3">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②爬行动物</w:t>
            </w:r>
          </w:p>
          <w:p w14:paraId="6BEA74DE">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过程将对原有爬行动物赖以生存、繁衍的环境造成破坏，影响程度由工程规模、性质和特点来决定。爬行动物运动能力较两栖类为强，施工噪声将迫使它们逃离施工区。堆渣形成碎石裸地，在新植被形成前，爬行类中喜阳、喜干燥的蜥蜴种群数量可能会增加，但喜阴的蛇类可能消失。施工期中，由于人口增多，人类活动范围及频率增大，各种临时设施的建设，将使占地范围内的灌草丛覆盖度降低，爬行类动物会暂时逃离但不会造成种群数量明显的减少。</w:t>
            </w:r>
          </w:p>
          <w:p w14:paraId="774A40C7">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根据以往工程施工情况，施工车辆和机械压死一定数量的穿越道路和施工作业区的爬行动物，施工期间应注意对这些爬行动物的保护。</w:t>
            </w:r>
          </w:p>
          <w:p w14:paraId="51F1A7C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项目工程区无国家级和云南省级重点保护野生动物分布。根据资料记载，评价区有中国生物多样性红色名录</w:t>
            </w:r>
            <w:r>
              <w:rPr>
                <w:rFonts w:hint="eastAsia" w:cs="Times New Roman"/>
                <w:color w:val="auto"/>
                <w:sz w:val="24"/>
                <w:szCs w:val="24"/>
                <w:highlight w:val="none"/>
                <w:lang w:val="en-US" w:eastAsia="zh-CN"/>
              </w:rPr>
              <w:t>濒危爬行动物1种王锦蛇，</w:t>
            </w:r>
            <w:r>
              <w:rPr>
                <w:rFonts w:hint="default" w:ascii="Times New Roman" w:hAnsi="Times New Roman" w:eastAsia="仿宋" w:cs="Times New Roman"/>
                <w:color w:val="auto"/>
                <w:sz w:val="24"/>
                <w:szCs w:val="24"/>
                <w:highlight w:val="none"/>
                <w:lang w:val="en-US" w:eastAsia="zh-CN"/>
              </w:rPr>
              <w:t>易危</w:t>
            </w:r>
            <w:r>
              <w:rPr>
                <w:rFonts w:hint="eastAsia" w:cs="Times New Roman"/>
                <w:color w:val="auto"/>
                <w:sz w:val="24"/>
                <w:szCs w:val="24"/>
                <w:highlight w:val="none"/>
                <w:lang w:val="en-US" w:eastAsia="zh-CN"/>
              </w:rPr>
              <w:t>爬行动物1</w:t>
            </w:r>
            <w:r>
              <w:rPr>
                <w:rFonts w:hint="default" w:ascii="Times New Roman" w:hAnsi="Times New Roman" w:eastAsia="仿宋" w:cs="Times New Roman"/>
                <w:color w:val="auto"/>
                <w:sz w:val="24"/>
                <w:szCs w:val="24"/>
                <w:highlight w:val="none"/>
                <w:lang w:val="en-US" w:eastAsia="zh-CN"/>
              </w:rPr>
              <w:t>种黑眉锦蛇。蛇类受到影响后会远离项目区至其他山体活动，工程施工对王锦蛇和黑眉锦蛇影响不大。</w:t>
            </w:r>
          </w:p>
          <w:p w14:paraId="1B4534D0">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③鸟类</w:t>
            </w:r>
          </w:p>
          <w:p w14:paraId="12234BE1">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a.鸟类栖息地的影响。</w:t>
            </w:r>
          </w:p>
          <w:p w14:paraId="259808CC">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调查，工程占地区域的植被以暖温性针叶林、灌丛和稀树灌木草丛为主，可能涉及鸟类的栖息环境、觅食场所，但由于鸟类分布范围广，且运动能力较强，大多数鸟类会通过飞翔和短距离的迁移来避免项目施工对其造成伤害，受工程直接影响较小。根据现场调查核实，升压站及周边区域无鸟类聚集点分布；同时，升压站及周边区域以植被覆盖率地，人为干扰频繁，不属于其适宜栖息生境，升压站建设运行对评价区鸟类影响较小。</w:t>
            </w:r>
          </w:p>
          <w:p w14:paraId="33858B9E">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b.施工噪声等影响</w:t>
            </w:r>
          </w:p>
          <w:p w14:paraId="6D4821E7">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施工期间，机械设备较少，均采用低噪声设备，施工人员文明施工。施工永久性占地和临时性占地减少灌草丛面积，</w:t>
            </w:r>
            <w:r>
              <w:rPr>
                <w:rFonts w:hint="eastAsia" w:cs="Times New Roman"/>
                <w:color w:val="auto"/>
                <w:sz w:val="24"/>
                <w:szCs w:val="24"/>
                <w:highlight w:val="none"/>
                <w:lang w:val="en-US" w:eastAsia="zh-CN"/>
              </w:rPr>
              <w:t>迫使</w:t>
            </w:r>
            <w:r>
              <w:rPr>
                <w:rFonts w:hint="default" w:ascii="Times New Roman" w:hAnsi="Times New Roman" w:eastAsia="仿宋" w:cs="Times New Roman"/>
                <w:color w:val="auto"/>
                <w:sz w:val="24"/>
                <w:szCs w:val="24"/>
                <w:highlight w:val="none"/>
                <w:lang w:val="en-US" w:eastAsia="zh-CN"/>
              </w:rPr>
              <w:t>原来生活在该区域的鸟类等进行迁移。施工开挖、机器震动、汽车运行等将使鸟类迁离施工区；施工排放的废水、废气、废渣使施工区灌草丛环境受到一定的影响，由于该类生境减少，使原来栖息在该类生境的鸟类的生存空间和食物来源受到一定的影响。施工活动可能会影响其活动范围，但鸟类飞行能力较强，工程建设对其影响不大。</w:t>
            </w:r>
          </w:p>
          <w:p w14:paraId="49B5E6D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c.人为干扰或捕杀对鸟类的影响</w:t>
            </w:r>
          </w:p>
          <w:p w14:paraId="581257B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w:t>
            </w:r>
            <w:r>
              <w:rPr>
                <w:rFonts w:hint="eastAsia" w:cs="Times New Roman"/>
                <w:color w:val="auto"/>
                <w:sz w:val="24"/>
                <w:szCs w:val="24"/>
                <w:highlight w:val="none"/>
                <w:lang w:val="en-US" w:eastAsia="zh-CN"/>
              </w:rPr>
              <w:t>期间</w:t>
            </w:r>
            <w:r>
              <w:rPr>
                <w:rFonts w:hint="default" w:ascii="Times New Roman" w:hAnsi="Times New Roman" w:eastAsia="仿宋" w:cs="Times New Roman"/>
                <w:color w:val="auto"/>
                <w:sz w:val="24"/>
                <w:szCs w:val="24"/>
                <w:highlight w:val="none"/>
                <w:lang w:val="en-US" w:eastAsia="zh-CN"/>
              </w:rPr>
              <w:t>对人员进行教育宣传，严格规范施工、加强施工人员管理， 施工现场严禁施工人员对鸟类的捕杀、鸟卵的捡拾或捕捉笼养娱乐活动，因此，施工对鸟类影响可接受。</w:t>
            </w:r>
          </w:p>
          <w:p w14:paraId="13613976">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总的来看，项目区建设区域距离昭通巧家（马树）小火塘鸟类迁徙通道最近直线距离约24km。根据对周边村民进行走访调查，项目区及周边区域没有，也没有听说过秋季夜间上山采用灯光或火光捕鸟的现象，秋季夜间没有发生夜间鸟类飞入有光亮的房屋的事件等，目前项目区没有秋季迁徙候鸟迁飞聚集点，因此，工程建设对区域现有鸟类产生的环境影响程度可以接受。</w:t>
            </w:r>
          </w:p>
          <w:p w14:paraId="5981A6F0">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评价区有国家</w:t>
            </w:r>
            <w:r>
              <w:rPr>
                <w:rFonts w:hint="eastAsia" w:cs="Times New Roman"/>
                <w:color w:val="auto"/>
                <w:sz w:val="24"/>
                <w:szCs w:val="24"/>
                <w:highlight w:val="none"/>
                <w:lang w:val="en-US" w:eastAsia="zh-CN"/>
              </w:rPr>
              <w:t>二级</w:t>
            </w:r>
            <w:r>
              <w:rPr>
                <w:rFonts w:hint="default" w:ascii="Times New Roman" w:hAnsi="Times New Roman" w:eastAsia="仿宋" w:cs="Times New Roman"/>
                <w:color w:val="auto"/>
                <w:sz w:val="24"/>
                <w:szCs w:val="24"/>
                <w:highlight w:val="none"/>
                <w:lang w:val="en-US" w:eastAsia="zh-CN"/>
              </w:rPr>
              <w:t>重点保护鸟类4种红隼、黑翅鸢、普通鵟、凤头鹰，这些鸟类活动范围较广。施工噪声、扬尘、废气、灯光等对施工区周围环境产生干扰，从而影响鸟类的栖息，但这些鸟类都为猛禽，其性甚机警，善于飞翔，在环境受到干扰时会迅速迁移到其他相同或相似生境中，工程对其影响较小。</w:t>
            </w:r>
          </w:p>
          <w:p w14:paraId="248CA73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④兽类动物</w:t>
            </w:r>
          </w:p>
          <w:p w14:paraId="765E5BDA">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评价范围内现阶段未发现大型哺乳类的栖息生境，施工过程对中小型兽类造成的影响相对较大。由于修路、建房、光伏板安装等工程施工，对部分兽类的栖息地造成破坏，迫使它们迁移，种群数量减少。根据野外调查可知，在此区域中活动的都是食虫目鼹科、啮齿目鼠科和食肉目鼬科的中小型兽类，工程的建设将会对其原有栖息地的植被造成破坏。</w:t>
            </w:r>
          </w:p>
          <w:p w14:paraId="7472030C">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在工程建设与评价区内未发现重点保护兽类分布。</w:t>
            </w:r>
          </w:p>
          <w:p w14:paraId="1A24C6A7">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总体而言施工噪声在一定程度上会影响陆生动物生境质量，但由于施工期较短、场址相对整个地区来说范围又很小，且动物的活动能力较强，本身有躲避危险的本能，可以迁移到附近生活环境一致的地方。因此，施工期对当地野生动物的影响程度较小，更不会造成野生动物种类和数量的下降。只要加强对施工人员和管理人员的教育，严禁工人捕杀野生动物，随着施工结束，施工期对当地生态环境的影响将逐渐消失。</w:t>
            </w:r>
          </w:p>
          <w:p w14:paraId="0933E7B2">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4</w:t>
            </w:r>
            <w:r>
              <w:rPr>
                <w:rFonts w:hint="default" w:ascii="Times New Roman" w:hAnsi="Times New Roman" w:eastAsia="仿宋" w:cs="Times New Roman"/>
                <w:b/>
                <w:bCs/>
                <w:color w:val="auto"/>
                <w:sz w:val="24"/>
                <w:szCs w:val="24"/>
                <w:highlight w:val="none"/>
                <w:lang w:eastAsia="zh-CN"/>
              </w:rPr>
              <w:t>）对鸟类迁徙的影响</w:t>
            </w:r>
          </w:p>
          <w:p w14:paraId="3E5A2E5F">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项目处于</w:t>
            </w:r>
            <w:r>
              <w:rPr>
                <w:rFonts w:hint="default" w:ascii="Times New Roman" w:hAnsi="Times New Roman" w:eastAsia="仿宋" w:cs="Times New Roman"/>
                <w:color w:val="auto"/>
                <w:sz w:val="24"/>
                <w:szCs w:val="24"/>
                <w:highlight w:val="none"/>
                <w:lang w:val="en-US" w:eastAsia="zh-CN"/>
              </w:rPr>
              <w:t>曲靖市会泽</w:t>
            </w:r>
            <w:r>
              <w:rPr>
                <w:rFonts w:hint="default" w:ascii="Times New Roman" w:hAnsi="Times New Roman" w:eastAsia="仿宋" w:cs="Times New Roman"/>
                <w:color w:val="auto"/>
                <w:sz w:val="24"/>
                <w:szCs w:val="24"/>
                <w:highlight w:val="none"/>
                <w:lang w:eastAsia="zh-CN"/>
              </w:rPr>
              <w:t>县</w:t>
            </w:r>
            <w:r>
              <w:rPr>
                <w:rFonts w:hint="default" w:ascii="Times New Roman" w:hAnsi="Times New Roman" w:eastAsia="仿宋" w:cs="Times New Roman"/>
                <w:color w:val="auto"/>
                <w:sz w:val="24"/>
                <w:szCs w:val="24"/>
                <w:highlight w:val="none"/>
                <w:lang w:val="en-US" w:eastAsia="zh-CN"/>
              </w:rPr>
              <w:t>迤车镇</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不涉及</w:t>
            </w:r>
            <w:r>
              <w:rPr>
                <w:rFonts w:hint="default" w:ascii="Times New Roman" w:hAnsi="Times New Roman" w:eastAsia="仿宋" w:cs="Times New Roman"/>
                <w:color w:val="auto"/>
                <w:sz w:val="24"/>
                <w:szCs w:val="24"/>
                <w:highlight w:val="none"/>
                <w:lang w:eastAsia="zh-CN"/>
              </w:rPr>
              <w:t>云南省候鸟迁徙通道区域。至目前为止，</w:t>
            </w:r>
            <w:r>
              <w:rPr>
                <w:rFonts w:hint="default" w:ascii="Times New Roman" w:hAnsi="Times New Roman" w:eastAsia="仿宋" w:cs="Times New Roman"/>
                <w:color w:val="auto"/>
                <w:sz w:val="24"/>
                <w:szCs w:val="24"/>
                <w:highlight w:val="none"/>
                <w:lang w:val="en-US" w:eastAsia="zh-CN"/>
              </w:rPr>
              <w:t>评价区域</w:t>
            </w:r>
            <w:r>
              <w:rPr>
                <w:rFonts w:hint="default" w:ascii="Times New Roman" w:hAnsi="Times New Roman" w:eastAsia="仿宋" w:cs="Times New Roman"/>
                <w:color w:val="auto"/>
                <w:sz w:val="24"/>
                <w:szCs w:val="24"/>
                <w:highlight w:val="none"/>
                <w:lang w:eastAsia="zh-CN"/>
              </w:rPr>
              <w:t>没有相关的候鸟迁徙通道和迁徙聚集点的记录。</w:t>
            </w:r>
          </w:p>
          <w:p w14:paraId="640C30A9">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调查评价区内有冬候鸟和夏候鸟的记录，说明评价区内在秋季及春季有少量候鸟进入。综上所述，项目评价区范围内存在秋季候鸟迁徙聚集点的可能性非常小。在夜间候鸟迁徙季节，场区内不会有集群的候鸟迁徙路过，但有少量的、零散的候鸟进入调查评价区越冬和繁殖。</w:t>
            </w:r>
          </w:p>
          <w:p w14:paraId="79407AF0">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综上，项目的建设对秋季迁徙候鸟产生影响的概率很低，项目建设不会对秋季迁徙候鸟的迁徙造成阻隔影响。</w:t>
            </w:r>
          </w:p>
          <w:p w14:paraId="1B713327">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5</w:t>
            </w:r>
            <w:r>
              <w:rPr>
                <w:rFonts w:hint="default" w:ascii="Times New Roman" w:hAnsi="Times New Roman" w:eastAsia="仿宋" w:cs="Times New Roman"/>
                <w:b/>
                <w:bCs/>
                <w:color w:val="auto"/>
                <w:sz w:val="24"/>
                <w:szCs w:val="24"/>
                <w:highlight w:val="none"/>
                <w:lang w:eastAsia="zh-CN"/>
              </w:rPr>
              <w:t>）对生态系统的影响</w:t>
            </w:r>
          </w:p>
          <w:p w14:paraId="04D5837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项目区域生态系统主要为</w:t>
            </w:r>
            <w:r>
              <w:rPr>
                <w:rFonts w:hint="default" w:ascii="Times New Roman" w:hAnsi="Times New Roman" w:eastAsia="仿宋" w:cs="Times New Roman"/>
                <w:b w:val="0"/>
                <w:bCs w:val="0"/>
                <w:color w:val="auto"/>
                <w:sz w:val="24"/>
                <w:szCs w:val="24"/>
                <w:highlight w:val="none"/>
                <w:lang w:val="en-US" w:eastAsia="zh-CN"/>
              </w:rPr>
              <w:t>暖温性针叶林、灌丛和稀树灌木草丛为主</w:t>
            </w:r>
            <w:r>
              <w:rPr>
                <w:rFonts w:hint="default" w:ascii="Times New Roman" w:hAnsi="Times New Roman" w:eastAsia="仿宋" w:cs="Times New Roman"/>
                <w:color w:val="auto"/>
                <w:sz w:val="24"/>
                <w:szCs w:val="24"/>
                <w:highlight w:val="none"/>
                <w:lang w:eastAsia="zh-CN"/>
              </w:rPr>
              <w:t>。项目临时占压土地主要</w:t>
            </w:r>
            <w:r>
              <w:rPr>
                <w:rFonts w:hint="default" w:ascii="Times New Roman" w:hAnsi="Times New Roman" w:eastAsia="仿宋" w:cs="Times New Roman"/>
                <w:color w:val="auto"/>
                <w:sz w:val="24"/>
                <w:szCs w:val="24"/>
                <w:highlight w:val="none"/>
                <w:lang w:val="en-US" w:eastAsia="zh-CN"/>
              </w:rPr>
              <w:t>为</w:t>
            </w:r>
            <w:r>
              <w:rPr>
                <w:rFonts w:hint="default" w:ascii="Times New Roman" w:hAnsi="Times New Roman" w:eastAsia="仿宋" w:cs="Times New Roman"/>
                <w:color w:val="auto"/>
                <w:sz w:val="24"/>
                <w:szCs w:val="24"/>
                <w:highlight w:val="none"/>
                <w:lang w:eastAsia="zh-CN"/>
              </w:rPr>
              <w:t>光伏阵列区、</w:t>
            </w:r>
            <w:r>
              <w:rPr>
                <w:rFonts w:hint="default" w:ascii="Times New Roman" w:hAnsi="Times New Roman" w:eastAsia="仿宋" w:cs="Times New Roman"/>
                <w:color w:val="auto"/>
                <w:sz w:val="24"/>
                <w:szCs w:val="24"/>
                <w:highlight w:val="none"/>
                <w:lang w:val="en-US" w:eastAsia="zh-CN"/>
              </w:rPr>
              <w:t>道路</w:t>
            </w:r>
            <w:r>
              <w:rPr>
                <w:rFonts w:hint="default" w:ascii="Times New Roman" w:hAnsi="Times New Roman" w:eastAsia="仿宋" w:cs="Times New Roman"/>
                <w:color w:val="auto"/>
                <w:sz w:val="24"/>
                <w:szCs w:val="24"/>
                <w:highlight w:val="none"/>
                <w:lang w:eastAsia="zh-CN"/>
              </w:rPr>
              <w:t>等，面积为</w:t>
            </w:r>
            <w:r>
              <w:rPr>
                <w:rFonts w:hint="default" w:ascii="Times New Roman" w:hAnsi="Times New Roman" w:eastAsia="仿宋" w:cs="Times New Roman"/>
                <w:color w:val="auto"/>
                <w:highlight w:val="none"/>
                <w:lang w:val="en-US" w:eastAsia="zh-CN"/>
              </w:rPr>
              <w:t>213.31</w:t>
            </w:r>
            <w:r>
              <w:rPr>
                <w:rFonts w:hint="default" w:ascii="Times New Roman" w:hAnsi="Times New Roman" w:eastAsia="仿宋" w:cs="Times New Roman"/>
                <w:color w:val="auto"/>
                <w:sz w:val="24"/>
                <w:szCs w:val="24"/>
                <w:highlight w:val="none"/>
                <w:lang w:eastAsia="zh-CN"/>
              </w:rPr>
              <w:t>hm</w:t>
            </w:r>
            <w:r>
              <w:rPr>
                <w:rFonts w:hint="default" w:ascii="Times New Roman" w:hAnsi="Times New Roman" w:eastAsia="仿宋" w:cs="Times New Roman"/>
                <w:color w:val="auto"/>
                <w:sz w:val="24"/>
                <w:szCs w:val="24"/>
                <w:highlight w:val="none"/>
                <w:vertAlign w:val="superscript"/>
                <w:lang w:eastAsia="zh-CN"/>
              </w:rPr>
              <w:t>2</w:t>
            </w:r>
            <w:r>
              <w:rPr>
                <w:rFonts w:hint="default" w:ascii="Times New Roman" w:hAnsi="Times New Roman" w:eastAsia="仿宋" w:cs="Times New Roman"/>
                <w:color w:val="auto"/>
                <w:sz w:val="24"/>
                <w:szCs w:val="24"/>
                <w:highlight w:val="none"/>
                <w:lang w:eastAsia="zh-CN"/>
              </w:rPr>
              <w:t>；永久占地</w:t>
            </w:r>
            <w:r>
              <w:rPr>
                <w:rFonts w:hint="default" w:ascii="Times New Roman" w:hAnsi="Times New Roman" w:eastAsia="仿宋" w:cs="Times New Roman"/>
                <w:color w:val="auto"/>
                <w:sz w:val="24"/>
                <w:szCs w:val="24"/>
                <w:highlight w:val="none"/>
                <w:lang w:val="en-US" w:eastAsia="zh-CN"/>
              </w:rPr>
              <w:t>主要为</w:t>
            </w:r>
            <w:r>
              <w:rPr>
                <w:rFonts w:hint="default" w:ascii="Times New Roman" w:hAnsi="Times New Roman" w:eastAsia="仿宋" w:cs="Times New Roman"/>
                <w:color w:val="auto"/>
                <w:sz w:val="24"/>
                <w:szCs w:val="24"/>
                <w:highlight w:val="none"/>
                <w:lang w:eastAsia="zh-CN"/>
              </w:rPr>
              <w:t>架空线路基座、</w:t>
            </w:r>
            <w:r>
              <w:rPr>
                <w:rFonts w:hint="default" w:ascii="Times New Roman" w:hAnsi="Times New Roman" w:eastAsia="仿宋" w:cs="Times New Roman"/>
                <w:color w:val="auto"/>
                <w:sz w:val="24"/>
                <w:szCs w:val="24"/>
                <w:highlight w:val="none"/>
                <w:lang w:val="en-US" w:eastAsia="zh-CN"/>
              </w:rPr>
              <w:t>箱变基础、升压站</w:t>
            </w:r>
            <w:r>
              <w:rPr>
                <w:rFonts w:hint="default" w:ascii="Times New Roman" w:hAnsi="Times New Roman" w:eastAsia="仿宋" w:cs="Times New Roman"/>
                <w:color w:val="auto"/>
                <w:sz w:val="24"/>
                <w:szCs w:val="24"/>
                <w:highlight w:val="none"/>
                <w:lang w:eastAsia="zh-CN"/>
              </w:rPr>
              <w:t>等，面积为</w:t>
            </w:r>
            <w:r>
              <w:rPr>
                <w:rFonts w:hint="default" w:ascii="Times New Roman" w:hAnsi="Times New Roman" w:eastAsia="仿宋" w:cs="Times New Roman"/>
                <w:color w:val="auto"/>
                <w:highlight w:val="none"/>
                <w:lang w:val="en-US" w:eastAsia="zh-CN"/>
              </w:rPr>
              <w:t>3.05</w:t>
            </w:r>
            <w:r>
              <w:rPr>
                <w:rFonts w:hint="default" w:ascii="Times New Roman" w:hAnsi="Times New Roman" w:eastAsia="仿宋" w:cs="Times New Roman"/>
                <w:color w:val="auto"/>
                <w:sz w:val="24"/>
                <w:szCs w:val="24"/>
                <w:highlight w:val="none"/>
                <w:lang w:eastAsia="zh-CN"/>
              </w:rPr>
              <w:t>hm</w:t>
            </w:r>
            <w:r>
              <w:rPr>
                <w:rFonts w:hint="default" w:ascii="Times New Roman" w:hAnsi="Times New Roman" w:eastAsia="仿宋" w:cs="Times New Roman"/>
                <w:color w:val="auto"/>
                <w:sz w:val="24"/>
                <w:szCs w:val="24"/>
                <w:highlight w:val="none"/>
                <w:vertAlign w:val="superscript"/>
                <w:lang w:eastAsia="zh-CN"/>
              </w:rPr>
              <w:t>2</w:t>
            </w:r>
            <w:r>
              <w:rPr>
                <w:rFonts w:hint="default" w:ascii="Times New Roman" w:hAnsi="Times New Roman" w:eastAsia="仿宋" w:cs="Times New Roman"/>
                <w:color w:val="auto"/>
                <w:sz w:val="24"/>
                <w:szCs w:val="24"/>
                <w:highlight w:val="none"/>
                <w:lang w:eastAsia="zh-CN"/>
              </w:rPr>
              <w:t>。项目施工时采取分层开挖，</w:t>
            </w:r>
            <w:r>
              <w:rPr>
                <w:rFonts w:hint="default" w:ascii="Times New Roman" w:hAnsi="Times New Roman" w:eastAsia="仿宋" w:cs="Times New Roman"/>
                <w:color w:val="auto"/>
                <w:sz w:val="24"/>
                <w:szCs w:val="24"/>
                <w:highlight w:val="none"/>
                <w:lang w:val="en-US" w:eastAsia="zh-CN"/>
              </w:rPr>
              <w:t>开挖</w:t>
            </w:r>
            <w:r>
              <w:rPr>
                <w:rFonts w:hint="default" w:ascii="Times New Roman" w:hAnsi="Times New Roman" w:eastAsia="仿宋" w:cs="Times New Roman"/>
                <w:color w:val="auto"/>
                <w:sz w:val="24"/>
                <w:szCs w:val="24"/>
                <w:highlight w:val="none"/>
                <w:lang w:eastAsia="zh-CN"/>
              </w:rPr>
              <w:t>表土后期由于占压土地植被恢复，建设完工后对占压土地以灌草结合的方式进行恢复，不会对区域生态系统产生明显不利影响。</w:t>
            </w:r>
          </w:p>
          <w:p w14:paraId="51C08A4F">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6</w:t>
            </w:r>
            <w:r>
              <w:rPr>
                <w:rFonts w:hint="default" w:ascii="Times New Roman" w:hAnsi="Times New Roman" w:eastAsia="仿宋" w:cs="Times New Roman"/>
                <w:b/>
                <w:bCs/>
                <w:color w:val="auto"/>
                <w:sz w:val="24"/>
                <w:szCs w:val="24"/>
                <w:highlight w:val="none"/>
                <w:lang w:eastAsia="zh-CN"/>
              </w:rPr>
              <w:t>）对评价范围内生态保护红线的生态环境影响分析</w:t>
            </w:r>
          </w:p>
          <w:p w14:paraId="4CBD1BD8">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eastAsia" w:cs="Times New Roman"/>
                <w:color w:val="auto"/>
                <w:sz w:val="24"/>
                <w:szCs w:val="24"/>
                <w:highlight w:val="none"/>
                <w:lang w:val="en-US" w:eastAsia="zh-CN"/>
              </w:rPr>
              <w:t>①</w:t>
            </w:r>
            <w:r>
              <w:rPr>
                <w:rFonts w:hint="default" w:ascii="Times New Roman" w:hAnsi="Times New Roman" w:eastAsia="仿宋" w:cs="Times New Roman"/>
                <w:color w:val="auto"/>
                <w:sz w:val="24"/>
                <w:szCs w:val="24"/>
                <w:highlight w:val="none"/>
                <w:lang w:eastAsia="zh-CN"/>
              </w:rPr>
              <w:t>线路跨越生态保护红线的工程内容</w:t>
            </w:r>
          </w:p>
          <w:p w14:paraId="1EED827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因项目起终点制约，并受生态保护红线分布、线路线性工程和地形地质条件的限制，项目共7段塔基跨越</w:t>
            </w:r>
            <w:r>
              <w:rPr>
                <w:rFonts w:hint="eastAsia" w:cs="Times New Roman"/>
                <w:color w:val="auto"/>
                <w:sz w:val="24"/>
                <w:szCs w:val="24"/>
                <w:highlight w:val="none"/>
                <w:lang w:eastAsia="zh-CN"/>
              </w:rPr>
              <w:t>生态保护红线</w:t>
            </w:r>
            <w:r>
              <w:rPr>
                <w:rFonts w:hint="default" w:ascii="Times New Roman" w:hAnsi="Times New Roman" w:eastAsia="仿宋" w:cs="Times New Roman"/>
                <w:color w:val="auto"/>
                <w:sz w:val="24"/>
                <w:szCs w:val="24"/>
                <w:highlight w:val="none"/>
                <w:lang w:eastAsia="zh-CN"/>
              </w:rPr>
              <w:t>，共计1746.19m。</w:t>
            </w:r>
            <w:r>
              <w:rPr>
                <w:rFonts w:hint="eastAsia" w:cs="Times New Roman"/>
                <w:color w:val="auto"/>
                <w:sz w:val="24"/>
                <w:szCs w:val="24"/>
                <w:highlight w:val="none"/>
                <w:lang w:val="en-US" w:eastAsia="zh-CN"/>
              </w:rPr>
              <w:t>集电</w:t>
            </w:r>
            <w:r>
              <w:rPr>
                <w:rFonts w:hint="default" w:ascii="Times New Roman" w:hAnsi="Times New Roman" w:eastAsia="仿宋" w:cs="Times New Roman"/>
                <w:color w:val="auto"/>
                <w:sz w:val="24"/>
                <w:szCs w:val="24"/>
                <w:highlight w:val="none"/>
                <w:lang w:eastAsia="zh-CN"/>
              </w:rPr>
              <w:t>线路以</w:t>
            </w:r>
            <w:r>
              <w:rPr>
                <w:rFonts w:hint="eastAsia" w:cs="Times New Roman"/>
                <w:color w:val="auto"/>
                <w:sz w:val="24"/>
                <w:szCs w:val="24"/>
                <w:highlight w:val="none"/>
                <w:lang w:val="en-US" w:eastAsia="zh-CN"/>
              </w:rPr>
              <w:t>架空线路的</w:t>
            </w:r>
            <w:r>
              <w:rPr>
                <w:rFonts w:hint="default" w:ascii="Times New Roman" w:hAnsi="Times New Roman" w:eastAsia="仿宋" w:cs="Times New Roman"/>
                <w:color w:val="auto"/>
                <w:sz w:val="24"/>
                <w:szCs w:val="24"/>
                <w:highlight w:val="none"/>
                <w:lang w:eastAsia="zh-CN"/>
              </w:rPr>
              <w:t>形式跨生态保护红线，红线类型为</w:t>
            </w:r>
            <w:r>
              <w:rPr>
                <w:rFonts w:hint="eastAsia" w:cs="Times New Roman"/>
                <w:color w:val="auto"/>
                <w:sz w:val="24"/>
                <w:szCs w:val="24"/>
                <w:highlight w:val="none"/>
                <w:lang w:val="en-US" w:eastAsia="zh-CN"/>
              </w:rPr>
              <w:t>水土流失控制类型</w:t>
            </w:r>
            <w:r>
              <w:rPr>
                <w:rFonts w:hint="default" w:ascii="Times New Roman" w:hAnsi="Times New Roman" w:eastAsia="仿宋" w:cs="Times New Roman"/>
                <w:color w:val="auto"/>
                <w:sz w:val="24"/>
                <w:szCs w:val="24"/>
                <w:highlight w:val="none"/>
                <w:lang w:eastAsia="zh-CN"/>
              </w:rPr>
              <w:t>，红线名称为</w:t>
            </w:r>
            <w:r>
              <w:rPr>
                <w:rFonts w:hint="default"/>
                <w:color w:val="auto"/>
                <w:highlight w:val="none"/>
              </w:rPr>
              <w:t>金沙江下游</w:t>
            </w:r>
            <w:r>
              <w:rPr>
                <w:rFonts w:hint="eastAsia"/>
                <w:color w:val="auto"/>
                <w:highlight w:val="none"/>
                <w:lang w:eastAsia="zh-CN"/>
              </w:rPr>
              <w:t>－</w:t>
            </w:r>
            <w:r>
              <w:rPr>
                <w:rFonts w:hint="default"/>
                <w:color w:val="auto"/>
                <w:highlight w:val="none"/>
              </w:rPr>
              <w:t>小江流域水土流失控制生态保护红线</w:t>
            </w:r>
            <w:r>
              <w:rPr>
                <w:rFonts w:hint="default" w:ascii="Times New Roman" w:hAnsi="Times New Roman" w:eastAsia="仿宋" w:cs="Times New Roman"/>
                <w:color w:val="auto"/>
                <w:sz w:val="24"/>
                <w:szCs w:val="24"/>
                <w:highlight w:val="none"/>
                <w:lang w:eastAsia="zh-CN"/>
              </w:rPr>
              <w:t>。工程永久和临时设施均不占用生态保护红线。线路跨越生态保护红线，线路采用高空架设，下导线对跨越的</w:t>
            </w:r>
            <w:r>
              <w:rPr>
                <w:rFonts w:hint="eastAsia" w:cs="Times New Roman"/>
                <w:color w:val="auto"/>
                <w:sz w:val="24"/>
                <w:szCs w:val="24"/>
                <w:highlight w:val="none"/>
                <w:lang w:eastAsia="zh-CN"/>
              </w:rPr>
              <w:t>生态保护红线</w:t>
            </w:r>
            <w:r>
              <w:rPr>
                <w:rFonts w:hint="default" w:ascii="Times New Roman" w:hAnsi="Times New Roman" w:eastAsia="仿宋" w:cs="Times New Roman"/>
                <w:color w:val="auto"/>
                <w:sz w:val="24"/>
                <w:szCs w:val="24"/>
                <w:highlight w:val="none"/>
                <w:lang w:eastAsia="zh-CN"/>
              </w:rPr>
              <w:t>高度均超过</w:t>
            </w:r>
            <w:r>
              <w:rPr>
                <w:rFonts w:hint="eastAsia" w:cs="Times New Roman"/>
                <w:color w:val="auto"/>
                <w:sz w:val="24"/>
                <w:szCs w:val="24"/>
                <w:highlight w:val="none"/>
                <w:lang w:val="en-US" w:eastAsia="zh-CN"/>
              </w:rPr>
              <w:t>18</w:t>
            </w:r>
            <w:r>
              <w:rPr>
                <w:rFonts w:hint="default" w:ascii="Times New Roman" w:hAnsi="Times New Roman" w:eastAsia="仿宋" w:cs="Times New Roman"/>
                <w:color w:val="auto"/>
                <w:sz w:val="24"/>
                <w:szCs w:val="24"/>
                <w:highlight w:val="none"/>
                <w:lang w:eastAsia="zh-CN"/>
              </w:rPr>
              <w:t>m。</w:t>
            </w:r>
          </w:p>
          <w:p w14:paraId="6CCC3398">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eastAsia" w:cs="Times New Roman"/>
                <w:color w:val="auto"/>
                <w:sz w:val="24"/>
                <w:szCs w:val="24"/>
                <w:highlight w:val="none"/>
                <w:lang w:val="en-US" w:eastAsia="zh-CN"/>
              </w:rPr>
              <w:t>②</w:t>
            </w:r>
            <w:r>
              <w:rPr>
                <w:rFonts w:hint="default" w:ascii="Times New Roman" w:hAnsi="Times New Roman" w:eastAsia="仿宋" w:cs="Times New Roman"/>
                <w:color w:val="auto"/>
                <w:sz w:val="24"/>
                <w:szCs w:val="24"/>
                <w:highlight w:val="none"/>
                <w:lang w:eastAsia="zh-CN"/>
              </w:rPr>
              <w:t>工程跨越生态保护红线段的影响及相关要求</w:t>
            </w:r>
          </w:p>
          <w:p w14:paraId="11D7972A">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根据现场调查，工程跨越生态保护红线段的植被主要为云南松林</w:t>
            </w:r>
            <w:r>
              <w:rPr>
                <w:rFonts w:hint="eastAsia" w:cs="Times New Roman"/>
                <w:color w:val="auto"/>
                <w:sz w:val="24"/>
                <w:szCs w:val="24"/>
                <w:highlight w:val="none"/>
                <w:lang w:val="en-US" w:eastAsia="zh-CN"/>
              </w:rPr>
              <w:t>和华山松</w:t>
            </w:r>
            <w:r>
              <w:rPr>
                <w:rFonts w:hint="default" w:ascii="Times New Roman" w:hAnsi="Times New Roman" w:eastAsia="仿宋" w:cs="Times New Roman"/>
                <w:color w:val="auto"/>
                <w:sz w:val="24"/>
                <w:szCs w:val="24"/>
                <w:highlight w:val="none"/>
                <w:lang w:eastAsia="zh-CN"/>
              </w:rPr>
              <w:t>，局部箐沟有少量</w:t>
            </w:r>
            <w:r>
              <w:rPr>
                <w:rFonts w:hint="eastAsia" w:cs="Times New Roman"/>
                <w:color w:val="auto"/>
                <w:sz w:val="24"/>
                <w:szCs w:val="24"/>
                <w:highlight w:val="none"/>
                <w:lang w:val="en-US" w:eastAsia="zh-CN"/>
              </w:rPr>
              <w:t>落叶</w:t>
            </w:r>
            <w:r>
              <w:rPr>
                <w:rFonts w:hint="default" w:ascii="Times New Roman" w:hAnsi="Times New Roman" w:eastAsia="仿宋" w:cs="Times New Roman"/>
                <w:color w:val="auto"/>
                <w:sz w:val="24"/>
                <w:szCs w:val="24"/>
                <w:highlight w:val="none"/>
                <w:lang w:eastAsia="zh-CN"/>
              </w:rPr>
              <w:t>阔叶林。从跨越的生态保护红线段的植被现状可知，生态保护红线多为次生植被，且历史人为干扰显著。</w:t>
            </w:r>
          </w:p>
          <w:p w14:paraId="46D626F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工程塔基毗邻生态保护红线段植被以云南松林为主，本项目占地区不占用生态保护红线，项目建设不会造成沿线生态保护红线植被面积的直接减少，生态保护红线范围内以针叶林生态系统为优势的现状不会发生改变，现有植物群落的物种组成也不会发生改变，生态系统的功能和其中的生态关系将基本维持不变。</w:t>
            </w:r>
          </w:p>
          <w:p w14:paraId="1E3D383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虽然工程建设不直接占用生态保护红线，但毗邻生态保护红线工程建设也将导致区域内陆栖脊椎动物的生境缩小，工程施工产生的噪声干扰、空气污染、施工振动等影响将迫使区域内生活的动物迁移出该区域，到不受影响的区域生活。结合现场调查，拟建工程的塔基毗邻生态保护红线，输电线路上跨生态保护红线，不会导致生态保护红线内的生境破碎化及片段化，区域活动的野生动物的栖息及活动面积几乎不减少，因此对生态保护红线内活动的野生动物的影响是短时且可逆的。进入运营期，工程仅偶有工人检修线路的低频次运维活动，所产生的临时性惊扰，对周边活动的动物的影响轻微。受工程建设影响时，这些动物能够快速逃离受影响区域，受工程建设伤害的几率很小。</w:t>
            </w:r>
          </w:p>
          <w:p w14:paraId="65DD714C">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根据现场踏查，工程跨越</w:t>
            </w:r>
            <w:r>
              <w:rPr>
                <w:rFonts w:hint="eastAsia" w:cs="Times New Roman"/>
                <w:color w:val="auto"/>
                <w:sz w:val="24"/>
                <w:szCs w:val="24"/>
                <w:highlight w:val="none"/>
                <w:lang w:eastAsia="zh-CN"/>
              </w:rPr>
              <w:t>生态保护红线</w:t>
            </w:r>
            <w:r>
              <w:rPr>
                <w:rFonts w:hint="default" w:ascii="Times New Roman" w:hAnsi="Times New Roman" w:eastAsia="仿宋" w:cs="Times New Roman"/>
                <w:color w:val="auto"/>
                <w:sz w:val="24"/>
                <w:szCs w:val="24"/>
                <w:highlight w:val="none"/>
                <w:lang w:eastAsia="zh-CN"/>
              </w:rPr>
              <w:t>段，占地区及邻近区域无国家级和云南省级野生保护植物分布，亦无其它珍稀濒危和狭域特有物种分布，工程建设对珍稀濒危保护植物无影响。工程范围内受影响的植物主要是保护区及周边区域的常见种和广布种，工程建设将在一定程度上造成这些植物种群数量的减少，但不会造成任何物种的濒危或灭绝，影响较小。</w:t>
            </w:r>
          </w:p>
          <w:p w14:paraId="04F65C14">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项目建设不会导致对沿线的生态保护红线形成切割，也不会改变该生态保护红线斑块整体的性质和功能。总体而言，本项目建设不会导致项目地生态保护红线面积减少、功能降低、性质改变，故而本项目</w:t>
            </w:r>
            <w:r>
              <w:rPr>
                <w:rFonts w:hint="eastAsia" w:cs="Times New Roman"/>
                <w:color w:val="auto"/>
                <w:sz w:val="24"/>
                <w:szCs w:val="24"/>
                <w:highlight w:val="none"/>
                <w:lang w:val="en-US" w:eastAsia="zh-CN"/>
              </w:rPr>
              <w:t>架空线路</w:t>
            </w:r>
            <w:r>
              <w:rPr>
                <w:rFonts w:hint="default" w:ascii="Times New Roman" w:hAnsi="Times New Roman" w:eastAsia="仿宋" w:cs="Times New Roman"/>
                <w:color w:val="auto"/>
                <w:sz w:val="24"/>
                <w:szCs w:val="24"/>
                <w:highlight w:val="none"/>
                <w:lang w:eastAsia="zh-CN"/>
              </w:rPr>
              <w:t>对生态保护红线的影响较小。</w:t>
            </w:r>
          </w:p>
          <w:p w14:paraId="581E4B41">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下阶段施工过程中，应做好施工人员的宣贯，并严格划定施工用地红线，严禁施工人员滥砍滥伐，严禁施工人员越界施工。本项目塔基施工时，对于塔基之间的</w:t>
            </w:r>
            <w:r>
              <w:rPr>
                <w:rFonts w:hint="eastAsia" w:cs="Times New Roman"/>
                <w:color w:val="auto"/>
                <w:sz w:val="24"/>
                <w:szCs w:val="24"/>
                <w:highlight w:val="none"/>
                <w:lang w:val="en-US" w:eastAsia="zh-CN"/>
              </w:rPr>
              <w:t>集电</w:t>
            </w:r>
            <w:r>
              <w:rPr>
                <w:rFonts w:hint="default" w:ascii="Times New Roman" w:hAnsi="Times New Roman" w:eastAsia="仿宋" w:cs="Times New Roman"/>
                <w:color w:val="auto"/>
                <w:sz w:val="24"/>
                <w:szCs w:val="24"/>
                <w:highlight w:val="none"/>
                <w:lang w:eastAsia="zh-CN"/>
              </w:rPr>
              <w:t>线路上跨生态保护红线段，应尽量安排施工人员从生态保护红线区域外绕行至塔基位置实施掏挖基坑和组立铁塔，使用无人机架设牵引绳牵引导线、牵张工艺拉紧导线的施工工艺，不在生态保护红线范围内设置“三场”以及牵张场、施工营地等施工场地。</w:t>
            </w:r>
          </w:p>
          <w:p w14:paraId="442CA44E">
            <w:pPr>
              <w:keepNext w:val="0"/>
              <w:keepLines w:val="0"/>
              <w:suppressLineNumbers w:val="0"/>
              <w:snapToGrid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7</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对评价范围内基本农田的影响分析</w:t>
            </w:r>
          </w:p>
          <w:p w14:paraId="467B00C0">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建设单位已根据当地自然资源局的要求，塔基</w:t>
            </w:r>
            <w:r>
              <w:rPr>
                <w:rFonts w:hint="eastAsia" w:cs="Times New Roman"/>
                <w:color w:val="auto"/>
                <w:sz w:val="24"/>
                <w:szCs w:val="24"/>
                <w:highlight w:val="none"/>
                <w:lang w:val="en-US" w:eastAsia="zh-CN"/>
              </w:rPr>
              <w:t>及光伏阵列</w:t>
            </w:r>
            <w:r>
              <w:rPr>
                <w:rFonts w:hint="default" w:cs="Times New Roman"/>
                <w:color w:val="auto"/>
                <w:sz w:val="24"/>
                <w:szCs w:val="24"/>
                <w:highlight w:val="none"/>
                <w:lang w:val="en-US" w:eastAsia="zh-CN"/>
              </w:rPr>
              <w:t>的占地区以及</w:t>
            </w:r>
            <w:r>
              <w:rPr>
                <w:rFonts w:hint="eastAsia" w:cs="Times New Roman"/>
                <w:color w:val="auto"/>
                <w:sz w:val="24"/>
                <w:szCs w:val="24"/>
                <w:highlight w:val="none"/>
                <w:lang w:val="en-US" w:eastAsia="zh-CN"/>
              </w:rPr>
              <w:t>施工临时用地均</w:t>
            </w:r>
            <w:r>
              <w:rPr>
                <w:rFonts w:hint="default" w:cs="Times New Roman"/>
                <w:color w:val="auto"/>
                <w:sz w:val="24"/>
                <w:szCs w:val="24"/>
                <w:highlight w:val="none"/>
                <w:lang w:val="en-US" w:eastAsia="zh-CN"/>
              </w:rPr>
              <w:t>对永久基本农田进行避让设计</w:t>
            </w:r>
            <w:r>
              <w:rPr>
                <w:rFonts w:hint="eastAsia" w:cs="Times New Roman"/>
                <w:color w:val="auto"/>
                <w:sz w:val="24"/>
                <w:szCs w:val="24"/>
                <w:highlight w:val="none"/>
                <w:lang w:val="en-US" w:eastAsia="zh-CN"/>
              </w:rPr>
              <w:t>。永久</w:t>
            </w:r>
            <w:r>
              <w:rPr>
                <w:rFonts w:hint="default" w:cs="Times New Roman"/>
                <w:color w:val="auto"/>
                <w:sz w:val="24"/>
                <w:szCs w:val="24"/>
                <w:highlight w:val="none"/>
                <w:lang w:val="en-US" w:eastAsia="zh-CN"/>
              </w:rPr>
              <w:t>以及临时占地均不占用永久基本农田。本项目仅有输电线路局部上跨永久基本农田，线路采用高空架设。设计施工方案均为人员从永久基本农田区域外绕行至塔基位置实施掏挖基坑和组立铁塔，使用无人机架设牵引绳牵引导线、牵张工艺拉紧导线的施工工艺，不在永久基本农田范围内设置“三场”以及牵张场、施工营地、施工道路等施工场地，在永久基本农田内无人为活动，无临时占地和永久占地。因此工程的建设对永久基本农田无影响。</w:t>
            </w:r>
          </w:p>
          <w:p w14:paraId="7E1A0380">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4.2.2</w:t>
            </w:r>
            <w:r>
              <w:rPr>
                <w:rFonts w:hint="default" w:ascii="Times New Roman" w:hAnsi="Times New Roman" w:eastAsia="仿宋" w:cs="Times New Roman"/>
                <w:b/>
                <w:color w:val="auto"/>
                <w:sz w:val="24"/>
                <w:szCs w:val="24"/>
                <w:highlight w:val="none"/>
              </w:rPr>
              <w:t>地表水环境影响分析</w:t>
            </w:r>
          </w:p>
          <w:p w14:paraId="1DD678EA">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项目施工期施工设备、车辆维修保养依托</w:t>
            </w:r>
            <w:r>
              <w:rPr>
                <w:rFonts w:hint="default" w:ascii="Times New Roman" w:hAnsi="Times New Roman" w:eastAsia="仿宋" w:cs="Times New Roman"/>
                <w:color w:val="auto"/>
                <w:sz w:val="24"/>
                <w:szCs w:val="24"/>
                <w:highlight w:val="none"/>
                <w:lang w:val="en-US" w:eastAsia="zh-CN"/>
              </w:rPr>
              <w:t>周边乡镇</w:t>
            </w:r>
            <w:r>
              <w:rPr>
                <w:rFonts w:hint="default" w:ascii="Times New Roman" w:hAnsi="Times New Roman" w:eastAsia="仿宋" w:cs="Times New Roman"/>
                <w:color w:val="auto"/>
                <w:sz w:val="24"/>
                <w:szCs w:val="24"/>
                <w:highlight w:val="none"/>
              </w:rPr>
              <w:t>现有的维修站，不在施工区内自设维修站。施工期废水主要来自施工人员生活污水、施工废水、地表径流。</w:t>
            </w:r>
          </w:p>
          <w:p w14:paraId="2BC22183">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1</w:t>
            </w:r>
            <w:r>
              <w:rPr>
                <w:rFonts w:hint="default" w:ascii="Times New Roman" w:hAnsi="Times New Roman" w:eastAsia="仿宋" w:cs="Times New Roman"/>
                <w:b/>
                <w:bCs/>
                <w:color w:val="auto"/>
                <w:sz w:val="24"/>
                <w:szCs w:val="24"/>
                <w:highlight w:val="none"/>
                <w:lang w:eastAsia="zh-CN"/>
              </w:rPr>
              <w:t>）施工废水</w:t>
            </w:r>
          </w:p>
          <w:p w14:paraId="6F5C0DEA">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项目施工期生产废水主要为设备清洗废水。</w:t>
            </w:r>
          </w:p>
          <w:p w14:paraId="4CC6C33E">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设备清洗废水主要为混凝土拌合系统、施工工具（铁锹等）清洗废水。清洗废水产生量较少，主要污染物为SS，污染物浓度可达2000mg/L，不含其他有毒有害污染物。项目工具集中进行冲洗，设置临时沉淀池，废水经沉淀池沉淀处理后回用于洒水降尘，不外排。</w:t>
            </w:r>
          </w:p>
          <w:p w14:paraId="5115D16F">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2</w:t>
            </w:r>
            <w:r>
              <w:rPr>
                <w:rFonts w:hint="default" w:ascii="Times New Roman" w:hAnsi="Times New Roman" w:eastAsia="仿宋" w:cs="Times New Roman"/>
                <w:b/>
                <w:bCs/>
                <w:color w:val="auto"/>
                <w:sz w:val="24"/>
                <w:szCs w:val="24"/>
                <w:highlight w:val="none"/>
                <w:lang w:eastAsia="zh-CN"/>
              </w:rPr>
              <w:t>）施工人员</w:t>
            </w:r>
            <w:r>
              <w:rPr>
                <w:rFonts w:hint="default" w:ascii="Times New Roman" w:hAnsi="Times New Roman" w:eastAsia="仿宋" w:cs="Times New Roman"/>
                <w:b/>
                <w:bCs/>
                <w:color w:val="auto"/>
                <w:sz w:val="24"/>
                <w:szCs w:val="24"/>
                <w:highlight w:val="none"/>
                <w:lang w:val="en-US" w:eastAsia="zh-CN"/>
              </w:rPr>
              <w:t>生活污水</w:t>
            </w:r>
          </w:p>
          <w:p w14:paraId="319F3B31">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该项目施工期高峰施工人员约150人，本项目不在项目区内设置施工生活区，项目在周边村镇租用民房作为本项目的办公生活区，办公生活过程会产生一定量的生活污水，用水量按0.06m</w:t>
            </w:r>
            <w:r>
              <w:rPr>
                <w:rFonts w:hint="default" w:ascii="Times New Roman" w:hAnsi="Times New Roman" w:eastAsia="仿宋" w:cs="Times New Roman"/>
                <w:color w:val="auto"/>
                <w:sz w:val="24"/>
                <w:szCs w:val="24"/>
                <w:highlight w:val="none"/>
                <w:vertAlign w:val="superscript"/>
                <w:lang w:eastAsia="zh-CN"/>
              </w:rPr>
              <w:t>3</w:t>
            </w:r>
            <w:r>
              <w:rPr>
                <w:rFonts w:hint="default" w:ascii="Times New Roman" w:hAnsi="Times New Roman" w:eastAsia="仿宋" w:cs="Times New Roman"/>
                <w:color w:val="auto"/>
                <w:sz w:val="24"/>
                <w:szCs w:val="24"/>
                <w:highlight w:val="none"/>
                <w:lang w:eastAsia="zh-CN"/>
              </w:rPr>
              <w:t>/人·d进行估算，则用水量为9m</w:t>
            </w:r>
            <w:r>
              <w:rPr>
                <w:rFonts w:hint="default" w:ascii="Times New Roman" w:hAnsi="Times New Roman" w:eastAsia="仿宋" w:cs="Times New Roman"/>
                <w:color w:val="auto"/>
                <w:sz w:val="24"/>
                <w:szCs w:val="24"/>
                <w:highlight w:val="none"/>
                <w:vertAlign w:val="superscript"/>
                <w:lang w:eastAsia="zh-CN"/>
              </w:rPr>
              <w:t>3</w:t>
            </w:r>
            <w:r>
              <w:rPr>
                <w:rFonts w:hint="default" w:ascii="Times New Roman" w:hAnsi="Times New Roman" w:eastAsia="仿宋" w:cs="Times New Roman"/>
                <w:color w:val="auto"/>
                <w:sz w:val="24"/>
                <w:szCs w:val="24"/>
                <w:highlight w:val="none"/>
                <w:lang w:eastAsia="zh-CN"/>
              </w:rPr>
              <w:t>/d，废水产生系数取0.9，则项目施工期施工人员生活污水产生量为8.1m</w:t>
            </w:r>
            <w:r>
              <w:rPr>
                <w:rFonts w:hint="default" w:ascii="Times New Roman" w:hAnsi="Times New Roman" w:eastAsia="仿宋" w:cs="Times New Roman"/>
                <w:color w:val="auto"/>
                <w:sz w:val="24"/>
                <w:szCs w:val="24"/>
                <w:highlight w:val="none"/>
                <w:vertAlign w:val="superscript"/>
                <w:lang w:eastAsia="zh-CN"/>
              </w:rPr>
              <w:t>3</w:t>
            </w:r>
            <w:r>
              <w:rPr>
                <w:rFonts w:hint="default" w:ascii="Times New Roman" w:hAnsi="Times New Roman" w:eastAsia="仿宋" w:cs="Times New Roman"/>
                <w:color w:val="auto"/>
                <w:sz w:val="24"/>
                <w:szCs w:val="24"/>
                <w:highlight w:val="none"/>
                <w:lang w:eastAsia="zh-CN"/>
              </w:rPr>
              <w:t>/d。经类比，生活污水的主要污染物及浓度为COD100mg/L，SS300mg/L，氨氮30mg/L，磷酸盐5mg/L。项目产生的施工人员生活污水依托租用民房现有化粪池</w:t>
            </w:r>
            <w:r>
              <w:rPr>
                <w:rFonts w:hint="default" w:ascii="Times New Roman" w:hAnsi="Times New Roman" w:eastAsia="仿宋" w:cs="Times New Roman"/>
                <w:color w:val="auto"/>
                <w:sz w:val="24"/>
                <w:szCs w:val="24"/>
                <w:highlight w:val="none"/>
                <w:lang w:val="en-US" w:eastAsia="zh-CN"/>
              </w:rPr>
              <w:t>等设施</w:t>
            </w:r>
            <w:r>
              <w:rPr>
                <w:rFonts w:hint="default" w:ascii="Times New Roman" w:hAnsi="Times New Roman" w:eastAsia="仿宋" w:cs="Times New Roman"/>
                <w:color w:val="auto"/>
                <w:sz w:val="24"/>
                <w:szCs w:val="24"/>
                <w:highlight w:val="none"/>
                <w:lang w:eastAsia="zh-CN"/>
              </w:rPr>
              <w:t>进行处理后定期清掏用作农肥。</w:t>
            </w:r>
          </w:p>
          <w:p w14:paraId="2A356272">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lang w:eastAsia="zh-CN"/>
              </w:rPr>
              <w:t>）雨天地表径流</w:t>
            </w:r>
          </w:p>
          <w:p w14:paraId="685B7D19">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雨季径流主要为雨季降水冲刷施工场地产生，不对光伏区进行地面平整。项目施工道路分散，雨天地表径流产生量少，所含污染物主要为SS，SS浓度为200～</w:t>
            </w:r>
            <w:r>
              <w:rPr>
                <w:rFonts w:hint="default"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lang w:eastAsia="zh-CN"/>
              </w:rPr>
              <w:t>00mg/L左右。</w:t>
            </w:r>
          </w:p>
          <w:p w14:paraId="5E3C58B3">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道路</w:t>
            </w:r>
            <w:r>
              <w:rPr>
                <w:rFonts w:hint="default" w:ascii="Times New Roman" w:hAnsi="Times New Roman" w:eastAsia="仿宋" w:cs="Times New Roman"/>
                <w:color w:val="auto"/>
                <w:sz w:val="24"/>
                <w:szCs w:val="24"/>
                <w:highlight w:val="none"/>
                <w:lang w:val="en-US" w:eastAsia="zh-CN"/>
              </w:rPr>
              <w:t>一</w:t>
            </w:r>
            <w:r>
              <w:rPr>
                <w:rFonts w:hint="default" w:ascii="Times New Roman" w:hAnsi="Times New Roman" w:eastAsia="仿宋" w:cs="Times New Roman"/>
                <w:color w:val="auto"/>
                <w:sz w:val="24"/>
                <w:szCs w:val="24"/>
                <w:highlight w:val="none"/>
                <w:lang w:eastAsia="zh-CN"/>
              </w:rPr>
              <w:t>侧设置</w:t>
            </w:r>
            <w:r>
              <w:rPr>
                <w:rFonts w:hint="default" w:ascii="Times New Roman" w:hAnsi="Times New Roman" w:eastAsia="仿宋" w:cs="Times New Roman"/>
                <w:color w:val="auto"/>
                <w:sz w:val="24"/>
                <w:szCs w:val="24"/>
                <w:highlight w:val="none"/>
                <w:lang w:val="en-US" w:eastAsia="zh-CN"/>
              </w:rPr>
              <w:t>临时</w:t>
            </w:r>
            <w:r>
              <w:rPr>
                <w:rFonts w:hint="default" w:ascii="Times New Roman" w:hAnsi="Times New Roman" w:eastAsia="仿宋" w:cs="Times New Roman"/>
                <w:color w:val="auto"/>
                <w:sz w:val="24"/>
                <w:szCs w:val="24"/>
                <w:highlight w:val="none"/>
                <w:lang w:eastAsia="zh-CN"/>
              </w:rPr>
              <w:t>排水沟，排水沟末端设置</w:t>
            </w:r>
            <w:r>
              <w:rPr>
                <w:rFonts w:hint="default" w:ascii="Times New Roman" w:hAnsi="Times New Roman" w:eastAsia="仿宋" w:cs="Times New Roman"/>
                <w:color w:val="auto"/>
                <w:sz w:val="24"/>
                <w:szCs w:val="24"/>
                <w:highlight w:val="none"/>
                <w:lang w:val="en-US" w:eastAsia="zh-CN"/>
              </w:rPr>
              <w:t>沉砂</w:t>
            </w:r>
            <w:r>
              <w:rPr>
                <w:rFonts w:hint="default" w:ascii="Times New Roman" w:hAnsi="Times New Roman" w:eastAsia="仿宋" w:cs="Times New Roman"/>
                <w:color w:val="auto"/>
                <w:sz w:val="24"/>
                <w:szCs w:val="24"/>
                <w:highlight w:val="none"/>
              </w:rPr>
              <w:t>池</w:t>
            </w:r>
            <w:r>
              <w:rPr>
                <w:rFonts w:hint="default" w:ascii="Times New Roman" w:hAnsi="Times New Roman" w:eastAsia="仿宋" w:cs="Times New Roman"/>
                <w:color w:val="auto"/>
                <w:sz w:val="24"/>
                <w:szCs w:val="24"/>
                <w:highlight w:val="none"/>
                <w:lang w:eastAsia="zh-CN"/>
              </w:rPr>
              <w:t>，初期雨水经沉淀后待非雨天回用于道路洒水降尘，对周围地表水体影响较小。</w:t>
            </w:r>
          </w:p>
          <w:p w14:paraId="6A66D7A8">
            <w:pPr>
              <w:keepNext w:val="0"/>
              <w:keepLines w:val="0"/>
              <w:suppressLineNumbers w:val="0"/>
              <w:snapToGrid w:val="0"/>
              <w:spacing w:before="0" w:beforeAutospacing="0" w:after="0" w:afterAutospacing="0" w:line="360" w:lineRule="auto"/>
              <w:ind w:left="0" w:right="0" w:firstLine="482" w:firstLineChars="200"/>
              <w:rPr>
                <w:rFonts w:hint="eastAsia" w:cs="Times New Roman"/>
                <w:color w:val="auto"/>
                <w:sz w:val="24"/>
                <w:szCs w:val="24"/>
                <w:highlight w:val="none"/>
                <w:lang w:val="en-US" w:eastAsia="zh-CN"/>
              </w:rPr>
            </w:pP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4</w:t>
            </w: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对跨越水体的影响分析</w:t>
            </w:r>
          </w:p>
          <w:p w14:paraId="37217051">
            <w:pPr>
              <w:keepNext w:val="0"/>
              <w:keepLines w:val="0"/>
              <w:suppressLineNumbers w:val="0"/>
              <w:snapToGrid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经调查，本项目架空线路主要跨越小河（牛栏江支流）、小街河（小河支流）、中寨河（小河上游）3条河流，以及山涧无名箐沟。项目施工范围不涉及《会泽县人民政府关于河道水库库区管理范围及禁止事项的通告》（会政发〔2022〕24号）所划定的河道管理范围，距离河道最近塔基为D3塔基，距离小河135m。</w:t>
            </w:r>
          </w:p>
          <w:p w14:paraId="695FFAAB">
            <w:pPr>
              <w:keepNext w:val="0"/>
              <w:keepLines w:val="0"/>
              <w:suppressLineNumbers w:val="0"/>
              <w:snapToGrid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项目塔基施工过程采用人工施工，施工材料利用无人机运送，不修建施工道路。塔基施工过程废水利用临时沉淀池沉淀后</w:t>
            </w:r>
            <w:r>
              <w:rPr>
                <w:rFonts w:hint="default" w:ascii="Times New Roman" w:hAnsi="Times New Roman" w:eastAsia="仿宋" w:cs="Times New Roman"/>
                <w:color w:val="auto"/>
                <w:sz w:val="24"/>
                <w:szCs w:val="24"/>
                <w:highlight w:val="none"/>
                <w:lang w:val="en-US" w:eastAsia="zh-CN"/>
              </w:rPr>
              <w:t>回用于洒水降尘，不外排</w:t>
            </w:r>
            <w:r>
              <w:rPr>
                <w:rFonts w:hint="eastAsia" w:cs="Times New Roman"/>
                <w:color w:val="auto"/>
                <w:sz w:val="24"/>
                <w:szCs w:val="24"/>
                <w:highlight w:val="none"/>
                <w:lang w:val="en-US" w:eastAsia="zh-CN"/>
              </w:rPr>
              <w:t>。同时，塔基施工过程废水主要为混凝土养护废水，产生量较少，少量滴漏不会形成地表径流，废水不会对跨越水体水质产生影响。</w:t>
            </w:r>
          </w:p>
          <w:p w14:paraId="1683B988">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架空线路跨越河道时采用无人机放线，不修建跨越场，无人机放线过程无废水产生，不会对跨越水体水质产生影响。</w:t>
            </w:r>
          </w:p>
          <w:p w14:paraId="557748CC">
            <w:pPr>
              <w:keepNext w:val="0"/>
              <w:keepLines w:val="0"/>
              <w:suppressLineNumbers w:val="0"/>
              <w:snapToGrid w:val="0"/>
              <w:spacing w:before="0" w:beforeAutospacing="0" w:after="0" w:afterAutospacing="0" w:line="360" w:lineRule="auto"/>
              <w:ind w:left="0" w:right="0" w:firstLine="482" w:firstLineChars="200"/>
              <w:rPr>
                <w:rFonts w:hint="eastAsia" w:cs="Times New Roman"/>
                <w:color w:val="auto"/>
                <w:sz w:val="24"/>
                <w:szCs w:val="24"/>
                <w:highlight w:val="none"/>
                <w:lang w:val="en-US" w:eastAsia="zh-CN"/>
              </w:rPr>
            </w:pPr>
            <w:r>
              <w:rPr>
                <w:rFonts w:hint="eastAsia" w:cs="Times New Roman"/>
                <w:b/>
                <w:bCs/>
                <w:color w:val="auto"/>
                <w:sz w:val="24"/>
                <w:szCs w:val="24"/>
                <w:highlight w:val="none"/>
                <w:lang w:val="en-US" w:eastAsia="zh-CN"/>
              </w:rPr>
              <w:t>（5）对牛栏江下游保护区的影响分析</w:t>
            </w:r>
          </w:p>
          <w:p w14:paraId="323070C4">
            <w:pPr>
              <w:keepNext w:val="0"/>
              <w:keepLines w:val="0"/>
              <w:suppressLineNumbers w:val="0"/>
              <w:snapToGrid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根据《云南省牛栏江保护条例》（2012年9月28日云南省第十一届人民代表大会常务委员会第三十四次会议通过）：本项目位于牛栏江德泽水库坝址以下集水区域为牛栏江流域下游保护区，且为下游保护区中水源涵养区。</w:t>
            </w:r>
          </w:p>
          <w:p w14:paraId="3A0BDA36">
            <w:pPr>
              <w:keepNext w:val="0"/>
              <w:keepLines w:val="0"/>
              <w:suppressLineNumbers w:val="0"/>
              <w:snapToGrid w:val="0"/>
              <w:spacing w:before="0" w:beforeAutospacing="0" w:after="0" w:afterAutospacing="0" w:line="360" w:lineRule="auto"/>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牛栏江下游保护区应按照《地表水环境质量标准》Ⅲ类水质标准进行保护。本项目施工期及营运期废水均可回用，不外排。且项目选址范围不涉及会泽县河道管理范围，项目建设不会对牛栏江水质产生影响。</w:t>
            </w:r>
          </w:p>
          <w:p w14:paraId="1A00B3F7">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项目永久占地面积较小，光伏阵列等临时占地在施工后及时对破坏植被进行修复，水土流失情况可控，不会对区域水源涵养功能造成影响。</w:t>
            </w:r>
          </w:p>
          <w:p w14:paraId="470ABF90">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 xml:space="preserve">4.2.3 </w:t>
            </w:r>
            <w:r>
              <w:rPr>
                <w:rFonts w:hint="default" w:ascii="Times New Roman" w:hAnsi="Times New Roman" w:eastAsia="仿宋" w:cs="Times New Roman"/>
                <w:b/>
                <w:color w:val="auto"/>
                <w:sz w:val="24"/>
                <w:szCs w:val="24"/>
                <w:highlight w:val="none"/>
              </w:rPr>
              <w:t>大气环境影响分析</w:t>
            </w:r>
          </w:p>
          <w:p w14:paraId="36D59BBD">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项目施工过程中产生的废气主要为扬尘，运输车辆、施工机械产生的尾气。</w:t>
            </w:r>
          </w:p>
          <w:p w14:paraId="1AF8A7BB">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（1）扬尘</w:t>
            </w:r>
          </w:p>
          <w:p w14:paraId="6DE8560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扬尘</w:t>
            </w:r>
            <w:r>
              <w:rPr>
                <w:rFonts w:hint="default" w:ascii="Times New Roman" w:hAnsi="Times New Roman" w:eastAsia="仿宋" w:cs="Times New Roman"/>
                <w:color w:val="auto"/>
                <w:sz w:val="24"/>
                <w:szCs w:val="24"/>
                <w:highlight w:val="none"/>
                <w:lang w:val="en-US" w:eastAsia="zh-CN"/>
              </w:rPr>
              <w:t>主要来自</w:t>
            </w:r>
            <w:r>
              <w:rPr>
                <w:rFonts w:hint="default" w:ascii="Times New Roman" w:hAnsi="Times New Roman" w:eastAsia="仿宋" w:cs="Times New Roman"/>
                <w:color w:val="auto"/>
                <w:sz w:val="24"/>
                <w:szCs w:val="24"/>
                <w:highlight w:val="none"/>
              </w:rPr>
              <w:t>场内道路修建、场地平整</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光伏阵列基础施工</w:t>
            </w:r>
            <w:r>
              <w:rPr>
                <w:rFonts w:hint="default" w:ascii="Times New Roman" w:hAnsi="Times New Roman" w:eastAsia="仿宋" w:cs="Times New Roman"/>
                <w:color w:val="auto"/>
                <w:sz w:val="24"/>
                <w:szCs w:val="24"/>
                <w:highlight w:val="none"/>
              </w:rPr>
              <w:t>、建材装卸等施工作业；施工形成的裸露地面在大风天气时将产生扬尘；施工车辆运送水泥、</w:t>
            </w:r>
            <w:r>
              <w:rPr>
                <w:rFonts w:hint="default" w:ascii="Times New Roman" w:hAnsi="Times New Roman" w:eastAsia="仿宋" w:cs="Times New Roman"/>
                <w:color w:val="auto"/>
                <w:sz w:val="24"/>
                <w:szCs w:val="24"/>
                <w:highlight w:val="none"/>
                <w:lang w:eastAsia="zh-CN"/>
              </w:rPr>
              <w:t>砂石</w:t>
            </w:r>
            <w:r>
              <w:rPr>
                <w:rFonts w:hint="default" w:ascii="Times New Roman" w:hAnsi="Times New Roman" w:eastAsia="仿宋" w:cs="Times New Roman"/>
                <w:color w:val="auto"/>
                <w:sz w:val="24"/>
                <w:szCs w:val="24"/>
                <w:highlight w:val="none"/>
              </w:rPr>
              <w:t>等材料也可能引起石料散落及道路扬尘。扬尘主要成分为TSP，不含其他有害成分。扬尘呈无组织排放，散落在施工场地和周围地表，并随降水的冲刷而转移至水体。在干季风大的情况下，以上施工过程会导致施工现场扬尘飞扬，使空气中粉尘颗粒物浓度升高，影响所在区周围的空气环境质量。</w:t>
            </w:r>
          </w:p>
          <w:p w14:paraId="2830959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扬尘产生浓度与施工现场条件、施工管理水平、施工机械化程度及施工季节、建设地区土质及天气等诸多因素有关。一般</w:t>
            </w:r>
            <w:r>
              <w:rPr>
                <w:rFonts w:hint="default" w:ascii="Times New Roman" w:hAnsi="Times New Roman" w:eastAsia="仿宋" w:cs="Times New Roman"/>
                <w:color w:val="auto"/>
                <w:sz w:val="24"/>
                <w:szCs w:val="24"/>
                <w:highlight w:val="none"/>
                <w:lang w:eastAsia="zh-CN"/>
              </w:rPr>
              <w:t>土质疏松</w:t>
            </w:r>
            <w:r>
              <w:rPr>
                <w:rFonts w:hint="default" w:ascii="Times New Roman" w:hAnsi="Times New Roman" w:eastAsia="仿宋" w:cs="Times New Roman"/>
                <w:color w:val="auto"/>
                <w:sz w:val="24"/>
                <w:szCs w:val="24"/>
                <w:highlight w:val="none"/>
              </w:rPr>
              <w:t>干燥，风大时产生扬尘较多，影响较大。类比云南省环境监测中心站对省内</w:t>
            </w:r>
            <w:r>
              <w:rPr>
                <w:rFonts w:hint="default" w:ascii="Times New Roman" w:hAnsi="Times New Roman" w:eastAsia="仿宋" w:cs="Times New Roman"/>
                <w:color w:val="auto"/>
                <w:sz w:val="24"/>
                <w:szCs w:val="24"/>
                <w:highlight w:val="none"/>
                <w:lang w:eastAsia="zh-CN"/>
              </w:rPr>
              <w:t>其他</w:t>
            </w:r>
            <w:r>
              <w:rPr>
                <w:rFonts w:hint="default" w:ascii="Times New Roman" w:hAnsi="Times New Roman" w:eastAsia="仿宋" w:cs="Times New Roman"/>
                <w:color w:val="auto"/>
                <w:sz w:val="24"/>
                <w:szCs w:val="24"/>
                <w:highlight w:val="none"/>
              </w:rPr>
              <w:t>建筑施工场地扬尘污染的监测结果，在距离施工现场边界下风向50m处，TSP浓度</w:t>
            </w:r>
            <w:r>
              <w:rPr>
                <w:rFonts w:hint="eastAsia" w:cs="Times New Roman"/>
                <w:color w:val="auto"/>
                <w:sz w:val="24"/>
                <w:szCs w:val="24"/>
                <w:highlight w:val="none"/>
                <w:lang w:eastAsia="zh-CN"/>
              </w:rPr>
              <w:t>达到</w:t>
            </w:r>
            <w:r>
              <w:rPr>
                <w:rFonts w:hint="default" w:ascii="Times New Roman" w:hAnsi="Times New Roman" w:eastAsia="仿宋" w:cs="Times New Roman"/>
                <w:color w:val="auto"/>
                <w:sz w:val="24"/>
                <w:szCs w:val="24"/>
                <w:highlight w:val="none"/>
              </w:rPr>
              <w:t>最大值4.53mg/m</w:t>
            </w:r>
            <w:r>
              <w:rPr>
                <w:rFonts w:hint="default" w:ascii="Times New Roman" w:hAnsi="Times New Roman" w:eastAsia="仿宋" w:cs="Times New Roman"/>
                <w:color w:val="auto"/>
                <w:sz w:val="24"/>
                <w:szCs w:val="24"/>
                <w:highlight w:val="none"/>
                <w:vertAlign w:val="superscript"/>
              </w:rPr>
              <w:t>3</w:t>
            </w:r>
            <w:r>
              <w:rPr>
                <w:rFonts w:hint="default" w:ascii="Times New Roman" w:hAnsi="Times New Roman" w:eastAsia="仿宋" w:cs="Times New Roman"/>
                <w:color w:val="auto"/>
                <w:sz w:val="24"/>
                <w:szCs w:val="24"/>
                <w:highlight w:val="none"/>
              </w:rPr>
              <w:t>，至150m处降至1.51mg/m</w:t>
            </w:r>
            <w:r>
              <w:rPr>
                <w:rFonts w:hint="default" w:ascii="Times New Roman" w:hAnsi="Times New Roman" w:eastAsia="仿宋" w:cs="Times New Roman"/>
                <w:color w:val="auto"/>
                <w:sz w:val="24"/>
                <w:szCs w:val="24"/>
                <w:highlight w:val="none"/>
                <w:vertAlign w:val="superscript"/>
              </w:rPr>
              <w:t>3</w:t>
            </w:r>
            <w:r>
              <w:rPr>
                <w:rFonts w:hint="default" w:ascii="Times New Roman" w:hAnsi="Times New Roman" w:eastAsia="仿宋" w:cs="Times New Roman"/>
                <w:color w:val="auto"/>
                <w:sz w:val="24"/>
                <w:szCs w:val="24"/>
                <w:highlight w:val="none"/>
              </w:rPr>
              <w:t>，至200m处TSP浓度降至1.0mg/m</w:t>
            </w:r>
            <w:r>
              <w:rPr>
                <w:rFonts w:hint="default" w:ascii="Times New Roman" w:hAnsi="Times New Roman" w:eastAsia="仿宋" w:cs="Times New Roman"/>
                <w:color w:val="auto"/>
                <w:sz w:val="24"/>
                <w:szCs w:val="24"/>
                <w:highlight w:val="none"/>
                <w:vertAlign w:val="superscript"/>
              </w:rPr>
              <w:t>3</w:t>
            </w:r>
            <w:r>
              <w:rPr>
                <w:rFonts w:hint="default" w:ascii="Times New Roman" w:hAnsi="Times New Roman" w:eastAsia="仿宋" w:cs="Times New Roman"/>
                <w:color w:val="auto"/>
                <w:sz w:val="24"/>
                <w:szCs w:val="24"/>
                <w:highlight w:val="none"/>
              </w:rPr>
              <w:t>以下，至300m处TSP浓度降至0.5mg/m</w:t>
            </w:r>
            <w:r>
              <w:rPr>
                <w:rFonts w:hint="default" w:ascii="Times New Roman" w:hAnsi="Times New Roman" w:eastAsia="仿宋" w:cs="Times New Roman"/>
                <w:color w:val="auto"/>
                <w:sz w:val="24"/>
                <w:szCs w:val="24"/>
                <w:highlight w:val="none"/>
                <w:vertAlign w:val="superscript"/>
              </w:rPr>
              <w:t>3</w:t>
            </w:r>
            <w:r>
              <w:rPr>
                <w:rFonts w:hint="default" w:ascii="Times New Roman" w:hAnsi="Times New Roman" w:eastAsia="仿宋" w:cs="Times New Roman"/>
                <w:color w:val="auto"/>
                <w:sz w:val="24"/>
                <w:szCs w:val="24"/>
                <w:highlight w:val="none"/>
              </w:rPr>
              <w:t>以下。经以上分析，施工期无组织排放的扬尘污染的范围主要集中在200m以内。</w:t>
            </w:r>
          </w:p>
          <w:p w14:paraId="24C3433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根据前文现状调查可知，本项目升压站</w:t>
            </w:r>
            <w:r>
              <w:rPr>
                <w:rFonts w:hint="eastAsia" w:cs="Times New Roman"/>
                <w:color w:val="auto"/>
                <w:sz w:val="24"/>
                <w:szCs w:val="24"/>
                <w:highlight w:val="none"/>
                <w:lang w:val="en-US" w:eastAsia="zh-CN"/>
              </w:rPr>
              <w:t>20</w:t>
            </w:r>
            <w:r>
              <w:rPr>
                <w:rFonts w:hint="default" w:ascii="Times New Roman" w:hAnsi="Times New Roman" w:eastAsia="仿宋" w:cs="Times New Roman"/>
                <w:color w:val="auto"/>
                <w:sz w:val="24"/>
                <w:szCs w:val="24"/>
                <w:highlight w:val="none"/>
                <w:lang w:val="en-US" w:eastAsia="zh-CN"/>
              </w:rPr>
              <w:t>0m范围内无环境敏感目标，</w:t>
            </w:r>
            <w:r>
              <w:rPr>
                <w:rFonts w:hint="eastAsia" w:cs="Times New Roman"/>
                <w:color w:val="auto"/>
                <w:sz w:val="24"/>
                <w:szCs w:val="24"/>
                <w:highlight w:val="none"/>
                <w:lang w:val="en-US" w:eastAsia="zh-CN"/>
              </w:rPr>
              <w:t>光伏方阵200m范围内涉及大丫口、唐家村、龙潭、酒房村、大箐湾子、义庄、山王庙、半山、堰边沟、周家沟、马路沟，共11个敏感点。</w:t>
            </w:r>
            <w:r>
              <w:rPr>
                <w:rFonts w:hint="default" w:ascii="Times New Roman" w:hAnsi="Times New Roman" w:eastAsia="仿宋" w:cs="Times New Roman"/>
                <w:color w:val="auto"/>
                <w:sz w:val="24"/>
                <w:szCs w:val="24"/>
                <w:highlight w:val="none"/>
                <w:lang w:val="en-US" w:eastAsia="zh-CN"/>
              </w:rPr>
              <w:t>为了减少</w:t>
            </w:r>
            <w:r>
              <w:rPr>
                <w:rFonts w:hint="eastAsia" w:cs="Times New Roman"/>
                <w:color w:val="auto"/>
                <w:sz w:val="24"/>
                <w:szCs w:val="24"/>
                <w:highlight w:val="none"/>
                <w:lang w:val="en-US" w:eastAsia="zh-CN"/>
              </w:rPr>
              <w:t>项目</w:t>
            </w:r>
            <w:r>
              <w:rPr>
                <w:rFonts w:hint="default" w:ascii="Times New Roman" w:hAnsi="Times New Roman" w:eastAsia="仿宋" w:cs="Times New Roman"/>
                <w:color w:val="auto"/>
                <w:sz w:val="24"/>
                <w:szCs w:val="24"/>
                <w:highlight w:val="none"/>
                <w:lang w:val="en-US" w:eastAsia="zh-CN"/>
              </w:rPr>
              <w:t>施工期</w:t>
            </w:r>
            <w:r>
              <w:rPr>
                <w:rFonts w:hint="eastAsia" w:cs="Times New Roman"/>
                <w:color w:val="auto"/>
                <w:sz w:val="24"/>
                <w:szCs w:val="24"/>
                <w:highlight w:val="none"/>
                <w:lang w:val="en-US" w:eastAsia="zh-CN"/>
              </w:rPr>
              <w:t>对上述敏感点</w:t>
            </w:r>
            <w:r>
              <w:rPr>
                <w:rFonts w:hint="default" w:ascii="Times New Roman" w:hAnsi="Times New Roman" w:eastAsia="仿宋" w:cs="Times New Roman"/>
                <w:color w:val="auto"/>
                <w:sz w:val="24"/>
                <w:szCs w:val="24"/>
                <w:highlight w:val="none"/>
                <w:lang w:val="en-US" w:eastAsia="zh-CN"/>
              </w:rPr>
              <w:t>的影响，建设单位采取以下措施降低施工大气环境影响：</w:t>
            </w:r>
          </w:p>
          <w:p w14:paraId="178AAFA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①对光伏阵列施工区场地进行采取洒水降尘；</w:t>
            </w:r>
          </w:p>
          <w:p w14:paraId="17F261B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②严禁在大风天进行施工、土石方及时回填压实；</w:t>
            </w:r>
          </w:p>
          <w:p w14:paraId="46A0DAA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③施工土石方临时堆场需采用防尘网进行遮盖；</w:t>
            </w:r>
          </w:p>
          <w:p w14:paraId="245EF40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④运输车辆在经过村庄时应减速慢行。</w:t>
            </w:r>
          </w:p>
          <w:p w14:paraId="7A3D677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综上所述，经采取以上措施后，项目施工期施工扬尘对周围居民影响不大。</w:t>
            </w:r>
          </w:p>
          <w:p w14:paraId="26A9B910">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2</w:t>
            </w:r>
            <w:r>
              <w:rPr>
                <w:rFonts w:hint="default" w:ascii="Times New Roman" w:hAnsi="Times New Roman" w:eastAsia="仿宋" w:cs="Times New Roman"/>
                <w:b/>
                <w:bCs/>
                <w:color w:val="auto"/>
                <w:sz w:val="24"/>
                <w:szCs w:val="24"/>
                <w:highlight w:val="none"/>
                <w:lang w:eastAsia="zh-CN"/>
              </w:rPr>
              <w:t>）施工机械及运输车辆废气对环境的影响</w:t>
            </w:r>
          </w:p>
          <w:p w14:paraId="75E54DC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根据工程分析，该项目施工中运输车辆及施工机械运行产生的废气均是动力燃料柴油和汽油燃烧后所产生，主要成分是烃类、CO和NO</w:t>
            </w:r>
            <w:r>
              <w:rPr>
                <w:rFonts w:hint="default" w:ascii="Times New Roman" w:hAnsi="Times New Roman" w:eastAsia="仿宋" w:cs="Times New Roman"/>
                <w:color w:val="auto"/>
                <w:sz w:val="24"/>
                <w:szCs w:val="24"/>
                <w:highlight w:val="none"/>
                <w:lang w:val="en-US" w:eastAsia="zh-CN"/>
              </w:rPr>
              <w:t>x</w:t>
            </w:r>
            <w:r>
              <w:rPr>
                <w:rFonts w:hint="default" w:ascii="Times New Roman" w:hAnsi="Times New Roman" w:eastAsia="仿宋" w:cs="Times New Roman"/>
                <w:color w:val="auto"/>
                <w:sz w:val="24"/>
                <w:szCs w:val="24"/>
                <w:highlight w:val="none"/>
                <w:lang w:eastAsia="zh-CN"/>
              </w:rPr>
              <w:t>等，其产生量及废气中污染物浓度视其使用频率及发动机对燃料的燃烧情况而异。施工机械废气属于无组织排放，具有间断性产生、产生量较小、产生点相对分散、易被稀释扩散等特点。故一般情况下，施工机械和运输车辆所产生污染在空气中经自然扩散和稀释后，对评价区域的空气环境质量影响不大</w:t>
            </w:r>
            <w:r>
              <w:rPr>
                <w:rFonts w:hint="default" w:ascii="Times New Roman" w:hAnsi="Times New Roman" w:eastAsia="仿宋" w:cs="Times New Roman"/>
                <w:color w:val="auto"/>
                <w:sz w:val="24"/>
                <w:szCs w:val="24"/>
                <w:highlight w:val="none"/>
              </w:rPr>
              <w:t>。</w:t>
            </w:r>
          </w:p>
          <w:p w14:paraId="381718F9">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 xml:space="preserve">4.2.4 </w:t>
            </w:r>
            <w:r>
              <w:rPr>
                <w:rFonts w:hint="default" w:ascii="Times New Roman" w:hAnsi="Times New Roman" w:eastAsia="仿宋" w:cs="Times New Roman"/>
                <w:b/>
                <w:color w:val="auto"/>
                <w:sz w:val="24"/>
                <w:szCs w:val="24"/>
                <w:highlight w:val="none"/>
                <w:lang w:eastAsia="zh-CN"/>
              </w:rPr>
              <w:t>声</w:t>
            </w:r>
            <w:r>
              <w:rPr>
                <w:rFonts w:hint="default" w:ascii="Times New Roman" w:hAnsi="Times New Roman" w:eastAsia="仿宋" w:cs="Times New Roman"/>
                <w:b/>
                <w:color w:val="auto"/>
                <w:sz w:val="24"/>
                <w:szCs w:val="24"/>
                <w:highlight w:val="none"/>
              </w:rPr>
              <w:t>环境影响分析</w:t>
            </w:r>
          </w:p>
          <w:p w14:paraId="328A49E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1、噪声源强</w:t>
            </w:r>
          </w:p>
          <w:p w14:paraId="7E4235A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施工噪声主要来源于升压站场地平整、基础开挖、光伏方阵设备安装、箱变/逆变基础施工、电缆沟施工、架空线路及塔基建设等施工行为。施工噪声主要分为，施工机械噪声和交通运输噪声。设备噪声主要有钻机、挖掘机、推土机等，交通噪声主要为运输车辆噪声。</w:t>
            </w:r>
          </w:p>
          <w:p w14:paraId="4D102DF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项目施工期间噪声源主要为机械噪声，施工建设过程中将使用挖掘机、运输车辆等噪声较大的设备及车辆进行施工，噪声源强为75-95dB（A），各施工阶段主要噪声源及其声级见下表。</w:t>
            </w:r>
          </w:p>
          <w:p w14:paraId="00C12E49">
            <w:pPr>
              <w:keepNext w:val="0"/>
              <w:keepLines w:val="0"/>
              <w:suppressLineNumbers w:val="0"/>
              <w:spacing w:before="0" w:beforeAutospacing="0" w:after="0" w:afterAutospacing="0"/>
              <w:ind w:left="0" w:right="0" w:firstLine="422"/>
              <w:jc w:val="center"/>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sz w:val="21"/>
                <w:szCs w:val="21"/>
                <w:highlight w:val="none"/>
              </w:rPr>
              <w:t>表</w:t>
            </w:r>
            <w:r>
              <w:rPr>
                <w:rFonts w:hint="eastAsia" w:cs="Times New Roman"/>
                <w:b/>
                <w:bCs/>
                <w:color w:val="auto"/>
                <w:sz w:val="21"/>
                <w:szCs w:val="21"/>
                <w:highlight w:val="none"/>
                <w:lang w:val="en-US" w:eastAsia="zh-CN"/>
              </w:rPr>
              <w:t xml:space="preserve">4.2-1 </w:t>
            </w:r>
            <w:r>
              <w:rPr>
                <w:rFonts w:hint="default" w:ascii="Times New Roman" w:hAnsi="Times New Roman" w:eastAsia="仿宋" w:cs="Times New Roman"/>
                <w:b/>
                <w:bCs/>
                <w:color w:val="auto"/>
                <w:sz w:val="21"/>
                <w:szCs w:val="21"/>
                <w:highlight w:val="none"/>
              </w:rPr>
              <w:t>各施工阶段主要噪声源源强</w:t>
            </w:r>
          </w:p>
          <w:tbl>
            <w:tblPr>
              <w:tblStyle w:val="10"/>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3912"/>
              <w:gridCol w:w="4395"/>
            </w:tblGrid>
            <w:tr w14:paraId="6E6A264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tblHeader/>
                <w:jc w:val="center"/>
              </w:trPr>
              <w:tc>
                <w:tcPr>
                  <w:tcW w:w="2354" w:type="pct"/>
                  <w:tcBorders>
                    <w:tl2br w:val="nil"/>
                    <w:tr2bl w:val="nil"/>
                  </w:tcBorders>
                  <w:vAlign w:val="center"/>
                </w:tcPr>
                <w:p w14:paraId="0E19652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声源</w:t>
                  </w:r>
                </w:p>
              </w:tc>
              <w:tc>
                <w:tcPr>
                  <w:tcW w:w="2645" w:type="pct"/>
                  <w:tcBorders>
                    <w:tl2br w:val="nil"/>
                    <w:tr2bl w:val="nil"/>
                  </w:tcBorders>
                  <w:vAlign w:val="center"/>
                </w:tcPr>
                <w:p w14:paraId="7F4AAA0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噪声源强dB（A）（1m外）</w:t>
                  </w:r>
                </w:p>
              </w:tc>
            </w:tr>
            <w:tr w14:paraId="082AA7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jc w:val="center"/>
              </w:trPr>
              <w:tc>
                <w:tcPr>
                  <w:tcW w:w="2354" w:type="pct"/>
                  <w:tcBorders>
                    <w:tl2br w:val="nil"/>
                    <w:tr2bl w:val="nil"/>
                  </w:tcBorders>
                  <w:vAlign w:val="center"/>
                </w:tcPr>
                <w:p w14:paraId="794C1F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挖掘机</w:t>
                  </w:r>
                </w:p>
              </w:tc>
              <w:tc>
                <w:tcPr>
                  <w:tcW w:w="2645" w:type="pct"/>
                  <w:tcBorders>
                    <w:tl2br w:val="nil"/>
                    <w:tr2bl w:val="nil"/>
                  </w:tcBorders>
                  <w:vAlign w:val="center"/>
                </w:tcPr>
                <w:p w14:paraId="7873A91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82</w:t>
                  </w:r>
                </w:p>
              </w:tc>
            </w:tr>
            <w:tr w14:paraId="71FC304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jc w:val="center"/>
              </w:trPr>
              <w:tc>
                <w:tcPr>
                  <w:tcW w:w="2354" w:type="pct"/>
                  <w:tcBorders>
                    <w:tl2br w:val="nil"/>
                    <w:tr2bl w:val="nil"/>
                  </w:tcBorders>
                  <w:vAlign w:val="center"/>
                </w:tcPr>
                <w:p w14:paraId="675B6E3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振捣器</w:t>
                  </w:r>
                </w:p>
              </w:tc>
              <w:tc>
                <w:tcPr>
                  <w:tcW w:w="2645" w:type="pct"/>
                  <w:tcBorders>
                    <w:tl2br w:val="nil"/>
                    <w:tr2bl w:val="nil"/>
                  </w:tcBorders>
                  <w:vAlign w:val="center"/>
                </w:tcPr>
                <w:p w14:paraId="39A109A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90</w:t>
                  </w:r>
                </w:p>
              </w:tc>
            </w:tr>
            <w:tr w14:paraId="6A80642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jc w:val="center"/>
              </w:trPr>
              <w:tc>
                <w:tcPr>
                  <w:tcW w:w="2354" w:type="pct"/>
                  <w:tcBorders>
                    <w:tl2br w:val="nil"/>
                    <w:tr2bl w:val="nil"/>
                  </w:tcBorders>
                  <w:vAlign w:val="center"/>
                </w:tcPr>
                <w:p w14:paraId="72D5AB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电锯</w:t>
                  </w:r>
                </w:p>
              </w:tc>
              <w:tc>
                <w:tcPr>
                  <w:tcW w:w="2645" w:type="pct"/>
                  <w:tcBorders>
                    <w:tl2br w:val="nil"/>
                    <w:tr2bl w:val="nil"/>
                  </w:tcBorders>
                  <w:vAlign w:val="center"/>
                </w:tcPr>
                <w:p w14:paraId="0A188A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95</w:t>
                  </w:r>
                </w:p>
              </w:tc>
            </w:tr>
            <w:tr w14:paraId="0CB067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jc w:val="center"/>
              </w:trPr>
              <w:tc>
                <w:tcPr>
                  <w:tcW w:w="2354" w:type="pct"/>
                  <w:tcBorders>
                    <w:tl2br w:val="nil"/>
                    <w:tr2bl w:val="nil"/>
                  </w:tcBorders>
                  <w:vAlign w:val="center"/>
                </w:tcPr>
                <w:p w14:paraId="5A8F14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电焊机</w:t>
                  </w:r>
                </w:p>
              </w:tc>
              <w:tc>
                <w:tcPr>
                  <w:tcW w:w="2645" w:type="pct"/>
                  <w:tcBorders>
                    <w:tl2br w:val="nil"/>
                    <w:tr2bl w:val="nil"/>
                  </w:tcBorders>
                  <w:vAlign w:val="center"/>
                </w:tcPr>
                <w:p w14:paraId="3E16D3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80</w:t>
                  </w:r>
                </w:p>
              </w:tc>
            </w:tr>
            <w:tr w14:paraId="796EF39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jc w:val="center"/>
              </w:trPr>
              <w:tc>
                <w:tcPr>
                  <w:tcW w:w="2354" w:type="pct"/>
                  <w:tcBorders>
                    <w:tl2br w:val="nil"/>
                    <w:tr2bl w:val="nil"/>
                  </w:tcBorders>
                  <w:vAlign w:val="center"/>
                </w:tcPr>
                <w:p w14:paraId="667101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推土机</w:t>
                  </w:r>
                </w:p>
              </w:tc>
              <w:tc>
                <w:tcPr>
                  <w:tcW w:w="2645" w:type="pct"/>
                  <w:tcBorders>
                    <w:tl2br w:val="nil"/>
                    <w:tr2bl w:val="nil"/>
                  </w:tcBorders>
                  <w:vAlign w:val="center"/>
                </w:tcPr>
                <w:p w14:paraId="1847114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79</w:t>
                  </w:r>
                </w:p>
              </w:tc>
            </w:tr>
            <w:tr w14:paraId="728446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8" w:hRule="atLeast"/>
                <w:jc w:val="center"/>
              </w:trPr>
              <w:tc>
                <w:tcPr>
                  <w:tcW w:w="2354" w:type="pct"/>
                  <w:tcBorders>
                    <w:tl2br w:val="nil"/>
                    <w:tr2bl w:val="nil"/>
                  </w:tcBorders>
                  <w:vAlign w:val="center"/>
                </w:tcPr>
                <w:p w14:paraId="30849C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电钻</w:t>
                  </w:r>
                </w:p>
              </w:tc>
              <w:tc>
                <w:tcPr>
                  <w:tcW w:w="2645" w:type="pct"/>
                  <w:tcBorders>
                    <w:tl2br w:val="nil"/>
                    <w:tr2bl w:val="nil"/>
                  </w:tcBorders>
                  <w:vAlign w:val="center"/>
                </w:tcPr>
                <w:p w14:paraId="6A77019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95</w:t>
                  </w:r>
                </w:p>
              </w:tc>
            </w:tr>
            <w:tr w14:paraId="796548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23" w:hRule="atLeast"/>
                <w:jc w:val="center"/>
              </w:trPr>
              <w:tc>
                <w:tcPr>
                  <w:tcW w:w="2354" w:type="pct"/>
                  <w:tcBorders>
                    <w:tl2br w:val="nil"/>
                    <w:tr2bl w:val="nil"/>
                  </w:tcBorders>
                  <w:vAlign w:val="center"/>
                </w:tcPr>
                <w:p w14:paraId="578834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运输车辆</w:t>
                  </w:r>
                </w:p>
              </w:tc>
              <w:tc>
                <w:tcPr>
                  <w:tcW w:w="2645" w:type="pct"/>
                  <w:tcBorders>
                    <w:tl2br w:val="nil"/>
                    <w:tr2bl w:val="nil"/>
                  </w:tcBorders>
                  <w:vAlign w:val="center"/>
                </w:tcPr>
                <w:p w14:paraId="1F4D73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75</w:t>
                  </w:r>
                </w:p>
              </w:tc>
            </w:tr>
          </w:tbl>
          <w:p w14:paraId="70E27A2D">
            <w:pPr>
              <w:keepNext w:val="0"/>
              <w:keepLines w:val="0"/>
              <w:suppressLineNumbers w:val="0"/>
              <w:spacing w:before="0" w:beforeAutospacing="0" w:after="0" w:afterAutospacing="0"/>
              <w:ind w:left="0" w:right="0" w:firstLine="0" w:firstLineChars="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drawing>
                <wp:inline distT="0" distB="0" distL="0" distR="0">
                  <wp:extent cx="4852670" cy="4859655"/>
                  <wp:effectExtent l="0" t="0" r="5080" b="17145"/>
                  <wp:docPr id="795974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4611" name="图片 1"/>
                          <pic:cNvPicPr>
                            <a:picLocks noChangeAspect="1"/>
                          </pic:cNvPicPr>
                        </pic:nvPicPr>
                        <pic:blipFill>
                          <a:blip r:embed="rId44"/>
                          <a:stretch>
                            <a:fillRect/>
                          </a:stretch>
                        </pic:blipFill>
                        <pic:spPr>
                          <a:xfrm>
                            <a:off x="0" y="0"/>
                            <a:ext cx="4852670" cy="4859655"/>
                          </a:xfrm>
                          <a:prstGeom prst="rect">
                            <a:avLst/>
                          </a:prstGeom>
                        </pic:spPr>
                      </pic:pic>
                    </a:graphicData>
                  </a:graphic>
                </wp:inline>
              </w:drawing>
            </w:r>
          </w:p>
          <w:p w14:paraId="083D1914">
            <w:pPr>
              <w:keepNext w:val="0"/>
              <w:keepLines w:val="0"/>
              <w:suppressLineNumbers w:val="0"/>
              <w:spacing w:before="0" w:beforeAutospacing="0" w:after="0" w:afterAutospacing="0"/>
              <w:ind w:left="0" w:right="0" w:firstLine="0" w:firstLineChars="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图</w:t>
            </w:r>
            <w:r>
              <w:rPr>
                <w:rFonts w:hint="eastAsia" w:cs="Times New Roman"/>
                <w:color w:val="auto"/>
                <w:highlight w:val="none"/>
                <w:lang w:val="en-US" w:eastAsia="zh-CN"/>
              </w:rPr>
              <w:t xml:space="preserve">4.2-2 </w:t>
            </w:r>
            <w:r>
              <w:rPr>
                <w:rFonts w:hint="default" w:ascii="Times New Roman" w:hAnsi="Times New Roman" w:eastAsia="仿宋" w:cs="Times New Roman"/>
                <w:color w:val="auto"/>
                <w:highlight w:val="none"/>
              </w:rPr>
              <w:t>钻孔设备实例图</w:t>
            </w:r>
          </w:p>
          <w:p w14:paraId="03D58412">
            <w:pPr>
              <w:keepNext w:val="0"/>
              <w:keepLines w:val="0"/>
              <w:suppressLineNumbers w:val="0"/>
              <w:spacing w:before="0" w:beforeAutospacing="0" w:after="0" w:afterAutospacing="0"/>
              <w:ind w:left="0" w:right="0" w:firstLine="0" w:firstLineChars="0"/>
              <w:rPr>
                <w:rFonts w:hint="default" w:ascii="Times New Roman" w:hAnsi="Times New Roman" w:eastAsia="仿宋" w:cs="Times New Roman"/>
                <w:color w:val="auto"/>
                <w:highlight w:val="none"/>
              </w:rPr>
            </w:pPr>
          </w:p>
          <w:p w14:paraId="31385E10">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2、噪声影响分析</w:t>
            </w:r>
          </w:p>
          <w:p w14:paraId="5A7D5624">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施工机械中除各种运输车辆外，一般可视为固定声源。在不</w:t>
            </w:r>
            <w:r>
              <w:rPr>
                <w:rFonts w:hint="eastAsia" w:cs="Times New Roman"/>
                <w:color w:val="auto"/>
                <w:sz w:val="24"/>
                <w:szCs w:val="24"/>
                <w:highlight w:val="none"/>
                <w:lang w:val="en-US" w:eastAsia="zh-CN"/>
              </w:rPr>
              <w:t>考虑其他</w:t>
            </w:r>
            <w:r>
              <w:rPr>
                <w:rFonts w:hint="default" w:ascii="Times New Roman" w:hAnsi="Times New Roman" w:eastAsia="仿宋" w:cs="Times New Roman"/>
                <w:color w:val="auto"/>
                <w:sz w:val="24"/>
                <w:szCs w:val="24"/>
                <w:highlight w:val="none"/>
                <w:lang w:val="en-US" w:eastAsia="zh-CN"/>
              </w:rPr>
              <w:t>因素情况下，不同距离处施工机械噪声预测模式如下：</w:t>
            </w:r>
          </w:p>
          <w:p w14:paraId="155E841D">
            <w:pPr>
              <w:keepNext w:val="0"/>
              <w:keepLines w:val="0"/>
              <w:suppressLineNumbers w:val="0"/>
              <w:snapToGrid w:val="0"/>
              <w:spacing w:before="0" w:beforeAutospacing="0" w:after="0" w:afterAutospacing="0" w:line="360" w:lineRule="auto"/>
              <w:ind w:left="0" w:right="0" w:firstLine="480" w:firstLineChars="200"/>
              <w:jc w:val="center"/>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object>
                <v:shape id="_x0000_i1028" o:spt="75" type="#_x0000_t75" style="height:14.4pt;width:108.65pt;" o:ole="t" filled="f" o:preferrelative="t" stroked="f" coordsize="21600,21600">
                  <v:path/>
                  <v:fill on="f" focussize="0,0"/>
                  <v:stroke on="f" joinstyle="miter"/>
                  <v:imagedata r:id="rId46" o:title=""/>
                  <o:lock v:ext="edit" aspectratio="t"/>
                  <w10:wrap type="none"/>
                  <w10:anchorlock/>
                </v:shape>
                <o:OLEObject Type="Embed" ProgID="Equation.3" ShapeID="_x0000_i1028" DrawAspect="Content" ObjectID="_1468075728" r:id="rId45">
                  <o:LockedField>false</o:LockedField>
                </o:OLEObject>
              </w:object>
            </w:r>
          </w:p>
          <w:p w14:paraId="65FF08A0">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式中：L1—距声源为r1处的声压级，dB（A）；</w:t>
            </w:r>
          </w:p>
          <w:p w14:paraId="03FAD5E5">
            <w:pPr>
              <w:keepNext w:val="0"/>
              <w:keepLines w:val="0"/>
              <w:suppressLineNumbers w:val="0"/>
              <w:snapToGrid w:val="0"/>
              <w:spacing w:before="0" w:beforeAutospacing="0" w:after="0" w:afterAutospacing="0" w:line="360" w:lineRule="auto"/>
              <w:ind w:left="0" w:right="0" w:firstLine="1200" w:firstLineChars="5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L2—距声源为r2</w:t>
            </w:r>
            <w:r>
              <w:rPr>
                <w:rFonts w:hint="default" w:ascii="Times New Roman" w:hAnsi="Times New Roman" w:eastAsia="仿宋" w:cs="Times New Roman"/>
                <w:color w:val="auto"/>
                <w:sz w:val="24"/>
                <w:szCs w:val="24"/>
                <w:highlight w:val="none"/>
                <w:lang w:val="en-GB" w:eastAsia="zh-CN"/>
              </w:rPr>
              <w:t>处</w:t>
            </w:r>
            <w:r>
              <w:rPr>
                <w:rFonts w:hint="default" w:ascii="Times New Roman" w:hAnsi="Times New Roman" w:eastAsia="仿宋" w:cs="Times New Roman"/>
                <w:color w:val="auto"/>
                <w:sz w:val="24"/>
                <w:szCs w:val="24"/>
                <w:highlight w:val="none"/>
                <w:lang w:val="en-US" w:eastAsia="zh-CN"/>
              </w:rPr>
              <w:t>的声压级，dB（A）；</w:t>
            </w:r>
          </w:p>
          <w:p w14:paraId="48EC57A8">
            <w:pPr>
              <w:keepNext w:val="0"/>
              <w:keepLines w:val="0"/>
              <w:suppressLineNumbers w:val="0"/>
              <w:snapToGrid w:val="0"/>
              <w:spacing w:before="0" w:beforeAutospacing="0" w:after="0" w:afterAutospacing="0" w:line="360" w:lineRule="auto"/>
              <w:ind w:left="0" w:right="0" w:firstLine="1200" w:firstLineChars="5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r1、r2—分别为测点1、2与声源的距离，m。</w:t>
            </w:r>
          </w:p>
          <w:p w14:paraId="2DEB9AFA">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项目施工期主要的噪声源，各施工机械设备等效声级影响范围见下表。</w:t>
            </w:r>
          </w:p>
          <w:p w14:paraId="42A54595">
            <w:pPr>
              <w:keepNext w:val="0"/>
              <w:keepLines w:val="0"/>
              <w:suppressLineNumbers w:val="0"/>
              <w:spacing w:before="0" w:beforeAutospacing="0" w:after="0" w:afterAutospacing="0"/>
              <w:ind w:left="0" w:right="0" w:firstLine="0" w:firstLineChars="0"/>
              <w:jc w:val="center"/>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sz w:val="21"/>
                <w:szCs w:val="21"/>
                <w:highlight w:val="none"/>
              </w:rPr>
              <w:t>表</w:t>
            </w:r>
            <w:r>
              <w:rPr>
                <w:rFonts w:hint="default" w:ascii="Times New Roman" w:hAnsi="Times New Roman" w:eastAsia="仿宋"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.2</w:t>
            </w:r>
            <w:r>
              <w:rPr>
                <w:rFonts w:hint="default" w:ascii="Times New Roman" w:hAnsi="Times New Roman" w:eastAsia="仿宋" w:cs="Times New Roman"/>
                <w:b/>
                <w:bCs/>
                <w:color w:val="auto"/>
                <w:sz w:val="21"/>
                <w:szCs w:val="21"/>
                <w:highlight w:val="none"/>
                <w:lang w:val="en-US" w:eastAsia="zh-CN"/>
              </w:rPr>
              <w:t>-2</w:t>
            </w:r>
            <w:r>
              <w:rPr>
                <w:rFonts w:hint="default" w:ascii="Times New Roman" w:hAnsi="Times New Roman" w:eastAsia="仿宋" w:cs="Times New Roman"/>
                <w:b/>
                <w:bCs/>
                <w:color w:val="auto"/>
                <w:sz w:val="21"/>
                <w:szCs w:val="21"/>
                <w:highlight w:val="none"/>
              </w:rPr>
              <w:t xml:space="preserve"> 距声源不同距离处的噪声值单位：dB（A）</w:t>
            </w:r>
          </w:p>
          <w:tbl>
            <w:tblPr>
              <w:tblStyle w:val="10"/>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909"/>
              <w:gridCol w:w="676"/>
              <w:gridCol w:w="676"/>
              <w:gridCol w:w="696"/>
              <w:gridCol w:w="696"/>
              <w:gridCol w:w="696"/>
              <w:gridCol w:w="706"/>
              <w:gridCol w:w="819"/>
              <w:gridCol w:w="820"/>
              <w:gridCol w:w="820"/>
            </w:tblGrid>
            <w:tr w14:paraId="554865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4" w:type="pct"/>
                  <w:tcBorders>
                    <w:tl2br w:val="nil"/>
                    <w:tr2bl w:val="nil"/>
                  </w:tcBorders>
                  <w:vAlign w:val="center"/>
                </w:tcPr>
                <w:p w14:paraId="596B3A05">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设备名称</w:t>
                  </w:r>
                </w:p>
              </w:tc>
              <w:tc>
                <w:tcPr>
                  <w:tcW w:w="547" w:type="pct"/>
                  <w:tcBorders>
                    <w:tl2br w:val="nil"/>
                    <w:tr2bl w:val="nil"/>
                  </w:tcBorders>
                  <w:vAlign w:val="center"/>
                </w:tcPr>
                <w:p w14:paraId="019DCA4E">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源强1m</w:t>
                  </w:r>
                </w:p>
              </w:tc>
              <w:tc>
                <w:tcPr>
                  <w:tcW w:w="407" w:type="pct"/>
                  <w:tcBorders>
                    <w:tl2br w:val="nil"/>
                    <w:tr2bl w:val="nil"/>
                  </w:tcBorders>
                  <w:vAlign w:val="center"/>
                </w:tcPr>
                <w:p w14:paraId="1D66C8D0">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2m</w:t>
                  </w:r>
                </w:p>
              </w:tc>
              <w:tc>
                <w:tcPr>
                  <w:tcW w:w="407" w:type="pct"/>
                  <w:tcBorders>
                    <w:tl2br w:val="nil"/>
                    <w:tr2bl w:val="nil"/>
                  </w:tcBorders>
                  <w:vAlign w:val="center"/>
                </w:tcPr>
                <w:p w14:paraId="0B328911">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5m</w:t>
                  </w:r>
                </w:p>
              </w:tc>
              <w:tc>
                <w:tcPr>
                  <w:tcW w:w="419" w:type="pct"/>
                  <w:tcBorders>
                    <w:tl2br w:val="nil"/>
                    <w:tr2bl w:val="nil"/>
                  </w:tcBorders>
                  <w:vAlign w:val="center"/>
                </w:tcPr>
                <w:p w14:paraId="2CC10451">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10m</w:t>
                  </w:r>
                </w:p>
              </w:tc>
              <w:tc>
                <w:tcPr>
                  <w:tcW w:w="419" w:type="pct"/>
                  <w:tcBorders>
                    <w:tl2br w:val="nil"/>
                    <w:tr2bl w:val="nil"/>
                  </w:tcBorders>
                  <w:vAlign w:val="center"/>
                </w:tcPr>
                <w:p w14:paraId="03CF5CED">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20m</w:t>
                  </w:r>
                </w:p>
              </w:tc>
              <w:tc>
                <w:tcPr>
                  <w:tcW w:w="419" w:type="pct"/>
                  <w:tcBorders>
                    <w:tl2br w:val="nil"/>
                    <w:tr2bl w:val="nil"/>
                  </w:tcBorders>
                  <w:vAlign w:val="center"/>
                </w:tcPr>
                <w:p w14:paraId="452CA27D">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30m</w:t>
                  </w:r>
                </w:p>
              </w:tc>
              <w:tc>
                <w:tcPr>
                  <w:tcW w:w="425" w:type="pct"/>
                  <w:tcBorders>
                    <w:tl2br w:val="nil"/>
                    <w:tr2bl w:val="nil"/>
                  </w:tcBorders>
                  <w:vAlign w:val="center"/>
                </w:tcPr>
                <w:p w14:paraId="5C6261F3">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50m</w:t>
                  </w:r>
                </w:p>
              </w:tc>
              <w:tc>
                <w:tcPr>
                  <w:tcW w:w="493" w:type="pct"/>
                  <w:tcBorders>
                    <w:tl2br w:val="nil"/>
                    <w:tr2bl w:val="nil"/>
                  </w:tcBorders>
                  <w:vAlign w:val="center"/>
                </w:tcPr>
                <w:p w14:paraId="455482D7">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100m</w:t>
                  </w:r>
                </w:p>
              </w:tc>
              <w:tc>
                <w:tcPr>
                  <w:tcW w:w="493" w:type="pct"/>
                  <w:tcBorders>
                    <w:tl2br w:val="nil"/>
                    <w:tr2bl w:val="nil"/>
                  </w:tcBorders>
                  <w:vAlign w:val="center"/>
                </w:tcPr>
                <w:p w14:paraId="562C4A98">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150m</w:t>
                  </w:r>
                </w:p>
              </w:tc>
              <w:tc>
                <w:tcPr>
                  <w:tcW w:w="493" w:type="pct"/>
                  <w:tcBorders>
                    <w:tl2br w:val="nil"/>
                    <w:tr2bl w:val="nil"/>
                  </w:tcBorders>
                  <w:vAlign w:val="center"/>
                </w:tcPr>
                <w:p w14:paraId="7C3696E9">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200m</w:t>
                  </w:r>
                </w:p>
              </w:tc>
            </w:tr>
            <w:tr w14:paraId="7FED22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74" w:type="pct"/>
                  <w:tcBorders>
                    <w:tl2br w:val="nil"/>
                    <w:tr2bl w:val="nil"/>
                  </w:tcBorders>
                  <w:vAlign w:val="center"/>
                </w:tcPr>
                <w:p w14:paraId="557823C0">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挖掘机</w:t>
                  </w:r>
                </w:p>
              </w:tc>
              <w:tc>
                <w:tcPr>
                  <w:tcW w:w="547" w:type="pct"/>
                  <w:tcBorders>
                    <w:tl2br w:val="nil"/>
                    <w:tr2bl w:val="nil"/>
                  </w:tcBorders>
                  <w:vAlign w:val="center"/>
                </w:tcPr>
                <w:p w14:paraId="7D00687E">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82</w:t>
                  </w:r>
                </w:p>
              </w:tc>
              <w:tc>
                <w:tcPr>
                  <w:tcW w:w="407" w:type="pct"/>
                  <w:tcBorders>
                    <w:tl2br w:val="nil"/>
                    <w:tr2bl w:val="nil"/>
                  </w:tcBorders>
                  <w:vAlign w:val="center"/>
                </w:tcPr>
                <w:p w14:paraId="13B5B19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76.0</w:t>
                  </w:r>
                </w:p>
              </w:tc>
              <w:tc>
                <w:tcPr>
                  <w:tcW w:w="407" w:type="pct"/>
                  <w:tcBorders>
                    <w:tl2br w:val="nil"/>
                    <w:tr2bl w:val="nil"/>
                  </w:tcBorders>
                  <w:vAlign w:val="center"/>
                </w:tcPr>
                <w:p w14:paraId="3C6BE060">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68.0</w:t>
                  </w:r>
                </w:p>
              </w:tc>
              <w:tc>
                <w:tcPr>
                  <w:tcW w:w="419" w:type="pct"/>
                  <w:tcBorders>
                    <w:tl2br w:val="nil"/>
                    <w:tr2bl w:val="nil"/>
                  </w:tcBorders>
                  <w:vAlign w:val="center"/>
                </w:tcPr>
                <w:p w14:paraId="118BA4E2">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62.0</w:t>
                  </w:r>
                </w:p>
              </w:tc>
              <w:tc>
                <w:tcPr>
                  <w:tcW w:w="419" w:type="pct"/>
                  <w:tcBorders>
                    <w:tl2br w:val="nil"/>
                    <w:tr2bl w:val="nil"/>
                  </w:tcBorders>
                  <w:vAlign w:val="center"/>
                </w:tcPr>
                <w:p w14:paraId="35413C0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56.0</w:t>
                  </w:r>
                </w:p>
              </w:tc>
              <w:tc>
                <w:tcPr>
                  <w:tcW w:w="419" w:type="pct"/>
                  <w:tcBorders>
                    <w:tl2br w:val="nil"/>
                    <w:tr2bl w:val="nil"/>
                  </w:tcBorders>
                  <w:vAlign w:val="center"/>
                </w:tcPr>
                <w:p w14:paraId="22A9C9A4">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52.5</w:t>
                  </w:r>
                </w:p>
              </w:tc>
              <w:tc>
                <w:tcPr>
                  <w:tcW w:w="425" w:type="pct"/>
                  <w:tcBorders>
                    <w:tl2br w:val="nil"/>
                    <w:tr2bl w:val="nil"/>
                  </w:tcBorders>
                  <w:vAlign w:val="center"/>
                </w:tcPr>
                <w:p w14:paraId="66A96946">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48.0</w:t>
                  </w:r>
                </w:p>
              </w:tc>
              <w:tc>
                <w:tcPr>
                  <w:tcW w:w="493" w:type="pct"/>
                  <w:tcBorders>
                    <w:tl2br w:val="nil"/>
                    <w:tr2bl w:val="nil"/>
                  </w:tcBorders>
                  <w:vAlign w:val="center"/>
                </w:tcPr>
                <w:p w14:paraId="0C389453">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42.0</w:t>
                  </w:r>
                </w:p>
              </w:tc>
              <w:tc>
                <w:tcPr>
                  <w:tcW w:w="493" w:type="pct"/>
                  <w:tcBorders>
                    <w:tl2br w:val="nil"/>
                    <w:tr2bl w:val="nil"/>
                  </w:tcBorders>
                  <w:vAlign w:val="center"/>
                </w:tcPr>
                <w:p w14:paraId="719EEB39">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38.5</w:t>
                  </w:r>
                </w:p>
              </w:tc>
              <w:tc>
                <w:tcPr>
                  <w:tcW w:w="493" w:type="pct"/>
                  <w:tcBorders>
                    <w:tl2br w:val="nil"/>
                    <w:tr2bl w:val="nil"/>
                  </w:tcBorders>
                  <w:vAlign w:val="center"/>
                </w:tcPr>
                <w:p w14:paraId="78B2D6F3">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36.0</w:t>
                  </w:r>
                </w:p>
              </w:tc>
            </w:tr>
            <w:tr w14:paraId="31F1AB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74" w:type="pct"/>
                  <w:tcBorders>
                    <w:tl2br w:val="nil"/>
                    <w:tr2bl w:val="nil"/>
                  </w:tcBorders>
                  <w:vAlign w:val="center"/>
                </w:tcPr>
                <w:p w14:paraId="4745534B">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振捣器</w:t>
                  </w:r>
                </w:p>
              </w:tc>
              <w:tc>
                <w:tcPr>
                  <w:tcW w:w="547" w:type="pct"/>
                  <w:tcBorders>
                    <w:tl2br w:val="nil"/>
                    <w:tr2bl w:val="nil"/>
                  </w:tcBorders>
                  <w:vAlign w:val="center"/>
                </w:tcPr>
                <w:p w14:paraId="49994594">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90</w:t>
                  </w:r>
                </w:p>
              </w:tc>
              <w:tc>
                <w:tcPr>
                  <w:tcW w:w="407" w:type="pct"/>
                  <w:tcBorders>
                    <w:tl2br w:val="nil"/>
                    <w:tr2bl w:val="nil"/>
                  </w:tcBorders>
                  <w:vAlign w:val="center"/>
                </w:tcPr>
                <w:p w14:paraId="180F16BC">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84.0</w:t>
                  </w:r>
                </w:p>
              </w:tc>
              <w:tc>
                <w:tcPr>
                  <w:tcW w:w="407" w:type="pct"/>
                  <w:tcBorders>
                    <w:tl2br w:val="nil"/>
                    <w:tr2bl w:val="nil"/>
                  </w:tcBorders>
                  <w:vAlign w:val="center"/>
                </w:tcPr>
                <w:p w14:paraId="15E7E737">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76.0</w:t>
                  </w:r>
                </w:p>
              </w:tc>
              <w:tc>
                <w:tcPr>
                  <w:tcW w:w="419" w:type="pct"/>
                  <w:tcBorders>
                    <w:tl2br w:val="nil"/>
                    <w:tr2bl w:val="nil"/>
                  </w:tcBorders>
                  <w:vAlign w:val="center"/>
                </w:tcPr>
                <w:p w14:paraId="7C9DF64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70.0</w:t>
                  </w:r>
                </w:p>
              </w:tc>
              <w:tc>
                <w:tcPr>
                  <w:tcW w:w="419" w:type="pct"/>
                  <w:tcBorders>
                    <w:tl2br w:val="nil"/>
                    <w:tr2bl w:val="nil"/>
                  </w:tcBorders>
                  <w:vAlign w:val="center"/>
                </w:tcPr>
                <w:p w14:paraId="52FEF98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64.0</w:t>
                  </w:r>
                </w:p>
              </w:tc>
              <w:tc>
                <w:tcPr>
                  <w:tcW w:w="419" w:type="pct"/>
                  <w:tcBorders>
                    <w:tl2br w:val="nil"/>
                    <w:tr2bl w:val="nil"/>
                  </w:tcBorders>
                  <w:vAlign w:val="center"/>
                </w:tcPr>
                <w:p w14:paraId="1AB8BA1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60.5</w:t>
                  </w:r>
                </w:p>
              </w:tc>
              <w:tc>
                <w:tcPr>
                  <w:tcW w:w="425" w:type="pct"/>
                  <w:tcBorders>
                    <w:tl2br w:val="nil"/>
                    <w:tr2bl w:val="nil"/>
                  </w:tcBorders>
                  <w:vAlign w:val="center"/>
                </w:tcPr>
                <w:p w14:paraId="3BC7E7B6">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56.0</w:t>
                  </w:r>
                </w:p>
              </w:tc>
              <w:tc>
                <w:tcPr>
                  <w:tcW w:w="493" w:type="pct"/>
                  <w:tcBorders>
                    <w:tl2br w:val="nil"/>
                    <w:tr2bl w:val="nil"/>
                  </w:tcBorders>
                  <w:vAlign w:val="center"/>
                </w:tcPr>
                <w:p w14:paraId="7F11056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50.0</w:t>
                  </w:r>
                </w:p>
              </w:tc>
              <w:tc>
                <w:tcPr>
                  <w:tcW w:w="493" w:type="pct"/>
                  <w:tcBorders>
                    <w:tl2br w:val="nil"/>
                    <w:tr2bl w:val="nil"/>
                  </w:tcBorders>
                  <w:vAlign w:val="center"/>
                </w:tcPr>
                <w:p w14:paraId="4B09743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46.5</w:t>
                  </w:r>
                </w:p>
              </w:tc>
              <w:tc>
                <w:tcPr>
                  <w:tcW w:w="493" w:type="pct"/>
                  <w:tcBorders>
                    <w:tl2br w:val="nil"/>
                    <w:tr2bl w:val="nil"/>
                  </w:tcBorders>
                  <w:vAlign w:val="center"/>
                </w:tcPr>
                <w:p w14:paraId="44BD6C54">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44.0</w:t>
                  </w:r>
                </w:p>
              </w:tc>
            </w:tr>
            <w:tr w14:paraId="51F0A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74" w:type="pct"/>
                  <w:tcBorders>
                    <w:tl2br w:val="nil"/>
                    <w:tr2bl w:val="nil"/>
                  </w:tcBorders>
                  <w:vAlign w:val="center"/>
                </w:tcPr>
                <w:p w14:paraId="1F48926A">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电钻</w:t>
                  </w:r>
                </w:p>
              </w:tc>
              <w:tc>
                <w:tcPr>
                  <w:tcW w:w="547" w:type="pct"/>
                  <w:tcBorders>
                    <w:tl2br w:val="nil"/>
                    <w:tr2bl w:val="nil"/>
                  </w:tcBorders>
                  <w:vAlign w:val="center"/>
                </w:tcPr>
                <w:p w14:paraId="3E25AEBF">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95</w:t>
                  </w:r>
                </w:p>
              </w:tc>
              <w:tc>
                <w:tcPr>
                  <w:tcW w:w="407" w:type="pct"/>
                  <w:tcBorders>
                    <w:tl2br w:val="nil"/>
                    <w:tr2bl w:val="nil"/>
                  </w:tcBorders>
                  <w:vAlign w:val="center"/>
                </w:tcPr>
                <w:p w14:paraId="46AD9EB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89.0</w:t>
                  </w:r>
                </w:p>
              </w:tc>
              <w:tc>
                <w:tcPr>
                  <w:tcW w:w="407" w:type="pct"/>
                  <w:tcBorders>
                    <w:tl2br w:val="nil"/>
                    <w:tr2bl w:val="nil"/>
                  </w:tcBorders>
                  <w:vAlign w:val="center"/>
                </w:tcPr>
                <w:p w14:paraId="0DAFB232">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81.0</w:t>
                  </w:r>
                </w:p>
              </w:tc>
              <w:tc>
                <w:tcPr>
                  <w:tcW w:w="419" w:type="pct"/>
                  <w:tcBorders>
                    <w:tl2br w:val="nil"/>
                    <w:tr2bl w:val="nil"/>
                  </w:tcBorders>
                  <w:vAlign w:val="center"/>
                </w:tcPr>
                <w:p w14:paraId="2853F37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75.0</w:t>
                  </w:r>
                </w:p>
              </w:tc>
              <w:tc>
                <w:tcPr>
                  <w:tcW w:w="419" w:type="pct"/>
                  <w:tcBorders>
                    <w:tl2br w:val="nil"/>
                    <w:tr2bl w:val="nil"/>
                  </w:tcBorders>
                  <w:vAlign w:val="center"/>
                </w:tcPr>
                <w:p w14:paraId="37B00B20">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69.0</w:t>
                  </w:r>
                </w:p>
              </w:tc>
              <w:tc>
                <w:tcPr>
                  <w:tcW w:w="419" w:type="pct"/>
                  <w:tcBorders>
                    <w:tl2br w:val="nil"/>
                    <w:tr2bl w:val="nil"/>
                  </w:tcBorders>
                  <w:vAlign w:val="center"/>
                </w:tcPr>
                <w:p w14:paraId="77A79DD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65.5</w:t>
                  </w:r>
                </w:p>
              </w:tc>
              <w:tc>
                <w:tcPr>
                  <w:tcW w:w="425" w:type="pct"/>
                  <w:tcBorders>
                    <w:tl2br w:val="nil"/>
                    <w:tr2bl w:val="nil"/>
                  </w:tcBorders>
                  <w:vAlign w:val="center"/>
                </w:tcPr>
                <w:p w14:paraId="7460464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61.0</w:t>
                  </w:r>
                </w:p>
              </w:tc>
              <w:tc>
                <w:tcPr>
                  <w:tcW w:w="493" w:type="pct"/>
                  <w:tcBorders>
                    <w:tl2br w:val="nil"/>
                    <w:tr2bl w:val="nil"/>
                  </w:tcBorders>
                  <w:vAlign w:val="center"/>
                </w:tcPr>
                <w:p w14:paraId="2C752315">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55.0</w:t>
                  </w:r>
                </w:p>
              </w:tc>
              <w:tc>
                <w:tcPr>
                  <w:tcW w:w="493" w:type="pct"/>
                  <w:tcBorders>
                    <w:tl2br w:val="nil"/>
                    <w:tr2bl w:val="nil"/>
                  </w:tcBorders>
                  <w:vAlign w:val="center"/>
                </w:tcPr>
                <w:p w14:paraId="24CF97E6">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51.5</w:t>
                  </w:r>
                </w:p>
              </w:tc>
              <w:tc>
                <w:tcPr>
                  <w:tcW w:w="493" w:type="pct"/>
                  <w:tcBorders>
                    <w:tl2br w:val="nil"/>
                    <w:tr2bl w:val="nil"/>
                  </w:tcBorders>
                  <w:vAlign w:val="center"/>
                </w:tcPr>
                <w:p w14:paraId="4B03200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49.0</w:t>
                  </w:r>
                </w:p>
              </w:tc>
            </w:tr>
            <w:tr w14:paraId="7FE11A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74" w:type="pct"/>
                  <w:tcBorders>
                    <w:tl2br w:val="nil"/>
                    <w:tr2bl w:val="nil"/>
                  </w:tcBorders>
                  <w:vAlign w:val="center"/>
                </w:tcPr>
                <w:p w14:paraId="1811B938">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电焊机</w:t>
                  </w:r>
                </w:p>
              </w:tc>
              <w:tc>
                <w:tcPr>
                  <w:tcW w:w="547" w:type="pct"/>
                  <w:tcBorders>
                    <w:tl2br w:val="nil"/>
                    <w:tr2bl w:val="nil"/>
                  </w:tcBorders>
                  <w:vAlign w:val="center"/>
                </w:tcPr>
                <w:p w14:paraId="7AFB501D">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80</w:t>
                  </w:r>
                </w:p>
              </w:tc>
              <w:tc>
                <w:tcPr>
                  <w:tcW w:w="407" w:type="pct"/>
                  <w:tcBorders>
                    <w:tl2br w:val="nil"/>
                    <w:tr2bl w:val="nil"/>
                  </w:tcBorders>
                  <w:vAlign w:val="center"/>
                </w:tcPr>
                <w:p w14:paraId="163D6046">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74.0</w:t>
                  </w:r>
                </w:p>
              </w:tc>
              <w:tc>
                <w:tcPr>
                  <w:tcW w:w="407" w:type="pct"/>
                  <w:tcBorders>
                    <w:tl2br w:val="nil"/>
                    <w:tr2bl w:val="nil"/>
                  </w:tcBorders>
                  <w:vAlign w:val="center"/>
                </w:tcPr>
                <w:p w14:paraId="4BA31B1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66.0</w:t>
                  </w:r>
                </w:p>
              </w:tc>
              <w:tc>
                <w:tcPr>
                  <w:tcW w:w="419" w:type="pct"/>
                  <w:tcBorders>
                    <w:tl2br w:val="nil"/>
                    <w:tr2bl w:val="nil"/>
                  </w:tcBorders>
                  <w:vAlign w:val="center"/>
                </w:tcPr>
                <w:p w14:paraId="4B53545D">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60.0</w:t>
                  </w:r>
                </w:p>
              </w:tc>
              <w:tc>
                <w:tcPr>
                  <w:tcW w:w="419" w:type="pct"/>
                  <w:tcBorders>
                    <w:tl2br w:val="nil"/>
                    <w:tr2bl w:val="nil"/>
                  </w:tcBorders>
                  <w:vAlign w:val="center"/>
                </w:tcPr>
                <w:p w14:paraId="56D85C29">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54.0</w:t>
                  </w:r>
                </w:p>
              </w:tc>
              <w:tc>
                <w:tcPr>
                  <w:tcW w:w="419" w:type="pct"/>
                  <w:tcBorders>
                    <w:tl2br w:val="nil"/>
                    <w:tr2bl w:val="nil"/>
                  </w:tcBorders>
                  <w:vAlign w:val="center"/>
                </w:tcPr>
                <w:p w14:paraId="45546BB5">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50.5</w:t>
                  </w:r>
                </w:p>
              </w:tc>
              <w:tc>
                <w:tcPr>
                  <w:tcW w:w="425" w:type="pct"/>
                  <w:tcBorders>
                    <w:tl2br w:val="nil"/>
                    <w:tr2bl w:val="nil"/>
                  </w:tcBorders>
                  <w:vAlign w:val="center"/>
                </w:tcPr>
                <w:p w14:paraId="52B4DE49">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46.0</w:t>
                  </w:r>
                </w:p>
              </w:tc>
              <w:tc>
                <w:tcPr>
                  <w:tcW w:w="493" w:type="pct"/>
                  <w:tcBorders>
                    <w:tl2br w:val="nil"/>
                    <w:tr2bl w:val="nil"/>
                  </w:tcBorders>
                  <w:vAlign w:val="center"/>
                </w:tcPr>
                <w:p w14:paraId="7FC0870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40.0</w:t>
                  </w:r>
                </w:p>
              </w:tc>
              <w:tc>
                <w:tcPr>
                  <w:tcW w:w="493" w:type="pct"/>
                  <w:tcBorders>
                    <w:tl2br w:val="nil"/>
                    <w:tr2bl w:val="nil"/>
                  </w:tcBorders>
                  <w:vAlign w:val="center"/>
                </w:tcPr>
                <w:p w14:paraId="180A43E9">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36.5</w:t>
                  </w:r>
                </w:p>
              </w:tc>
              <w:tc>
                <w:tcPr>
                  <w:tcW w:w="493" w:type="pct"/>
                  <w:tcBorders>
                    <w:tl2br w:val="nil"/>
                    <w:tr2bl w:val="nil"/>
                  </w:tcBorders>
                  <w:vAlign w:val="center"/>
                </w:tcPr>
                <w:p w14:paraId="5CDC060D">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34.0</w:t>
                  </w:r>
                </w:p>
              </w:tc>
            </w:tr>
            <w:tr w14:paraId="73A64A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74" w:type="pct"/>
                  <w:tcBorders>
                    <w:tl2br w:val="nil"/>
                    <w:tr2bl w:val="nil"/>
                  </w:tcBorders>
                  <w:vAlign w:val="center"/>
                </w:tcPr>
                <w:p w14:paraId="79CA6080">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推土机</w:t>
                  </w:r>
                </w:p>
              </w:tc>
              <w:tc>
                <w:tcPr>
                  <w:tcW w:w="547" w:type="pct"/>
                  <w:tcBorders>
                    <w:tl2br w:val="nil"/>
                    <w:tr2bl w:val="nil"/>
                  </w:tcBorders>
                  <w:vAlign w:val="center"/>
                </w:tcPr>
                <w:p w14:paraId="63E50B1B">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79</w:t>
                  </w:r>
                </w:p>
              </w:tc>
              <w:tc>
                <w:tcPr>
                  <w:tcW w:w="407" w:type="pct"/>
                  <w:tcBorders>
                    <w:tl2br w:val="nil"/>
                    <w:tr2bl w:val="nil"/>
                  </w:tcBorders>
                  <w:vAlign w:val="center"/>
                </w:tcPr>
                <w:p w14:paraId="64E7E758">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73.0</w:t>
                  </w:r>
                </w:p>
              </w:tc>
              <w:tc>
                <w:tcPr>
                  <w:tcW w:w="407" w:type="pct"/>
                  <w:tcBorders>
                    <w:tl2br w:val="nil"/>
                    <w:tr2bl w:val="nil"/>
                  </w:tcBorders>
                  <w:vAlign w:val="center"/>
                </w:tcPr>
                <w:p w14:paraId="2FA30152">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65.0</w:t>
                  </w:r>
                </w:p>
              </w:tc>
              <w:tc>
                <w:tcPr>
                  <w:tcW w:w="419" w:type="pct"/>
                  <w:tcBorders>
                    <w:tl2br w:val="nil"/>
                    <w:tr2bl w:val="nil"/>
                  </w:tcBorders>
                  <w:vAlign w:val="center"/>
                </w:tcPr>
                <w:p w14:paraId="1B768547">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59.0</w:t>
                  </w:r>
                </w:p>
              </w:tc>
              <w:tc>
                <w:tcPr>
                  <w:tcW w:w="419" w:type="pct"/>
                  <w:tcBorders>
                    <w:tl2br w:val="nil"/>
                    <w:tr2bl w:val="nil"/>
                  </w:tcBorders>
                  <w:vAlign w:val="center"/>
                </w:tcPr>
                <w:p w14:paraId="2CE3AA25">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53.0</w:t>
                  </w:r>
                </w:p>
              </w:tc>
              <w:tc>
                <w:tcPr>
                  <w:tcW w:w="419" w:type="pct"/>
                  <w:tcBorders>
                    <w:tl2br w:val="nil"/>
                    <w:tr2bl w:val="nil"/>
                  </w:tcBorders>
                  <w:vAlign w:val="center"/>
                </w:tcPr>
                <w:p w14:paraId="35030D82">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49.5</w:t>
                  </w:r>
                </w:p>
              </w:tc>
              <w:tc>
                <w:tcPr>
                  <w:tcW w:w="425" w:type="pct"/>
                  <w:tcBorders>
                    <w:tl2br w:val="nil"/>
                    <w:tr2bl w:val="nil"/>
                  </w:tcBorders>
                  <w:vAlign w:val="center"/>
                </w:tcPr>
                <w:p w14:paraId="5129F351">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45.0</w:t>
                  </w:r>
                </w:p>
              </w:tc>
              <w:tc>
                <w:tcPr>
                  <w:tcW w:w="493" w:type="pct"/>
                  <w:tcBorders>
                    <w:tl2br w:val="nil"/>
                    <w:tr2bl w:val="nil"/>
                  </w:tcBorders>
                  <w:vAlign w:val="center"/>
                </w:tcPr>
                <w:p w14:paraId="51684204">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39.0</w:t>
                  </w:r>
                </w:p>
              </w:tc>
              <w:tc>
                <w:tcPr>
                  <w:tcW w:w="493" w:type="pct"/>
                  <w:tcBorders>
                    <w:tl2br w:val="nil"/>
                    <w:tr2bl w:val="nil"/>
                  </w:tcBorders>
                  <w:vAlign w:val="center"/>
                </w:tcPr>
                <w:p w14:paraId="27B97A42">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35.5</w:t>
                  </w:r>
                </w:p>
              </w:tc>
              <w:tc>
                <w:tcPr>
                  <w:tcW w:w="493" w:type="pct"/>
                  <w:tcBorders>
                    <w:tl2br w:val="nil"/>
                    <w:tr2bl w:val="nil"/>
                  </w:tcBorders>
                  <w:vAlign w:val="center"/>
                </w:tcPr>
                <w:p w14:paraId="1193F18C">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33.0</w:t>
                  </w:r>
                </w:p>
              </w:tc>
            </w:tr>
            <w:tr w14:paraId="2B674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74" w:type="pct"/>
                  <w:tcBorders>
                    <w:tl2br w:val="nil"/>
                    <w:tr2bl w:val="nil"/>
                  </w:tcBorders>
                  <w:vAlign w:val="center"/>
                </w:tcPr>
                <w:p w14:paraId="4D922925">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电锯</w:t>
                  </w:r>
                </w:p>
              </w:tc>
              <w:tc>
                <w:tcPr>
                  <w:tcW w:w="547" w:type="pct"/>
                  <w:tcBorders>
                    <w:tl2br w:val="nil"/>
                    <w:tr2bl w:val="nil"/>
                  </w:tcBorders>
                  <w:vAlign w:val="center"/>
                </w:tcPr>
                <w:p w14:paraId="7B4140D6">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95</w:t>
                  </w:r>
                </w:p>
              </w:tc>
              <w:tc>
                <w:tcPr>
                  <w:tcW w:w="407" w:type="pct"/>
                  <w:tcBorders>
                    <w:tl2br w:val="nil"/>
                    <w:tr2bl w:val="nil"/>
                  </w:tcBorders>
                  <w:vAlign w:val="center"/>
                </w:tcPr>
                <w:p w14:paraId="11614E20">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89.0</w:t>
                  </w:r>
                </w:p>
              </w:tc>
              <w:tc>
                <w:tcPr>
                  <w:tcW w:w="407" w:type="pct"/>
                  <w:tcBorders>
                    <w:tl2br w:val="nil"/>
                    <w:tr2bl w:val="nil"/>
                  </w:tcBorders>
                  <w:vAlign w:val="center"/>
                </w:tcPr>
                <w:p w14:paraId="5CFEE92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81.0</w:t>
                  </w:r>
                </w:p>
              </w:tc>
              <w:tc>
                <w:tcPr>
                  <w:tcW w:w="419" w:type="pct"/>
                  <w:tcBorders>
                    <w:tl2br w:val="nil"/>
                    <w:tr2bl w:val="nil"/>
                  </w:tcBorders>
                  <w:vAlign w:val="center"/>
                </w:tcPr>
                <w:p w14:paraId="3A447575">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75.0</w:t>
                  </w:r>
                </w:p>
              </w:tc>
              <w:tc>
                <w:tcPr>
                  <w:tcW w:w="419" w:type="pct"/>
                  <w:tcBorders>
                    <w:tl2br w:val="nil"/>
                    <w:tr2bl w:val="nil"/>
                  </w:tcBorders>
                  <w:vAlign w:val="center"/>
                </w:tcPr>
                <w:p w14:paraId="6F5AEAFC">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69.0</w:t>
                  </w:r>
                </w:p>
              </w:tc>
              <w:tc>
                <w:tcPr>
                  <w:tcW w:w="419" w:type="pct"/>
                  <w:tcBorders>
                    <w:tl2br w:val="nil"/>
                    <w:tr2bl w:val="nil"/>
                  </w:tcBorders>
                  <w:vAlign w:val="center"/>
                </w:tcPr>
                <w:p w14:paraId="0DF5AB74">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65.5</w:t>
                  </w:r>
                </w:p>
              </w:tc>
              <w:tc>
                <w:tcPr>
                  <w:tcW w:w="425" w:type="pct"/>
                  <w:tcBorders>
                    <w:tl2br w:val="nil"/>
                    <w:tr2bl w:val="nil"/>
                  </w:tcBorders>
                  <w:vAlign w:val="center"/>
                </w:tcPr>
                <w:p w14:paraId="24BF35D1">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61.0</w:t>
                  </w:r>
                </w:p>
              </w:tc>
              <w:tc>
                <w:tcPr>
                  <w:tcW w:w="493" w:type="pct"/>
                  <w:tcBorders>
                    <w:tl2br w:val="nil"/>
                    <w:tr2bl w:val="nil"/>
                  </w:tcBorders>
                  <w:vAlign w:val="center"/>
                </w:tcPr>
                <w:p w14:paraId="56806100">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55.0</w:t>
                  </w:r>
                </w:p>
              </w:tc>
              <w:tc>
                <w:tcPr>
                  <w:tcW w:w="493" w:type="pct"/>
                  <w:tcBorders>
                    <w:tl2br w:val="nil"/>
                    <w:tr2bl w:val="nil"/>
                  </w:tcBorders>
                  <w:vAlign w:val="center"/>
                </w:tcPr>
                <w:p w14:paraId="1616212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51.5</w:t>
                  </w:r>
                </w:p>
              </w:tc>
              <w:tc>
                <w:tcPr>
                  <w:tcW w:w="493" w:type="pct"/>
                  <w:tcBorders>
                    <w:tl2br w:val="nil"/>
                    <w:tr2bl w:val="nil"/>
                  </w:tcBorders>
                  <w:vAlign w:val="center"/>
                </w:tcPr>
                <w:p w14:paraId="6A03B5E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49.0</w:t>
                  </w:r>
                </w:p>
              </w:tc>
            </w:tr>
            <w:tr w14:paraId="20E870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74" w:type="pct"/>
                  <w:tcBorders>
                    <w:tl2br w:val="nil"/>
                    <w:tr2bl w:val="nil"/>
                  </w:tcBorders>
                  <w:vAlign w:val="center"/>
                </w:tcPr>
                <w:p w14:paraId="34CBE1C8">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运输车辆</w:t>
                  </w:r>
                </w:p>
              </w:tc>
              <w:tc>
                <w:tcPr>
                  <w:tcW w:w="547" w:type="pct"/>
                  <w:tcBorders>
                    <w:tl2br w:val="nil"/>
                    <w:tr2bl w:val="nil"/>
                  </w:tcBorders>
                  <w:vAlign w:val="center"/>
                </w:tcPr>
                <w:p w14:paraId="0CA18E26">
                  <w:pPr>
                    <w:keepNext w:val="0"/>
                    <w:keepLines w:val="0"/>
                    <w:suppressLineNumbers w:val="0"/>
                    <w:adjustRightInd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75</w:t>
                  </w:r>
                </w:p>
              </w:tc>
              <w:tc>
                <w:tcPr>
                  <w:tcW w:w="407" w:type="pct"/>
                  <w:tcBorders>
                    <w:tl2br w:val="nil"/>
                    <w:tr2bl w:val="nil"/>
                  </w:tcBorders>
                  <w:vAlign w:val="center"/>
                </w:tcPr>
                <w:p w14:paraId="2CD70F23">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69.0</w:t>
                  </w:r>
                </w:p>
              </w:tc>
              <w:tc>
                <w:tcPr>
                  <w:tcW w:w="407" w:type="pct"/>
                  <w:tcBorders>
                    <w:tl2br w:val="nil"/>
                    <w:tr2bl w:val="nil"/>
                  </w:tcBorders>
                  <w:vAlign w:val="center"/>
                </w:tcPr>
                <w:p w14:paraId="516C888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61.0</w:t>
                  </w:r>
                </w:p>
              </w:tc>
              <w:tc>
                <w:tcPr>
                  <w:tcW w:w="419" w:type="pct"/>
                  <w:tcBorders>
                    <w:tl2br w:val="nil"/>
                    <w:tr2bl w:val="nil"/>
                  </w:tcBorders>
                  <w:vAlign w:val="center"/>
                </w:tcPr>
                <w:p w14:paraId="4BBF9D6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55.0</w:t>
                  </w:r>
                </w:p>
              </w:tc>
              <w:tc>
                <w:tcPr>
                  <w:tcW w:w="419" w:type="pct"/>
                  <w:tcBorders>
                    <w:tl2br w:val="nil"/>
                    <w:tr2bl w:val="nil"/>
                  </w:tcBorders>
                  <w:vAlign w:val="center"/>
                </w:tcPr>
                <w:p w14:paraId="110769B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49.0</w:t>
                  </w:r>
                </w:p>
              </w:tc>
              <w:tc>
                <w:tcPr>
                  <w:tcW w:w="419" w:type="pct"/>
                  <w:tcBorders>
                    <w:tl2br w:val="nil"/>
                    <w:tr2bl w:val="nil"/>
                  </w:tcBorders>
                  <w:vAlign w:val="center"/>
                </w:tcPr>
                <w:p w14:paraId="64705D43">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45.5</w:t>
                  </w:r>
                </w:p>
              </w:tc>
              <w:tc>
                <w:tcPr>
                  <w:tcW w:w="425" w:type="pct"/>
                  <w:tcBorders>
                    <w:tl2br w:val="nil"/>
                    <w:tr2bl w:val="nil"/>
                  </w:tcBorders>
                  <w:vAlign w:val="center"/>
                </w:tcPr>
                <w:p w14:paraId="45B6B8DE">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41.0</w:t>
                  </w:r>
                </w:p>
              </w:tc>
              <w:tc>
                <w:tcPr>
                  <w:tcW w:w="493" w:type="pct"/>
                  <w:tcBorders>
                    <w:tl2br w:val="nil"/>
                    <w:tr2bl w:val="nil"/>
                  </w:tcBorders>
                  <w:vAlign w:val="center"/>
                </w:tcPr>
                <w:p w14:paraId="0DDEFB36">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35.0</w:t>
                  </w:r>
                </w:p>
              </w:tc>
              <w:tc>
                <w:tcPr>
                  <w:tcW w:w="493" w:type="pct"/>
                  <w:tcBorders>
                    <w:tl2br w:val="nil"/>
                    <w:tr2bl w:val="nil"/>
                  </w:tcBorders>
                  <w:vAlign w:val="center"/>
                </w:tcPr>
                <w:p w14:paraId="3E5802EF">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31.5</w:t>
                  </w:r>
                </w:p>
              </w:tc>
              <w:tc>
                <w:tcPr>
                  <w:tcW w:w="493" w:type="pct"/>
                  <w:tcBorders>
                    <w:tl2br w:val="nil"/>
                    <w:tr2bl w:val="nil"/>
                  </w:tcBorders>
                  <w:vAlign w:val="center"/>
                </w:tcPr>
                <w:p w14:paraId="51756D21">
                  <w:pPr>
                    <w:keepNext w:val="0"/>
                    <w:keepLines w:val="0"/>
                    <w:widowControl/>
                    <w:suppressLineNumbers w:val="0"/>
                    <w:adjustRightInd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29.0</w:t>
                  </w:r>
                </w:p>
              </w:tc>
            </w:tr>
          </w:tbl>
          <w:p w14:paraId="103CD600">
            <w:pPr>
              <w:keepNext w:val="0"/>
              <w:keepLines w:val="0"/>
              <w:suppressLineNumbers w:val="0"/>
              <w:spacing w:before="0" w:beforeAutospacing="0" w:after="0" w:afterAutospacing="0"/>
              <w:ind w:left="0" w:right="0" w:firstLine="422"/>
              <w:jc w:val="center"/>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sz w:val="21"/>
                <w:szCs w:val="21"/>
                <w:highlight w:val="none"/>
              </w:rPr>
              <w:t>表</w:t>
            </w:r>
            <w:r>
              <w:rPr>
                <w:rFonts w:hint="default" w:ascii="Times New Roman" w:hAnsi="Times New Roman" w:eastAsia="仿宋"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.2-3</w:t>
            </w:r>
            <w:r>
              <w:rPr>
                <w:rFonts w:hint="default" w:ascii="Times New Roman" w:hAnsi="Times New Roman" w:eastAsia="仿宋" w:cs="Times New Roman"/>
                <w:b/>
                <w:bCs/>
                <w:color w:val="auto"/>
                <w:sz w:val="21"/>
                <w:szCs w:val="21"/>
                <w:highlight w:val="none"/>
                <w:lang w:val="en-US" w:eastAsia="zh-CN"/>
              </w:rPr>
              <w:t xml:space="preserve"> </w:t>
            </w:r>
            <w:r>
              <w:rPr>
                <w:rFonts w:hint="default" w:ascii="Times New Roman" w:hAnsi="Times New Roman" w:eastAsia="仿宋" w:cs="Times New Roman"/>
                <w:b/>
                <w:bCs/>
                <w:color w:val="auto"/>
                <w:sz w:val="21"/>
                <w:szCs w:val="21"/>
                <w:highlight w:val="none"/>
              </w:rPr>
              <w:t>各施工区域噪声达标预测 单位：dB（A）</w:t>
            </w:r>
          </w:p>
          <w:tbl>
            <w:tblPr>
              <w:tblStyle w:val="11"/>
              <w:tblW w:w="4992"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186"/>
              <w:gridCol w:w="732"/>
              <w:gridCol w:w="1501"/>
              <w:gridCol w:w="689"/>
              <w:gridCol w:w="2110"/>
              <w:gridCol w:w="895"/>
            </w:tblGrid>
            <w:tr w14:paraId="4CF13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08EA69D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施工区域</w:t>
                  </w:r>
                </w:p>
              </w:tc>
              <w:tc>
                <w:tcPr>
                  <w:tcW w:w="714" w:type="pct"/>
                  <w:tcBorders>
                    <w:tl2br w:val="nil"/>
                    <w:tr2bl w:val="nil"/>
                  </w:tcBorders>
                  <w:vAlign w:val="center"/>
                </w:tcPr>
                <w:p w14:paraId="23EAF4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产噪区域</w:t>
                  </w:r>
                </w:p>
              </w:tc>
              <w:tc>
                <w:tcPr>
                  <w:tcW w:w="441" w:type="pct"/>
                  <w:tcBorders>
                    <w:tl2br w:val="nil"/>
                    <w:tr2bl w:val="nil"/>
                  </w:tcBorders>
                  <w:vAlign w:val="center"/>
                </w:tcPr>
                <w:p w14:paraId="07A686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产噪时段</w:t>
                  </w:r>
                </w:p>
              </w:tc>
              <w:tc>
                <w:tcPr>
                  <w:tcW w:w="904" w:type="pct"/>
                  <w:tcBorders>
                    <w:tl2br w:val="nil"/>
                    <w:tr2bl w:val="nil"/>
                  </w:tcBorders>
                  <w:vAlign w:val="center"/>
                </w:tcPr>
                <w:p w14:paraId="1A8ECE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产噪设备</w:t>
                  </w:r>
                </w:p>
              </w:tc>
              <w:tc>
                <w:tcPr>
                  <w:tcW w:w="415" w:type="pct"/>
                  <w:tcBorders>
                    <w:tl2br w:val="nil"/>
                    <w:tr2bl w:val="nil"/>
                  </w:tcBorders>
                  <w:vAlign w:val="center"/>
                </w:tcPr>
                <w:p w14:paraId="738D39A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最大源强</w:t>
                  </w:r>
                </w:p>
              </w:tc>
              <w:tc>
                <w:tcPr>
                  <w:tcW w:w="1271" w:type="pct"/>
                  <w:tcBorders>
                    <w:tl2br w:val="nil"/>
                    <w:tr2bl w:val="nil"/>
                  </w:tcBorders>
                  <w:vAlign w:val="center"/>
                </w:tcPr>
                <w:p w14:paraId="0BE9F2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控制措施</w:t>
                  </w:r>
                </w:p>
              </w:tc>
              <w:tc>
                <w:tcPr>
                  <w:tcW w:w="539" w:type="pct"/>
                  <w:tcBorders>
                    <w:tl2br w:val="nil"/>
                    <w:tr2bl w:val="nil"/>
                  </w:tcBorders>
                  <w:vAlign w:val="center"/>
                </w:tcPr>
                <w:p w14:paraId="2908AD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达标距离</w:t>
                  </w:r>
                </w:p>
              </w:tc>
            </w:tr>
            <w:tr w14:paraId="63776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1822B4C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临时施工场地</w:t>
                  </w:r>
                </w:p>
              </w:tc>
              <w:tc>
                <w:tcPr>
                  <w:tcW w:w="714" w:type="pct"/>
                  <w:tcBorders>
                    <w:tl2br w:val="nil"/>
                    <w:tr2bl w:val="nil"/>
                  </w:tcBorders>
                  <w:vAlign w:val="center"/>
                </w:tcPr>
                <w:p w14:paraId="067D2D4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临时施工场地</w:t>
                  </w:r>
                </w:p>
              </w:tc>
              <w:tc>
                <w:tcPr>
                  <w:tcW w:w="441" w:type="pct"/>
                  <w:tcBorders>
                    <w:tl2br w:val="nil"/>
                    <w:tr2bl w:val="nil"/>
                  </w:tcBorders>
                  <w:vAlign w:val="center"/>
                </w:tcPr>
                <w:p w14:paraId="0B3DC1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5B39D4A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运输车辆</w:t>
                  </w:r>
                </w:p>
              </w:tc>
              <w:tc>
                <w:tcPr>
                  <w:tcW w:w="415" w:type="pct"/>
                  <w:tcBorders>
                    <w:tl2br w:val="nil"/>
                    <w:tr2bl w:val="nil"/>
                  </w:tcBorders>
                  <w:vAlign w:val="center"/>
                </w:tcPr>
                <w:p w14:paraId="549F764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75</w:t>
                  </w:r>
                </w:p>
              </w:tc>
              <w:tc>
                <w:tcPr>
                  <w:tcW w:w="1271" w:type="pct"/>
                  <w:vMerge w:val="restart"/>
                  <w:tcBorders>
                    <w:tl2br w:val="nil"/>
                    <w:tr2bl w:val="nil"/>
                  </w:tcBorders>
                  <w:vAlign w:val="center"/>
                </w:tcPr>
                <w:p w14:paraId="0489BF2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选用低噪声设备，施工场地选址远离声环境敏感点，禁止夜间施工</w:t>
                  </w:r>
                </w:p>
              </w:tc>
              <w:tc>
                <w:tcPr>
                  <w:tcW w:w="539" w:type="pct"/>
                  <w:tcBorders>
                    <w:tl2br w:val="nil"/>
                    <w:tr2bl w:val="nil"/>
                  </w:tcBorders>
                  <w:vAlign w:val="center"/>
                </w:tcPr>
                <w:p w14:paraId="33767B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4</w:t>
                  </w:r>
                  <w:r>
                    <w:rPr>
                      <w:rFonts w:hint="default" w:ascii="Times New Roman" w:hAnsi="Times New Roman" w:eastAsia="仿宋" w:cs="Times New Roman"/>
                      <w:color w:val="auto"/>
                      <w:sz w:val="21"/>
                      <w:szCs w:val="21"/>
                      <w:highlight w:val="none"/>
                    </w:rPr>
                    <w:t>m</w:t>
                  </w:r>
                </w:p>
              </w:tc>
            </w:tr>
            <w:tr w14:paraId="0D8C87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13" w:type="pct"/>
                  <w:tcBorders>
                    <w:tl2br w:val="nil"/>
                    <w:tr2bl w:val="nil"/>
                  </w:tcBorders>
                  <w:vAlign w:val="center"/>
                </w:tcPr>
                <w:p w14:paraId="6FF385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临时施工场地2</w:t>
                  </w:r>
                </w:p>
              </w:tc>
              <w:tc>
                <w:tcPr>
                  <w:tcW w:w="714" w:type="pct"/>
                  <w:tcBorders>
                    <w:tl2br w:val="nil"/>
                    <w:tr2bl w:val="nil"/>
                  </w:tcBorders>
                  <w:vAlign w:val="center"/>
                </w:tcPr>
                <w:p w14:paraId="6C67D5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临时施工场地</w:t>
                  </w:r>
                </w:p>
              </w:tc>
              <w:tc>
                <w:tcPr>
                  <w:tcW w:w="441" w:type="pct"/>
                  <w:tcBorders>
                    <w:tl2br w:val="nil"/>
                    <w:tr2bl w:val="nil"/>
                  </w:tcBorders>
                  <w:vAlign w:val="center"/>
                </w:tcPr>
                <w:p w14:paraId="668248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2F16036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电锯、电焊机、运输车辆</w:t>
                  </w:r>
                </w:p>
              </w:tc>
              <w:tc>
                <w:tcPr>
                  <w:tcW w:w="415" w:type="pct"/>
                  <w:tcBorders>
                    <w:tl2br w:val="nil"/>
                    <w:tr2bl w:val="nil"/>
                  </w:tcBorders>
                  <w:vAlign w:val="center"/>
                </w:tcPr>
                <w:p w14:paraId="7A8DC2C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0"/>
                      <w:sz w:val="21"/>
                      <w:szCs w:val="21"/>
                      <w:highlight w:val="none"/>
                      <w:lang w:val="en-US" w:eastAsia="zh-CN" w:bidi="ar"/>
                    </w:rPr>
                    <w:t>98</w:t>
                  </w:r>
                </w:p>
              </w:tc>
              <w:tc>
                <w:tcPr>
                  <w:tcW w:w="1271" w:type="pct"/>
                  <w:vMerge w:val="continue"/>
                  <w:tcBorders>
                    <w:tl2br w:val="nil"/>
                    <w:tr2bl w:val="nil"/>
                  </w:tcBorders>
                  <w:vAlign w:val="center"/>
                </w:tcPr>
                <w:p w14:paraId="2B768B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p>
              </w:tc>
              <w:tc>
                <w:tcPr>
                  <w:tcW w:w="539" w:type="pct"/>
                  <w:tcBorders>
                    <w:tl2br w:val="nil"/>
                    <w:tr2bl w:val="nil"/>
                  </w:tcBorders>
                  <w:vAlign w:val="center"/>
                </w:tcPr>
                <w:p w14:paraId="7DD5C8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r>
                    <w:rPr>
                      <w:rFonts w:hint="eastAsia" w:cs="Times New Roman"/>
                      <w:color w:val="auto"/>
                      <w:sz w:val="21"/>
                      <w:szCs w:val="21"/>
                      <w:highlight w:val="none"/>
                      <w:lang w:val="en-US" w:eastAsia="zh-CN"/>
                    </w:rPr>
                    <w:t>5</w:t>
                  </w:r>
                  <w:r>
                    <w:rPr>
                      <w:rFonts w:hint="default" w:ascii="Times New Roman" w:hAnsi="Times New Roman" w:eastAsia="仿宋" w:cs="Times New Roman"/>
                      <w:color w:val="auto"/>
                      <w:sz w:val="21"/>
                      <w:szCs w:val="21"/>
                      <w:highlight w:val="none"/>
                    </w:rPr>
                    <w:t>m</w:t>
                  </w:r>
                </w:p>
              </w:tc>
            </w:tr>
            <w:tr w14:paraId="3F60AD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vMerge w:val="restart"/>
                  <w:tcBorders>
                    <w:tl2br w:val="nil"/>
                    <w:tr2bl w:val="nil"/>
                  </w:tcBorders>
                  <w:vAlign w:val="center"/>
                </w:tcPr>
                <w:p w14:paraId="16BDC8B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光伏阵列</w:t>
                  </w:r>
                </w:p>
              </w:tc>
              <w:tc>
                <w:tcPr>
                  <w:tcW w:w="714" w:type="pct"/>
                  <w:tcBorders>
                    <w:tl2br w:val="nil"/>
                    <w:tr2bl w:val="nil"/>
                  </w:tcBorders>
                  <w:vAlign w:val="center"/>
                </w:tcPr>
                <w:p w14:paraId="09C962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光伏阵列</w:t>
                  </w:r>
                </w:p>
              </w:tc>
              <w:tc>
                <w:tcPr>
                  <w:tcW w:w="441" w:type="pct"/>
                  <w:tcBorders>
                    <w:tl2br w:val="nil"/>
                    <w:tr2bl w:val="nil"/>
                  </w:tcBorders>
                  <w:vAlign w:val="center"/>
                </w:tcPr>
                <w:p w14:paraId="0DCF03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59B489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电钻、电锯、运输车辆</w:t>
                  </w:r>
                </w:p>
              </w:tc>
              <w:tc>
                <w:tcPr>
                  <w:tcW w:w="415" w:type="pct"/>
                  <w:tcBorders>
                    <w:tl2br w:val="nil"/>
                    <w:tr2bl w:val="nil"/>
                  </w:tcBorders>
                  <w:vAlign w:val="center"/>
                </w:tcPr>
                <w:p w14:paraId="7E0BB86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0"/>
                      <w:sz w:val="21"/>
                      <w:szCs w:val="21"/>
                      <w:highlight w:val="none"/>
                      <w:lang w:val="en-US" w:eastAsia="zh-CN" w:bidi="ar"/>
                    </w:rPr>
                    <w:t>98</w:t>
                  </w:r>
                </w:p>
              </w:tc>
              <w:tc>
                <w:tcPr>
                  <w:tcW w:w="1271" w:type="pct"/>
                  <w:tcBorders>
                    <w:tl2br w:val="nil"/>
                    <w:tr2bl w:val="nil"/>
                  </w:tcBorders>
                  <w:vAlign w:val="center"/>
                </w:tcPr>
                <w:p w14:paraId="22AF58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选用低噪声设备</w:t>
                  </w:r>
                </w:p>
              </w:tc>
              <w:tc>
                <w:tcPr>
                  <w:tcW w:w="539" w:type="pct"/>
                  <w:tcBorders>
                    <w:tl2br w:val="nil"/>
                    <w:tr2bl w:val="nil"/>
                  </w:tcBorders>
                  <w:vAlign w:val="center"/>
                </w:tcPr>
                <w:p w14:paraId="3BDD99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r>
                    <w:rPr>
                      <w:rFonts w:hint="eastAsia" w:cs="Times New Roman"/>
                      <w:color w:val="auto"/>
                      <w:sz w:val="21"/>
                      <w:szCs w:val="21"/>
                      <w:highlight w:val="none"/>
                      <w:lang w:val="en-US" w:eastAsia="zh-CN"/>
                    </w:rPr>
                    <w:t>5</w:t>
                  </w:r>
                  <w:r>
                    <w:rPr>
                      <w:rFonts w:hint="default" w:ascii="Times New Roman" w:hAnsi="Times New Roman" w:eastAsia="仿宋" w:cs="Times New Roman"/>
                      <w:color w:val="auto"/>
                      <w:sz w:val="21"/>
                      <w:szCs w:val="21"/>
                      <w:highlight w:val="none"/>
                    </w:rPr>
                    <w:t>m</w:t>
                  </w:r>
                </w:p>
              </w:tc>
            </w:tr>
            <w:tr w14:paraId="43653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vMerge w:val="continue"/>
                  <w:tcBorders>
                    <w:tl2br w:val="nil"/>
                    <w:tr2bl w:val="nil"/>
                  </w:tcBorders>
                  <w:vAlign w:val="center"/>
                </w:tcPr>
                <w:p w14:paraId="7AF0A5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p>
              </w:tc>
              <w:tc>
                <w:tcPr>
                  <w:tcW w:w="714" w:type="pct"/>
                  <w:tcBorders>
                    <w:tl2br w:val="nil"/>
                    <w:tr2bl w:val="nil"/>
                  </w:tcBorders>
                  <w:vAlign w:val="center"/>
                </w:tcPr>
                <w:p w14:paraId="7D1057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光伏阵列边缘靠近声环境敏感点</w:t>
                  </w:r>
                </w:p>
              </w:tc>
              <w:tc>
                <w:tcPr>
                  <w:tcW w:w="441" w:type="pct"/>
                  <w:tcBorders>
                    <w:tl2br w:val="nil"/>
                    <w:tr2bl w:val="nil"/>
                  </w:tcBorders>
                  <w:vAlign w:val="center"/>
                </w:tcPr>
                <w:p w14:paraId="770732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6A16AB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人工施工</w:t>
                  </w:r>
                </w:p>
              </w:tc>
              <w:tc>
                <w:tcPr>
                  <w:tcW w:w="415" w:type="pct"/>
                  <w:tcBorders>
                    <w:tl2br w:val="nil"/>
                    <w:tr2bl w:val="nil"/>
                  </w:tcBorders>
                  <w:vAlign w:val="center"/>
                </w:tcPr>
                <w:p w14:paraId="02D07EA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kern w:val="0"/>
                      <w:sz w:val="21"/>
                      <w:szCs w:val="21"/>
                      <w:highlight w:val="none"/>
                      <w:lang w:bidi="ar"/>
                    </w:rPr>
                  </w:pPr>
                  <w:r>
                    <w:rPr>
                      <w:rFonts w:hint="default" w:ascii="Times New Roman" w:hAnsi="Times New Roman" w:eastAsia="仿宋" w:cs="Times New Roman"/>
                      <w:color w:val="auto"/>
                      <w:kern w:val="0"/>
                      <w:sz w:val="21"/>
                      <w:szCs w:val="21"/>
                      <w:highlight w:val="none"/>
                      <w:lang w:bidi="ar"/>
                    </w:rPr>
                    <w:t>/</w:t>
                  </w:r>
                </w:p>
              </w:tc>
              <w:tc>
                <w:tcPr>
                  <w:tcW w:w="1271" w:type="pct"/>
                  <w:tcBorders>
                    <w:tl2br w:val="nil"/>
                    <w:tr2bl w:val="nil"/>
                  </w:tcBorders>
                  <w:vAlign w:val="center"/>
                </w:tcPr>
                <w:p w14:paraId="13975E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距离声环境敏感点小于20m后，采用人工施工，仅使用手持钻机进行钻孔，不得使用其他施工设备。禁止夜间施工。</w:t>
                  </w:r>
                </w:p>
              </w:tc>
              <w:tc>
                <w:tcPr>
                  <w:tcW w:w="539" w:type="pct"/>
                  <w:tcBorders>
                    <w:tl2br w:val="nil"/>
                    <w:tr2bl w:val="nil"/>
                  </w:tcBorders>
                  <w:vAlign w:val="center"/>
                </w:tcPr>
                <w:p w14:paraId="3105B7B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r>
            <w:tr w14:paraId="16ED0D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1C2730C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w:t>
                  </w:r>
                </w:p>
              </w:tc>
              <w:tc>
                <w:tcPr>
                  <w:tcW w:w="714" w:type="pct"/>
                  <w:tcBorders>
                    <w:tl2br w:val="nil"/>
                    <w:tr2bl w:val="nil"/>
                  </w:tcBorders>
                  <w:vAlign w:val="center"/>
                </w:tcPr>
                <w:p w14:paraId="2686B2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w:t>
                  </w:r>
                </w:p>
              </w:tc>
              <w:tc>
                <w:tcPr>
                  <w:tcW w:w="441" w:type="pct"/>
                  <w:tcBorders>
                    <w:tl2br w:val="nil"/>
                    <w:tr2bl w:val="nil"/>
                  </w:tcBorders>
                  <w:vAlign w:val="center"/>
                </w:tcPr>
                <w:p w14:paraId="186E8CE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641FDC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挖掘机、振捣器、电钻、电焊机、推土机、电锯、运输车辆</w:t>
                  </w:r>
                </w:p>
              </w:tc>
              <w:tc>
                <w:tcPr>
                  <w:tcW w:w="415" w:type="pct"/>
                  <w:tcBorders>
                    <w:tl2br w:val="nil"/>
                    <w:tr2bl w:val="nil"/>
                  </w:tcBorders>
                  <w:vAlign w:val="center"/>
                </w:tcPr>
                <w:p w14:paraId="354E598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98.8</w:t>
                  </w:r>
                </w:p>
              </w:tc>
              <w:tc>
                <w:tcPr>
                  <w:tcW w:w="1271" w:type="pct"/>
                  <w:tcBorders>
                    <w:tl2br w:val="nil"/>
                    <w:tr2bl w:val="nil"/>
                  </w:tcBorders>
                  <w:vAlign w:val="center"/>
                </w:tcPr>
                <w:p w14:paraId="19CE60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升压站选址远离声环境敏感点</w:t>
                  </w:r>
                </w:p>
              </w:tc>
              <w:tc>
                <w:tcPr>
                  <w:tcW w:w="539" w:type="pct"/>
                  <w:tcBorders>
                    <w:tl2br w:val="nil"/>
                    <w:tr2bl w:val="nil"/>
                  </w:tcBorders>
                  <w:vAlign w:val="center"/>
                </w:tcPr>
                <w:p w14:paraId="1D606AC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28</w:t>
                  </w:r>
                  <w:r>
                    <w:rPr>
                      <w:rFonts w:hint="default" w:ascii="Times New Roman" w:hAnsi="Times New Roman" w:eastAsia="仿宋" w:cs="Times New Roman"/>
                      <w:color w:val="auto"/>
                      <w:sz w:val="21"/>
                      <w:szCs w:val="21"/>
                      <w:highlight w:val="none"/>
                    </w:rPr>
                    <w:t>m</w:t>
                  </w:r>
                </w:p>
              </w:tc>
            </w:tr>
            <w:tr w14:paraId="404880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1F1ED8E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电缆沟</w:t>
                  </w:r>
                </w:p>
              </w:tc>
              <w:tc>
                <w:tcPr>
                  <w:tcW w:w="714" w:type="pct"/>
                  <w:tcBorders>
                    <w:tl2br w:val="nil"/>
                    <w:tr2bl w:val="nil"/>
                  </w:tcBorders>
                  <w:vAlign w:val="center"/>
                </w:tcPr>
                <w:p w14:paraId="7D74DF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集电线路电缆施工</w:t>
                  </w:r>
                </w:p>
              </w:tc>
              <w:tc>
                <w:tcPr>
                  <w:tcW w:w="441" w:type="pct"/>
                  <w:tcBorders>
                    <w:tl2br w:val="nil"/>
                    <w:tr2bl w:val="nil"/>
                  </w:tcBorders>
                  <w:vAlign w:val="center"/>
                </w:tcPr>
                <w:p w14:paraId="07B5D9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66547C1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挖掘机、电钻、运输车辆</w:t>
                  </w:r>
                </w:p>
              </w:tc>
              <w:tc>
                <w:tcPr>
                  <w:tcW w:w="415" w:type="pct"/>
                  <w:tcBorders>
                    <w:tl2br w:val="nil"/>
                    <w:tr2bl w:val="nil"/>
                  </w:tcBorders>
                  <w:vAlign w:val="center"/>
                </w:tcPr>
                <w:p w14:paraId="5229A3A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cs="Times New Roman"/>
                      <w:color w:val="auto"/>
                      <w:kern w:val="0"/>
                      <w:sz w:val="21"/>
                      <w:szCs w:val="21"/>
                      <w:highlight w:val="none"/>
                      <w:lang w:val="en-US" w:eastAsia="zh-CN" w:bidi="ar"/>
                    </w:rPr>
                    <w:t>98.2</w:t>
                  </w:r>
                </w:p>
              </w:tc>
              <w:tc>
                <w:tcPr>
                  <w:tcW w:w="1271" w:type="pct"/>
                  <w:tcBorders>
                    <w:tl2br w:val="nil"/>
                    <w:tr2bl w:val="nil"/>
                  </w:tcBorders>
                  <w:vAlign w:val="center"/>
                </w:tcPr>
                <w:p w14:paraId="2277E5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集电线路布置远离声环境敏感点</w:t>
                  </w:r>
                </w:p>
              </w:tc>
              <w:tc>
                <w:tcPr>
                  <w:tcW w:w="539" w:type="pct"/>
                  <w:tcBorders>
                    <w:tl2br w:val="nil"/>
                    <w:tr2bl w:val="nil"/>
                  </w:tcBorders>
                  <w:vAlign w:val="center"/>
                </w:tcPr>
                <w:p w14:paraId="6CB03E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r>
                    <w:rPr>
                      <w:rFonts w:hint="eastAsia" w:cs="Times New Roman"/>
                      <w:color w:val="auto"/>
                      <w:sz w:val="21"/>
                      <w:szCs w:val="21"/>
                      <w:highlight w:val="none"/>
                      <w:lang w:val="en-US" w:eastAsia="zh-CN"/>
                    </w:rPr>
                    <w:t>6</w:t>
                  </w:r>
                  <w:r>
                    <w:rPr>
                      <w:rFonts w:hint="default" w:ascii="Times New Roman" w:hAnsi="Times New Roman" w:eastAsia="仿宋" w:cs="Times New Roman"/>
                      <w:color w:val="auto"/>
                      <w:sz w:val="21"/>
                      <w:szCs w:val="21"/>
                      <w:highlight w:val="none"/>
                    </w:rPr>
                    <w:t>m</w:t>
                  </w:r>
                </w:p>
              </w:tc>
            </w:tr>
            <w:tr w14:paraId="30DF73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38809A2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塔基</w:t>
                  </w:r>
                </w:p>
              </w:tc>
              <w:tc>
                <w:tcPr>
                  <w:tcW w:w="714" w:type="pct"/>
                  <w:tcBorders>
                    <w:tl2br w:val="nil"/>
                    <w:tr2bl w:val="nil"/>
                  </w:tcBorders>
                  <w:vAlign w:val="center"/>
                </w:tcPr>
                <w:p w14:paraId="38A761F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集电线路架空施工</w:t>
                  </w:r>
                </w:p>
              </w:tc>
              <w:tc>
                <w:tcPr>
                  <w:tcW w:w="441" w:type="pct"/>
                  <w:tcBorders>
                    <w:tl2br w:val="nil"/>
                    <w:tr2bl w:val="nil"/>
                  </w:tcBorders>
                  <w:vAlign w:val="center"/>
                </w:tcPr>
                <w:p w14:paraId="08658A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3A815D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人工施工</w:t>
                  </w:r>
                </w:p>
              </w:tc>
              <w:tc>
                <w:tcPr>
                  <w:tcW w:w="415" w:type="pct"/>
                  <w:tcBorders>
                    <w:tl2br w:val="nil"/>
                    <w:tr2bl w:val="nil"/>
                  </w:tcBorders>
                  <w:vAlign w:val="center"/>
                </w:tcPr>
                <w:p w14:paraId="0FE431A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kern w:val="0"/>
                      <w:sz w:val="21"/>
                      <w:szCs w:val="21"/>
                      <w:highlight w:val="none"/>
                      <w:lang w:bidi="ar"/>
                    </w:rPr>
                    <w:t>/</w:t>
                  </w:r>
                </w:p>
              </w:tc>
              <w:tc>
                <w:tcPr>
                  <w:tcW w:w="1271" w:type="pct"/>
                  <w:tcBorders>
                    <w:tl2br w:val="nil"/>
                    <w:tr2bl w:val="nil"/>
                  </w:tcBorders>
                  <w:vAlign w:val="center"/>
                </w:tcPr>
                <w:p w14:paraId="4051AA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优化施工工序，人工开挖、浇筑基础，人工拼接铁塔。无人机运输施工材料，无人机放线。</w:t>
                  </w:r>
                </w:p>
              </w:tc>
              <w:tc>
                <w:tcPr>
                  <w:tcW w:w="539" w:type="pct"/>
                  <w:tcBorders>
                    <w:tl2br w:val="nil"/>
                    <w:tr2bl w:val="nil"/>
                  </w:tcBorders>
                  <w:vAlign w:val="center"/>
                </w:tcPr>
                <w:p w14:paraId="180FCAB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r>
            <w:tr w14:paraId="10DB76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72E01DD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全部设备综合噪声</w:t>
                  </w:r>
                </w:p>
              </w:tc>
              <w:tc>
                <w:tcPr>
                  <w:tcW w:w="714" w:type="pct"/>
                  <w:tcBorders>
                    <w:tl2br w:val="nil"/>
                    <w:tr2bl w:val="nil"/>
                  </w:tcBorders>
                  <w:vAlign w:val="center"/>
                </w:tcPr>
                <w:p w14:paraId="625048F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441" w:type="pct"/>
                  <w:tcBorders>
                    <w:tl2br w:val="nil"/>
                    <w:tr2bl w:val="nil"/>
                  </w:tcBorders>
                  <w:vAlign w:val="center"/>
                </w:tcPr>
                <w:p w14:paraId="45FE466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昼间</w:t>
                  </w:r>
                </w:p>
              </w:tc>
              <w:tc>
                <w:tcPr>
                  <w:tcW w:w="904" w:type="pct"/>
                  <w:tcBorders>
                    <w:tl2br w:val="nil"/>
                    <w:tr2bl w:val="nil"/>
                  </w:tcBorders>
                  <w:vAlign w:val="center"/>
                </w:tcPr>
                <w:p w14:paraId="0D60FE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挖掘机、振捣器、电钻、电焊机、推土机、电锯、运输车辆</w:t>
                  </w:r>
                </w:p>
              </w:tc>
              <w:tc>
                <w:tcPr>
                  <w:tcW w:w="415" w:type="pct"/>
                  <w:tcBorders>
                    <w:tl2br w:val="nil"/>
                    <w:tr2bl w:val="nil"/>
                  </w:tcBorders>
                  <w:vAlign w:val="center"/>
                </w:tcPr>
                <w:p w14:paraId="15AA54E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kern w:val="0"/>
                      <w:sz w:val="21"/>
                      <w:szCs w:val="21"/>
                      <w:highlight w:val="none"/>
                      <w:lang w:bidi="ar"/>
                    </w:rPr>
                  </w:pPr>
                  <w:r>
                    <w:rPr>
                      <w:rFonts w:hint="default" w:ascii="Times New Roman" w:hAnsi="Times New Roman" w:eastAsia="仿宋" w:cs="Times New Roman"/>
                      <w:color w:val="auto"/>
                      <w:kern w:val="0"/>
                      <w:sz w:val="21"/>
                      <w:szCs w:val="21"/>
                      <w:highlight w:val="none"/>
                      <w:lang w:bidi="ar"/>
                    </w:rPr>
                    <w:t>98.8</w:t>
                  </w:r>
                </w:p>
              </w:tc>
              <w:tc>
                <w:tcPr>
                  <w:tcW w:w="1271" w:type="pct"/>
                  <w:tcBorders>
                    <w:tl2br w:val="nil"/>
                    <w:tr2bl w:val="nil"/>
                  </w:tcBorders>
                  <w:vAlign w:val="center"/>
                </w:tcPr>
                <w:p w14:paraId="2A8872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施工期前告知；施工过程</w:t>
                  </w:r>
                  <w:r>
                    <w:rPr>
                      <w:rFonts w:hint="default" w:ascii="Times New Roman" w:hAnsi="Times New Roman" w:eastAsia="仿宋" w:cs="Times New Roman"/>
                      <w:color w:val="auto"/>
                      <w:sz w:val="21"/>
                      <w:szCs w:val="21"/>
                      <w:highlight w:val="none"/>
                    </w:rPr>
                    <w:t>选用低噪声设备</w:t>
                  </w:r>
                  <w:r>
                    <w:rPr>
                      <w:rFonts w:hint="eastAsia" w:ascii="Times New Roman" w:hAnsi="Times New Roman"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禁止夜间施工</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对施工区域临近敏感点一侧设置隔声能力不低于10dB（A）的金属隔声围挡</w:t>
                  </w:r>
                </w:p>
              </w:tc>
              <w:tc>
                <w:tcPr>
                  <w:tcW w:w="539" w:type="pct"/>
                  <w:tcBorders>
                    <w:tl2br w:val="nil"/>
                    <w:tr2bl w:val="nil"/>
                  </w:tcBorders>
                  <w:vAlign w:val="center"/>
                </w:tcPr>
                <w:p w14:paraId="3EC7D1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28</w:t>
                  </w:r>
                  <w:r>
                    <w:rPr>
                      <w:rFonts w:hint="default" w:ascii="Times New Roman" w:hAnsi="Times New Roman" w:eastAsia="仿宋" w:cs="Times New Roman"/>
                      <w:color w:val="auto"/>
                      <w:sz w:val="21"/>
                      <w:szCs w:val="21"/>
                      <w:highlight w:val="none"/>
                    </w:rPr>
                    <w:t>m</w:t>
                  </w:r>
                </w:p>
              </w:tc>
            </w:tr>
          </w:tbl>
          <w:p w14:paraId="077197A4">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由上表可以看出，本项目临时施工场地主要噪声设备为运输车辆。场地外</w:t>
            </w:r>
            <w:r>
              <w:rPr>
                <w:rFonts w:hint="eastAsia" w:cs="Times New Roman"/>
                <w:color w:val="auto"/>
                <w:sz w:val="24"/>
                <w:szCs w:val="24"/>
                <w:highlight w:val="none"/>
                <w:lang w:val="en-US" w:eastAsia="zh-CN"/>
              </w:rPr>
              <w:t>4</w:t>
            </w:r>
            <w:r>
              <w:rPr>
                <w:rFonts w:hint="default" w:ascii="Times New Roman" w:hAnsi="Times New Roman" w:eastAsia="仿宋" w:cs="Times New Roman"/>
                <w:color w:val="auto"/>
                <w:sz w:val="24"/>
                <w:szCs w:val="24"/>
                <w:highlight w:val="none"/>
                <w:lang w:val="en-US" w:eastAsia="zh-CN"/>
              </w:rPr>
              <w:t>m可达《建筑施工噪声排放标准》（GB12523-2025）中昼间排放限值70dB（A）的要求。上述临时施工场地200m范围内均不涉及声环境敏感点，且项目合理安排施工时间，禁止夜间施工，施工噪声经距离衰减后，对居民影响较小。</w:t>
            </w:r>
          </w:p>
          <w:p w14:paraId="2BD3232E">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本项目临时施工场地2，施工期需要进行钢结构加工，主要噪声设备为电锯、电焊机、运输车辆、无人机。场地外2</w:t>
            </w:r>
            <w:r>
              <w:rPr>
                <w:rFonts w:hint="eastAsia"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lang w:val="en-US" w:eastAsia="zh-CN"/>
              </w:rPr>
              <w:t>m可达到《建筑施工噪声排放标准》（GB12523-2025）中昼间排放限值70dB（A）的要求。临时施工场地2位于升压站场地，周边200m范围内均不涉及声环境敏感点，且项目合理安排施工时间，禁止夜间施工，施工噪声经距离衰减后，对周边居民影响较小。</w:t>
            </w:r>
          </w:p>
          <w:p w14:paraId="5DF962D1">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本项目光伏阵列施工过程主要噪声设备为电钻、电锯、运输车辆。场地外2</w:t>
            </w:r>
            <w:r>
              <w:rPr>
                <w:rFonts w:hint="eastAsia"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lang w:val="en-US" w:eastAsia="zh-CN"/>
              </w:rPr>
              <w:t>m可达《建筑施工噪声排放标准》（GB12523-2025）中昼间排放限值70dB（A）的要求。本项目11#光伏阵列东侧</w:t>
            </w:r>
            <w:r>
              <w:rPr>
                <w:rFonts w:hint="eastAsia" w:cs="Times New Roman"/>
                <w:color w:val="auto"/>
                <w:sz w:val="24"/>
                <w:szCs w:val="24"/>
                <w:highlight w:val="none"/>
                <w:lang w:val="en-US" w:eastAsia="zh-CN"/>
              </w:rPr>
              <w:t>15</w:t>
            </w:r>
            <w:r>
              <w:rPr>
                <w:rFonts w:hint="default" w:ascii="Times New Roman" w:hAnsi="Times New Roman" w:eastAsia="仿宋" w:cs="Times New Roman"/>
                <w:color w:val="auto"/>
                <w:sz w:val="24"/>
                <w:szCs w:val="24"/>
                <w:highlight w:val="none"/>
                <w:lang w:val="en-US" w:eastAsia="zh-CN"/>
              </w:rPr>
              <w:t>m范围内涉及周家沟居民点。当11#光伏阵列边缘进行施工时，开始人工施工，合理安排施工时间，禁止夜间施工，对周家沟两处居民点影响较小。</w:t>
            </w:r>
          </w:p>
          <w:p w14:paraId="4350D43A">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本项目升压站施工过程主要设备噪声为推土机、挖掘机、电钻、运输车辆、振捣器、电锯、电焊机、运输车辆。升压站200m内无敏感目标，升压站施工昼间噪声经距离衰减后，距施工点</w:t>
            </w:r>
            <w:r>
              <w:rPr>
                <w:rFonts w:hint="eastAsia" w:cs="Times New Roman"/>
                <w:color w:val="auto"/>
                <w:sz w:val="24"/>
                <w:szCs w:val="24"/>
                <w:highlight w:val="none"/>
                <w:lang w:val="en-US" w:eastAsia="zh-CN"/>
              </w:rPr>
              <w:t>28</w:t>
            </w:r>
            <w:r>
              <w:rPr>
                <w:rFonts w:hint="default" w:ascii="Times New Roman" w:hAnsi="Times New Roman" w:eastAsia="仿宋" w:cs="Times New Roman"/>
                <w:color w:val="auto"/>
                <w:sz w:val="24"/>
                <w:szCs w:val="24"/>
                <w:highlight w:val="none"/>
                <w:lang w:val="en-US" w:eastAsia="zh-CN"/>
              </w:rPr>
              <w:t>m外昼间可</w:t>
            </w:r>
            <w:r>
              <w:rPr>
                <w:rFonts w:hint="eastAsia" w:cs="Times New Roman"/>
                <w:color w:val="auto"/>
                <w:sz w:val="24"/>
                <w:szCs w:val="24"/>
                <w:highlight w:val="none"/>
                <w:lang w:val="en-US" w:eastAsia="zh-CN"/>
              </w:rPr>
              <w:t>达到</w:t>
            </w:r>
            <w:r>
              <w:rPr>
                <w:rFonts w:hint="default" w:ascii="Times New Roman" w:hAnsi="Times New Roman" w:eastAsia="仿宋" w:cs="Times New Roman"/>
                <w:color w:val="auto"/>
                <w:sz w:val="24"/>
                <w:szCs w:val="24"/>
                <w:highlight w:val="none"/>
                <w:lang w:val="en-US" w:eastAsia="zh-CN"/>
              </w:rPr>
              <w:t>《建筑施工噪声排放标准》（GB12523-2025）昼间噪声限值70dB（A）的要求。</w:t>
            </w:r>
          </w:p>
          <w:p w14:paraId="0EEA88EB">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本项目电缆沟施工过程主要设备噪声为挖掘机、电钻和运输车辆。电缆沟2</w:t>
            </w:r>
            <w:r>
              <w:rPr>
                <w:rFonts w:hint="eastAsia" w:cs="Times New Roman"/>
                <w:color w:val="auto"/>
                <w:sz w:val="24"/>
                <w:szCs w:val="24"/>
                <w:highlight w:val="none"/>
                <w:lang w:val="en-US" w:eastAsia="zh-CN"/>
              </w:rPr>
              <w:t>6</w:t>
            </w:r>
            <w:r>
              <w:rPr>
                <w:rFonts w:hint="default" w:ascii="Times New Roman" w:hAnsi="Times New Roman" w:eastAsia="仿宋" w:cs="Times New Roman"/>
                <w:color w:val="auto"/>
                <w:sz w:val="24"/>
                <w:szCs w:val="24"/>
                <w:highlight w:val="none"/>
                <w:lang w:val="en-US" w:eastAsia="zh-CN"/>
              </w:rPr>
              <w:t>m内无敏感目标，施工昼间噪声经距离衰减后，距施工点2</w:t>
            </w:r>
            <w:r>
              <w:rPr>
                <w:rFonts w:hint="eastAsia" w:cs="Times New Roman"/>
                <w:color w:val="auto"/>
                <w:sz w:val="24"/>
                <w:szCs w:val="24"/>
                <w:highlight w:val="none"/>
                <w:lang w:val="en-US" w:eastAsia="zh-CN"/>
              </w:rPr>
              <w:t>6</w:t>
            </w:r>
            <w:r>
              <w:rPr>
                <w:rFonts w:hint="default" w:ascii="Times New Roman" w:hAnsi="Times New Roman" w:eastAsia="仿宋" w:cs="Times New Roman"/>
                <w:color w:val="auto"/>
                <w:sz w:val="24"/>
                <w:szCs w:val="24"/>
                <w:highlight w:val="none"/>
                <w:lang w:val="en-US" w:eastAsia="zh-CN"/>
              </w:rPr>
              <w:t>m外昼间可</w:t>
            </w:r>
            <w:r>
              <w:rPr>
                <w:rFonts w:hint="eastAsia" w:cs="Times New Roman"/>
                <w:color w:val="auto"/>
                <w:sz w:val="24"/>
                <w:szCs w:val="24"/>
                <w:highlight w:val="none"/>
                <w:lang w:val="en-US" w:eastAsia="zh-CN"/>
              </w:rPr>
              <w:t>达到</w:t>
            </w:r>
            <w:r>
              <w:rPr>
                <w:rFonts w:hint="default" w:ascii="Times New Roman" w:hAnsi="Times New Roman" w:eastAsia="仿宋" w:cs="Times New Roman"/>
                <w:color w:val="auto"/>
                <w:sz w:val="24"/>
                <w:szCs w:val="24"/>
                <w:highlight w:val="none"/>
                <w:lang w:val="en-US" w:eastAsia="zh-CN"/>
              </w:rPr>
              <w:t>《建筑施工噪声排放标准》（GB12523-2025）昼间噪声限值70dB（A）的要求。</w:t>
            </w:r>
          </w:p>
          <w:p w14:paraId="56935CA9">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本项目塔基及塔杆施工过程中，主要设备噪声为人工施工，塔基及塔杆施工昼间噪声可达《建筑施工噪声排放标准》（GB12523-2025）昼间噪声限值70dB（A）的要求。</w:t>
            </w:r>
          </w:p>
          <w:p w14:paraId="732E50A4">
            <w:pPr>
              <w:keepNext w:val="0"/>
              <w:keepLines w:val="0"/>
              <w:suppressLineNumbers w:val="0"/>
              <w:snapToGrid w:val="0"/>
              <w:spacing w:before="0" w:beforeAutospacing="0" w:after="0" w:afterAutospacing="0" w:line="360" w:lineRule="auto"/>
              <w:ind w:left="0" w:right="0" w:firstLine="480" w:firstLineChars="200"/>
              <w:textAlignment w:val="baseline"/>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当本项目发生全部施工设备同时运行时，最大噪声源强为98.8dB（A）经距离衰减后，距离施工场地28m处可满足</w:t>
            </w:r>
            <w:r>
              <w:rPr>
                <w:rFonts w:hint="default" w:ascii="Times New Roman" w:hAnsi="Times New Roman" w:eastAsia="仿宋" w:cs="Times New Roman"/>
                <w:color w:val="auto"/>
                <w:sz w:val="24"/>
                <w:szCs w:val="24"/>
                <w:highlight w:val="none"/>
                <w:lang w:val="en-US" w:eastAsia="zh-CN"/>
              </w:rPr>
              <w:t>《建筑施工噪声排放标准》（GB12523-2025）昼间噪声限值70dB（A）的要求</w:t>
            </w:r>
            <w:r>
              <w:rPr>
                <w:rFonts w:hint="eastAsia" w:ascii="Times New Roman" w:hAnsi="Times New Roman" w:cs="Times New Roman"/>
                <w:color w:val="auto"/>
                <w:sz w:val="24"/>
                <w:szCs w:val="24"/>
                <w:highlight w:val="none"/>
                <w:lang w:val="en-US" w:eastAsia="zh-CN"/>
              </w:rPr>
              <w:t>。</w:t>
            </w:r>
          </w:p>
          <w:p w14:paraId="7C7288B8">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距离施工场地小于28m的敏感点包括杨家村居民点距离2#道路10m；周家沟居民点距离11#方阵15m；堰边沟居民点距离12#箱变22m；腰店子居民点距离B18塔基25m；小火地散户距离B29塔基19m。当上述敏感点遇到全部施工设备同时在附近运行的状况时，施工单位应采取：施工期前告知附近居民、施工过程选用低噪声设备、禁止夜间施工、对施工区域临近敏感点一侧设置隔声能力不低于10dB（A）的金属隔声围挡。采取上述措施后，距离施工场地最近的杨家村居民点昼间施工噪声为68.8dB（A）满足</w:t>
            </w:r>
            <w:r>
              <w:rPr>
                <w:rFonts w:hint="default" w:ascii="Times New Roman" w:hAnsi="Times New Roman" w:eastAsia="仿宋" w:cs="Times New Roman"/>
                <w:color w:val="auto"/>
                <w:sz w:val="24"/>
                <w:szCs w:val="24"/>
                <w:highlight w:val="none"/>
                <w:lang w:val="en-US" w:eastAsia="zh-CN"/>
              </w:rPr>
              <w:t>《建筑施工噪声排放标准》（GB12523-2025）昼间噪声限值70dB（A）的要求</w:t>
            </w:r>
            <w:r>
              <w:rPr>
                <w:rFonts w:hint="eastAsia" w:ascii="Times New Roman" w:hAnsi="Times New Roman" w:cs="Times New Roman"/>
                <w:color w:val="auto"/>
                <w:sz w:val="24"/>
                <w:szCs w:val="24"/>
                <w:highlight w:val="none"/>
                <w:lang w:val="en-US" w:eastAsia="zh-CN"/>
              </w:rPr>
              <w:t>。</w:t>
            </w:r>
          </w:p>
          <w:p w14:paraId="7C4A4E29">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综上，本项目施工噪声对周围声环境敏感点影响较小。</w:t>
            </w:r>
          </w:p>
          <w:p w14:paraId="4B9E6C48">
            <w:pPr>
              <w:keepNext w:val="0"/>
              <w:keepLines w:val="0"/>
              <w:suppressLineNumbers w:val="0"/>
              <w:snapToGrid w:val="0"/>
              <w:spacing w:before="0" w:beforeAutospacing="0" w:after="0" w:afterAutospacing="0" w:line="360" w:lineRule="auto"/>
              <w:ind w:left="0" w:right="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4.2.5</w:t>
            </w:r>
            <w:r>
              <w:rPr>
                <w:rFonts w:hint="default" w:ascii="Times New Roman" w:hAnsi="Times New Roman" w:eastAsia="仿宋" w:cs="Times New Roman"/>
                <w:b/>
                <w:color w:val="auto"/>
                <w:sz w:val="24"/>
                <w:szCs w:val="24"/>
                <w:highlight w:val="none"/>
              </w:rPr>
              <w:t>固体废物影响分析</w:t>
            </w:r>
          </w:p>
          <w:p w14:paraId="53FEFD6E">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项目施工期固体废物主要为土石方、</w:t>
            </w:r>
            <w:r>
              <w:rPr>
                <w:rFonts w:hint="default" w:ascii="Times New Roman" w:hAnsi="Times New Roman" w:eastAsia="仿宋" w:cs="Times New Roman"/>
                <w:color w:val="auto"/>
                <w:sz w:val="24"/>
                <w:szCs w:val="24"/>
                <w:highlight w:val="none"/>
                <w:lang w:val="en-US" w:eastAsia="zh-CN"/>
              </w:rPr>
              <w:t>建筑垃圾、</w:t>
            </w:r>
            <w:r>
              <w:rPr>
                <w:rFonts w:hint="default" w:ascii="Times New Roman" w:hAnsi="Times New Roman" w:eastAsia="仿宋" w:cs="Times New Roman"/>
                <w:color w:val="auto"/>
                <w:sz w:val="24"/>
                <w:szCs w:val="24"/>
                <w:highlight w:val="none"/>
              </w:rPr>
              <w:t>施工人员生活垃圾。</w:t>
            </w:r>
          </w:p>
          <w:p w14:paraId="539BE376">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rPr>
              <w:t>（1）土石方</w:t>
            </w:r>
          </w:p>
          <w:p w14:paraId="1A5FB4D4">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根据建设单位提供资料，本项目共开挖土石方</w:t>
            </w:r>
            <w:r>
              <w:rPr>
                <w:rFonts w:hint="eastAsia" w:cs="Times New Roman"/>
                <w:color w:val="auto"/>
                <w:sz w:val="24"/>
                <w:szCs w:val="24"/>
                <w:highlight w:val="none"/>
                <w:lang w:val="en-US" w:eastAsia="zh-CN"/>
              </w:rPr>
              <w:t>11.68</w:t>
            </w:r>
            <w:r>
              <w:rPr>
                <w:rFonts w:hint="default" w:ascii="Times New Roman" w:hAnsi="Times New Roman" w:eastAsia="仿宋" w:cs="Times New Roman"/>
                <w:color w:val="auto"/>
                <w:sz w:val="24"/>
                <w:szCs w:val="24"/>
                <w:highlight w:val="none"/>
                <w:lang w:val="en-US" w:eastAsia="zh-CN"/>
              </w:rPr>
              <w:t>万m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（其中表土剥离</w:t>
            </w:r>
            <w:r>
              <w:rPr>
                <w:rFonts w:hint="eastAsia" w:cs="Times New Roman"/>
                <w:color w:val="auto"/>
                <w:sz w:val="24"/>
                <w:szCs w:val="24"/>
                <w:highlight w:val="none"/>
                <w:lang w:val="en-US" w:eastAsia="zh-CN"/>
              </w:rPr>
              <w:t>2.16万</w:t>
            </w:r>
            <w:r>
              <w:rPr>
                <w:rFonts w:hint="default" w:ascii="Times New Roman" w:hAnsi="Times New Roman" w:eastAsia="仿宋" w:cs="Times New Roman"/>
                <w:color w:val="auto"/>
                <w:sz w:val="24"/>
                <w:szCs w:val="24"/>
                <w:highlight w:val="none"/>
                <w:lang w:val="en-US" w:eastAsia="zh-CN"/>
              </w:rPr>
              <w:t>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，一般土石方</w:t>
            </w:r>
            <w:r>
              <w:rPr>
                <w:rFonts w:hint="eastAsia" w:cs="Times New Roman"/>
                <w:color w:val="auto"/>
                <w:sz w:val="24"/>
                <w:szCs w:val="24"/>
                <w:highlight w:val="none"/>
                <w:lang w:val="en-US" w:eastAsia="zh-CN"/>
              </w:rPr>
              <w:t>9.52万</w:t>
            </w:r>
            <w:r>
              <w:rPr>
                <w:rFonts w:hint="default" w:ascii="Times New Roman" w:hAnsi="Times New Roman" w:eastAsia="仿宋" w:cs="Times New Roman"/>
                <w:color w:val="auto"/>
                <w:sz w:val="24"/>
                <w:szCs w:val="24"/>
                <w:highlight w:val="none"/>
                <w:lang w:val="en-US" w:eastAsia="zh-CN"/>
              </w:rPr>
              <w:t>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），回填土石方</w:t>
            </w:r>
            <w:r>
              <w:rPr>
                <w:rFonts w:hint="eastAsia" w:cs="Times New Roman"/>
                <w:color w:val="auto"/>
                <w:sz w:val="24"/>
                <w:szCs w:val="24"/>
                <w:highlight w:val="none"/>
                <w:lang w:val="en-US" w:eastAsia="zh-CN"/>
              </w:rPr>
              <w:t>11.68</w:t>
            </w:r>
            <w:r>
              <w:rPr>
                <w:rFonts w:hint="default" w:ascii="Times New Roman" w:hAnsi="Times New Roman" w:eastAsia="仿宋" w:cs="Times New Roman"/>
                <w:color w:val="auto"/>
                <w:sz w:val="24"/>
                <w:szCs w:val="24"/>
                <w:highlight w:val="none"/>
                <w:lang w:val="en-US" w:eastAsia="zh-CN"/>
              </w:rPr>
              <w:t>万m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（其中绿化覆土</w:t>
            </w:r>
            <w:r>
              <w:rPr>
                <w:rFonts w:hint="eastAsia" w:cs="Times New Roman"/>
                <w:color w:val="auto"/>
                <w:sz w:val="24"/>
                <w:szCs w:val="24"/>
                <w:highlight w:val="none"/>
                <w:lang w:val="en-US" w:eastAsia="zh-CN"/>
              </w:rPr>
              <w:t>2.16万</w:t>
            </w:r>
            <w:r>
              <w:rPr>
                <w:rFonts w:hint="default" w:ascii="Times New Roman" w:hAnsi="Times New Roman" w:eastAsia="仿宋" w:cs="Times New Roman"/>
                <w:color w:val="auto"/>
                <w:sz w:val="24"/>
                <w:szCs w:val="24"/>
                <w:highlight w:val="none"/>
                <w:lang w:val="en-US" w:eastAsia="zh-CN"/>
              </w:rPr>
              <w:t>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，一般土石方</w:t>
            </w:r>
            <w:r>
              <w:rPr>
                <w:rFonts w:hint="eastAsia" w:cs="Times New Roman"/>
                <w:color w:val="auto"/>
                <w:sz w:val="24"/>
                <w:szCs w:val="24"/>
                <w:highlight w:val="none"/>
                <w:lang w:val="en-US" w:eastAsia="zh-CN"/>
              </w:rPr>
              <w:t>9.52万</w:t>
            </w:r>
            <w:r>
              <w:rPr>
                <w:rFonts w:hint="default" w:ascii="Times New Roman" w:hAnsi="Times New Roman" w:eastAsia="仿宋" w:cs="Times New Roman"/>
                <w:color w:val="auto"/>
                <w:sz w:val="24"/>
                <w:szCs w:val="24"/>
                <w:highlight w:val="none"/>
                <w:lang w:val="en-US" w:eastAsia="zh-CN"/>
              </w:rPr>
              <w:t>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），本项目建设过程中无弃渣产生。项目施工期基本结束不会再产生新的土石方，本项目建设过程中土石方及表土等均回填，未产生废弃土石方，对环境影响不大。</w:t>
            </w:r>
          </w:p>
          <w:p w14:paraId="52885450">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eastAsia="zh-CN"/>
              </w:rPr>
              <w:t>（</w:t>
            </w:r>
            <w:r>
              <w:rPr>
                <w:rFonts w:hint="default" w:ascii="Times New Roman" w:hAnsi="Times New Roman" w:eastAsia="仿宋" w:cs="Times New Roman"/>
                <w:b w:val="0"/>
                <w:bCs w:val="0"/>
                <w:color w:val="auto"/>
                <w:sz w:val="24"/>
                <w:szCs w:val="24"/>
                <w:highlight w:val="none"/>
                <w:lang w:val="en-US" w:eastAsia="zh-CN"/>
              </w:rPr>
              <w:t>2</w:t>
            </w:r>
            <w:r>
              <w:rPr>
                <w:rFonts w:hint="default" w:ascii="Times New Roman" w:hAnsi="Times New Roman" w:eastAsia="仿宋" w:cs="Times New Roman"/>
                <w:b w:val="0"/>
                <w:bCs w:val="0"/>
                <w:color w:val="auto"/>
                <w:sz w:val="24"/>
                <w:szCs w:val="24"/>
                <w:highlight w:val="none"/>
                <w:lang w:eastAsia="zh-CN"/>
              </w:rPr>
              <w:t>）</w:t>
            </w:r>
            <w:r>
              <w:rPr>
                <w:rFonts w:hint="default" w:ascii="Times New Roman" w:hAnsi="Times New Roman" w:eastAsia="仿宋" w:cs="Times New Roman"/>
                <w:b w:val="0"/>
                <w:bCs w:val="0"/>
                <w:color w:val="auto"/>
                <w:sz w:val="24"/>
                <w:szCs w:val="24"/>
                <w:highlight w:val="none"/>
                <w:lang w:val="en-US" w:eastAsia="zh-CN"/>
              </w:rPr>
              <w:t>建筑垃圾</w:t>
            </w:r>
          </w:p>
          <w:p w14:paraId="13254A03">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施工建筑垃圾主要指建筑修筑、材料运输、基础工程施工期间产生的废弃建筑材料，如砂石、石灰、混凝土等。施工期建筑垃圾产生量约为20t。</w:t>
            </w:r>
          </w:p>
          <w:p w14:paraId="0D5C1ADD">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建筑垃圾经分类收集后，可回收利用的回收利用，不可回收利用的委托有资质单位清运至当地住建部门指定地点堆存，采取上述措施后，对环境影响不大。</w:t>
            </w:r>
          </w:p>
          <w:p w14:paraId="15A19D14">
            <w:pPr>
              <w:keepNext w:val="0"/>
              <w:keepLines w:val="0"/>
              <w:suppressLineNumbers w:val="0"/>
              <w:snapToGrid w:val="0"/>
              <w:spacing w:before="0" w:beforeAutospacing="0" w:after="0" w:afterAutospacing="0" w:line="360" w:lineRule="auto"/>
              <w:ind w:left="0" w:right="0" w:firstLine="482" w:firstLineChars="200"/>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rPr>
              <w:t>）生活垃圾</w:t>
            </w:r>
          </w:p>
          <w:p w14:paraId="65F06FDE">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项目施工高峰期人员约</w:t>
            </w:r>
            <w:r>
              <w:rPr>
                <w:rFonts w:hint="default" w:ascii="Times New Roman" w:hAnsi="Times New Roman" w:eastAsia="仿宋" w:cs="Times New Roman"/>
                <w:color w:val="auto"/>
                <w:sz w:val="24"/>
                <w:szCs w:val="24"/>
                <w:highlight w:val="none"/>
                <w:lang w:val="en-US" w:eastAsia="zh-CN"/>
              </w:rPr>
              <w:t>150</w:t>
            </w:r>
            <w:r>
              <w:rPr>
                <w:rFonts w:hint="default" w:ascii="Times New Roman" w:hAnsi="Times New Roman" w:eastAsia="仿宋" w:cs="Times New Roman"/>
                <w:color w:val="auto"/>
                <w:sz w:val="24"/>
                <w:szCs w:val="24"/>
                <w:highlight w:val="none"/>
              </w:rPr>
              <w:t>人，施工人员生活垃圾产生量以每人每天0.5kg计，施工人员产生的生活垃圾约</w:t>
            </w:r>
            <w:r>
              <w:rPr>
                <w:rFonts w:hint="default" w:ascii="Times New Roman" w:hAnsi="Times New Roman" w:eastAsia="仿宋" w:cs="Times New Roman"/>
                <w:color w:val="auto"/>
                <w:sz w:val="24"/>
                <w:szCs w:val="24"/>
                <w:highlight w:val="none"/>
                <w:lang w:val="en-US" w:eastAsia="zh-CN"/>
              </w:rPr>
              <w:t>75</w:t>
            </w:r>
            <w:r>
              <w:rPr>
                <w:rFonts w:hint="default" w:ascii="Times New Roman" w:hAnsi="Times New Roman" w:eastAsia="仿宋" w:cs="Times New Roman"/>
                <w:color w:val="auto"/>
                <w:sz w:val="24"/>
                <w:szCs w:val="24"/>
                <w:highlight w:val="none"/>
              </w:rPr>
              <w:t>kg/d。</w:t>
            </w:r>
            <w:r>
              <w:rPr>
                <w:rFonts w:hint="default" w:ascii="Times New Roman" w:hAnsi="Times New Roman" w:eastAsia="仿宋" w:cs="Times New Roman"/>
                <w:color w:val="auto"/>
                <w:sz w:val="24"/>
                <w:szCs w:val="24"/>
                <w:highlight w:val="none"/>
                <w:lang w:val="en-US" w:eastAsia="zh-CN"/>
              </w:rPr>
              <w:t>生活垃圾主要产生于项目租用的生活办公区，收集后送至周边垃圾集中收集点，由环卫部门清运处置</w:t>
            </w:r>
            <w:r>
              <w:rPr>
                <w:rFonts w:hint="default" w:ascii="Times New Roman" w:hAnsi="Times New Roman" w:eastAsia="仿宋" w:cs="Times New Roman"/>
                <w:color w:val="auto"/>
                <w:sz w:val="24"/>
                <w:szCs w:val="24"/>
                <w:highlight w:val="none"/>
              </w:rPr>
              <w:t>。</w:t>
            </w:r>
          </w:p>
        </w:tc>
      </w:tr>
      <w:tr w14:paraId="38D0D3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69" w:type="pct"/>
            <w:noWrap w:val="0"/>
            <w:tcMar>
              <w:left w:w="28" w:type="dxa"/>
              <w:right w:w="28" w:type="dxa"/>
            </w:tcMar>
            <w:vAlign w:val="center"/>
          </w:tcPr>
          <w:p w14:paraId="1A07D6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bCs/>
                <w:color w:val="auto"/>
                <w:kern w:val="2"/>
                <w:sz w:val="24"/>
                <w:szCs w:val="24"/>
                <w:highlight w:val="none"/>
              </w:rPr>
            </w:pPr>
            <w:r>
              <w:rPr>
                <w:rFonts w:hint="default" w:ascii="Times New Roman" w:hAnsi="Times New Roman" w:eastAsia="仿宋" w:cs="Times New Roman"/>
                <w:bCs/>
                <w:color w:val="auto"/>
                <w:spacing w:val="10"/>
                <w:kern w:val="2"/>
                <w:sz w:val="24"/>
                <w:szCs w:val="24"/>
                <w:highlight w:val="none"/>
              </w:rPr>
              <w:t>运营期生态环境影响分析</w:t>
            </w:r>
          </w:p>
        </w:tc>
        <w:tc>
          <w:tcPr>
            <w:tcW w:w="4630" w:type="pct"/>
            <w:noWrap w:val="0"/>
            <w:vAlign w:val="top"/>
          </w:tcPr>
          <w:p w14:paraId="48880142">
            <w:pPr>
              <w:keepNext w:val="0"/>
              <w:keepLines w:val="0"/>
              <w:suppressLineNumbers w:val="0"/>
              <w:snapToGrid w:val="0"/>
              <w:spacing w:before="0" w:beforeAutospacing="0" w:after="0" w:afterAutospacing="0" w:line="360" w:lineRule="auto"/>
              <w:ind w:left="0" w:right="0"/>
              <w:rPr>
                <w:rFonts w:hint="default" w:ascii="Times New Roman" w:hAnsi="Times New Roman" w:eastAsia="仿宋" w:cs="Times New Roman"/>
                <w:b/>
                <w:color w:val="auto"/>
                <w:sz w:val="24"/>
                <w:szCs w:val="24"/>
                <w:highlight w:val="none"/>
                <w:lang w:val="en-US" w:eastAsia="zh-CN"/>
              </w:rPr>
            </w:pPr>
            <w:r>
              <w:rPr>
                <w:rFonts w:hint="eastAsia" w:cs="Times New Roman"/>
                <w:b/>
                <w:color w:val="auto"/>
                <w:sz w:val="24"/>
                <w:szCs w:val="24"/>
                <w:highlight w:val="none"/>
                <w:lang w:val="en-US" w:eastAsia="zh-CN"/>
              </w:rPr>
              <w:t>4.3.1</w:t>
            </w:r>
            <w:r>
              <w:rPr>
                <w:rFonts w:hint="default" w:ascii="Times New Roman" w:hAnsi="Times New Roman" w:eastAsia="仿宋" w:cs="Times New Roman"/>
                <w:b/>
                <w:color w:val="auto"/>
                <w:sz w:val="24"/>
                <w:szCs w:val="24"/>
                <w:highlight w:val="none"/>
                <w:lang w:val="en-US" w:eastAsia="zh-CN"/>
              </w:rPr>
              <w:t>运营期工艺流程和产污环节</w:t>
            </w:r>
          </w:p>
          <w:p w14:paraId="757A6317">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项目属于太阳能光伏发电项目，是使用物理学的光生伏特效应（是一种量子效应）直接将太阳能光能转变为电能，太阳能光伏发电的优点是：没有运动部件，无噪声、无污染、模块化安装，建设周期短，避免长距离输电，可就近供电，是今后能源发展的重要方向。</w:t>
            </w:r>
          </w:p>
          <w:p w14:paraId="5B5D8DDC">
            <w:pPr>
              <w:keepNext w:val="0"/>
              <w:keepLines w:val="0"/>
              <w:suppressLineNumbers w:val="0"/>
              <w:snapToGrid w:val="0"/>
              <w:spacing w:before="0" w:beforeAutospacing="0" w:after="0" w:afterAutospacing="0" w:line="360" w:lineRule="auto"/>
              <w:ind w:left="0" w:right="0" w:firstLine="480" w:firstLineChars="200"/>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本项目</w:t>
            </w:r>
            <w:r>
              <w:rPr>
                <w:rFonts w:hint="eastAsia" w:cs="Times New Roman"/>
                <w:color w:val="auto"/>
                <w:sz w:val="24"/>
                <w:szCs w:val="24"/>
                <w:highlight w:val="none"/>
                <w:lang w:eastAsia="zh-CN"/>
              </w:rPr>
              <w:t>属于</w:t>
            </w:r>
            <w:r>
              <w:rPr>
                <w:rFonts w:hint="default" w:ascii="Times New Roman" w:hAnsi="Times New Roman" w:eastAsia="仿宋" w:cs="Times New Roman"/>
                <w:color w:val="auto"/>
                <w:sz w:val="24"/>
                <w:szCs w:val="24"/>
                <w:highlight w:val="none"/>
              </w:rPr>
              <w:t>清洁能源，运行期主要污染物如下图所示。</w:t>
            </w:r>
          </w:p>
          <w:p w14:paraId="40AC3C3E">
            <w:pPr>
              <w:keepNext w:val="0"/>
              <w:keepLines w:val="0"/>
              <w:suppressLineNumbers w:val="0"/>
              <w:spacing w:before="0" w:beforeAutospacing="0" w:after="0" w:afterAutospacing="0"/>
              <w:ind w:left="0" w:right="0" w:firstLine="0" w:firstLineChars="0"/>
              <w:jc w:val="center"/>
              <w:rPr>
                <w:rFonts w:hint="default" w:ascii="Times New Roman" w:hAnsi="Times New Roman" w:eastAsia="仿宋" w:cs="Times New Roman"/>
                <w:bCs/>
                <w:color w:val="auto"/>
                <w:highlight w:val="none"/>
              </w:rPr>
            </w:pPr>
            <w:r>
              <w:rPr>
                <w:rFonts w:hint="default" w:ascii="Times New Roman" w:hAnsi="Times New Roman" w:eastAsia="仿宋" w:cs="Times New Roman"/>
                <w:color w:val="auto"/>
                <w:highlight w:val="none"/>
              </w:rPr>
              <w:object>
                <v:shape id="_x0000_i1029" o:spt="75" type="#_x0000_t75" style="height:352.45pt;width:388.85pt;" o:ole="t" filled="f" o:preferrelative="t" stroked="f" coordsize="21600,21600">
                  <v:path/>
                  <v:fill on="f" focussize="0,0"/>
                  <v:stroke on="f"/>
                  <v:imagedata r:id="rId48" o:title=""/>
                  <o:lock v:ext="edit" aspectratio="t"/>
                  <w10:wrap type="none"/>
                  <w10:anchorlock/>
                </v:shape>
                <o:OLEObject Type="Embed" ProgID="Visio.Drawing.11" ShapeID="_x0000_i1029" DrawAspect="Content" ObjectID="_1468075729" r:id="rId47">
                  <o:LockedField>false</o:LockedField>
                </o:OLEObject>
              </w:object>
            </w:r>
          </w:p>
          <w:p w14:paraId="47F59D5A">
            <w:pPr>
              <w:keepNext w:val="0"/>
              <w:keepLines w:val="0"/>
              <w:suppressLineNumbers w:val="0"/>
              <w:snapToGrid w:val="0"/>
              <w:spacing w:before="0" w:beforeAutospacing="0" w:after="0" w:afterAutospacing="0" w:line="360" w:lineRule="auto"/>
              <w:ind w:left="0" w:right="0"/>
              <w:jc w:val="center"/>
              <w:rPr>
                <w:rFonts w:hint="default" w:ascii="Times New Roman" w:hAnsi="Times New Roman" w:eastAsia="仿宋" w:cs="Times New Roman"/>
                <w:b/>
                <w:bCs w:val="0"/>
                <w:color w:val="auto"/>
                <w:sz w:val="24"/>
                <w:szCs w:val="24"/>
                <w:highlight w:val="none"/>
                <w:lang w:val="en-US" w:eastAsia="zh-CN"/>
              </w:rPr>
            </w:pPr>
            <w:r>
              <w:rPr>
                <w:rFonts w:hint="default" w:ascii="Times New Roman" w:hAnsi="Times New Roman" w:eastAsia="仿宋" w:cs="Times New Roman"/>
                <w:b/>
                <w:bCs/>
                <w:color w:val="auto"/>
                <w:sz w:val="21"/>
                <w:szCs w:val="21"/>
                <w:highlight w:val="none"/>
              </w:rPr>
              <w:t>图</w:t>
            </w:r>
            <w:r>
              <w:rPr>
                <w:rFonts w:hint="eastAsia" w:cs="Times New Roman"/>
                <w:b/>
                <w:bCs/>
                <w:color w:val="auto"/>
                <w:sz w:val="21"/>
                <w:szCs w:val="21"/>
                <w:highlight w:val="none"/>
                <w:lang w:val="en-US" w:eastAsia="zh-CN"/>
              </w:rPr>
              <w:t>4.3-1</w:t>
            </w:r>
            <w:r>
              <w:rPr>
                <w:rFonts w:hint="default" w:ascii="Times New Roman" w:hAnsi="Times New Roman" w:eastAsia="仿宋" w:cs="Times New Roman"/>
                <w:b/>
                <w:bCs/>
                <w:color w:val="auto"/>
                <w:sz w:val="21"/>
                <w:szCs w:val="21"/>
                <w:highlight w:val="none"/>
              </w:rPr>
              <w:t xml:space="preserve"> 项目运行期产污环节示意图</w:t>
            </w:r>
          </w:p>
          <w:p w14:paraId="6D0DF9C9">
            <w:pPr>
              <w:keepNext w:val="0"/>
              <w:keepLines w:val="0"/>
              <w:suppressLineNumbers w:val="0"/>
              <w:snapToGrid w:val="0"/>
              <w:spacing w:before="0" w:beforeAutospacing="0" w:after="0" w:afterAutospacing="0" w:line="360" w:lineRule="auto"/>
              <w:ind w:left="0" w:right="0"/>
              <w:rPr>
                <w:rFonts w:hint="default" w:ascii="Times New Roman" w:hAnsi="Times New Roman" w:eastAsia="仿宋" w:cs="Times New Roman"/>
                <w:b/>
                <w:color w:val="auto"/>
                <w:sz w:val="24"/>
                <w:szCs w:val="24"/>
                <w:highlight w:val="none"/>
              </w:rPr>
            </w:pPr>
            <w:r>
              <w:rPr>
                <w:rFonts w:hint="eastAsia" w:cs="Times New Roman"/>
                <w:b/>
                <w:color w:val="auto"/>
                <w:sz w:val="24"/>
                <w:szCs w:val="24"/>
                <w:highlight w:val="none"/>
                <w:lang w:val="en-US" w:eastAsia="zh-CN"/>
              </w:rPr>
              <w:t>4.3.2</w:t>
            </w:r>
            <w:r>
              <w:rPr>
                <w:rFonts w:hint="default" w:ascii="Times New Roman" w:hAnsi="Times New Roman" w:eastAsia="仿宋" w:cs="Times New Roman"/>
                <w:b/>
                <w:color w:val="auto"/>
                <w:sz w:val="24"/>
                <w:szCs w:val="24"/>
                <w:highlight w:val="none"/>
              </w:rPr>
              <w:t>生态环境影响分析</w:t>
            </w:r>
          </w:p>
          <w:p w14:paraId="5B4325D9">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（1）对植被的影响分析</w:t>
            </w:r>
          </w:p>
          <w:p w14:paraId="1EF2E995">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项目运营期对植被的影响主要体现在电池面板架设后，在地面产生的阴影对地面植被生长造成影响。</w:t>
            </w:r>
          </w:p>
          <w:p w14:paraId="60BC5B3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本工程根据地形条件及工艺选型，光伏组件安装最低侧距地垂直净距不小于2.5m，最高侧距地垂直净距不小于4.8m，每个并联支路采用支架进行支撑，每2排支架桩基间列间距不小于4m，行间距不小于6.5m，电池面板固定在支架上，太阳照射时间稍有减少，地表温度稍有减小，减缓了土壤中水分蒸发速度。但是光伏面板的安装并未全封闭，光伏板下方空气流动性基本不受影响，不会导致电池面板下湿度减小，光伏面板下方光照区域会随太阳高度角变化而变化，一年之中仅有极少区域无法照射，因此，本项目光伏面板安装不会对电池面板区域的水热状况产生明显影响。</w:t>
            </w:r>
          </w:p>
          <w:p w14:paraId="2381299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太阳光是绿色植物进行光合作用的能量源，在植物体总干物质中有</w:t>
            </w:r>
            <w:r>
              <w:rPr>
                <w:rFonts w:hint="eastAsia" w:cs="Times New Roman"/>
                <w:b w:val="0"/>
                <w:bCs w:val="0"/>
                <w:color w:val="auto"/>
                <w:sz w:val="24"/>
                <w:szCs w:val="24"/>
                <w:highlight w:val="none"/>
                <w:lang w:eastAsia="zh-CN"/>
              </w:rPr>
              <w:t>90%～95%</w:t>
            </w:r>
            <w:r>
              <w:rPr>
                <w:rFonts w:hint="default" w:ascii="Times New Roman" w:hAnsi="Times New Roman" w:eastAsia="仿宋" w:cs="Times New Roman"/>
                <w:b w:val="0"/>
                <w:bCs w:val="0"/>
                <w:color w:val="auto"/>
                <w:sz w:val="24"/>
                <w:szCs w:val="24"/>
                <w:highlight w:val="none"/>
                <w:lang w:eastAsia="zh-CN"/>
              </w:rPr>
              <w:t>是经过光合作用形成的，植物光合作用很大程度上取决于光照强度。不同植物对光照强度的要求有所不同，对于喜阳植物，如草本植物，随着光照强度的增强，光合作用加快，而耐荫植物只能在微弱阳光下正常生长发育。</w:t>
            </w:r>
          </w:p>
          <w:p w14:paraId="3278116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根据现场调查，本工程场址区域植被包括喜阳、耐荫植物。项目区将会架起大量的太阳能光伏组件，会减少太阳光直接照射有效时间，但不会明显改变电池面板下方水热条件，因此不会影响耐荫植被的正常生长，喜阴植物由于适宜生境增加，个体数量将有一定程度的增多；同时随着太阳照射角度的变化，电池面板下的喜阳植被仍能受到太阳光照射，因此也不会影响喜阳植被的正常生长。本工程投运后，将在光伏面板下方进行植被恢复和作物种植，根据对当地适生植被情况的调查，种植当地适生、广泛的乡土树种、草种，同时在位于光伏面板下方进行植被恢复，可选择当地分布较广泛的一年生短日照草本植物，以最大限度地适应光伏场区的光照条件，促进植物的正常生长。</w:t>
            </w:r>
          </w:p>
          <w:p w14:paraId="003FA14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val="en-US" w:eastAsia="zh-CN"/>
              </w:rPr>
              <w:t>综上所述</w:t>
            </w:r>
            <w:r>
              <w:rPr>
                <w:rFonts w:hint="default" w:ascii="Times New Roman" w:hAnsi="Times New Roman" w:eastAsia="仿宋" w:cs="Times New Roman"/>
                <w:b w:val="0"/>
                <w:bCs w:val="0"/>
                <w:color w:val="auto"/>
                <w:sz w:val="24"/>
                <w:szCs w:val="24"/>
                <w:highlight w:val="none"/>
                <w:lang w:eastAsia="zh-CN"/>
              </w:rPr>
              <w:t>，能最大限度地减少工程建设对光伏区域植被和农作物的影响，不会对区域外植被造成破坏影响，对地表植被影响较小。</w:t>
            </w:r>
          </w:p>
          <w:p w14:paraId="0AA46283">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（2）对动物的影响</w:t>
            </w:r>
          </w:p>
          <w:p w14:paraId="2A164FA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本项目建成后，项目光伏列方阵支架、箱式变电站占用部分地面，将减少地面动物的活动区域，但占用面积较小，影响范围小；本项目声源少，噪声值较低，噪声源产生的噪声经光伏组件隔声和距离衰减对其影响不大；故项目运营期不会对地面上动物的日常迁徙及鸟类正常活动造成影响。</w:t>
            </w:r>
          </w:p>
          <w:p w14:paraId="1C0317A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现场维护和检修等工作均在昼间进行，避免影响周边动物夜间正常活动。电站运行噪声可能会使对声环境敏感的动物迁移至远离光伏电站处，但光伏电站运行噪声影响范围主要为站界外几十米范围内的区域，影响范围较小。</w:t>
            </w:r>
          </w:p>
          <w:p w14:paraId="303CC24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综上，项目运营不会对项目所在区域内野生动物的日常迁徙和活动造成明显影响。</w:t>
            </w:r>
          </w:p>
          <w:p w14:paraId="1D1E5E6A">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（3）水土流失影响</w:t>
            </w:r>
          </w:p>
          <w:p w14:paraId="278E030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项目投入运行后，其水土流失防护工程也完成并开始发挥作用，可有效控制项目建设引起的水土流失。项目临时占地范围内的植被恢复一般在3年内才能逐步稳定，达到较好的水土保持效果。在水土保持工程和植物措施有效发挥作用后，项目区内的水土流失可得到完全控制，项目建设区的水土流失可达到微度以下水平，工程建设造成的水土流失可得到基本治理，并使工程占地区域内水土流失状况得到明显改善。另外，项目运行期将不再进行地面扰动，保持建成后原地貌形态和土地利用性质，因此项目运营期对区域水土流失可控。</w:t>
            </w:r>
          </w:p>
          <w:p w14:paraId="753F3429">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（4）对区域景观的影响分析</w:t>
            </w:r>
          </w:p>
          <w:p w14:paraId="776DD297">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项目实施后，将安装大量的太阳能电池组件，占地面积较大，且颜色、样式单一，改变了原有的生态景观，将造成区域视觉景观单一化。本电站在设计光伏组件的布局时，在满足设计要求的同时，将尽量依山势布置，加上太阳能光伏板朝向天空，安装倾角不会面向地面，在视觉上不面向人眼，光伏板不会反光，以减少对景观在形态上的影响。</w:t>
            </w:r>
          </w:p>
          <w:p w14:paraId="7A39ADD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由于本项目位于山区，远离城镇，处于山顶，低海拔处有较多林地和山体遮挡，本项目光伏阵列区不是高</w:t>
            </w:r>
            <w:r>
              <w:rPr>
                <w:rFonts w:hint="eastAsia" w:cs="Times New Roman"/>
                <w:b w:val="0"/>
                <w:bCs w:val="0"/>
                <w:color w:val="auto"/>
                <w:sz w:val="24"/>
                <w:szCs w:val="24"/>
                <w:highlight w:val="none"/>
                <w:lang w:eastAsia="zh-CN"/>
              </w:rPr>
              <w:t>速公</w:t>
            </w:r>
            <w:r>
              <w:rPr>
                <w:rFonts w:hint="default" w:ascii="Times New Roman" w:hAnsi="Times New Roman" w:eastAsia="仿宋" w:cs="Times New Roman"/>
                <w:b w:val="0"/>
                <w:bCs w:val="0"/>
                <w:color w:val="auto"/>
                <w:sz w:val="24"/>
                <w:szCs w:val="24"/>
                <w:highlight w:val="none"/>
                <w:lang w:eastAsia="zh-CN"/>
              </w:rPr>
              <w:t>路的直视范围，公路上行驶的司乘人员看不见光伏板，且项目区域无特殊景点，故光伏建设对区域景观影响较小。</w:t>
            </w:r>
          </w:p>
          <w:p w14:paraId="64759341">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（5）对土地利用的影响分析</w:t>
            </w:r>
          </w:p>
          <w:p w14:paraId="0982120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eastAsia="zh-CN"/>
              </w:rPr>
            </w:pPr>
            <w:r>
              <w:rPr>
                <w:rFonts w:hint="default" w:ascii="Times New Roman" w:hAnsi="Times New Roman" w:eastAsia="仿宋" w:cs="Times New Roman"/>
                <w:b w:val="0"/>
                <w:bCs w:val="0"/>
                <w:color w:val="auto"/>
                <w:sz w:val="24"/>
                <w:szCs w:val="24"/>
                <w:highlight w:val="none"/>
                <w:lang w:eastAsia="zh-CN"/>
              </w:rPr>
              <w:t>运营期光伏板下可以继续种植农林业，原生地为自然植被部分，自然植被可以生长。运营期仅占用了少量的永久占地，对区域土地利用现状影响较小，不会明显改变区域土地利用格局。</w:t>
            </w:r>
          </w:p>
          <w:p w14:paraId="6C379B2E">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b w:val="0"/>
                <w:bCs w:val="0"/>
                <w:color w:val="auto"/>
                <w:sz w:val="24"/>
                <w:szCs w:val="24"/>
                <w:highlight w:val="none"/>
                <w:lang w:val="en-US" w:eastAsia="zh-CN"/>
              </w:rPr>
            </w:pP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6</w:t>
            </w: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对跨越植被的影响分析</w:t>
            </w:r>
          </w:p>
          <w:p w14:paraId="737B149C">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本项目架空线路跨越植被包括公益林、天然林、生态保护红线区域、灌草丛及基本农田区域。架空线路高度普遍在18m以上，对基本农田区域和灌草丛区域植被无影响。</w:t>
            </w:r>
          </w:p>
          <w:p w14:paraId="7C75CCB1">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本项目线路运行期不进行林木砍伐，仅按相关规定对导线下方与树木垂直距离小于4.5m的零星林木进行削枝，以保证线路安全运行，但总体削枝量小，不会对植物种类和数量产生明显影响。</w:t>
            </w:r>
          </w:p>
          <w:p w14:paraId="23B55B1C">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输电线路离地高度一般在18m以上，局部山谷内的离地高度超过30m。但是工程局部线路穿越的</w:t>
            </w:r>
            <w:r>
              <w:rPr>
                <w:rFonts w:hint="eastAsia" w:cs="Times New Roman"/>
                <w:color w:val="auto"/>
                <w:sz w:val="24"/>
                <w:szCs w:val="24"/>
                <w:highlight w:val="none"/>
                <w:lang w:val="en-US" w:eastAsia="zh-CN"/>
              </w:rPr>
              <w:t>生态保护红线区域</w:t>
            </w:r>
            <w:r>
              <w:rPr>
                <w:rFonts w:hint="default" w:cs="Times New Roman"/>
                <w:color w:val="auto"/>
                <w:sz w:val="24"/>
                <w:szCs w:val="24"/>
                <w:highlight w:val="none"/>
                <w:lang w:val="en-US" w:eastAsia="zh-CN"/>
              </w:rPr>
              <w:t>的植株高度</w:t>
            </w:r>
            <w:r>
              <w:rPr>
                <w:rFonts w:hint="eastAsia" w:cs="Times New Roman"/>
                <w:color w:val="auto"/>
                <w:sz w:val="24"/>
                <w:szCs w:val="24"/>
                <w:highlight w:val="none"/>
                <w:lang w:val="en-US" w:eastAsia="zh-CN"/>
              </w:rPr>
              <w:t>约</w:t>
            </w:r>
            <w:r>
              <w:rPr>
                <w:rFonts w:hint="default" w:cs="Times New Roman"/>
                <w:color w:val="auto"/>
                <w:sz w:val="24"/>
                <w:szCs w:val="24"/>
                <w:highlight w:val="none"/>
                <w:lang w:val="en-US" w:eastAsia="zh-CN"/>
              </w:rPr>
              <w:t>12m，主要树种有云南松等，由于地形高差，这些树木均在输电线路下方</w:t>
            </w:r>
            <w:r>
              <w:rPr>
                <w:rFonts w:hint="eastAsia" w:cs="Times New Roman"/>
                <w:color w:val="auto"/>
                <w:sz w:val="24"/>
                <w:szCs w:val="24"/>
                <w:highlight w:val="none"/>
                <w:lang w:val="en-US" w:eastAsia="zh-CN"/>
              </w:rPr>
              <w:t>5</w:t>
            </w:r>
            <w:r>
              <w:rPr>
                <w:rFonts w:hint="default" w:cs="Times New Roman"/>
                <w:color w:val="auto"/>
                <w:sz w:val="24"/>
                <w:szCs w:val="24"/>
                <w:highlight w:val="none"/>
                <w:lang w:val="en-US" w:eastAsia="zh-CN"/>
              </w:rPr>
              <w:t>m的范围</w:t>
            </w:r>
            <w:r>
              <w:rPr>
                <w:rFonts w:hint="eastAsia" w:cs="Times New Roman"/>
                <w:color w:val="auto"/>
                <w:sz w:val="24"/>
                <w:szCs w:val="24"/>
                <w:highlight w:val="none"/>
                <w:lang w:val="en-US" w:eastAsia="zh-CN"/>
              </w:rPr>
              <w:t>外</w:t>
            </w:r>
            <w:r>
              <w:rPr>
                <w:rFonts w:hint="default" w:cs="Times New Roman"/>
                <w:color w:val="auto"/>
                <w:sz w:val="24"/>
                <w:szCs w:val="24"/>
                <w:highlight w:val="none"/>
                <w:lang w:val="en-US" w:eastAsia="zh-CN"/>
              </w:rPr>
              <w:t>，施工期输电线路的架设不需要樵砍林木或修建树冠，但在运营期间若因树木生长危及电力设施安全的，应按照《电力设施保护条例》“第二十四条 在依法划定的电力设施保护区内种植的或自然生长的可能危及电力设施安全的树木、竹子，电力企业应依法予以修剪或砍伐”。对需要修建和砍伐林木的，需在事前征求当地林业部门的许可并签订树木的补偿协议、支付相应补偿费用。</w:t>
            </w:r>
          </w:p>
          <w:p w14:paraId="659A2F30">
            <w:pPr>
              <w:keepNext w:val="0"/>
              <w:keepLines w:val="0"/>
              <w:suppressLineNumbers w:val="0"/>
              <w:snapToGrid w:val="0"/>
              <w:spacing w:before="0" w:beforeAutospacing="0" w:after="0" w:afterAutospacing="0" w:line="360" w:lineRule="auto"/>
              <w:ind w:left="0" w:right="0" w:firstLine="480" w:firstLineChars="200"/>
              <w:rPr>
                <w:rFonts w:hint="default" w:cs="Times New Roman"/>
                <w:color w:val="auto"/>
                <w:sz w:val="24"/>
                <w:szCs w:val="24"/>
                <w:highlight w:val="none"/>
                <w:lang w:val="en-US" w:eastAsia="zh-CN"/>
              </w:rPr>
            </w:pPr>
            <w:r>
              <w:rPr>
                <w:rFonts w:hint="default"/>
                <w:color w:val="auto"/>
                <w:highlight w:val="none"/>
              </w:rPr>
              <w:t>本项目运行期对植被的影响主要是线路维护人员踩踏植被和线路电磁环境影响。线路维护人员可能在运行维护过程中对植被造成一定踩踏和引入外来植物。通常线路维护检查1个月左右进行1次，运行及维护人员的数量和负重有限，对植被的破坏强度小，不会带来明显的持续不利影响。通过禁止维护人员引入外来物种，可避免人为引入外来物种对本土植物造成威胁。从区域类似环境状况来看，线路周围植物生长良好，输电线路电磁影响对周围植物生长无明显影响。</w:t>
            </w:r>
          </w:p>
          <w:p w14:paraId="600CB0F8">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4.3.3</w:t>
            </w:r>
            <w:r>
              <w:rPr>
                <w:rFonts w:hint="default" w:ascii="Times New Roman" w:hAnsi="Times New Roman" w:eastAsia="仿宋" w:cs="Times New Roman"/>
                <w:b/>
                <w:bCs/>
                <w:color w:val="auto"/>
                <w:sz w:val="24"/>
                <w:szCs w:val="24"/>
                <w:highlight w:val="none"/>
                <w:lang w:val="en-US" w:eastAsia="zh-CN"/>
              </w:rPr>
              <w:t>大气环境影响分析</w:t>
            </w:r>
          </w:p>
          <w:p w14:paraId="2B677FF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 w:val="0"/>
                <w:bCs w:val="0"/>
                <w:color w:val="auto"/>
                <w:sz w:val="24"/>
                <w:szCs w:val="24"/>
                <w:highlight w:val="none"/>
                <w:lang w:val="en-US" w:eastAsia="zh-CN"/>
              </w:rPr>
            </w:pPr>
            <w:bookmarkStart w:id="6" w:name="_Hlk97833212"/>
            <w:r>
              <w:rPr>
                <w:rFonts w:hint="default" w:ascii="Times New Roman" w:hAnsi="Times New Roman" w:eastAsia="仿宋" w:cs="Times New Roman"/>
                <w:b w:val="0"/>
                <w:bCs w:val="0"/>
                <w:color w:val="auto"/>
                <w:sz w:val="24"/>
                <w:szCs w:val="24"/>
                <w:highlight w:val="none"/>
                <w:lang w:val="en-US" w:eastAsia="zh-CN"/>
              </w:rPr>
              <w:t>光伏发电是将太阳能转换为电能，在转换过程中没有废气排放。运行期环境空气影响主要为厨房油烟影响，升压站生活区配置厨房，设置1个灶台，供9人就餐。厨房使用电能，产生油烟量很少，且为间歇性排放。油烟经油烟净化器处理后，通过油烟管道排放，对周围环境空气影响较小。</w:t>
            </w:r>
          </w:p>
          <w:bookmarkEnd w:id="6"/>
          <w:p w14:paraId="32968ECA">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4.3.4</w:t>
            </w:r>
            <w:r>
              <w:rPr>
                <w:rFonts w:hint="default" w:ascii="Times New Roman" w:hAnsi="Times New Roman" w:eastAsia="仿宋" w:cs="Times New Roman"/>
                <w:b/>
                <w:bCs/>
                <w:color w:val="auto"/>
                <w:sz w:val="24"/>
                <w:szCs w:val="24"/>
                <w:highlight w:val="none"/>
                <w:lang w:val="en-US" w:eastAsia="zh-CN"/>
              </w:rPr>
              <w:t>地表水环境影响分析</w:t>
            </w:r>
          </w:p>
          <w:p w14:paraId="570E147C">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rPr>
            </w:pPr>
            <w:bookmarkStart w:id="7" w:name="_Hlk104209881"/>
            <w:r>
              <w:rPr>
                <w:rFonts w:hint="default" w:ascii="Times New Roman" w:hAnsi="Times New Roman" w:eastAsia="仿宋" w:cs="Times New Roman"/>
                <w:color w:val="auto"/>
                <w:szCs w:val="22"/>
                <w:highlight w:val="none"/>
              </w:rPr>
              <w:t>本项目运行期产生的废水主要为职工生活污水及光伏板清洗废水。</w:t>
            </w:r>
            <w:bookmarkEnd w:id="7"/>
          </w:p>
          <w:p w14:paraId="05A3469F">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①生活污水</w:t>
            </w:r>
          </w:p>
          <w:p w14:paraId="174B648C">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本项目定员</w:t>
            </w:r>
            <w:r>
              <w:rPr>
                <w:rFonts w:hint="default" w:ascii="Times New Roman" w:hAnsi="Times New Roman" w:eastAsia="仿宋" w:cs="Times New Roman"/>
                <w:color w:val="auto"/>
                <w:szCs w:val="22"/>
                <w:highlight w:val="none"/>
                <w:lang w:val="en-US" w:eastAsia="zh-CN"/>
              </w:rPr>
              <w:t>9</w:t>
            </w:r>
            <w:r>
              <w:rPr>
                <w:rFonts w:hint="default" w:ascii="Times New Roman" w:hAnsi="Times New Roman" w:eastAsia="仿宋" w:cs="Times New Roman"/>
                <w:color w:val="auto"/>
                <w:szCs w:val="22"/>
                <w:highlight w:val="none"/>
              </w:rPr>
              <w:t>人，员工均在</w:t>
            </w:r>
            <w:bookmarkStart w:id="8" w:name="_Hlk104209920"/>
            <w:r>
              <w:rPr>
                <w:rFonts w:hint="default" w:ascii="Times New Roman" w:hAnsi="Times New Roman" w:eastAsia="仿宋" w:cs="Times New Roman"/>
                <w:color w:val="auto"/>
                <w:szCs w:val="22"/>
                <w:highlight w:val="none"/>
              </w:rPr>
              <w:t>升压站</w:t>
            </w:r>
            <w:bookmarkEnd w:id="8"/>
            <w:r>
              <w:rPr>
                <w:rFonts w:hint="default" w:ascii="Times New Roman" w:hAnsi="Times New Roman" w:eastAsia="仿宋" w:cs="Times New Roman"/>
                <w:color w:val="auto"/>
                <w:szCs w:val="22"/>
                <w:highlight w:val="none"/>
              </w:rPr>
              <w:t>内食宿，年运行365天。厂区所在地区为农村，根据《云南省地方标准用水定额》（DB53/T168-2019），</w:t>
            </w:r>
            <w:r>
              <w:rPr>
                <w:rFonts w:hint="default" w:ascii="Times New Roman" w:hAnsi="Times New Roman" w:eastAsia="仿宋" w:cs="Times New Roman"/>
                <w:bCs/>
                <w:color w:val="auto"/>
                <w:szCs w:val="22"/>
                <w:highlight w:val="none"/>
              </w:rPr>
              <w:t>食堂用水按40L/人</w:t>
            </w:r>
            <w:r>
              <w:rPr>
                <w:rFonts w:hint="default" w:ascii="Times New Roman" w:hAnsi="Times New Roman" w:eastAsia="仿宋" w:cs="Times New Roman"/>
                <w:color w:val="auto"/>
                <w:sz w:val="24"/>
                <w:szCs w:val="22"/>
                <w:highlight w:val="none"/>
              </w:rPr>
              <w:t>·</w:t>
            </w:r>
            <w:r>
              <w:rPr>
                <w:rFonts w:hint="default" w:ascii="Times New Roman" w:hAnsi="Times New Roman" w:eastAsia="仿宋" w:cs="Times New Roman"/>
                <w:bCs/>
                <w:color w:val="auto"/>
                <w:szCs w:val="22"/>
                <w:highlight w:val="none"/>
              </w:rPr>
              <w:t>d计，其他办公生活用水按80L/人</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d计，污水排放系数取0.8，则食堂用水量为0.</w:t>
            </w:r>
            <w:r>
              <w:rPr>
                <w:rFonts w:hint="default" w:ascii="Times New Roman" w:hAnsi="Times New Roman" w:eastAsia="仿宋" w:cs="Times New Roman"/>
                <w:bCs/>
                <w:color w:val="auto"/>
                <w:szCs w:val="22"/>
                <w:highlight w:val="none"/>
                <w:lang w:val="en-US" w:eastAsia="zh-CN"/>
              </w:rPr>
              <w:t>36</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/d，废水产生量为0.</w:t>
            </w:r>
            <w:r>
              <w:rPr>
                <w:rFonts w:hint="default" w:ascii="Times New Roman" w:hAnsi="Times New Roman" w:eastAsia="仿宋" w:cs="Times New Roman"/>
                <w:bCs/>
                <w:color w:val="auto"/>
                <w:szCs w:val="22"/>
                <w:highlight w:val="none"/>
                <w:lang w:val="en-US" w:eastAsia="zh-CN"/>
              </w:rPr>
              <w:t>288</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/d；其他办公生活用水量0.</w:t>
            </w:r>
            <w:r>
              <w:rPr>
                <w:rFonts w:hint="default" w:ascii="Times New Roman" w:hAnsi="Times New Roman" w:eastAsia="仿宋" w:cs="Times New Roman"/>
                <w:bCs/>
                <w:color w:val="auto"/>
                <w:szCs w:val="22"/>
                <w:highlight w:val="none"/>
                <w:lang w:val="en-US" w:eastAsia="zh-CN"/>
              </w:rPr>
              <w:t>72</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/d，废水产生量为0.</w:t>
            </w:r>
            <w:r>
              <w:rPr>
                <w:rFonts w:hint="default" w:ascii="Times New Roman" w:hAnsi="Times New Roman" w:eastAsia="仿宋" w:cs="Times New Roman"/>
                <w:bCs/>
                <w:color w:val="auto"/>
                <w:szCs w:val="22"/>
                <w:highlight w:val="none"/>
                <w:lang w:val="en-US" w:eastAsia="zh-CN"/>
              </w:rPr>
              <w:t>576</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/d。办公生活用水量为</w:t>
            </w:r>
            <w:r>
              <w:rPr>
                <w:rFonts w:hint="default" w:ascii="Times New Roman" w:hAnsi="Times New Roman" w:eastAsia="仿宋" w:cs="Times New Roman"/>
                <w:bCs/>
                <w:color w:val="auto"/>
                <w:szCs w:val="22"/>
                <w:highlight w:val="none"/>
                <w:lang w:val="en-US" w:eastAsia="zh-CN"/>
              </w:rPr>
              <w:t>1.08</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/d，污水产生量合计为0.</w:t>
            </w:r>
            <w:r>
              <w:rPr>
                <w:rFonts w:hint="default" w:ascii="Times New Roman" w:hAnsi="Times New Roman" w:eastAsia="仿宋" w:cs="Times New Roman"/>
                <w:bCs/>
                <w:color w:val="auto"/>
                <w:szCs w:val="22"/>
                <w:highlight w:val="none"/>
                <w:lang w:val="en-US" w:eastAsia="zh-CN"/>
              </w:rPr>
              <w:t>864</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w:t>
            </w:r>
            <w:r>
              <w:rPr>
                <w:rFonts w:hint="default" w:ascii="Times New Roman" w:hAnsi="Times New Roman" w:eastAsia="仿宋" w:cs="Times New Roman"/>
                <w:bCs/>
                <w:color w:val="auto"/>
                <w:szCs w:val="22"/>
                <w:highlight w:val="none"/>
                <w:lang w:val="en-US" w:eastAsia="zh-CN"/>
              </w:rPr>
              <w:t>315.36</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/a。</w:t>
            </w:r>
          </w:p>
          <w:p w14:paraId="2EDEB4CA">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升压站内厨房废水经隔油池（容积</w:t>
            </w:r>
            <w:r>
              <w:rPr>
                <w:rFonts w:hint="default" w:ascii="Times New Roman" w:hAnsi="Times New Roman" w:eastAsia="仿宋" w:cs="Times New Roman"/>
                <w:color w:val="auto"/>
                <w:szCs w:val="22"/>
                <w:highlight w:val="none"/>
                <w:lang w:val="en-US" w:eastAsia="zh-CN"/>
              </w:rPr>
              <w:t>0.5</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）处理后同其他生活污水排入化粪池（容积</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）内，经化粪池预处理后，最终排入一体化污水处理设施处理，经处理达到《城市污水再生利用城市杂用水水质》（GB/T 18920-2020）中“城市绿化”标准要求后，排入回用水暂存池，晴天用作升压站区绿化用水，雨天储存不外排。</w:t>
            </w:r>
          </w:p>
          <w:p w14:paraId="44AE48C4">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②光伏组件清洗废水</w:t>
            </w:r>
          </w:p>
          <w:p w14:paraId="4A864A6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lang w:val="en-US"/>
              </w:rPr>
            </w:pPr>
            <w:r>
              <w:rPr>
                <w:rFonts w:hint="default" w:ascii="Times New Roman" w:hAnsi="Times New Roman" w:eastAsia="仿宋" w:cs="Times New Roman"/>
                <w:color w:val="auto"/>
                <w:highlight w:val="none"/>
                <w:lang w:val="en-US" w:eastAsia="zh-CN"/>
              </w:rPr>
              <w:t>本工程每年用水清洗2次，</w:t>
            </w:r>
            <w:r>
              <w:rPr>
                <w:rFonts w:hint="eastAsia" w:cs="Times New Roman"/>
                <w:color w:val="auto"/>
                <w:highlight w:val="none"/>
                <w:lang w:val="en-US" w:eastAsia="zh-CN"/>
              </w:rPr>
              <w:t>清洗方式为人工清洗，不适用清洗剂。</w:t>
            </w:r>
          </w:p>
          <w:p w14:paraId="151DDF3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本项目共有太阳能电池组件</w:t>
            </w:r>
            <w:r>
              <w:rPr>
                <w:rFonts w:hint="default" w:ascii="Times New Roman" w:hAnsi="Times New Roman" w:eastAsia="仿宋" w:cs="Times New Roman"/>
                <w:color w:val="auto"/>
                <w:szCs w:val="22"/>
                <w:highlight w:val="none"/>
                <w:lang w:val="en-US" w:eastAsia="zh-CN"/>
              </w:rPr>
              <w:t>283920</w:t>
            </w:r>
            <w:r>
              <w:rPr>
                <w:rFonts w:hint="default" w:ascii="Times New Roman" w:hAnsi="Times New Roman" w:eastAsia="仿宋" w:cs="Times New Roman"/>
                <w:color w:val="auto"/>
                <w:szCs w:val="22"/>
                <w:highlight w:val="none"/>
              </w:rPr>
              <w:t>块，组件尺寸为2</w:t>
            </w:r>
            <w:r>
              <w:rPr>
                <w:rFonts w:hint="default" w:ascii="Times New Roman" w:hAnsi="Times New Roman" w:eastAsia="仿宋" w:cs="Times New Roman"/>
                <w:color w:val="auto"/>
                <w:szCs w:val="22"/>
                <w:highlight w:val="none"/>
                <w:lang w:val="en-US" w:eastAsia="zh-CN"/>
              </w:rPr>
              <w:t>382</w:t>
            </w:r>
            <w:r>
              <w:rPr>
                <w:rFonts w:hint="default" w:ascii="Times New Roman" w:hAnsi="Times New Roman" w:eastAsia="仿宋" w:cs="Times New Roman"/>
                <w:color w:val="auto"/>
                <w:szCs w:val="22"/>
                <w:highlight w:val="none"/>
              </w:rPr>
              <w:t>×113</w:t>
            </w:r>
            <w:r>
              <w:rPr>
                <w:rFonts w:hint="default" w:ascii="Times New Roman" w:hAnsi="Times New Roman" w:eastAsia="仿宋" w:cs="Times New Roman"/>
                <w:color w:val="auto"/>
                <w:szCs w:val="22"/>
                <w:highlight w:val="none"/>
                <w:lang w:val="en-US" w:eastAsia="zh-CN"/>
              </w:rPr>
              <w:t>4（mm）</w:t>
            </w:r>
            <w:r>
              <w:rPr>
                <w:rFonts w:hint="default" w:ascii="Times New Roman" w:hAnsi="Times New Roman" w:eastAsia="仿宋" w:cs="Times New Roman"/>
                <w:color w:val="auto"/>
                <w:szCs w:val="22"/>
                <w:highlight w:val="none"/>
              </w:rPr>
              <w:t>，即每块电池组件面积为2.</w:t>
            </w:r>
            <w:r>
              <w:rPr>
                <w:rFonts w:hint="default" w:ascii="Times New Roman" w:hAnsi="Times New Roman" w:eastAsia="仿宋" w:cs="Times New Roman"/>
                <w:color w:val="auto"/>
                <w:szCs w:val="22"/>
                <w:highlight w:val="none"/>
                <w:lang w:val="en-US" w:eastAsia="zh-CN"/>
              </w:rPr>
              <w:t>70</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2</w:t>
            </w:r>
            <w:r>
              <w:rPr>
                <w:rFonts w:hint="default" w:ascii="Times New Roman" w:hAnsi="Times New Roman" w:eastAsia="仿宋" w:cs="Times New Roman"/>
                <w:color w:val="auto"/>
                <w:szCs w:val="22"/>
                <w:highlight w:val="none"/>
              </w:rPr>
              <w:t>。清洗用水量根据可研设计经验数据，取0.5L/（m</w:t>
            </w:r>
            <w:r>
              <w:rPr>
                <w:rFonts w:hint="default" w:ascii="Times New Roman" w:hAnsi="Times New Roman" w:eastAsia="仿宋" w:cs="Times New Roman"/>
                <w:color w:val="auto"/>
                <w:szCs w:val="22"/>
                <w:highlight w:val="none"/>
                <w:vertAlign w:val="superscript"/>
              </w:rPr>
              <w:t>2</w:t>
            </w:r>
            <w:r>
              <w:rPr>
                <w:rFonts w:hint="default" w:ascii="Times New Roman" w:hAnsi="Times New Roman" w:eastAsia="仿宋" w:cs="Times New Roman"/>
                <w:bCs/>
                <w:color w:val="auto"/>
                <w:szCs w:val="22"/>
                <w:highlight w:val="none"/>
              </w:rPr>
              <w:t>·</w:t>
            </w:r>
            <w:r>
              <w:rPr>
                <w:rFonts w:hint="default" w:ascii="Times New Roman" w:hAnsi="Times New Roman" w:eastAsia="仿宋" w:cs="Times New Roman"/>
                <w:color w:val="auto"/>
                <w:szCs w:val="22"/>
                <w:highlight w:val="none"/>
              </w:rPr>
              <w:t>次），则所有电池组件清洗一次总用水量约为</w:t>
            </w:r>
            <w:r>
              <w:rPr>
                <w:rFonts w:hint="default" w:ascii="Times New Roman" w:hAnsi="Times New Roman" w:eastAsia="仿宋" w:cs="Times New Roman"/>
                <w:color w:val="auto"/>
                <w:szCs w:val="22"/>
                <w:highlight w:val="none"/>
                <w:lang w:val="en-US" w:eastAsia="zh-CN"/>
              </w:rPr>
              <w:t>383.</w:t>
            </w:r>
            <w:r>
              <w:rPr>
                <w:rFonts w:hint="eastAsia" w:cs="Times New Roman"/>
                <w:color w:val="auto"/>
                <w:szCs w:val="22"/>
                <w:highlight w:val="none"/>
                <w:lang w:val="en-US" w:eastAsia="zh-CN"/>
              </w:rPr>
              <w:t>3</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，平均每年清洗约2次，年清洗用水量</w:t>
            </w:r>
            <w:r>
              <w:rPr>
                <w:rFonts w:hint="default" w:ascii="Times New Roman" w:hAnsi="Times New Roman" w:eastAsia="仿宋" w:cs="Times New Roman"/>
                <w:color w:val="auto"/>
                <w:szCs w:val="22"/>
                <w:highlight w:val="none"/>
                <w:lang w:val="en-US" w:eastAsia="zh-CN"/>
              </w:rPr>
              <w:t>76</w:t>
            </w:r>
            <w:r>
              <w:rPr>
                <w:rFonts w:hint="eastAsia" w:cs="Times New Roman"/>
                <w:color w:val="auto"/>
                <w:szCs w:val="22"/>
                <w:highlight w:val="none"/>
                <w:lang w:val="en-US" w:eastAsia="zh-CN"/>
              </w:rPr>
              <w:t>6.6</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/a。</w:t>
            </w:r>
          </w:p>
          <w:p w14:paraId="579C3A1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组件清洗过程中，部分水分蒸发进入大气，废水产生系数按0.9计，则废水产生量约为</w:t>
            </w:r>
            <w:r>
              <w:rPr>
                <w:rFonts w:hint="default" w:ascii="Times New Roman" w:hAnsi="Times New Roman" w:eastAsia="仿宋" w:cs="Times New Roman"/>
                <w:color w:val="auto"/>
                <w:szCs w:val="22"/>
                <w:highlight w:val="none"/>
                <w:lang w:val="en-US" w:eastAsia="zh-CN"/>
              </w:rPr>
              <w:t>345</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/次，</w:t>
            </w:r>
            <w:r>
              <w:rPr>
                <w:rFonts w:hint="default" w:ascii="Times New Roman" w:hAnsi="Times New Roman" w:eastAsia="仿宋" w:cs="Times New Roman"/>
                <w:color w:val="auto"/>
                <w:szCs w:val="22"/>
                <w:highlight w:val="none"/>
                <w:lang w:val="en-US" w:eastAsia="zh-CN"/>
              </w:rPr>
              <w:t>690</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/a。</w:t>
            </w:r>
          </w:p>
          <w:p w14:paraId="425216A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③绿化用水</w:t>
            </w:r>
          </w:p>
          <w:p w14:paraId="3D567240">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项目升压站绿化面积为</w:t>
            </w:r>
            <w:r>
              <w:rPr>
                <w:rFonts w:hint="default" w:ascii="Times New Roman" w:hAnsi="Times New Roman" w:eastAsia="仿宋" w:cs="Times New Roman"/>
                <w:bCs/>
                <w:color w:val="auto"/>
                <w:szCs w:val="22"/>
                <w:highlight w:val="none"/>
                <w:lang w:val="en-US" w:eastAsia="zh-CN"/>
              </w:rPr>
              <w:t>8</w:t>
            </w:r>
            <w:r>
              <w:rPr>
                <w:rFonts w:hint="default" w:ascii="Times New Roman" w:hAnsi="Times New Roman" w:eastAsia="仿宋" w:cs="Times New Roman"/>
                <w:bCs/>
                <w:color w:val="auto"/>
                <w:szCs w:val="22"/>
                <w:highlight w:val="none"/>
              </w:rPr>
              <w:t>00m</w:t>
            </w:r>
            <w:r>
              <w:rPr>
                <w:rFonts w:hint="default" w:ascii="Times New Roman" w:hAnsi="Times New Roman" w:eastAsia="仿宋" w:cs="Times New Roman"/>
                <w:bCs/>
                <w:color w:val="auto"/>
                <w:szCs w:val="22"/>
                <w:highlight w:val="none"/>
                <w:vertAlign w:val="superscript"/>
              </w:rPr>
              <w:t>2</w:t>
            </w:r>
            <w:r>
              <w:rPr>
                <w:rFonts w:hint="default" w:ascii="Times New Roman" w:hAnsi="Times New Roman" w:eastAsia="仿宋" w:cs="Times New Roman"/>
                <w:bCs/>
                <w:color w:val="auto"/>
                <w:szCs w:val="22"/>
                <w:highlight w:val="none"/>
              </w:rPr>
              <w:t>，根据《云南省地方标准用水定额》（DB53/T168-2019），非雨天绿化用水量为3L/m</w:t>
            </w:r>
            <w:r>
              <w:rPr>
                <w:rFonts w:hint="default" w:ascii="Times New Roman" w:hAnsi="Times New Roman" w:eastAsia="仿宋" w:cs="Times New Roman"/>
                <w:bCs/>
                <w:color w:val="auto"/>
                <w:szCs w:val="22"/>
                <w:highlight w:val="none"/>
                <w:vertAlign w:val="superscript"/>
              </w:rPr>
              <w:t>2</w:t>
            </w:r>
            <w:r>
              <w:rPr>
                <w:rFonts w:hint="default" w:ascii="Times New Roman" w:hAnsi="Times New Roman" w:eastAsia="仿宋" w:cs="Times New Roman"/>
                <w:bCs/>
                <w:color w:val="auto"/>
                <w:szCs w:val="22"/>
                <w:highlight w:val="none"/>
              </w:rPr>
              <w:t>·次，则非雨天绿化用水量为</w:t>
            </w:r>
            <w:r>
              <w:rPr>
                <w:rFonts w:hint="default" w:ascii="Times New Roman" w:hAnsi="Times New Roman" w:eastAsia="仿宋" w:cs="Times New Roman"/>
                <w:bCs/>
                <w:color w:val="auto"/>
                <w:szCs w:val="22"/>
                <w:highlight w:val="none"/>
                <w:lang w:val="en-US" w:eastAsia="zh-CN"/>
              </w:rPr>
              <w:t>2.4</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/次。经查阅资料，</w:t>
            </w:r>
            <w:r>
              <w:rPr>
                <w:rFonts w:hint="default" w:ascii="Times New Roman" w:hAnsi="Times New Roman" w:eastAsia="仿宋" w:cs="Times New Roman"/>
                <w:bCs/>
                <w:color w:val="auto"/>
                <w:szCs w:val="22"/>
                <w:highlight w:val="none"/>
                <w:lang w:val="en-US" w:eastAsia="zh-CN"/>
              </w:rPr>
              <w:t>会泽县</w:t>
            </w:r>
            <w:r>
              <w:rPr>
                <w:rFonts w:hint="default" w:ascii="Times New Roman" w:hAnsi="Times New Roman" w:eastAsia="仿宋" w:cs="Times New Roman"/>
                <w:bCs/>
                <w:color w:val="auto"/>
                <w:szCs w:val="22"/>
                <w:highlight w:val="none"/>
              </w:rPr>
              <w:t>每年雨天为1</w:t>
            </w:r>
            <w:r>
              <w:rPr>
                <w:rFonts w:hint="default" w:ascii="Times New Roman" w:hAnsi="Times New Roman" w:eastAsia="仿宋" w:cs="Times New Roman"/>
                <w:bCs/>
                <w:color w:val="auto"/>
                <w:szCs w:val="22"/>
                <w:highlight w:val="none"/>
                <w:lang w:val="en-US" w:eastAsia="zh-CN"/>
              </w:rPr>
              <w:t>4</w:t>
            </w:r>
            <w:r>
              <w:rPr>
                <w:rFonts w:hint="default" w:ascii="Times New Roman" w:hAnsi="Times New Roman" w:eastAsia="仿宋" w:cs="Times New Roman"/>
                <w:bCs/>
                <w:color w:val="auto"/>
                <w:szCs w:val="22"/>
                <w:highlight w:val="none"/>
              </w:rPr>
              <w:t>5天，非雨天为2</w:t>
            </w:r>
            <w:r>
              <w:rPr>
                <w:rFonts w:hint="default" w:ascii="Times New Roman" w:hAnsi="Times New Roman" w:eastAsia="仿宋" w:cs="Times New Roman"/>
                <w:bCs/>
                <w:color w:val="auto"/>
                <w:szCs w:val="22"/>
                <w:highlight w:val="none"/>
                <w:lang w:val="en-US" w:eastAsia="zh-CN"/>
              </w:rPr>
              <w:t>2</w:t>
            </w:r>
            <w:r>
              <w:rPr>
                <w:rFonts w:hint="default" w:ascii="Times New Roman" w:hAnsi="Times New Roman" w:eastAsia="仿宋" w:cs="Times New Roman"/>
                <w:bCs/>
                <w:color w:val="auto"/>
                <w:szCs w:val="22"/>
                <w:highlight w:val="none"/>
              </w:rPr>
              <w:t>0天，按非雨天每天最少1次绿化浇水计算，则全年绿化用水量为</w:t>
            </w:r>
            <w:r>
              <w:rPr>
                <w:rFonts w:hint="default" w:ascii="Times New Roman" w:hAnsi="Times New Roman" w:eastAsia="仿宋" w:cs="Times New Roman"/>
                <w:bCs/>
                <w:color w:val="auto"/>
                <w:szCs w:val="22"/>
                <w:highlight w:val="none"/>
                <w:lang w:val="en-US" w:eastAsia="zh-CN"/>
              </w:rPr>
              <w:t>528</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w:t>
            </w:r>
          </w:p>
          <w:p w14:paraId="05730796">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项目运行期升压站工作人员生活污水最大产生量为0.</w:t>
            </w:r>
            <w:r>
              <w:rPr>
                <w:rFonts w:hint="default" w:ascii="Times New Roman" w:hAnsi="Times New Roman" w:eastAsia="仿宋" w:cs="Times New Roman"/>
                <w:bCs/>
                <w:color w:val="auto"/>
                <w:szCs w:val="22"/>
                <w:highlight w:val="none"/>
                <w:lang w:val="en-US" w:eastAsia="zh-CN"/>
              </w:rPr>
              <w:t>864</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/d，一体化污水处理规模</w:t>
            </w:r>
            <w:r>
              <w:rPr>
                <w:rFonts w:hint="default" w:ascii="Times New Roman" w:hAnsi="Times New Roman" w:eastAsia="仿宋" w:cs="Times New Roman"/>
                <w:bCs/>
                <w:color w:val="auto"/>
                <w:szCs w:val="22"/>
                <w:highlight w:val="none"/>
                <w:lang w:val="en-US" w:eastAsia="zh-CN"/>
              </w:rPr>
              <w:t>1</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w:t>
            </w:r>
            <w:r>
              <w:rPr>
                <w:rFonts w:hint="default" w:ascii="Times New Roman" w:hAnsi="Times New Roman" w:eastAsia="仿宋" w:cs="Times New Roman"/>
                <w:color w:val="auto"/>
                <w:sz w:val="24"/>
                <w:highlight w:val="none"/>
              </w:rPr>
              <w:t>同时项目区设置</w:t>
            </w:r>
            <w:r>
              <w:rPr>
                <w:rFonts w:hint="default" w:ascii="Times New Roman" w:hAnsi="Times New Roman" w:eastAsia="仿宋" w:cs="Times New Roman"/>
                <w:color w:val="auto"/>
                <w:sz w:val="24"/>
                <w:highlight w:val="none"/>
                <w:lang w:val="en-US" w:eastAsia="zh-CN"/>
              </w:rPr>
              <w:t>8</w:t>
            </w:r>
            <w:r>
              <w:rPr>
                <w:rFonts w:hint="default" w:ascii="Times New Roman" w:hAnsi="Times New Roman" w:eastAsia="仿宋" w:cs="Times New Roman"/>
                <w:color w:val="auto"/>
                <w:sz w:val="24"/>
                <w:highlight w:val="none"/>
              </w:rPr>
              <w:t>m</w:t>
            </w:r>
            <w:r>
              <w:rPr>
                <w:rFonts w:hint="default" w:ascii="Times New Roman" w:hAnsi="Times New Roman" w:eastAsia="仿宋" w:cs="Times New Roman"/>
                <w:color w:val="auto"/>
                <w:sz w:val="24"/>
                <w:highlight w:val="none"/>
                <w:vertAlign w:val="superscript"/>
              </w:rPr>
              <w:t>3</w:t>
            </w:r>
            <w:r>
              <w:rPr>
                <w:rFonts w:hint="eastAsia" w:cs="Times New Roman"/>
                <w:color w:val="auto"/>
                <w:sz w:val="24"/>
                <w:highlight w:val="none"/>
                <w:lang w:val="en-US" w:eastAsia="zh-CN"/>
              </w:rPr>
              <w:t>回用水池</w:t>
            </w:r>
            <w:r>
              <w:rPr>
                <w:rFonts w:hint="default" w:ascii="Times New Roman" w:hAnsi="Times New Roman" w:eastAsia="仿宋" w:cs="Times New Roman"/>
                <w:color w:val="auto"/>
                <w:sz w:val="24"/>
                <w:highlight w:val="none"/>
              </w:rPr>
              <w:t>一个，用于暂存一体化污水处理设施处理达标的尾水，保证能满足连续</w:t>
            </w:r>
            <w:r>
              <w:rPr>
                <w:rFonts w:hint="default" w:ascii="Times New Roman" w:hAnsi="Times New Roman" w:eastAsia="仿宋" w:cs="Times New Roman"/>
                <w:color w:val="auto"/>
                <w:sz w:val="24"/>
                <w:highlight w:val="none"/>
                <w:lang w:val="en-US" w:eastAsia="zh-CN"/>
              </w:rPr>
              <w:t>9</w:t>
            </w:r>
            <w:r>
              <w:rPr>
                <w:rFonts w:hint="default" w:ascii="Times New Roman" w:hAnsi="Times New Roman" w:eastAsia="仿宋" w:cs="Times New Roman"/>
                <w:color w:val="auto"/>
                <w:sz w:val="24"/>
                <w:highlight w:val="none"/>
              </w:rPr>
              <w:t>天的生活污水储存量，</w:t>
            </w:r>
            <w:r>
              <w:rPr>
                <w:rFonts w:hint="default" w:ascii="Times New Roman" w:hAnsi="Times New Roman" w:eastAsia="仿宋" w:cs="Times New Roman"/>
                <w:bCs/>
                <w:color w:val="auto"/>
                <w:szCs w:val="22"/>
                <w:highlight w:val="none"/>
              </w:rPr>
              <w:t>故该污水处理系统完全能够满足本项目需求。</w:t>
            </w:r>
          </w:p>
          <w:p w14:paraId="68317A4E">
            <w:pPr>
              <w:keepNext w:val="0"/>
              <w:keepLines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zCs w:val="22"/>
                <w:highlight w:val="none"/>
              </w:rPr>
              <w:object>
                <v:shape id="_x0000_i1030" o:spt="75" type="#_x0000_t75" style="height:122.05pt;width:381.85pt;" o:ole="t" filled="f" o:preferrelative="t" stroked="f" coordsize="21600,21600">
                  <v:path/>
                  <v:fill on="f" focussize="0,0"/>
                  <v:stroke on="f"/>
                  <v:imagedata r:id="rId50" o:title=""/>
                  <o:lock v:ext="edit" aspectratio="t"/>
                  <w10:wrap type="none"/>
                  <w10:anchorlock/>
                </v:shape>
                <o:OLEObject Type="Embed" ProgID="Visio.Drawing.11" ShapeID="_x0000_i1030" DrawAspect="Content" ObjectID="_1468075730" r:id="rId49">
                  <o:LockedField>false</o:LockedField>
                </o:OLEObject>
              </w:object>
            </w:r>
          </w:p>
          <w:p w14:paraId="6900E909">
            <w:pPr>
              <w:keepNext w:val="0"/>
              <w:keepLines w:val="0"/>
              <w:widowControl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
                <w:bCs/>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图4-5  非雨天水平衡图（单位：m</w:t>
            </w:r>
            <w:r>
              <w:rPr>
                <w:rFonts w:hint="default" w:ascii="Times New Roman" w:hAnsi="Times New Roman" w:eastAsia="仿宋" w:cs="Times New Roman"/>
                <w:b/>
                <w:color w:val="auto"/>
                <w:kern w:val="2"/>
                <w:sz w:val="21"/>
                <w:szCs w:val="20"/>
                <w:highlight w:val="none"/>
                <w:vertAlign w:val="superscript"/>
                <w:lang w:val="en-US" w:eastAsia="zh-CN" w:bidi="ar-SA"/>
              </w:rPr>
              <w:t>3</w:t>
            </w:r>
            <w:r>
              <w:rPr>
                <w:rFonts w:hint="default" w:ascii="Times New Roman" w:hAnsi="Times New Roman" w:eastAsia="仿宋" w:cs="Times New Roman"/>
                <w:b/>
                <w:color w:val="auto"/>
                <w:kern w:val="2"/>
                <w:sz w:val="21"/>
                <w:szCs w:val="20"/>
                <w:highlight w:val="none"/>
                <w:lang w:val="en-US" w:eastAsia="zh-CN" w:bidi="ar-SA"/>
              </w:rPr>
              <w:t>/d）</w:t>
            </w:r>
          </w:p>
          <w:p w14:paraId="73CE0C2A">
            <w:pPr>
              <w:keepNext w:val="0"/>
              <w:keepLines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zCs w:val="22"/>
                <w:highlight w:val="none"/>
              </w:rPr>
              <w:object>
                <v:shape id="_x0000_i1031" o:spt="75" type="#_x0000_t75" style="height:119.65pt;width:391.65pt;" o:ole="t" filled="f" o:preferrelative="t" stroked="f" coordsize="21600,21600">
                  <v:path/>
                  <v:fill on="f" focussize="0,0"/>
                  <v:stroke on="f"/>
                  <v:imagedata r:id="rId52" o:title=""/>
                  <o:lock v:ext="edit" aspectratio="t"/>
                  <w10:wrap type="none"/>
                  <w10:anchorlock/>
                </v:shape>
                <o:OLEObject Type="Embed" ProgID="Visio.Drawing.11" ShapeID="_x0000_i1031" DrawAspect="Content" ObjectID="_1468075731" r:id="rId51">
                  <o:LockedField>false</o:LockedField>
                </o:OLEObject>
              </w:object>
            </w:r>
          </w:p>
          <w:p w14:paraId="2D893F59">
            <w:pPr>
              <w:keepNext w:val="0"/>
              <w:keepLines w:val="0"/>
              <w:widowControl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图4</w:t>
            </w:r>
            <w:r>
              <w:rPr>
                <w:rFonts w:hint="eastAsia" w:cs="Times New Roman"/>
                <w:b/>
                <w:color w:val="auto"/>
                <w:kern w:val="2"/>
                <w:sz w:val="21"/>
                <w:szCs w:val="20"/>
                <w:highlight w:val="none"/>
                <w:lang w:val="en-US" w:eastAsia="zh-CN" w:bidi="ar-SA"/>
              </w:rPr>
              <w:t>.3-1</w:t>
            </w:r>
            <w:r>
              <w:rPr>
                <w:rFonts w:hint="default" w:ascii="Times New Roman" w:hAnsi="Times New Roman" w:eastAsia="仿宋" w:cs="Times New Roman"/>
                <w:b/>
                <w:color w:val="auto"/>
                <w:kern w:val="2"/>
                <w:sz w:val="21"/>
                <w:szCs w:val="20"/>
                <w:highlight w:val="none"/>
                <w:lang w:val="en-US" w:eastAsia="zh-CN" w:bidi="ar-SA"/>
              </w:rPr>
              <w:t xml:space="preserve">  雨天水平衡图（单位：m</w:t>
            </w:r>
            <w:r>
              <w:rPr>
                <w:rFonts w:hint="default" w:ascii="Times New Roman" w:hAnsi="Times New Roman" w:eastAsia="仿宋" w:cs="Times New Roman"/>
                <w:b/>
                <w:color w:val="auto"/>
                <w:kern w:val="2"/>
                <w:sz w:val="21"/>
                <w:szCs w:val="20"/>
                <w:highlight w:val="none"/>
                <w:vertAlign w:val="superscript"/>
                <w:lang w:val="en-US" w:eastAsia="zh-CN" w:bidi="ar-SA"/>
              </w:rPr>
              <w:t>3</w:t>
            </w:r>
            <w:r>
              <w:rPr>
                <w:rFonts w:hint="default" w:ascii="Times New Roman" w:hAnsi="Times New Roman" w:eastAsia="仿宋" w:cs="Times New Roman"/>
                <w:b/>
                <w:color w:val="auto"/>
                <w:kern w:val="2"/>
                <w:sz w:val="21"/>
                <w:szCs w:val="20"/>
                <w:highlight w:val="none"/>
                <w:lang w:val="en-US" w:eastAsia="zh-CN" w:bidi="ar-SA"/>
              </w:rPr>
              <w:t>/d）</w:t>
            </w:r>
          </w:p>
          <w:p w14:paraId="07FBC32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④项目废水处理方案</w:t>
            </w:r>
          </w:p>
          <w:p w14:paraId="3779B71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zCs w:val="22"/>
                <w:highlight w:val="none"/>
              </w:rPr>
              <w:t>A</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生活污水</w:t>
            </w:r>
          </w:p>
          <w:p w14:paraId="09BC074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4"/>
                <w:highlight w:val="none"/>
              </w:rPr>
            </w:pPr>
            <w:r>
              <w:rPr>
                <w:rFonts w:hint="default" w:ascii="Times New Roman" w:hAnsi="Times New Roman" w:eastAsia="仿宋" w:cs="Times New Roman"/>
                <w:color w:val="auto"/>
                <w:szCs w:val="24"/>
                <w:highlight w:val="none"/>
              </w:rPr>
              <w:t>a</w:t>
            </w:r>
            <w:r>
              <w:rPr>
                <w:rFonts w:hint="default" w:ascii="Times New Roman" w:hAnsi="Times New Roman" w:eastAsia="仿宋" w:cs="Times New Roman"/>
                <w:color w:val="auto"/>
                <w:szCs w:val="24"/>
                <w:highlight w:val="none"/>
                <w:lang w:eastAsia="zh-CN"/>
              </w:rPr>
              <w:t>.</w:t>
            </w:r>
            <w:r>
              <w:rPr>
                <w:rFonts w:hint="default" w:ascii="Times New Roman" w:hAnsi="Times New Roman" w:eastAsia="仿宋" w:cs="Times New Roman"/>
                <w:color w:val="auto"/>
                <w:szCs w:val="24"/>
                <w:highlight w:val="none"/>
              </w:rPr>
              <w:t>废水特征</w:t>
            </w:r>
          </w:p>
          <w:p w14:paraId="17D9E12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4"/>
                <w:highlight w:val="none"/>
              </w:rPr>
            </w:pPr>
            <w:r>
              <w:rPr>
                <w:rFonts w:hint="default" w:ascii="Times New Roman" w:hAnsi="Times New Roman" w:eastAsia="仿宋" w:cs="Times New Roman"/>
                <w:color w:val="auto"/>
                <w:szCs w:val="24"/>
                <w:highlight w:val="none"/>
              </w:rPr>
              <w:t>运行期间产生的生活污水量约0.</w:t>
            </w:r>
            <w:r>
              <w:rPr>
                <w:rFonts w:hint="default" w:ascii="Times New Roman" w:hAnsi="Times New Roman" w:eastAsia="仿宋" w:cs="Times New Roman"/>
                <w:color w:val="auto"/>
                <w:szCs w:val="24"/>
                <w:highlight w:val="none"/>
                <w:lang w:val="en-US" w:eastAsia="zh-CN"/>
              </w:rPr>
              <w:t>864</w:t>
            </w:r>
            <w:r>
              <w:rPr>
                <w:rFonts w:hint="default" w:ascii="Times New Roman" w:hAnsi="Times New Roman" w:eastAsia="仿宋" w:cs="Times New Roman"/>
                <w:color w:val="auto"/>
                <w:szCs w:val="24"/>
                <w:highlight w:val="none"/>
              </w:rPr>
              <w:t>m</w:t>
            </w:r>
            <w:r>
              <w:rPr>
                <w:rFonts w:hint="default" w:ascii="Times New Roman" w:hAnsi="Times New Roman" w:eastAsia="仿宋" w:cs="Times New Roman"/>
                <w:color w:val="auto"/>
                <w:szCs w:val="24"/>
                <w:highlight w:val="none"/>
                <w:vertAlign w:val="superscript"/>
              </w:rPr>
              <w:t>3</w:t>
            </w:r>
            <w:r>
              <w:rPr>
                <w:rFonts w:hint="default" w:ascii="Times New Roman" w:hAnsi="Times New Roman" w:eastAsia="仿宋" w:cs="Times New Roman"/>
                <w:color w:val="auto"/>
                <w:szCs w:val="24"/>
                <w:highlight w:val="none"/>
              </w:rPr>
              <w:t>/d。主要污染物为COD、BOD</w:t>
            </w:r>
            <w:r>
              <w:rPr>
                <w:rFonts w:hint="default" w:ascii="Times New Roman" w:hAnsi="Times New Roman" w:eastAsia="仿宋" w:cs="Times New Roman"/>
                <w:color w:val="auto"/>
                <w:szCs w:val="24"/>
                <w:highlight w:val="none"/>
                <w:vertAlign w:val="subscript"/>
              </w:rPr>
              <w:t>5</w:t>
            </w:r>
            <w:r>
              <w:rPr>
                <w:rFonts w:hint="default" w:ascii="Times New Roman" w:hAnsi="Times New Roman" w:eastAsia="仿宋" w:cs="Times New Roman"/>
                <w:color w:val="auto"/>
                <w:szCs w:val="24"/>
                <w:highlight w:val="none"/>
              </w:rPr>
              <w:t>、SS、NH</w:t>
            </w:r>
            <w:r>
              <w:rPr>
                <w:rFonts w:hint="default" w:ascii="Times New Roman" w:hAnsi="Times New Roman" w:eastAsia="仿宋" w:cs="Times New Roman"/>
                <w:color w:val="auto"/>
                <w:szCs w:val="24"/>
                <w:highlight w:val="none"/>
                <w:vertAlign w:val="subscript"/>
              </w:rPr>
              <w:t>3</w:t>
            </w:r>
            <w:r>
              <w:rPr>
                <w:rFonts w:hint="default" w:ascii="Times New Roman" w:hAnsi="Times New Roman" w:eastAsia="仿宋" w:cs="Times New Roman"/>
                <w:color w:val="auto"/>
                <w:szCs w:val="24"/>
                <w:highlight w:val="none"/>
              </w:rPr>
              <w:t>-N、动植物油、总磷，浓度分别约为COD：390mg/L、BOD</w:t>
            </w:r>
            <w:r>
              <w:rPr>
                <w:rFonts w:hint="default" w:ascii="Times New Roman" w:hAnsi="Times New Roman" w:eastAsia="仿宋" w:cs="Times New Roman"/>
                <w:color w:val="auto"/>
                <w:szCs w:val="24"/>
                <w:highlight w:val="none"/>
                <w:vertAlign w:val="subscript"/>
              </w:rPr>
              <w:t>5</w:t>
            </w:r>
            <w:r>
              <w:rPr>
                <w:rFonts w:hint="default" w:ascii="Times New Roman" w:hAnsi="Times New Roman" w:eastAsia="仿宋" w:cs="Times New Roman"/>
                <w:color w:val="auto"/>
                <w:szCs w:val="24"/>
                <w:highlight w:val="none"/>
              </w:rPr>
              <w:t>： 240mg/L、SS：195mg/L、NH</w:t>
            </w:r>
            <w:r>
              <w:rPr>
                <w:rFonts w:hint="default" w:ascii="Times New Roman" w:hAnsi="Times New Roman" w:eastAsia="仿宋" w:cs="Times New Roman"/>
                <w:color w:val="auto"/>
                <w:szCs w:val="24"/>
                <w:highlight w:val="none"/>
                <w:vertAlign w:val="subscript"/>
              </w:rPr>
              <w:t>3</w:t>
            </w:r>
            <w:r>
              <w:rPr>
                <w:rFonts w:hint="default" w:ascii="Times New Roman" w:hAnsi="Times New Roman" w:eastAsia="仿宋" w:cs="Times New Roman"/>
                <w:color w:val="auto"/>
                <w:szCs w:val="24"/>
                <w:highlight w:val="none"/>
              </w:rPr>
              <w:t>-N：34mgL、动植物油：40mg/L、总磷：8mg/L。</w:t>
            </w:r>
          </w:p>
          <w:p w14:paraId="25F5529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b</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废水处理方案</w:t>
            </w:r>
          </w:p>
          <w:p w14:paraId="6EA57C0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光伏电池板清洗废水主要含有SS，不含</w:t>
            </w:r>
            <w:r>
              <w:rPr>
                <w:rFonts w:hint="default" w:ascii="Times New Roman" w:hAnsi="Times New Roman" w:eastAsia="仿宋" w:cs="Times New Roman"/>
                <w:color w:val="auto"/>
                <w:szCs w:val="22"/>
                <w:highlight w:val="none"/>
                <w:lang w:eastAsia="zh-CN"/>
              </w:rPr>
              <w:t>其他有害</w:t>
            </w:r>
            <w:r>
              <w:rPr>
                <w:rFonts w:hint="default" w:ascii="Times New Roman" w:hAnsi="Times New Roman" w:eastAsia="仿宋" w:cs="Times New Roman"/>
                <w:color w:val="auto"/>
                <w:szCs w:val="22"/>
                <w:highlight w:val="none"/>
              </w:rPr>
              <w:t>污染物，该部分清洗废水用于光伏组件下植物的浇灌用水，不外排；项目升压站配建一座</w:t>
            </w:r>
            <w:r>
              <w:rPr>
                <w:rFonts w:hint="default" w:ascii="Times New Roman" w:hAnsi="Times New Roman" w:eastAsia="仿宋" w:cs="Times New Roman"/>
                <w:color w:val="auto"/>
                <w:szCs w:val="22"/>
                <w:highlight w:val="none"/>
                <w:lang w:val="en-US" w:eastAsia="zh-CN"/>
              </w:rPr>
              <w:t>1</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vertAlign w:val="baseline"/>
                <w:lang w:val="en-US" w:eastAsia="zh-CN"/>
              </w:rPr>
              <w:t>/d</w:t>
            </w:r>
            <w:r>
              <w:rPr>
                <w:rFonts w:hint="default" w:ascii="Times New Roman" w:hAnsi="Times New Roman" w:eastAsia="仿宋" w:cs="Times New Roman"/>
                <w:color w:val="auto"/>
                <w:szCs w:val="22"/>
                <w:highlight w:val="none"/>
              </w:rPr>
              <w:t>的一体化污水处理设施，生活污水经隔油池、化粪池预处理后，进入一体化污水处理设施</w:t>
            </w:r>
            <w:r>
              <w:rPr>
                <w:rFonts w:hint="eastAsia" w:cs="Times New Roman"/>
                <w:color w:val="auto"/>
                <w:szCs w:val="22"/>
                <w:highlight w:val="none"/>
                <w:lang w:eastAsia="zh-CN"/>
              </w:rPr>
              <w:t>处理达到《城市污水</w:t>
            </w:r>
            <w:r>
              <w:rPr>
                <w:rFonts w:hint="default" w:ascii="Times New Roman" w:hAnsi="Times New Roman" w:eastAsia="仿宋" w:cs="Times New Roman"/>
                <w:color w:val="auto"/>
                <w:szCs w:val="22"/>
                <w:highlight w:val="none"/>
              </w:rPr>
              <w:t>再生利用城市杂用水水质》（GB/T18920-2020）中绿化标准后，排入回用水暂存池内，非雨天回用于升压站内绿化，不外排。</w:t>
            </w:r>
          </w:p>
          <w:p w14:paraId="61A3A84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c</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污水处理工艺</w:t>
            </w:r>
          </w:p>
          <w:p w14:paraId="28D987D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lang w:val="en-US" w:eastAsia="zh-CN"/>
              </w:rPr>
              <w:t>根据项目资料，</w:t>
            </w:r>
            <w:r>
              <w:rPr>
                <w:rFonts w:hint="default" w:ascii="Times New Roman" w:hAnsi="Times New Roman" w:eastAsia="仿宋" w:cs="Times New Roman"/>
                <w:bCs/>
                <w:color w:val="auto"/>
                <w:szCs w:val="22"/>
                <w:highlight w:val="none"/>
              </w:rPr>
              <w:t>建设单位</w:t>
            </w:r>
            <w:r>
              <w:rPr>
                <w:rFonts w:hint="default" w:ascii="Times New Roman" w:hAnsi="Times New Roman" w:eastAsia="仿宋" w:cs="Times New Roman"/>
                <w:bCs/>
                <w:color w:val="auto"/>
                <w:szCs w:val="22"/>
                <w:highlight w:val="none"/>
                <w:lang w:val="en-US" w:eastAsia="zh-CN"/>
              </w:rPr>
              <w:t>在升压站</w:t>
            </w:r>
            <w:r>
              <w:rPr>
                <w:rFonts w:hint="default" w:ascii="Times New Roman" w:hAnsi="Times New Roman" w:eastAsia="仿宋" w:cs="Times New Roman"/>
                <w:bCs/>
                <w:color w:val="auto"/>
                <w:szCs w:val="22"/>
                <w:highlight w:val="none"/>
              </w:rPr>
              <w:t>建设一座处理规模</w:t>
            </w:r>
            <w:r>
              <w:rPr>
                <w:rFonts w:hint="default" w:ascii="Times New Roman" w:hAnsi="Times New Roman" w:eastAsia="仿宋" w:cs="Times New Roman"/>
                <w:bCs/>
                <w:color w:val="auto"/>
                <w:szCs w:val="22"/>
                <w:highlight w:val="none"/>
                <w:lang w:val="en-US" w:eastAsia="zh-CN"/>
              </w:rPr>
              <w:t>1</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d的一体化污水处理设施，污水处理工艺为MBR处理工艺。工艺流程：格栅+调节池+缺氧+MBR池，污水处理工艺简介：生活污水进入格栅，通过格栅截留废水中的漂浮物、大块悬浮物后进入调节池，废水在调节池中停留一段时间后送入缺氧池，在缺氧池中进行反硝化反应除去硝态氮，废水通过缺氧池后进入MBR池，大量有机物在MBR池内高浓度活性污泥的作用下进一步被降解利用，废水中的活性污泥则被截留在 MBR池内继续降解有机物。经处理后的废水排入中水中，定期回用作升压站站区绿化用水。</w:t>
            </w:r>
          </w:p>
          <w:p w14:paraId="683E968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污水处理工艺流程见下图。</w:t>
            </w:r>
          </w:p>
          <w:p w14:paraId="37A11EB4">
            <w:pPr>
              <w:keepNext w:val="0"/>
              <w:keepLines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drawing>
                <wp:inline distT="0" distB="0" distL="114300" distR="114300">
                  <wp:extent cx="2487295" cy="2785745"/>
                  <wp:effectExtent l="0" t="0" r="12065" b="3175"/>
                  <wp:docPr id="10" name="图片 13" descr="页面提取自－联珠光伏发电项目（送审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页面提取自－联珠光伏发电项目（送审稿）"/>
                          <pic:cNvPicPr>
                            <a:picLocks noChangeAspect="1"/>
                          </pic:cNvPicPr>
                        </pic:nvPicPr>
                        <pic:blipFill>
                          <a:blip r:embed="rId53"/>
                          <a:stretch>
                            <a:fillRect/>
                          </a:stretch>
                        </pic:blipFill>
                        <pic:spPr>
                          <a:xfrm>
                            <a:off x="0" y="0"/>
                            <a:ext cx="2487295" cy="2785745"/>
                          </a:xfrm>
                          <a:prstGeom prst="rect">
                            <a:avLst/>
                          </a:prstGeom>
                          <a:noFill/>
                          <a:ln>
                            <a:noFill/>
                          </a:ln>
                        </pic:spPr>
                      </pic:pic>
                    </a:graphicData>
                  </a:graphic>
                </wp:inline>
              </w:drawing>
            </w:r>
          </w:p>
          <w:p w14:paraId="280E9BE9">
            <w:pPr>
              <w:keepNext w:val="0"/>
              <w:keepLines w:val="0"/>
              <w:widowControl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图</w:t>
            </w:r>
            <w:r>
              <w:rPr>
                <w:rFonts w:hint="eastAsia" w:cs="Times New Roman"/>
                <w:b/>
                <w:color w:val="auto"/>
                <w:kern w:val="2"/>
                <w:sz w:val="21"/>
                <w:szCs w:val="20"/>
                <w:highlight w:val="none"/>
                <w:lang w:val="en-US" w:eastAsia="zh-CN" w:bidi="ar-SA"/>
              </w:rPr>
              <w:t>4.3-2</w:t>
            </w:r>
            <w:r>
              <w:rPr>
                <w:rFonts w:hint="default" w:ascii="Times New Roman" w:hAnsi="Times New Roman" w:eastAsia="仿宋" w:cs="Times New Roman"/>
                <w:b/>
                <w:color w:val="auto"/>
                <w:kern w:val="2"/>
                <w:sz w:val="21"/>
                <w:szCs w:val="20"/>
                <w:highlight w:val="none"/>
                <w:lang w:val="en-US" w:eastAsia="zh-CN" w:bidi="ar-SA"/>
              </w:rPr>
              <w:t xml:space="preserve">  项目一体化污水处理设施工艺流程图</w:t>
            </w:r>
          </w:p>
          <w:p w14:paraId="427A6A7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d</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项目生活污水处理设施回用水质分析</w:t>
            </w:r>
          </w:p>
          <w:p w14:paraId="748791D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项目一体化污水处理站采用MBR工艺，此工艺成熟稳定，污水处理效果较好，处理后的废水可稳定达到《城市污水再生利用城市杂用水水质》（GB/T18920-2020）中绿化标准，废水处理达标后排入回用水暂存池，全部用于站区绿化，站区绿化用水</w:t>
            </w:r>
            <w:r>
              <w:rPr>
                <w:rFonts w:hint="default" w:ascii="Times New Roman" w:hAnsi="Times New Roman" w:eastAsia="仿宋" w:cs="Times New Roman"/>
                <w:color w:val="auto"/>
                <w:szCs w:val="22"/>
                <w:highlight w:val="none"/>
                <w:lang w:val="en-US" w:eastAsia="zh-CN"/>
              </w:rPr>
              <w:t>528t</w:t>
            </w:r>
            <w:r>
              <w:rPr>
                <w:rFonts w:hint="default" w:ascii="Times New Roman" w:hAnsi="Times New Roman" w:eastAsia="仿宋" w:cs="Times New Roman"/>
                <w:color w:val="auto"/>
                <w:szCs w:val="22"/>
                <w:highlight w:val="none"/>
              </w:rPr>
              <w:t>/a，项目生活污水量为</w:t>
            </w:r>
            <w:r>
              <w:rPr>
                <w:rFonts w:hint="default" w:ascii="Times New Roman" w:hAnsi="Times New Roman" w:eastAsia="仿宋" w:cs="Times New Roman"/>
                <w:color w:val="auto"/>
                <w:szCs w:val="22"/>
                <w:highlight w:val="none"/>
                <w:lang w:val="en-US" w:eastAsia="zh-CN"/>
              </w:rPr>
              <w:t>315.36</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/a，晴天废水可以全部绿化消耗，废水全部回用可行；且项目设置一个容积为</w:t>
            </w:r>
            <w:r>
              <w:rPr>
                <w:rFonts w:hint="default" w:ascii="Times New Roman" w:hAnsi="Times New Roman" w:eastAsia="仿宋" w:cs="Times New Roman"/>
                <w:color w:val="auto"/>
                <w:szCs w:val="22"/>
                <w:highlight w:val="none"/>
                <w:lang w:val="en-US" w:eastAsia="zh-CN"/>
              </w:rPr>
              <w:t>8</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的回用水暂存池，收集雨天经处理后的废水，待天晴后回用。</w:t>
            </w:r>
          </w:p>
          <w:p w14:paraId="38E4345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e</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项目生活污水回用不外排的可行性分析</w:t>
            </w:r>
          </w:p>
          <w:p w14:paraId="73227D0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项目内生活污水产生量0.</w:t>
            </w:r>
            <w:r>
              <w:rPr>
                <w:rFonts w:hint="default" w:ascii="Times New Roman" w:hAnsi="Times New Roman" w:eastAsia="仿宋" w:cs="Times New Roman"/>
                <w:color w:val="auto"/>
                <w:szCs w:val="22"/>
                <w:highlight w:val="none"/>
                <w:lang w:val="en-US" w:eastAsia="zh-CN"/>
              </w:rPr>
              <w:t>864</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/d，项目拟设置隔油池、</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的化粪池，并设置一体化污水处理设施，</w:t>
            </w:r>
            <w:r>
              <w:rPr>
                <w:rFonts w:hint="default" w:ascii="Times New Roman" w:hAnsi="Times New Roman" w:eastAsia="仿宋" w:cs="Times New Roman"/>
                <w:color w:val="auto"/>
                <w:szCs w:val="22"/>
                <w:highlight w:val="none"/>
                <w:lang w:eastAsia="zh-CN"/>
              </w:rPr>
              <w:t>采用</w:t>
            </w:r>
            <w:r>
              <w:rPr>
                <w:rFonts w:hint="default" w:ascii="Times New Roman" w:hAnsi="Times New Roman" w:eastAsia="仿宋" w:cs="Times New Roman"/>
                <w:color w:val="auto"/>
                <w:szCs w:val="22"/>
                <w:highlight w:val="none"/>
              </w:rPr>
              <w:t>MBR处理工艺，同时项目区设置</w:t>
            </w:r>
            <w:r>
              <w:rPr>
                <w:rFonts w:hint="default" w:ascii="Times New Roman" w:hAnsi="Times New Roman" w:eastAsia="仿宋" w:cs="Times New Roman"/>
                <w:color w:val="auto"/>
                <w:szCs w:val="22"/>
                <w:highlight w:val="none"/>
                <w:lang w:val="en-US" w:eastAsia="zh-CN"/>
              </w:rPr>
              <w:t>8</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回用水暂存池一个，用于暂存一体化污水处理设施处理达标的尾水，保证能满足连续</w:t>
            </w:r>
            <w:r>
              <w:rPr>
                <w:rFonts w:hint="default" w:ascii="Times New Roman" w:hAnsi="Times New Roman" w:eastAsia="仿宋" w:cs="Times New Roman"/>
                <w:color w:val="auto"/>
                <w:szCs w:val="22"/>
                <w:highlight w:val="none"/>
                <w:lang w:val="en-US" w:eastAsia="zh-CN"/>
              </w:rPr>
              <w:t>9</w:t>
            </w:r>
            <w:r>
              <w:rPr>
                <w:rFonts w:hint="default" w:ascii="Times New Roman" w:hAnsi="Times New Roman" w:eastAsia="仿宋" w:cs="Times New Roman"/>
                <w:color w:val="auto"/>
                <w:szCs w:val="22"/>
                <w:highlight w:val="none"/>
              </w:rPr>
              <w:t>天的尾水储存量，回用水暂存池能保证该地区连续降雨时生活污水的储存，非雨天存储的处理达标的生活污水可回用于项目区绿化。本项目升压站区绿化面积为</w:t>
            </w:r>
            <w:r>
              <w:rPr>
                <w:rFonts w:hint="default" w:ascii="Times New Roman" w:hAnsi="Times New Roman" w:eastAsia="仿宋" w:cs="Times New Roman"/>
                <w:color w:val="auto"/>
                <w:szCs w:val="22"/>
                <w:highlight w:val="none"/>
                <w:lang w:val="en-US" w:eastAsia="zh-CN"/>
              </w:rPr>
              <w:t>8</w:t>
            </w:r>
            <w:r>
              <w:rPr>
                <w:rFonts w:hint="default" w:ascii="Times New Roman" w:hAnsi="Times New Roman" w:eastAsia="仿宋" w:cs="Times New Roman"/>
                <w:color w:val="auto"/>
                <w:szCs w:val="22"/>
                <w:highlight w:val="none"/>
              </w:rPr>
              <w:t>00m</w:t>
            </w:r>
            <w:r>
              <w:rPr>
                <w:rFonts w:hint="default" w:ascii="Times New Roman" w:hAnsi="Times New Roman" w:eastAsia="仿宋" w:cs="Times New Roman"/>
                <w:color w:val="auto"/>
                <w:szCs w:val="22"/>
                <w:highlight w:val="none"/>
                <w:vertAlign w:val="superscript"/>
              </w:rPr>
              <w:t>2</w:t>
            </w:r>
            <w:r>
              <w:rPr>
                <w:rFonts w:hint="default" w:ascii="Times New Roman" w:hAnsi="Times New Roman" w:eastAsia="仿宋" w:cs="Times New Roman"/>
                <w:color w:val="auto"/>
                <w:szCs w:val="22"/>
                <w:highlight w:val="none"/>
              </w:rPr>
              <w:t>，绿化用水定额为3L/m</w:t>
            </w:r>
            <w:r>
              <w:rPr>
                <w:rFonts w:hint="default" w:ascii="Times New Roman" w:hAnsi="Times New Roman" w:eastAsia="仿宋" w:cs="Times New Roman"/>
                <w:color w:val="auto"/>
                <w:szCs w:val="22"/>
                <w:highlight w:val="none"/>
                <w:vertAlign w:val="superscript"/>
              </w:rPr>
              <w:t>2</w:t>
            </w:r>
            <w:r>
              <w:rPr>
                <w:rFonts w:hint="default" w:ascii="Times New Roman" w:hAnsi="Times New Roman" w:eastAsia="仿宋" w:cs="Times New Roman"/>
                <w:color w:val="auto"/>
                <w:szCs w:val="22"/>
                <w:highlight w:val="none"/>
              </w:rPr>
              <w:t>，则项目非雨天绿化需水量</w:t>
            </w:r>
            <w:r>
              <w:rPr>
                <w:rFonts w:hint="default" w:ascii="Times New Roman" w:hAnsi="Times New Roman" w:eastAsia="仿宋" w:cs="Times New Roman"/>
                <w:color w:val="auto"/>
                <w:szCs w:val="22"/>
                <w:highlight w:val="none"/>
                <w:lang w:val="en-US" w:eastAsia="zh-CN"/>
              </w:rPr>
              <w:t>2.4</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/d，绿化需水量大于生活污水产生量。因此，项目生活污水可以全部用于绿化，不外排是可行的。</w:t>
            </w:r>
          </w:p>
          <w:p w14:paraId="32A738B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B</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光伏阵列区清洗废水</w:t>
            </w:r>
          </w:p>
          <w:p w14:paraId="65D48E8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4"/>
                <w:highlight w:val="none"/>
              </w:rPr>
              <w:t>项目营运期间产生的光伏电池板清洗废水主要含SS，不</w:t>
            </w:r>
            <w:r>
              <w:rPr>
                <w:rFonts w:hint="default" w:ascii="Times New Roman" w:hAnsi="Times New Roman" w:eastAsia="仿宋" w:cs="Times New Roman"/>
                <w:color w:val="auto"/>
                <w:szCs w:val="24"/>
                <w:highlight w:val="none"/>
                <w:lang w:eastAsia="zh-CN"/>
              </w:rPr>
              <w:t>含其他</w:t>
            </w:r>
            <w:r>
              <w:rPr>
                <w:rFonts w:hint="default" w:ascii="Times New Roman" w:hAnsi="Times New Roman" w:eastAsia="仿宋" w:cs="Times New Roman"/>
                <w:color w:val="auto"/>
                <w:szCs w:val="24"/>
                <w:highlight w:val="none"/>
              </w:rPr>
              <w:t>污染物。</w:t>
            </w:r>
          </w:p>
          <w:p w14:paraId="1C10512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zCs w:val="22"/>
                <w:highlight w:val="none"/>
              </w:rPr>
              <w:t>项目产生的废水顺电池组件倾斜角度直接淋洒于下方</w:t>
            </w:r>
            <w:r>
              <w:rPr>
                <w:rFonts w:hint="default" w:ascii="Times New Roman" w:hAnsi="Times New Roman" w:eastAsia="仿宋" w:cs="Times New Roman"/>
                <w:color w:val="auto"/>
                <w:szCs w:val="22"/>
                <w:highlight w:val="none"/>
                <w:lang w:val="en-US" w:eastAsia="zh-CN"/>
              </w:rPr>
              <w:t>作物</w:t>
            </w:r>
            <w:r>
              <w:rPr>
                <w:rFonts w:hint="default" w:ascii="Times New Roman" w:hAnsi="Times New Roman" w:eastAsia="仿宋" w:cs="Times New Roman"/>
                <w:color w:val="auto"/>
                <w:szCs w:val="22"/>
                <w:highlight w:val="none"/>
              </w:rPr>
              <w:t>上，不外排。从水质情况看，由于组件清洗过程中不添加清洗剂，产生的废水无特殊污染物，主要为SS，且光伏板最外层主要为特种钢化玻璃，清洗过程中不会含有锈等金属污染物，用于</w:t>
            </w:r>
            <w:r>
              <w:rPr>
                <w:rFonts w:hint="default" w:ascii="Times New Roman" w:hAnsi="Times New Roman" w:eastAsia="仿宋" w:cs="Times New Roman"/>
                <w:color w:val="auto"/>
                <w:szCs w:val="22"/>
                <w:highlight w:val="none"/>
                <w:lang w:val="en-US" w:eastAsia="zh-CN"/>
              </w:rPr>
              <w:t>作物</w:t>
            </w:r>
            <w:r>
              <w:rPr>
                <w:rFonts w:hint="default" w:ascii="Times New Roman" w:hAnsi="Times New Roman" w:eastAsia="仿宋" w:cs="Times New Roman"/>
                <w:color w:val="auto"/>
                <w:szCs w:val="22"/>
                <w:highlight w:val="none"/>
              </w:rPr>
              <w:t>浇洒不会对</w:t>
            </w:r>
            <w:r>
              <w:rPr>
                <w:rFonts w:hint="default" w:ascii="Times New Roman" w:hAnsi="Times New Roman" w:eastAsia="仿宋" w:cs="Times New Roman"/>
                <w:color w:val="auto"/>
                <w:szCs w:val="22"/>
                <w:highlight w:val="none"/>
                <w:lang w:val="en-US" w:eastAsia="zh-CN"/>
              </w:rPr>
              <w:t>其</w:t>
            </w:r>
            <w:r>
              <w:rPr>
                <w:rFonts w:hint="default" w:ascii="Times New Roman" w:hAnsi="Times New Roman" w:eastAsia="仿宋" w:cs="Times New Roman"/>
                <w:color w:val="auto"/>
                <w:szCs w:val="22"/>
                <w:highlight w:val="none"/>
              </w:rPr>
              <w:t>生长造成不良影响，也不会对项目区土壤造成严重污染，清洗废水被光伏板下</w:t>
            </w:r>
            <w:r>
              <w:rPr>
                <w:rFonts w:hint="default" w:ascii="Times New Roman" w:hAnsi="Times New Roman" w:eastAsia="仿宋" w:cs="Times New Roman"/>
                <w:color w:val="auto"/>
                <w:szCs w:val="22"/>
                <w:highlight w:val="none"/>
                <w:lang w:val="en-US" w:eastAsia="zh-CN"/>
              </w:rPr>
              <w:t>作物</w:t>
            </w:r>
            <w:r>
              <w:rPr>
                <w:rFonts w:hint="default" w:ascii="Times New Roman" w:hAnsi="Times New Roman" w:eastAsia="仿宋" w:cs="Times New Roman"/>
                <w:color w:val="auto"/>
                <w:szCs w:val="22"/>
                <w:highlight w:val="none"/>
              </w:rPr>
              <w:t>吸收后不会直接进入地表水体。从废水产生量的角度，由于组件清洗废水是分散产生的，每平方米组件清洗用水量仅0.5L/次，而参照《云南省地方标准用水定额》（DB53/T168-2019），绿化灌溉用水量定额为3L/（m</w:t>
            </w:r>
            <w:r>
              <w:rPr>
                <w:rFonts w:hint="default" w:ascii="Times New Roman" w:hAnsi="Times New Roman" w:eastAsia="仿宋" w:cs="Times New Roman"/>
                <w:color w:val="auto"/>
                <w:szCs w:val="22"/>
                <w:highlight w:val="none"/>
                <w:vertAlign w:val="superscript"/>
              </w:rPr>
              <w:t>2</w:t>
            </w:r>
            <w:r>
              <w:rPr>
                <w:rFonts w:hint="default" w:ascii="Times New Roman" w:hAnsi="Times New Roman" w:eastAsia="仿宋" w:cs="Times New Roman"/>
                <w:bCs/>
                <w:color w:val="auto"/>
                <w:szCs w:val="22"/>
                <w:highlight w:val="none"/>
              </w:rPr>
              <w:t>·</w:t>
            </w:r>
            <w:r>
              <w:rPr>
                <w:rFonts w:hint="default" w:ascii="Times New Roman" w:hAnsi="Times New Roman" w:eastAsia="仿宋" w:cs="Times New Roman"/>
                <w:color w:val="auto"/>
                <w:szCs w:val="22"/>
                <w:highlight w:val="none"/>
              </w:rPr>
              <w:t>次），光伏组件清洗仅在非雨天进行，清洗废水污染物成分简单，主要污染物是悬浮物，清洗废水经光伏板流入下方底层</w:t>
            </w:r>
            <w:r>
              <w:rPr>
                <w:rFonts w:hint="default" w:ascii="Times New Roman" w:hAnsi="Times New Roman" w:eastAsia="仿宋" w:cs="Times New Roman"/>
                <w:color w:val="auto"/>
                <w:szCs w:val="22"/>
                <w:highlight w:val="none"/>
                <w:lang w:val="en-US" w:eastAsia="zh-CN"/>
              </w:rPr>
              <w:t>作物</w:t>
            </w:r>
            <w:r>
              <w:rPr>
                <w:rFonts w:hint="default" w:ascii="Times New Roman" w:hAnsi="Times New Roman" w:eastAsia="仿宋" w:cs="Times New Roman"/>
                <w:color w:val="auto"/>
                <w:szCs w:val="22"/>
                <w:highlight w:val="none"/>
              </w:rPr>
              <w:t>浇灌用水，不外排，对项目区水环境影响不大。</w:t>
            </w:r>
          </w:p>
          <w:p w14:paraId="792420A4">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4.3.5</w:t>
            </w:r>
            <w:r>
              <w:rPr>
                <w:rFonts w:hint="default" w:ascii="Times New Roman" w:hAnsi="Times New Roman" w:eastAsia="仿宋" w:cs="Times New Roman"/>
                <w:b/>
                <w:bCs/>
                <w:color w:val="auto"/>
                <w:sz w:val="24"/>
                <w:szCs w:val="24"/>
                <w:highlight w:val="none"/>
                <w:lang w:val="en-US" w:eastAsia="zh-CN"/>
              </w:rPr>
              <w:t>声环境影响分析</w:t>
            </w:r>
          </w:p>
          <w:p w14:paraId="02422F81">
            <w:pPr>
              <w:keepNext w:val="0"/>
              <w:keepLines w:val="0"/>
              <w:suppressLineNumbers w:val="0"/>
              <w:spacing w:before="0" w:beforeAutospacing="0" w:after="0" w:afterAutospacing="0"/>
              <w:ind w:left="0" w:right="0" w:firstLine="480"/>
              <w:rPr>
                <w:rFonts w:hint="default" w:ascii="Times New Roman" w:hAnsi="Times New Roman" w:cs="Times New Roman"/>
                <w:b/>
                <w:bCs/>
                <w:color w:val="auto"/>
                <w:highlight w:val="none"/>
              </w:rPr>
            </w:pPr>
            <w:r>
              <w:rPr>
                <w:rFonts w:hint="default" w:ascii="Times New Roman" w:hAnsi="Times New Roman" w:cs="Times New Roman"/>
                <w:color w:val="auto"/>
                <w:highlight w:val="none"/>
              </w:rPr>
              <w:t>①光伏区发电噪声影响分析</w:t>
            </w:r>
          </w:p>
          <w:p w14:paraId="40251BA4">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光伏发电本身没有机械传动机构或运动部件，在太阳能转变成电能的过程中，光伏场区噪声主要是项目箱变和逆变器产生的噪声。逆变器和箱变在光伏场区分散分布，逆变器1m处噪声级一般在50dB（A）左右，箱变1m处噪声级一般在55dB（A）左右。</w:t>
            </w:r>
          </w:p>
          <w:p w14:paraId="6AA229C3">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本项目光伏发电区噪声源强见下表。</w:t>
            </w:r>
          </w:p>
          <w:p w14:paraId="6A28FDBF">
            <w:pPr>
              <w:keepNext w:val="0"/>
              <w:keepLines w:val="0"/>
              <w:suppressLineNumbers w:val="0"/>
              <w:spacing w:before="0" w:beforeAutospacing="0" w:after="0" w:afterAutospacing="0"/>
              <w:ind w:left="0" w:right="0" w:firstLine="422"/>
              <w:jc w:val="center"/>
              <w:rPr>
                <w:rFonts w:hint="default" w:ascii="Times New Roman" w:hAnsi="Times New Roman" w:cs="Times New Roman"/>
                <w:color w:val="auto"/>
                <w:highlight w:val="none"/>
              </w:rPr>
            </w:pPr>
            <w:r>
              <w:rPr>
                <w:rFonts w:hint="default" w:ascii="Times New Roman" w:hAnsi="Times New Roman" w:cs="Times New Roman"/>
                <w:b/>
                <w:bCs/>
                <w:color w:val="auto"/>
                <w:sz w:val="21"/>
                <w:szCs w:val="21"/>
                <w:highlight w:val="none"/>
              </w:rPr>
              <w:t>表4.</w:t>
            </w:r>
            <w:r>
              <w:rPr>
                <w:rFonts w:hint="eastAsia" w:ascii="Times New Roman" w:hAnsi="Times New Roman"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rPr>
              <w:t>-1 项目光伏发电区噪声源强一览表</w:t>
            </w:r>
          </w:p>
          <w:tbl>
            <w:tblPr>
              <w:tblStyle w:val="11"/>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078"/>
              <w:gridCol w:w="1130"/>
              <w:gridCol w:w="1131"/>
              <w:gridCol w:w="1131"/>
              <w:gridCol w:w="1131"/>
              <w:gridCol w:w="1132"/>
            </w:tblGrid>
            <w:tr w14:paraId="13F2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419B75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噪声源</w:t>
                  </w:r>
                </w:p>
              </w:tc>
              <w:tc>
                <w:tcPr>
                  <w:tcW w:w="1078" w:type="dxa"/>
                  <w:vAlign w:val="center"/>
                </w:tcPr>
                <w:p w14:paraId="03F3FBA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位置</w:t>
                  </w:r>
                </w:p>
              </w:tc>
              <w:tc>
                <w:tcPr>
                  <w:tcW w:w="1130" w:type="dxa"/>
                  <w:vAlign w:val="center"/>
                </w:tcPr>
                <w:p w14:paraId="4209626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生源类型</w:t>
                  </w:r>
                </w:p>
              </w:tc>
              <w:tc>
                <w:tcPr>
                  <w:tcW w:w="1131" w:type="dxa"/>
                  <w:vAlign w:val="center"/>
                </w:tcPr>
                <w:p w14:paraId="7D11AAA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数量</w:t>
                  </w:r>
                </w:p>
              </w:tc>
              <w:tc>
                <w:tcPr>
                  <w:tcW w:w="1131" w:type="dxa"/>
                  <w:vAlign w:val="center"/>
                </w:tcPr>
                <w:p w14:paraId="29CC34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产生源强dB(A)</w:t>
                  </w:r>
                </w:p>
              </w:tc>
              <w:tc>
                <w:tcPr>
                  <w:tcW w:w="1131" w:type="dxa"/>
                  <w:vAlign w:val="center"/>
                </w:tcPr>
                <w:p w14:paraId="1A0764D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降噪措施</w:t>
                  </w:r>
                </w:p>
              </w:tc>
              <w:tc>
                <w:tcPr>
                  <w:tcW w:w="1132" w:type="dxa"/>
                  <w:vAlign w:val="center"/>
                </w:tcPr>
                <w:p w14:paraId="28B3C75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排放源强</w:t>
                  </w:r>
                </w:p>
              </w:tc>
            </w:tr>
            <w:tr w14:paraId="5AFF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5800975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逆变器</w:t>
                  </w:r>
                </w:p>
              </w:tc>
              <w:tc>
                <w:tcPr>
                  <w:tcW w:w="1078" w:type="dxa"/>
                  <w:vAlign w:val="center"/>
                </w:tcPr>
                <w:p w14:paraId="29BB0C1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光伏厂区</w:t>
                  </w:r>
                </w:p>
              </w:tc>
              <w:tc>
                <w:tcPr>
                  <w:tcW w:w="1130" w:type="dxa"/>
                  <w:vAlign w:val="center"/>
                </w:tcPr>
                <w:p w14:paraId="07CAE71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频发</w:t>
                  </w:r>
                </w:p>
              </w:tc>
              <w:tc>
                <w:tcPr>
                  <w:tcW w:w="1131" w:type="dxa"/>
                  <w:vAlign w:val="center"/>
                </w:tcPr>
                <w:p w14:paraId="0E10C51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463</w:t>
                  </w:r>
                </w:p>
              </w:tc>
              <w:tc>
                <w:tcPr>
                  <w:tcW w:w="1131" w:type="dxa"/>
                  <w:vAlign w:val="center"/>
                </w:tcPr>
                <w:p w14:paraId="346695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131" w:type="dxa"/>
                  <w:vAlign w:val="center"/>
                </w:tcPr>
                <w:p w14:paraId="5E913A0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集装箱式房隔声</w:t>
                  </w:r>
                </w:p>
              </w:tc>
              <w:tc>
                <w:tcPr>
                  <w:tcW w:w="1132" w:type="dxa"/>
                  <w:vAlign w:val="center"/>
                </w:tcPr>
                <w:p w14:paraId="046CBF9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w:t>
                  </w:r>
                </w:p>
              </w:tc>
            </w:tr>
            <w:tr w14:paraId="1F96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2576C71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箱式变压器</w:t>
                  </w:r>
                </w:p>
              </w:tc>
              <w:tc>
                <w:tcPr>
                  <w:tcW w:w="1078" w:type="dxa"/>
                  <w:vAlign w:val="center"/>
                </w:tcPr>
                <w:p w14:paraId="58C0B0A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光伏厂区</w:t>
                  </w:r>
                </w:p>
              </w:tc>
              <w:tc>
                <w:tcPr>
                  <w:tcW w:w="1130" w:type="dxa"/>
                  <w:vAlign w:val="center"/>
                </w:tcPr>
                <w:p w14:paraId="73467E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频发</w:t>
                  </w:r>
                </w:p>
              </w:tc>
              <w:tc>
                <w:tcPr>
                  <w:tcW w:w="1131" w:type="dxa"/>
                  <w:vAlign w:val="center"/>
                </w:tcPr>
                <w:p w14:paraId="727DCFF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52</w:t>
                  </w:r>
                </w:p>
              </w:tc>
              <w:tc>
                <w:tcPr>
                  <w:tcW w:w="1131" w:type="dxa"/>
                  <w:vAlign w:val="center"/>
                </w:tcPr>
                <w:p w14:paraId="5F9FC49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55</w:t>
                  </w:r>
                </w:p>
              </w:tc>
              <w:tc>
                <w:tcPr>
                  <w:tcW w:w="1131" w:type="dxa"/>
                  <w:vAlign w:val="center"/>
                </w:tcPr>
                <w:p w14:paraId="0F45C5E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集装箱式房隔声</w:t>
                  </w:r>
                </w:p>
              </w:tc>
              <w:tc>
                <w:tcPr>
                  <w:tcW w:w="1132" w:type="dxa"/>
                  <w:vAlign w:val="center"/>
                </w:tcPr>
                <w:p w14:paraId="02C6CC4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r>
          </w:tbl>
          <w:p w14:paraId="6623D3EF">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本项目运营期逆变器、箱式变压器噪声随距离衰减贡献值见表4.</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-2。</w:t>
            </w:r>
          </w:p>
          <w:p w14:paraId="07866F6A">
            <w:pPr>
              <w:keepNext w:val="0"/>
              <w:keepLines w:val="0"/>
              <w:suppressLineNumbers w:val="0"/>
              <w:spacing w:before="0" w:beforeAutospacing="0" w:after="0" w:afterAutospacing="0"/>
              <w:ind w:left="0" w:right="0" w:firstLine="422"/>
              <w:jc w:val="center"/>
              <w:rPr>
                <w:rFonts w:hint="default" w:ascii="Times New Roman" w:hAnsi="Times New Roman" w:cs="Times New Roman"/>
                <w:color w:val="auto"/>
                <w:highlight w:val="none"/>
              </w:rPr>
            </w:pPr>
            <w:r>
              <w:rPr>
                <w:rFonts w:hint="default" w:ascii="Times New Roman" w:hAnsi="Times New Roman" w:cs="Times New Roman"/>
                <w:b/>
                <w:bCs/>
                <w:color w:val="auto"/>
                <w:sz w:val="21"/>
                <w:szCs w:val="21"/>
                <w:highlight w:val="none"/>
              </w:rPr>
              <w:t>表4.</w:t>
            </w:r>
            <w:r>
              <w:rPr>
                <w:rFonts w:hint="eastAsia" w:ascii="Times New Roman" w:hAnsi="Times New Roman"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rPr>
              <w:t>-2 逆变器、箱式变压器噪声衰减计算结果单位：dB（A）</w:t>
            </w:r>
          </w:p>
          <w:tbl>
            <w:tblPr>
              <w:tblStyle w:val="10"/>
              <w:tblW w:w="7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689"/>
              <w:gridCol w:w="735"/>
              <w:gridCol w:w="735"/>
              <w:gridCol w:w="735"/>
              <w:gridCol w:w="735"/>
              <w:gridCol w:w="735"/>
              <w:gridCol w:w="689"/>
              <w:gridCol w:w="695"/>
              <w:gridCol w:w="887"/>
              <w:gridCol w:w="604"/>
            </w:tblGrid>
            <w:tr w14:paraId="4ECB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23" w:type="dxa"/>
                  <w:vMerge w:val="restart"/>
                  <w:vAlign w:val="center"/>
                </w:tcPr>
                <w:p w14:paraId="2B9D63F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声源名称</w:t>
                  </w:r>
                </w:p>
              </w:tc>
              <w:tc>
                <w:tcPr>
                  <w:tcW w:w="5598" w:type="dxa"/>
                  <w:gridSpan w:val="8"/>
                  <w:vAlign w:val="center"/>
                </w:tcPr>
                <w:p w14:paraId="5010046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距声源不同距离处的噪声贡献值</w:t>
                  </w:r>
                </w:p>
              </w:tc>
              <w:tc>
                <w:tcPr>
                  <w:tcW w:w="924" w:type="dxa"/>
                  <w:vMerge w:val="restart"/>
                  <w:vAlign w:val="center"/>
                </w:tcPr>
                <w:p w14:paraId="11865D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标准值</w:t>
                  </w:r>
                </w:p>
              </w:tc>
              <w:tc>
                <w:tcPr>
                  <w:tcW w:w="653" w:type="dxa"/>
                  <w:vMerge w:val="restart"/>
                  <w:vAlign w:val="center"/>
                </w:tcPr>
                <w:p w14:paraId="6AD029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达标情况</w:t>
                  </w:r>
                </w:p>
              </w:tc>
            </w:tr>
            <w:tr w14:paraId="42AF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23" w:type="dxa"/>
                  <w:vMerge w:val="continue"/>
                  <w:vAlign w:val="center"/>
                </w:tcPr>
                <w:p w14:paraId="617780F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p>
              </w:tc>
              <w:tc>
                <w:tcPr>
                  <w:tcW w:w="603" w:type="dxa"/>
                  <w:vAlign w:val="center"/>
                </w:tcPr>
                <w:p w14:paraId="409BADD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1m</w:t>
                  </w:r>
                </w:p>
              </w:tc>
              <w:tc>
                <w:tcPr>
                  <w:tcW w:w="748" w:type="dxa"/>
                  <w:vAlign w:val="center"/>
                </w:tcPr>
                <w:p w14:paraId="2F6811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2m</w:t>
                  </w:r>
                </w:p>
              </w:tc>
              <w:tc>
                <w:tcPr>
                  <w:tcW w:w="748" w:type="dxa"/>
                  <w:vAlign w:val="center"/>
                </w:tcPr>
                <w:p w14:paraId="4668CF6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4m</w:t>
                  </w:r>
                </w:p>
              </w:tc>
              <w:tc>
                <w:tcPr>
                  <w:tcW w:w="748" w:type="dxa"/>
                  <w:vAlign w:val="center"/>
                </w:tcPr>
                <w:p w14:paraId="3DE9A89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10m</w:t>
                  </w:r>
                </w:p>
              </w:tc>
              <w:tc>
                <w:tcPr>
                  <w:tcW w:w="748" w:type="dxa"/>
                  <w:vAlign w:val="center"/>
                </w:tcPr>
                <w:p w14:paraId="47F6751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20m</w:t>
                  </w:r>
                </w:p>
              </w:tc>
              <w:tc>
                <w:tcPr>
                  <w:tcW w:w="748" w:type="dxa"/>
                  <w:vAlign w:val="center"/>
                </w:tcPr>
                <w:p w14:paraId="54F6B5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30m</w:t>
                  </w:r>
                </w:p>
              </w:tc>
              <w:tc>
                <w:tcPr>
                  <w:tcW w:w="639" w:type="dxa"/>
                  <w:vAlign w:val="center"/>
                </w:tcPr>
                <w:p w14:paraId="17AFB0E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50m</w:t>
                  </w:r>
                </w:p>
              </w:tc>
              <w:tc>
                <w:tcPr>
                  <w:tcW w:w="616" w:type="dxa"/>
                  <w:vAlign w:val="center"/>
                </w:tcPr>
                <w:p w14:paraId="4A23590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100m</w:t>
                  </w:r>
                </w:p>
              </w:tc>
              <w:tc>
                <w:tcPr>
                  <w:tcW w:w="924" w:type="dxa"/>
                  <w:vMerge w:val="continue"/>
                  <w:vAlign w:val="center"/>
                </w:tcPr>
                <w:p w14:paraId="491B2EB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vAlign w:val="center"/>
                </w:tcPr>
                <w:p w14:paraId="32DC262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p>
              </w:tc>
            </w:tr>
            <w:tr w14:paraId="2392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23" w:type="dxa"/>
                  <w:vAlign w:val="center"/>
                </w:tcPr>
                <w:p w14:paraId="667F023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逆变器</w:t>
                  </w:r>
                </w:p>
              </w:tc>
              <w:tc>
                <w:tcPr>
                  <w:tcW w:w="603" w:type="dxa"/>
                  <w:vAlign w:val="center"/>
                </w:tcPr>
                <w:p w14:paraId="31860A5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748" w:type="dxa"/>
                  <w:vAlign w:val="center"/>
                </w:tcPr>
                <w:p w14:paraId="7E47BB8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43.98</w:t>
                  </w:r>
                </w:p>
              </w:tc>
              <w:tc>
                <w:tcPr>
                  <w:tcW w:w="748" w:type="dxa"/>
                  <w:vAlign w:val="center"/>
                </w:tcPr>
                <w:p w14:paraId="20F29AB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37.96</w:t>
                  </w:r>
                </w:p>
              </w:tc>
              <w:tc>
                <w:tcPr>
                  <w:tcW w:w="748" w:type="dxa"/>
                  <w:vAlign w:val="center"/>
                </w:tcPr>
                <w:p w14:paraId="1626227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748" w:type="dxa"/>
                  <w:vAlign w:val="center"/>
                </w:tcPr>
                <w:p w14:paraId="5004193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23.98</w:t>
                  </w:r>
                </w:p>
              </w:tc>
              <w:tc>
                <w:tcPr>
                  <w:tcW w:w="748" w:type="dxa"/>
                  <w:vAlign w:val="center"/>
                </w:tcPr>
                <w:p w14:paraId="4848872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20.46</w:t>
                  </w:r>
                </w:p>
              </w:tc>
              <w:tc>
                <w:tcPr>
                  <w:tcW w:w="639" w:type="dxa"/>
                  <w:vAlign w:val="center"/>
                </w:tcPr>
                <w:p w14:paraId="2176E9F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16.02</w:t>
                  </w:r>
                </w:p>
              </w:tc>
              <w:tc>
                <w:tcPr>
                  <w:tcW w:w="616" w:type="dxa"/>
                  <w:vAlign w:val="center"/>
                </w:tcPr>
                <w:p w14:paraId="69FB9F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924" w:type="dxa"/>
                  <w:vAlign w:val="center"/>
                </w:tcPr>
                <w:p w14:paraId="7532003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昼间≤55，夜间≤45</w:t>
                  </w:r>
                </w:p>
              </w:tc>
              <w:tc>
                <w:tcPr>
                  <w:tcW w:w="653" w:type="dxa"/>
                  <w:vAlign w:val="center"/>
                </w:tcPr>
                <w:p w14:paraId="1A3FFB2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0F0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723" w:type="dxa"/>
                  <w:vAlign w:val="center"/>
                </w:tcPr>
                <w:p w14:paraId="542822E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箱式变压器</w:t>
                  </w:r>
                </w:p>
              </w:tc>
              <w:tc>
                <w:tcPr>
                  <w:tcW w:w="603" w:type="dxa"/>
                  <w:vAlign w:val="center"/>
                </w:tcPr>
                <w:p w14:paraId="22CFB3C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55.00</w:t>
                  </w:r>
                </w:p>
              </w:tc>
              <w:tc>
                <w:tcPr>
                  <w:tcW w:w="748" w:type="dxa"/>
                  <w:vAlign w:val="center"/>
                </w:tcPr>
                <w:p w14:paraId="153104E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48.98</w:t>
                  </w:r>
                </w:p>
              </w:tc>
              <w:tc>
                <w:tcPr>
                  <w:tcW w:w="748" w:type="dxa"/>
                  <w:vAlign w:val="center"/>
                </w:tcPr>
                <w:p w14:paraId="149503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42.96</w:t>
                  </w:r>
                </w:p>
              </w:tc>
              <w:tc>
                <w:tcPr>
                  <w:tcW w:w="748" w:type="dxa"/>
                  <w:vAlign w:val="center"/>
                </w:tcPr>
                <w:p w14:paraId="33C4934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35.00</w:t>
                  </w:r>
                </w:p>
              </w:tc>
              <w:tc>
                <w:tcPr>
                  <w:tcW w:w="748" w:type="dxa"/>
                  <w:vAlign w:val="center"/>
                </w:tcPr>
                <w:p w14:paraId="1753187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28.98</w:t>
                  </w:r>
                </w:p>
              </w:tc>
              <w:tc>
                <w:tcPr>
                  <w:tcW w:w="748" w:type="dxa"/>
                  <w:vAlign w:val="center"/>
                </w:tcPr>
                <w:p w14:paraId="69DF130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25.46</w:t>
                  </w:r>
                </w:p>
              </w:tc>
              <w:tc>
                <w:tcPr>
                  <w:tcW w:w="639" w:type="dxa"/>
                  <w:vAlign w:val="center"/>
                </w:tcPr>
                <w:p w14:paraId="2DE9E6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21.02</w:t>
                  </w:r>
                </w:p>
              </w:tc>
              <w:tc>
                <w:tcPr>
                  <w:tcW w:w="616" w:type="dxa"/>
                  <w:vAlign w:val="center"/>
                </w:tcPr>
                <w:p w14:paraId="01390F1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15.00</w:t>
                  </w:r>
                </w:p>
              </w:tc>
              <w:tc>
                <w:tcPr>
                  <w:tcW w:w="924" w:type="dxa"/>
                  <w:vAlign w:val="center"/>
                </w:tcPr>
                <w:p w14:paraId="0504504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昼间≤55，夜间≤45</w:t>
                  </w:r>
                </w:p>
              </w:tc>
              <w:tc>
                <w:tcPr>
                  <w:tcW w:w="653" w:type="dxa"/>
                  <w:vAlign w:val="center"/>
                </w:tcPr>
                <w:p w14:paraId="118972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bl>
          <w:p w14:paraId="036369A6">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表预测结果，项目光伏区箱式变压器噪声贡献值在4m处可满足《工业企业厂界环境噪声排放标准》（GB12348-2008）1类昼夜标准值要求，逆变器噪声贡献值在4m处可满足《工业企业厂界环境噪声排放标准》（GB12348-2008）1类昼夜标准值要求。</w:t>
            </w:r>
          </w:p>
          <w:p w14:paraId="096D0BFF">
            <w:pPr>
              <w:keepNext w:val="0"/>
              <w:keepLines w:val="0"/>
              <w:suppressLineNumbers w:val="0"/>
              <w:spacing w:before="0" w:beforeAutospacing="0" w:after="0" w:afterAutospacing="0"/>
              <w:ind w:left="0" w:right="0" w:firstLine="480"/>
              <w:rPr>
                <w:rFonts w:hint="default" w:ascii="Times New Roman" w:hAnsi="Times New Roman" w:eastAsia="仿宋" w:cs="Times New Roman"/>
                <w:color w:val="auto"/>
                <w:highlight w:val="none"/>
                <w:lang w:val="en-US" w:eastAsia="zh-CN"/>
              </w:rPr>
            </w:pPr>
            <w:r>
              <w:rPr>
                <w:rFonts w:hint="eastAsia" w:cs="Times New Roman"/>
                <w:bCs/>
                <w:color w:val="auto"/>
                <w:highlight w:val="none"/>
                <w:lang w:val="en-US" w:eastAsia="zh-CN"/>
              </w:rPr>
              <w:t>本</w:t>
            </w:r>
            <w:r>
              <w:rPr>
                <w:rFonts w:hint="default" w:ascii="Times New Roman" w:hAnsi="Times New Roman" w:cs="Times New Roman"/>
                <w:bCs/>
                <w:color w:val="auto"/>
                <w:highlight w:val="none"/>
              </w:rPr>
              <w:t>项目</w:t>
            </w:r>
            <w:r>
              <w:rPr>
                <w:rFonts w:hint="eastAsia" w:cs="Times New Roman"/>
                <w:bCs/>
                <w:color w:val="auto"/>
                <w:highlight w:val="none"/>
                <w:lang w:val="en-US" w:eastAsia="zh-CN"/>
              </w:rPr>
              <w:t>逆变器位置无法确定，所有逆变器均安装在光伏支架上，因此项目周边敏感点距离逆变器距离≥距离光伏方阵边界距离。</w:t>
            </w:r>
            <w:r>
              <w:rPr>
                <w:rFonts w:hint="default" w:ascii="Times New Roman" w:hAnsi="Times New Roman" w:cs="Times New Roman"/>
                <w:bCs/>
                <w:color w:val="auto"/>
                <w:highlight w:val="none"/>
              </w:rPr>
              <w:t>光伏</w:t>
            </w:r>
            <w:r>
              <w:rPr>
                <w:rFonts w:hint="eastAsia" w:cs="Times New Roman"/>
                <w:bCs/>
                <w:color w:val="auto"/>
                <w:highlight w:val="none"/>
                <w:lang w:val="en-US" w:eastAsia="zh-CN"/>
              </w:rPr>
              <w:t>方阵</w:t>
            </w:r>
            <w:r>
              <w:rPr>
                <w:rFonts w:hint="default" w:ascii="Times New Roman" w:hAnsi="Times New Roman" w:cs="Times New Roman"/>
                <w:bCs/>
                <w:color w:val="auto"/>
                <w:highlight w:val="none"/>
              </w:rPr>
              <w:t>周边最近声环境保护目标为距离光伏方阵</w:t>
            </w:r>
            <w:r>
              <w:rPr>
                <w:rFonts w:hint="eastAsia" w:ascii="Times New Roman" w:hAnsi="Times New Roman" w:cs="Times New Roman"/>
                <w:bCs/>
                <w:color w:val="auto"/>
                <w:highlight w:val="none"/>
                <w:lang w:val="en-US" w:eastAsia="zh-CN"/>
              </w:rPr>
              <w:t>15</w:t>
            </w:r>
            <w:r>
              <w:rPr>
                <w:rFonts w:hint="default" w:ascii="Times New Roman" w:hAnsi="Times New Roman" w:cs="Times New Roman"/>
                <w:bCs/>
                <w:color w:val="auto"/>
                <w:highlight w:val="none"/>
              </w:rPr>
              <w:t>m处的</w:t>
            </w:r>
            <w:r>
              <w:rPr>
                <w:rFonts w:hint="eastAsia" w:ascii="Times New Roman" w:hAnsi="Times New Roman" w:cs="Times New Roman"/>
                <w:bCs/>
                <w:color w:val="auto"/>
                <w:highlight w:val="none"/>
                <w:lang w:val="en-US" w:eastAsia="zh-CN"/>
              </w:rPr>
              <w:t>周家沟居民点</w:t>
            </w:r>
            <w:r>
              <w:rPr>
                <w:rFonts w:hint="default" w:ascii="Times New Roman" w:hAnsi="Times New Roman" w:cs="Times New Roman"/>
                <w:color w:val="auto"/>
                <w:highlight w:val="none"/>
              </w:rPr>
              <w:t>。</w:t>
            </w:r>
            <w:r>
              <w:rPr>
                <w:rFonts w:hint="eastAsia" w:cs="Times New Roman"/>
                <w:color w:val="auto"/>
                <w:highlight w:val="none"/>
                <w:lang w:val="en-US" w:eastAsia="zh-CN"/>
              </w:rPr>
              <w:t>箱变最近声环境保护目标为距离箱变22m处的堰边沟居民点。</w:t>
            </w:r>
          </w:p>
          <w:p w14:paraId="71520A76">
            <w:pPr>
              <w:keepNext w:val="0"/>
              <w:keepLines w:val="0"/>
              <w:suppressLineNumbers w:val="0"/>
              <w:spacing w:before="0" w:beforeAutospacing="0" w:after="0" w:afterAutospacing="0"/>
              <w:ind w:left="0" w:right="0" w:firstLine="480"/>
              <w:rPr>
                <w:rFonts w:hint="eastAsia" w:eastAsia="仿宋" w:cs="Times New Roman"/>
                <w:bCs/>
                <w:color w:val="auto"/>
                <w:highlight w:val="none"/>
                <w:lang w:val="en-US" w:eastAsia="zh-CN"/>
              </w:rPr>
            </w:pPr>
            <w:r>
              <w:rPr>
                <w:rFonts w:hint="eastAsia" w:cs="Times New Roman"/>
                <w:color w:val="auto"/>
                <w:highlight w:val="none"/>
                <w:lang w:val="en-US" w:eastAsia="zh-CN"/>
              </w:rPr>
              <w:t>周家沟居民点与堰边沟居民点位置相近。</w:t>
            </w:r>
            <w:r>
              <w:rPr>
                <w:rFonts w:hint="default" w:ascii="Times New Roman" w:hAnsi="Times New Roman" w:cs="Times New Roman"/>
                <w:color w:val="auto"/>
                <w:highlight w:val="none"/>
              </w:rPr>
              <w:t>根据现状监测结果，</w:t>
            </w:r>
            <w:r>
              <w:rPr>
                <w:rFonts w:hint="eastAsia" w:cs="Times New Roman"/>
                <w:color w:val="auto"/>
                <w:highlight w:val="none"/>
                <w:lang w:val="en-US" w:eastAsia="zh-CN"/>
              </w:rPr>
              <w:t>区域</w:t>
            </w:r>
            <w:r>
              <w:rPr>
                <w:rFonts w:hint="default" w:ascii="Times New Roman" w:hAnsi="Times New Roman" w:cs="Times New Roman"/>
                <w:color w:val="auto"/>
                <w:highlight w:val="none"/>
              </w:rPr>
              <w:t>背景值为昼间</w:t>
            </w:r>
            <w:r>
              <w:rPr>
                <w:rFonts w:hint="eastAsia" w:ascii="Times New Roman" w:hAnsi="Times New Roman" w:cs="Times New Roman"/>
                <w:color w:val="auto"/>
                <w:highlight w:val="none"/>
                <w:lang w:val="en-US" w:eastAsia="zh-CN"/>
              </w:rPr>
              <w:t>49.5</w:t>
            </w:r>
            <w:r>
              <w:rPr>
                <w:rFonts w:hint="default" w:ascii="Times New Roman" w:hAnsi="Times New Roman" w:cs="Times New Roman"/>
                <w:color w:val="auto"/>
                <w:highlight w:val="none"/>
              </w:rPr>
              <w:t>dB（A），夜间</w:t>
            </w:r>
            <w:r>
              <w:rPr>
                <w:rFonts w:hint="eastAsia" w:ascii="Times New Roman" w:hAnsi="Times New Roman" w:cs="Times New Roman"/>
                <w:color w:val="auto"/>
                <w:highlight w:val="none"/>
                <w:lang w:val="en-US" w:eastAsia="zh-CN"/>
              </w:rPr>
              <w:t>37</w:t>
            </w:r>
            <w:r>
              <w:rPr>
                <w:rFonts w:hint="default" w:ascii="Times New Roman" w:hAnsi="Times New Roman" w:cs="Times New Roman"/>
                <w:color w:val="auto"/>
                <w:highlight w:val="none"/>
              </w:rPr>
              <w:t>dB（A），将背景值与贡献值进行叠加分析，则</w:t>
            </w:r>
            <w:r>
              <w:rPr>
                <w:rFonts w:hint="eastAsia" w:ascii="Times New Roman" w:hAnsi="Times New Roman" w:cs="Times New Roman"/>
                <w:color w:val="auto"/>
                <w:highlight w:val="none"/>
                <w:lang w:val="en-US" w:eastAsia="zh-CN"/>
              </w:rPr>
              <w:t>周家沟居民</w:t>
            </w:r>
            <w:r>
              <w:rPr>
                <w:rFonts w:hint="default" w:ascii="Times New Roman" w:hAnsi="Times New Roman" w:cs="Times New Roman"/>
                <w:color w:val="auto"/>
                <w:highlight w:val="none"/>
              </w:rPr>
              <w:t>噪声预测值为昼间叠加值为昼间</w:t>
            </w:r>
            <w:r>
              <w:rPr>
                <w:rFonts w:hint="eastAsia" w:ascii="Times New Roman" w:hAnsi="Times New Roman" w:cs="Times New Roman"/>
                <w:color w:val="auto"/>
                <w:highlight w:val="none"/>
                <w:lang w:val="en-US" w:eastAsia="zh-CN"/>
              </w:rPr>
              <w:t>49.</w:t>
            </w:r>
            <w:r>
              <w:rPr>
                <w:rFonts w:hint="default" w:ascii="Times New Roman" w:hAnsi="Times New Roman" w:cs="Times New Roman"/>
                <w:color w:val="auto"/>
                <w:highlight w:val="none"/>
              </w:rPr>
              <w:t>dB（A），夜间满</w:t>
            </w:r>
            <w:r>
              <w:rPr>
                <w:rFonts w:hint="eastAsia" w:ascii="Times New Roman" w:hAnsi="Times New Roman" w:cs="Times New Roman"/>
                <w:color w:val="auto"/>
                <w:highlight w:val="none"/>
                <w:lang w:val="en-US" w:eastAsia="zh-CN"/>
              </w:rPr>
              <w:t>37.1</w:t>
            </w:r>
            <w:r>
              <w:rPr>
                <w:rFonts w:hint="default" w:ascii="Times New Roman" w:hAnsi="Times New Roman" w:cs="Times New Roman"/>
                <w:color w:val="auto"/>
                <w:highlight w:val="none"/>
              </w:rPr>
              <w:t>dB（A），满足</w:t>
            </w:r>
            <w:r>
              <w:rPr>
                <w:rFonts w:hint="default" w:ascii="Times New Roman" w:hAnsi="Times New Roman" w:cs="Times New Roman"/>
                <w:bCs/>
                <w:color w:val="auto"/>
                <w:highlight w:val="none"/>
              </w:rPr>
              <w:t>《声环境质量标准》</w:t>
            </w:r>
            <w:r>
              <w:rPr>
                <w:rFonts w:hint="default" w:ascii="Times New Roman" w:hAnsi="Times New Roman" w:eastAsia="仿宋" w:cs="Times New Roman"/>
                <w:color w:val="auto"/>
                <w:spacing w:val="0"/>
                <w:w w:val="100"/>
                <w:sz w:val="24"/>
                <w:szCs w:val="24"/>
                <w:highlight w:val="none"/>
              </w:rPr>
              <w:t>（GB3096-2008）</w:t>
            </w:r>
            <w:r>
              <w:rPr>
                <w:rFonts w:hint="default" w:ascii="Times New Roman" w:hAnsi="Times New Roman" w:cs="Times New Roman"/>
                <w:bCs/>
                <w:color w:val="auto"/>
                <w:highlight w:val="none"/>
              </w:rPr>
              <w:t>1类标准</w:t>
            </w:r>
            <w:r>
              <w:rPr>
                <w:rFonts w:hint="eastAsia" w:cs="Times New Roman"/>
                <w:bCs/>
                <w:color w:val="auto"/>
                <w:highlight w:val="none"/>
                <w:lang w:eastAsia="zh-CN"/>
              </w:rPr>
              <w:t>；</w:t>
            </w:r>
            <w:r>
              <w:rPr>
                <w:rFonts w:hint="eastAsia" w:cs="Times New Roman"/>
                <w:bCs/>
                <w:color w:val="auto"/>
                <w:highlight w:val="none"/>
                <w:lang w:val="en-US" w:eastAsia="zh-CN"/>
              </w:rPr>
              <w:t>堰边沟居民点</w:t>
            </w:r>
            <w:r>
              <w:rPr>
                <w:rFonts w:hint="default" w:ascii="Times New Roman" w:hAnsi="Times New Roman" w:cs="Times New Roman"/>
                <w:color w:val="auto"/>
                <w:highlight w:val="none"/>
              </w:rPr>
              <w:t>噪声预测值为昼间叠加值为昼间</w:t>
            </w:r>
            <w:r>
              <w:rPr>
                <w:rFonts w:hint="eastAsia" w:ascii="Times New Roman" w:hAnsi="Times New Roman" w:cs="Times New Roman"/>
                <w:color w:val="auto"/>
                <w:highlight w:val="none"/>
                <w:lang w:val="en-US" w:eastAsia="zh-CN"/>
              </w:rPr>
              <w:t>49</w:t>
            </w:r>
            <w:r>
              <w:rPr>
                <w:rFonts w:hint="default" w:ascii="Times New Roman" w:hAnsi="Times New Roman" w:cs="Times New Roman"/>
                <w:color w:val="auto"/>
                <w:highlight w:val="none"/>
              </w:rPr>
              <w:t>dB（A），夜间满</w:t>
            </w:r>
            <w:r>
              <w:rPr>
                <w:rFonts w:hint="eastAsia" w:ascii="Times New Roman" w:hAnsi="Times New Roman" w:cs="Times New Roman"/>
                <w:color w:val="auto"/>
                <w:highlight w:val="none"/>
                <w:lang w:val="en-US" w:eastAsia="zh-CN"/>
              </w:rPr>
              <w:t>37.6</w:t>
            </w:r>
            <w:r>
              <w:rPr>
                <w:rFonts w:hint="default" w:ascii="Times New Roman" w:hAnsi="Times New Roman" w:cs="Times New Roman"/>
                <w:color w:val="auto"/>
                <w:highlight w:val="none"/>
              </w:rPr>
              <w:t>dB（A），满足</w:t>
            </w:r>
            <w:r>
              <w:rPr>
                <w:rFonts w:hint="default" w:ascii="Times New Roman" w:hAnsi="Times New Roman" w:cs="Times New Roman"/>
                <w:bCs/>
                <w:color w:val="auto"/>
                <w:highlight w:val="none"/>
              </w:rPr>
              <w:t>《声环境质量标准》</w:t>
            </w:r>
            <w:r>
              <w:rPr>
                <w:rFonts w:hint="default" w:ascii="Times New Roman" w:hAnsi="Times New Roman" w:eastAsia="仿宋" w:cs="Times New Roman"/>
                <w:color w:val="auto"/>
                <w:spacing w:val="0"/>
                <w:w w:val="100"/>
                <w:sz w:val="24"/>
                <w:szCs w:val="24"/>
                <w:highlight w:val="none"/>
              </w:rPr>
              <w:t>（GB3096-2008）</w:t>
            </w:r>
            <w:r>
              <w:rPr>
                <w:rFonts w:hint="default" w:ascii="Times New Roman" w:hAnsi="Times New Roman" w:cs="Times New Roman"/>
                <w:bCs/>
                <w:color w:val="auto"/>
                <w:highlight w:val="none"/>
              </w:rPr>
              <w:t>1类标准</w:t>
            </w:r>
            <w:r>
              <w:rPr>
                <w:rFonts w:hint="eastAsia" w:ascii="Times New Roman" w:hAnsi="Times New Roman" w:cs="Times New Roman"/>
                <w:bCs/>
                <w:color w:val="auto"/>
                <w:highlight w:val="none"/>
                <w:lang w:eastAsia="zh-CN"/>
              </w:rPr>
              <w:t>。</w:t>
            </w:r>
          </w:p>
          <w:p w14:paraId="17D8B004">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因此项目</w:t>
            </w:r>
            <w:r>
              <w:rPr>
                <w:rFonts w:hint="eastAsia" w:ascii="Times New Roman" w:hAnsi="Times New Roman" w:cs="Times New Roman"/>
                <w:color w:val="auto"/>
                <w:highlight w:val="none"/>
                <w:lang w:val="en-US" w:eastAsia="zh-CN"/>
              </w:rPr>
              <w:t>箱变、逆变器营运期</w:t>
            </w:r>
            <w:r>
              <w:rPr>
                <w:rFonts w:hint="default" w:ascii="Times New Roman" w:hAnsi="Times New Roman" w:cs="Times New Roman"/>
                <w:color w:val="auto"/>
                <w:highlight w:val="none"/>
              </w:rPr>
              <w:t>噪声对周围声环境影响较小。</w:t>
            </w:r>
          </w:p>
          <w:p w14:paraId="6EE55175">
            <w:pPr>
              <w:keepNext w:val="0"/>
              <w:keepLines w:val="0"/>
              <w:suppressLineNumbers w:val="0"/>
              <w:spacing w:before="0" w:beforeAutospacing="0" w:after="0" w:afterAutospacing="0"/>
              <w:ind w:left="0" w:right="0" w:firstLine="482"/>
              <w:rPr>
                <w:rFonts w:hint="default" w:ascii="Times New Roman" w:hAnsi="Times New Roman" w:cs="Times New Roman"/>
                <w:b/>
                <w:bCs/>
                <w:color w:val="auto"/>
                <w:highlight w:val="none"/>
              </w:rPr>
            </w:pPr>
            <w:r>
              <w:rPr>
                <w:rFonts w:hint="default" w:ascii="Times New Roman" w:hAnsi="Times New Roman" w:cs="Times New Roman"/>
                <w:b w:val="0"/>
                <w:bCs w:val="0"/>
                <w:color w:val="auto"/>
                <w:highlight w:val="none"/>
              </w:rPr>
              <w:t>②升压站噪声影响分析</w:t>
            </w:r>
          </w:p>
          <w:p w14:paraId="6E72E4B2">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A、噪声源</w:t>
            </w:r>
          </w:p>
          <w:p w14:paraId="48BC6FC8">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升压站噪声源主要来源于主变压器，项目主变压器为三相双绕组有载调压变压器，属于低噪声变压器，根据变电站噪声控制技术导则（DLT1518-2016），220kV升压站主变噪声级为65dB（A）。采用低噪设备、厂界围墙可</w:t>
            </w:r>
            <w:r>
              <w:rPr>
                <w:rFonts w:hint="eastAsia" w:cs="Times New Roman"/>
                <w:color w:val="auto"/>
                <w:highlight w:val="none"/>
                <w:lang w:eastAsia="zh-CN"/>
              </w:rPr>
              <w:t>减少</w:t>
            </w:r>
            <w:r>
              <w:rPr>
                <w:rFonts w:hint="default" w:ascii="Times New Roman" w:hAnsi="Times New Roman" w:cs="Times New Roman"/>
                <w:color w:val="auto"/>
                <w:highlight w:val="none"/>
              </w:rPr>
              <w:t>噪声值约10dB（A）。</w:t>
            </w:r>
          </w:p>
          <w:p w14:paraId="001933E3">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本项目升压站噪声源强见下表。</w:t>
            </w:r>
          </w:p>
          <w:p w14:paraId="61E831FA">
            <w:pPr>
              <w:keepNext w:val="0"/>
              <w:keepLines w:val="0"/>
              <w:suppressLineNumbers w:val="0"/>
              <w:spacing w:before="0" w:beforeAutospacing="0" w:after="0" w:afterAutospacing="0"/>
              <w:ind w:left="0" w:right="0" w:firstLine="422"/>
              <w:jc w:val="center"/>
              <w:rPr>
                <w:rFonts w:hint="default" w:ascii="Times New Roman" w:hAnsi="Times New Roman" w:cs="Times New Roman"/>
                <w:color w:val="auto"/>
                <w:highlight w:val="none"/>
              </w:rPr>
            </w:pPr>
            <w:r>
              <w:rPr>
                <w:rFonts w:hint="default" w:ascii="Times New Roman" w:hAnsi="Times New Roman" w:cs="Times New Roman"/>
                <w:b/>
                <w:bCs/>
                <w:color w:val="auto"/>
                <w:sz w:val="21"/>
                <w:szCs w:val="21"/>
                <w:highlight w:val="none"/>
              </w:rPr>
              <w:t>表4.</w:t>
            </w:r>
            <w:r>
              <w:rPr>
                <w:rFonts w:hint="eastAsia" w:ascii="Times New Roman" w:hAnsi="Times New Roman"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rPr>
              <w:t>-3 项目升压站噪声源强一览表</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900"/>
              <w:gridCol w:w="1095"/>
              <w:gridCol w:w="991"/>
              <w:gridCol w:w="1336"/>
              <w:gridCol w:w="1173"/>
              <w:gridCol w:w="1325"/>
            </w:tblGrid>
            <w:tr w14:paraId="7227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Merge w:val="restart"/>
                  <w:tcBorders>
                    <w:top w:val="single" w:color="auto" w:sz="4" w:space="0"/>
                    <w:left w:val="single" w:color="auto" w:sz="4" w:space="0"/>
                    <w:right w:val="single" w:color="auto" w:sz="4" w:space="0"/>
                  </w:tcBorders>
                  <w:vAlign w:val="center"/>
                </w:tcPr>
                <w:p w14:paraId="23D22B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声源名称</w:t>
                  </w:r>
                </w:p>
              </w:tc>
              <w:tc>
                <w:tcPr>
                  <w:tcW w:w="542" w:type="pct"/>
                  <w:vMerge w:val="restart"/>
                  <w:tcBorders>
                    <w:top w:val="single" w:color="auto" w:sz="4" w:space="0"/>
                    <w:left w:val="single" w:color="auto" w:sz="4" w:space="0"/>
                    <w:right w:val="single" w:color="auto" w:sz="4" w:space="0"/>
                  </w:tcBorders>
                  <w:vAlign w:val="center"/>
                </w:tcPr>
                <w:p w14:paraId="24FEB3B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降噪措施</w:t>
                  </w:r>
                </w:p>
              </w:tc>
              <w:tc>
                <w:tcPr>
                  <w:tcW w:w="660" w:type="pct"/>
                  <w:vMerge w:val="restart"/>
                  <w:tcBorders>
                    <w:top w:val="single" w:color="auto" w:sz="4" w:space="0"/>
                    <w:left w:val="single" w:color="auto" w:sz="4" w:space="0"/>
                    <w:right w:val="single" w:color="auto" w:sz="4" w:space="0"/>
                  </w:tcBorders>
                  <w:vAlign w:val="center"/>
                </w:tcPr>
                <w:p w14:paraId="738B04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声级/dB（A）</w:t>
                  </w:r>
                </w:p>
              </w:tc>
              <w:tc>
                <w:tcPr>
                  <w:tcW w:w="597" w:type="pct"/>
                  <w:vMerge w:val="restart"/>
                  <w:tcBorders>
                    <w:top w:val="single" w:color="auto" w:sz="4" w:space="0"/>
                    <w:left w:val="single" w:color="auto" w:sz="4" w:space="0"/>
                    <w:right w:val="single" w:color="auto" w:sz="4" w:space="0"/>
                  </w:tcBorders>
                  <w:vAlign w:val="center"/>
                </w:tcPr>
                <w:p w14:paraId="372D40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运行时段</w:t>
                  </w:r>
                </w:p>
              </w:tc>
              <w:tc>
                <w:tcPr>
                  <w:tcW w:w="805" w:type="pct"/>
                  <w:vMerge w:val="restart"/>
                  <w:tcBorders>
                    <w:top w:val="single" w:color="auto" w:sz="4" w:space="0"/>
                    <w:left w:val="single" w:color="auto" w:sz="4" w:space="0"/>
                    <w:right w:val="single" w:color="auto" w:sz="4" w:space="0"/>
                  </w:tcBorders>
                  <w:vAlign w:val="center"/>
                </w:tcPr>
                <w:p w14:paraId="5E056B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建筑物插入损失/dB（A）</w:t>
                  </w:r>
                </w:p>
              </w:tc>
              <w:tc>
                <w:tcPr>
                  <w:tcW w:w="1505" w:type="pct"/>
                  <w:gridSpan w:val="2"/>
                  <w:tcBorders>
                    <w:top w:val="single" w:color="auto" w:sz="4" w:space="0"/>
                    <w:left w:val="single" w:color="auto" w:sz="4" w:space="0"/>
                    <w:bottom w:val="single" w:color="auto" w:sz="4" w:space="0"/>
                    <w:right w:val="single" w:color="auto" w:sz="4" w:space="0"/>
                  </w:tcBorders>
                  <w:vAlign w:val="center"/>
                </w:tcPr>
                <w:p w14:paraId="10FDC2D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建筑物外噪声</w:t>
                  </w:r>
                </w:p>
              </w:tc>
            </w:tr>
            <w:tr w14:paraId="67CA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Merge w:val="continue"/>
                  <w:tcBorders>
                    <w:left w:val="single" w:color="auto" w:sz="4" w:space="0"/>
                    <w:bottom w:val="single" w:color="auto" w:sz="4" w:space="0"/>
                    <w:right w:val="single" w:color="auto" w:sz="4" w:space="0"/>
                  </w:tcBorders>
                  <w:vAlign w:val="center"/>
                </w:tcPr>
                <w:p w14:paraId="79ACB83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p>
              </w:tc>
              <w:tc>
                <w:tcPr>
                  <w:tcW w:w="542" w:type="pct"/>
                  <w:vMerge w:val="continue"/>
                  <w:tcBorders>
                    <w:left w:val="single" w:color="auto" w:sz="4" w:space="0"/>
                    <w:right w:val="single" w:color="auto" w:sz="4" w:space="0"/>
                  </w:tcBorders>
                  <w:vAlign w:val="center"/>
                </w:tcPr>
                <w:p w14:paraId="00FD79C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p>
              </w:tc>
              <w:tc>
                <w:tcPr>
                  <w:tcW w:w="660" w:type="pct"/>
                  <w:vMerge w:val="continue"/>
                  <w:tcBorders>
                    <w:left w:val="single" w:color="auto" w:sz="4" w:space="0"/>
                    <w:right w:val="single" w:color="auto" w:sz="4" w:space="0"/>
                  </w:tcBorders>
                  <w:vAlign w:val="center"/>
                </w:tcPr>
                <w:p w14:paraId="17EDCD1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p>
              </w:tc>
              <w:tc>
                <w:tcPr>
                  <w:tcW w:w="597" w:type="pct"/>
                  <w:vMerge w:val="continue"/>
                  <w:tcBorders>
                    <w:left w:val="single" w:color="auto" w:sz="4" w:space="0"/>
                    <w:right w:val="single" w:color="auto" w:sz="4" w:space="0"/>
                  </w:tcBorders>
                  <w:vAlign w:val="center"/>
                </w:tcPr>
                <w:p w14:paraId="18E1EFB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p>
              </w:tc>
              <w:tc>
                <w:tcPr>
                  <w:tcW w:w="805" w:type="pct"/>
                  <w:vMerge w:val="continue"/>
                  <w:tcBorders>
                    <w:left w:val="single" w:color="auto" w:sz="4" w:space="0"/>
                    <w:bottom w:val="single" w:color="auto" w:sz="4" w:space="0"/>
                    <w:right w:val="single" w:color="auto" w:sz="4" w:space="0"/>
                  </w:tcBorders>
                  <w:vAlign w:val="center"/>
                </w:tcPr>
                <w:p w14:paraId="2EB6277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p>
              </w:tc>
              <w:tc>
                <w:tcPr>
                  <w:tcW w:w="707" w:type="pct"/>
                  <w:tcBorders>
                    <w:top w:val="single" w:color="auto" w:sz="4" w:space="0"/>
                    <w:left w:val="single" w:color="auto" w:sz="4" w:space="0"/>
                    <w:bottom w:val="single" w:color="auto" w:sz="4" w:space="0"/>
                    <w:right w:val="single" w:color="auto" w:sz="4" w:space="0"/>
                  </w:tcBorders>
                  <w:vAlign w:val="center"/>
                </w:tcPr>
                <w:p w14:paraId="1D14081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声压级/dB（A）</w:t>
                  </w:r>
                </w:p>
              </w:tc>
              <w:tc>
                <w:tcPr>
                  <w:tcW w:w="798" w:type="pct"/>
                  <w:tcBorders>
                    <w:top w:val="single" w:color="auto" w:sz="4" w:space="0"/>
                    <w:left w:val="single" w:color="auto" w:sz="4" w:space="0"/>
                    <w:bottom w:val="single" w:color="auto" w:sz="4" w:space="0"/>
                    <w:right w:val="single" w:color="auto" w:sz="4" w:space="0"/>
                  </w:tcBorders>
                  <w:vAlign w:val="center"/>
                </w:tcPr>
                <w:p w14:paraId="2486F0A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建筑物外距离/m</w:t>
                  </w:r>
                </w:p>
              </w:tc>
            </w:tr>
            <w:tr w14:paraId="4799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tcBorders>
                    <w:top w:val="single" w:color="auto" w:sz="4" w:space="0"/>
                    <w:left w:val="single" w:color="auto" w:sz="4" w:space="0"/>
                    <w:bottom w:val="single" w:color="auto" w:sz="4" w:space="0"/>
                    <w:right w:val="single" w:color="auto" w:sz="4" w:space="0"/>
                  </w:tcBorders>
                  <w:vAlign w:val="center"/>
                </w:tcPr>
                <w:p w14:paraId="6BDD8D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default" w:ascii="Times New Roman" w:hAnsi="Times New Roman" w:cs="Times New Roman"/>
                      <w:color w:val="auto"/>
                      <w:sz w:val="21"/>
                      <w:szCs w:val="21"/>
                      <w:highlight w:val="none"/>
                    </w:rPr>
                    <w:t>主变压器</w:t>
                  </w:r>
                  <w:r>
                    <w:rPr>
                      <w:rFonts w:hint="eastAsia" w:ascii="Times New Roman" w:hAnsi="Times New Roman" w:cs="Times New Roman"/>
                      <w:color w:val="auto"/>
                      <w:sz w:val="21"/>
                      <w:szCs w:val="21"/>
                      <w:highlight w:val="none"/>
                      <w:lang w:val="en-US" w:eastAsia="zh-CN"/>
                    </w:rPr>
                    <w:t>1</w:t>
                  </w:r>
                </w:p>
              </w:tc>
              <w:tc>
                <w:tcPr>
                  <w:tcW w:w="542" w:type="pct"/>
                  <w:vMerge w:val="restart"/>
                  <w:tcBorders>
                    <w:left w:val="single" w:color="auto" w:sz="4" w:space="0"/>
                    <w:right w:val="single" w:color="auto" w:sz="4" w:space="0"/>
                  </w:tcBorders>
                  <w:vAlign w:val="center"/>
                </w:tcPr>
                <w:p w14:paraId="508E2E6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合理布局，升压站围墙阻隔</w:t>
                  </w:r>
                </w:p>
              </w:tc>
              <w:tc>
                <w:tcPr>
                  <w:tcW w:w="660" w:type="pct"/>
                  <w:tcBorders>
                    <w:top w:val="single" w:color="auto" w:sz="4" w:space="0"/>
                    <w:left w:val="single" w:color="auto" w:sz="4" w:space="0"/>
                    <w:bottom w:val="single" w:color="auto" w:sz="4" w:space="0"/>
                    <w:right w:val="single" w:color="auto" w:sz="4" w:space="0"/>
                  </w:tcBorders>
                  <w:vAlign w:val="center"/>
                </w:tcPr>
                <w:p w14:paraId="5E30EDC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65</w:t>
                  </w:r>
                </w:p>
              </w:tc>
              <w:tc>
                <w:tcPr>
                  <w:tcW w:w="597" w:type="pct"/>
                  <w:tcBorders>
                    <w:top w:val="single" w:color="auto" w:sz="4" w:space="0"/>
                    <w:left w:val="single" w:color="auto" w:sz="4" w:space="0"/>
                    <w:bottom w:val="single" w:color="auto" w:sz="4" w:space="0"/>
                    <w:right w:val="single" w:color="auto" w:sz="4" w:space="0"/>
                  </w:tcBorders>
                  <w:vAlign w:val="center"/>
                </w:tcPr>
                <w:p w14:paraId="161F05B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昼间、夜间</w:t>
                  </w:r>
                </w:p>
              </w:tc>
              <w:tc>
                <w:tcPr>
                  <w:tcW w:w="805" w:type="pct"/>
                  <w:tcBorders>
                    <w:top w:val="single" w:color="auto" w:sz="4" w:space="0"/>
                    <w:left w:val="single" w:color="auto" w:sz="4" w:space="0"/>
                    <w:bottom w:val="single" w:color="auto" w:sz="4" w:space="0"/>
                    <w:right w:val="single" w:color="auto" w:sz="4" w:space="0"/>
                  </w:tcBorders>
                  <w:vAlign w:val="center"/>
                </w:tcPr>
                <w:p w14:paraId="3F2B4B8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707" w:type="pct"/>
                  <w:tcBorders>
                    <w:top w:val="single" w:color="auto" w:sz="4" w:space="0"/>
                    <w:left w:val="single" w:color="auto" w:sz="4" w:space="0"/>
                    <w:bottom w:val="single" w:color="auto" w:sz="4" w:space="0"/>
                    <w:right w:val="single" w:color="auto" w:sz="4" w:space="0"/>
                  </w:tcBorders>
                  <w:vAlign w:val="center"/>
                </w:tcPr>
                <w:p w14:paraId="7AFDFC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55</w:t>
                  </w:r>
                </w:p>
              </w:tc>
              <w:tc>
                <w:tcPr>
                  <w:tcW w:w="798" w:type="pct"/>
                  <w:tcBorders>
                    <w:top w:val="single" w:color="auto" w:sz="4" w:space="0"/>
                    <w:left w:val="single" w:color="auto" w:sz="4" w:space="0"/>
                    <w:bottom w:val="single" w:color="auto" w:sz="4" w:space="0"/>
                    <w:right w:val="single" w:color="auto" w:sz="4" w:space="0"/>
                  </w:tcBorders>
                  <w:vAlign w:val="center"/>
                </w:tcPr>
                <w:p w14:paraId="7CC5B40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r w14:paraId="7CFF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581476A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主变压器</w:t>
                  </w:r>
                  <w:r>
                    <w:rPr>
                      <w:rFonts w:hint="eastAsia" w:ascii="Times New Roman" w:hAnsi="Times New Roman" w:cs="Times New Roman"/>
                      <w:color w:val="auto"/>
                      <w:sz w:val="21"/>
                      <w:szCs w:val="21"/>
                      <w:highlight w:val="none"/>
                      <w:lang w:val="en-US" w:eastAsia="zh-CN"/>
                    </w:rPr>
                    <w:t>2</w:t>
                  </w:r>
                </w:p>
              </w:tc>
              <w:tc>
                <w:tcPr>
                  <w:tcW w:w="542" w:type="pct"/>
                  <w:vMerge w:val="continue"/>
                  <w:tcBorders>
                    <w:left w:val="single" w:color="auto" w:sz="4" w:space="0"/>
                    <w:right w:val="single" w:color="auto" w:sz="4" w:space="0"/>
                  </w:tcBorders>
                  <w:vAlign w:val="center"/>
                </w:tcPr>
                <w:p w14:paraId="5FF325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p>
              </w:tc>
              <w:tc>
                <w:tcPr>
                  <w:tcW w:w="660" w:type="pct"/>
                  <w:vAlign w:val="center"/>
                </w:tcPr>
                <w:p w14:paraId="79AEA54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65</w:t>
                  </w:r>
                </w:p>
              </w:tc>
              <w:tc>
                <w:tcPr>
                  <w:tcW w:w="597" w:type="pct"/>
                  <w:vAlign w:val="center"/>
                </w:tcPr>
                <w:p w14:paraId="3C06E24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昼间、夜间</w:t>
                  </w:r>
                </w:p>
              </w:tc>
              <w:tc>
                <w:tcPr>
                  <w:tcW w:w="805" w:type="pct"/>
                  <w:vAlign w:val="center"/>
                </w:tcPr>
                <w:p w14:paraId="6F2420E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707" w:type="pct"/>
                  <w:vAlign w:val="center"/>
                </w:tcPr>
                <w:p w14:paraId="580F06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55</w:t>
                  </w:r>
                </w:p>
              </w:tc>
              <w:tc>
                <w:tcPr>
                  <w:tcW w:w="798" w:type="pct"/>
                  <w:vAlign w:val="center"/>
                </w:tcPr>
                <w:p w14:paraId="537CFCE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bl>
          <w:p w14:paraId="6F3757BC">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噪声衰减预测模式采用《环境影响评价技术导则 声环境》（HJ2.4－2021）工业噪声中室内外点源预测模式。</w:t>
            </w:r>
          </w:p>
          <w:p w14:paraId="392DBB10">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点声源随传播衰减按下式计算：</w:t>
            </w:r>
          </w:p>
          <w:p w14:paraId="2A6E20B7">
            <w:pPr>
              <w:keepNext w:val="0"/>
              <w:keepLines w:val="0"/>
              <w:suppressLineNumbers w:val="0"/>
              <w:spacing w:before="0" w:beforeAutospacing="0" w:after="0" w:afterAutospacing="0"/>
              <w:ind w:left="0" w:right="0" w:firstLine="2280" w:firstLineChars="950"/>
              <w:rPr>
                <w:rFonts w:hint="default" w:ascii="Times New Roman" w:hAnsi="Times New Roman" w:cs="Times New Roman"/>
                <w:color w:val="auto"/>
                <w:highlight w:val="none"/>
              </w:rPr>
            </w:pPr>
            <w:r>
              <w:rPr>
                <w:rFonts w:hint="default" w:ascii="Times New Roman" w:hAnsi="Times New Roman" w:cs="Times New Roman"/>
                <w:color w:val="auto"/>
                <w:highlight w:val="none"/>
              </w:rPr>
              <w:t>L</w:t>
            </w:r>
            <w:r>
              <w:rPr>
                <w:rFonts w:hint="default" w:ascii="Times New Roman" w:hAnsi="Times New Roman" w:cs="Times New Roman"/>
                <w:color w:val="auto"/>
                <w:highlight w:val="none"/>
                <w:vertAlign w:val="subscript"/>
              </w:rPr>
              <w:t>A</w:t>
            </w:r>
            <w:r>
              <w:rPr>
                <w:rFonts w:hint="default" w:ascii="Times New Roman" w:hAnsi="Times New Roman" w:cs="Times New Roman"/>
                <w:color w:val="auto"/>
                <w:highlight w:val="none"/>
              </w:rPr>
              <w:t>=L</w:t>
            </w:r>
            <w:r>
              <w:rPr>
                <w:rFonts w:hint="default" w:ascii="Times New Roman" w:hAnsi="Times New Roman" w:cs="Times New Roman"/>
                <w:color w:val="auto"/>
                <w:highlight w:val="none"/>
                <w:vertAlign w:val="subscript"/>
              </w:rPr>
              <w:t>0</w:t>
            </w:r>
            <w:r>
              <w:rPr>
                <w:rFonts w:hint="default" w:ascii="Times New Roman" w:hAnsi="Times New Roman" w:cs="Times New Roman"/>
                <w:color w:val="auto"/>
                <w:highlight w:val="none"/>
              </w:rPr>
              <w:t>-20lg(r</w:t>
            </w:r>
            <w:r>
              <w:rPr>
                <w:rFonts w:hint="default" w:ascii="Times New Roman" w:hAnsi="Times New Roman" w:cs="Times New Roman"/>
                <w:color w:val="auto"/>
                <w:highlight w:val="none"/>
                <w:vertAlign w:val="subscript"/>
              </w:rPr>
              <w:t>A</w:t>
            </w:r>
            <w:r>
              <w:rPr>
                <w:rFonts w:hint="default" w:ascii="Times New Roman" w:hAnsi="Times New Roman" w:cs="Times New Roman"/>
                <w:color w:val="auto"/>
                <w:highlight w:val="none"/>
              </w:rPr>
              <w:t>/r</w:t>
            </w:r>
            <w:r>
              <w:rPr>
                <w:rFonts w:hint="default" w:ascii="Times New Roman" w:hAnsi="Times New Roman" w:cs="Times New Roman"/>
                <w:color w:val="auto"/>
                <w:highlight w:val="none"/>
                <w:vertAlign w:val="subscript"/>
              </w:rPr>
              <w:t>0</w:t>
            </w:r>
            <w:r>
              <w:rPr>
                <w:rFonts w:hint="default" w:ascii="Times New Roman" w:hAnsi="Times New Roman" w:cs="Times New Roman"/>
                <w:color w:val="auto"/>
                <w:highlight w:val="none"/>
              </w:rPr>
              <w:t>)-L</w:t>
            </w:r>
            <w:r>
              <w:rPr>
                <w:rFonts w:hint="default" w:ascii="Times New Roman" w:hAnsi="Times New Roman" w:cs="Times New Roman"/>
                <w:color w:val="auto"/>
                <w:highlight w:val="none"/>
                <w:vertAlign w:val="subscript"/>
              </w:rPr>
              <w:t>E</w:t>
            </w:r>
          </w:p>
          <w:p w14:paraId="5DE9E665">
            <w:pPr>
              <w:keepNext w:val="0"/>
              <w:keepLines w:val="0"/>
              <w:suppressLineNumbers w:val="0"/>
              <w:spacing w:before="0" w:beforeAutospacing="0" w:after="0" w:afterAutospacing="0"/>
              <w:ind w:left="480" w:right="0" w:firstLine="24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式中：L</w:t>
            </w:r>
            <w:r>
              <w:rPr>
                <w:rFonts w:hint="default" w:ascii="Times New Roman" w:hAnsi="Times New Roman" w:cs="Times New Roman"/>
                <w:color w:val="auto"/>
                <w:szCs w:val="21"/>
                <w:highlight w:val="none"/>
                <w:vertAlign w:val="subscript"/>
              </w:rPr>
              <w:t>A</w:t>
            </w:r>
            <w:r>
              <w:rPr>
                <w:rFonts w:hint="default" w:ascii="Times New Roman" w:hAnsi="Times New Roman" w:cs="Times New Roman"/>
                <w:color w:val="auto"/>
                <w:szCs w:val="21"/>
                <w:highlight w:val="none"/>
              </w:rPr>
              <w:t>—计算点处的声压级，dB（A）；</w:t>
            </w:r>
          </w:p>
          <w:p w14:paraId="71388954">
            <w:pPr>
              <w:keepNext w:val="0"/>
              <w:keepLines w:val="0"/>
              <w:suppressLineNumbers w:val="0"/>
              <w:spacing w:before="0" w:beforeAutospacing="0" w:after="0" w:afterAutospacing="0" w:line="240" w:lineRule="auto"/>
              <w:ind w:left="480" w:right="0" w:firstLine="96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L</w:t>
            </w:r>
            <w:r>
              <w:rPr>
                <w:rFonts w:hint="default" w:ascii="Times New Roman" w:hAnsi="Times New Roman" w:cs="Times New Roman"/>
                <w:color w:val="auto"/>
                <w:szCs w:val="21"/>
                <w:highlight w:val="none"/>
                <w:vertAlign w:val="subscript"/>
              </w:rPr>
              <w:t>0</w:t>
            </w:r>
            <w:r>
              <w:rPr>
                <w:rFonts w:hint="default" w:ascii="Times New Roman" w:hAnsi="Times New Roman" w:cs="Times New Roman"/>
                <w:color w:val="auto"/>
                <w:szCs w:val="21"/>
                <w:highlight w:val="none"/>
              </w:rPr>
              <w:t>—噪声源强，取55dB（A）；</w:t>
            </w:r>
          </w:p>
          <w:p w14:paraId="20F95726">
            <w:pPr>
              <w:keepNext w:val="0"/>
              <w:keepLines w:val="0"/>
              <w:suppressLineNumbers w:val="0"/>
              <w:spacing w:before="0" w:beforeAutospacing="0" w:after="0" w:afterAutospacing="0" w:line="240" w:lineRule="auto"/>
              <w:ind w:left="480" w:right="0" w:firstLine="96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r</w:t>
            </w:r>
            <w:r>
              <w:rPr>
                <w:rFonts w:hint="default" w:ascii="Times New Roman" w:hAnsi="Times New Roman" w:cs="Times New Roman"/>
                <w:color w:val="auto"/>
                <w:szCs w:val="21"/>
                <w:highlight w:val="none"/>
                <w:vertAlign w:val="subscript"/>
              </w:rPr>
              <w:t>0</w:t>
            </w:r>
            <w:r>
              <w:rPr>
                <w:rFonts w:hint="default" w:ascii="Times New Roman" w:hAnsi="Times New Roman" w:cs="Times New Roman"/>
                <w:color w:val="auto"/>
                <w:szCs w:val="21"/>
                <w:highlight w:val="none"/>
              </w:rPr>
              <w:t>—参考距离，取为1m；</w:t>
            </w:r>
          </w:p>
          <w:p w14:paraId="18911B8F">
            <w:pPr>
              <w:keepNext w:val="0"/>
              <w:keepLines w:val="0"/>
              <w:suppressLineNumbers w:val="0"/>
              <w:spacing w:before="0" w:beforeAutospacing="0" w:after="0" w:afterAutospacing="0"/>
              <w:ind w:left="0" w:right="0" w:firstLine="1440" w:firstLineChars="6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r</w:t>
            </w:r>
            <w:r>
              <w:rPr>
                <w:rFonts w:hint="default" w:ascii="Times New Roman" w:hAnsi="Times New Roman" w:cs="Times New Roman"/>
                <w:color w:val="auto"/>
                <w:szCs w:val="21"/>
                <w:highlight w:val="none"/>
                <w:vertAlign w:val="subscript"/>
              </w:rPr>
              <w:t>A</w:t>
            </w:r>
            <w:r>
              <w:rPr>
                <w:rFonts w:hint="default" w:ascii="Times New Roman" w:hAnsi="Times New Roman" w:cs="Times New Roman"/>
                <w:color w:val="auto"/>
                <w:szCs w:val="21"/>
                <w:highlight w:val="none"/>
              </w:rPr>
              <w:t>—声源距计算点的距离，m；</w:t>
            </w:r>
          </w:p>
          <w:p w14:paraId="11DAECC2">
            <w:pPr>
              <w:keepNext w:val="0"/>
              <w:keepLines w:val="0"/>
              <w:suppressLineNumbers w:val="0"/>
              <w:spacing w:before="0" w:beforeAutospacing="0" w:after="0" w:afterAutospacing="0"/>
              <w:ind w:left="480" w:right="0" w:firstLine="96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L</w:t>
            </w:r>
            <w:r>
              <w:rPr>
                <w:rFonts w:hint="default" w:ascii="Times New Roman" w:hAnsi="Times New Roman" w:cs="Times New Roman"/>
                <w:color w:val="auto"/>
                <w:szCs w:val="21"/>
                <w:highlight w:val="none"/>
                <w:vertAlign w:val="subscript"/>
              </w:rPr>
              <w:t>E</w:t>
            </w:r>
            <w:r>
              <w:rPr>
                <w:rFonts w:hint="default" w:ascii="Times New Roman" w:hAnsi="Times New Roman" w:cs="Times New Roman"/>
                <w:color w:val="auto"/>
                <w:szCs w:val="21"/>
                <w:highlight w:val="none"/>
              </w:rPr>
              <w:t>—为隔声量，取10dB（A）。</w:t>
            </w:r>
          </w:p>
          <w:p w14:paraId="16B97D9C">
            <w:pPr>
              <w:keepNext w:val="0"/>
              <w:keepLines w:val="0"/>
              <w:suppressLineNumbers w:val="0"/>
              <w:spacing w:before="0" w:beforeAutospacing="0" w:after="0" w:afterAutospacing="0"/>
              <w:ind w:left="0" w:right="0" w:firstLine="480"/>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B、预测结果</w:t>
            </w:r>
          </w:p>
          <w:p w14:paraId="651486D0">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bCs/>
                <w:color w:val="auto"/>
                <w:highlight w:val="none"/>
              </w:rPr>
              <w:t>根据升压站总平面布置图，主变压器</w:t>
            </w:r>
            <w:r>
              <w:rPr>
                <w:rFonts w:hint="default" w:ascii="Times New Roman" w:hAnsi="Times New Roman" w:cs="Times New Roman"/>
                <w:color w:val="auto"/>
                <w:highlight w:val="none"/>
              </w:rPr>
              <w:t>距离最近的厂界距离见下表。</w:t>
            </w:r>
          </w:p>
          <w:p w14:paraId="5F84BBCB">
            <w:pPr>
              <w:keepNext w:val="0"/>
              <w:keepLines w:val="0"/>
              <w:suppressLineNumbers w:val="0"/>
              <w:spacing w:before="0" w:beforeAutospacing="0" w:after="0" w:afterAutospacing="0"/>
              <w:ind w:left="0" w:right="0" w:firstLine="422"/>
              <w:jc w:val="center"/>
              <w:rPr>
                <w:rFonts w:hint="default" w:ascii="Times New Roman" w:hAnsi="Times New Roman" w:cs="Times New Roman"/>
                <w:color w:val="auto"/>
                <w:highlight w:val="none"/>
              </w:rPr>
            </w:pPr>
            <w:r>
              <w:rPr>
                <w:rFonts w:hint="default" w:ascii="Times New Roman" w:hAnsi="Times New Roman" w:cs="Times New Roman"/>
                <w:b/>
                <w:bCs/>
                <w:color w:val="auto"/>
                <w:sz w:val="21"/>
                <w:szCs w:val="21"/>
                <w:highlight w:val="none"/>
              </w:rPr>
              <w:t>表4.</w:t>
            </w:r>
            <w:r>
              <w:rPr>
                <w:rFonts w:hint="eastAsia" w:ascii="Times New Roman" w:hAnsi="Times New Roman"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rPr>
              <w:t>-4 升压站厂界噪声贡献值预测结果</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1856"/>
              <w:gridCol w:w="1502"/>
              <w:gridCol w:w="1275"/>
              <w:gridCol w:w="1275"/>
              <w:gridCol w:w="1275"/>
            </w:tblGrid>
            <w:tr w14:paraId="2481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90" w:type="pct"/>
                  <w:gridSpan w:val="2"/>
                  <w:vAlign w:val="center"/>
                </w:tcPr>
                <w:p w14:paraId="0225399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位置和方位</w:t>
                  </w:r>
                </w:p>
              </w:tc>
              <w:tc>
                <w:tcPr>
                  <w:tcW w:w="905" w:type="pct"/>
                  <w:vAlign w:val="center"/>
                </w:tcPr>
                <w:p w14:paraId="691FC7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距主变距离（m）</w:t>
                  </w:r>
                </w:p>
              </w:tc>
              <w:tc>
                <w:tcPr>
                  <w:tcW w:w="768" w:type="pct"/>
                  <w:vAlign w:val="center"/>
                </w:tcPr>
                <w:p w14:paraId="03354B5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贡献值</w:t>
                  </w:r>
                </w:p>
                <w:p w14:paraId="2E97871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dB</w:t>
                  </w:r>
                  <w:r>
                    <w:rPr>
                      <w:rFonts w:hint="eastAsia"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A</w:t>
                  </w:r>
                  <w:r>
                    <w:rPr>
                      <w:rFonts w:hint="eastAsia" w:cs="Times New Roman"/>
                      <w:b/>
                      <w:bCs/>
                      <w:color w:val="auto"/>
                      <w:sz w:val="21"/>
                      <w:szCs w:val="21"/>
                      <w:highlight w:val="none"/>
                      <w:lang w:eastAsia="zh-CN"/>
                    </w:rPr>
                    <w:t>)</w:t>
                  </w:r>
                </w:p>
              </w:tc>
              <w:tc>
                <w:tcPr>
                  <w:tcW w:w="768" w:type="pct"/>
                  <w:vAlign w:val="center"/>
                </w:tcPr>
                <w:p w14:paraId="06276D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标准值</w:t>
                  </w:r>
                </w:p>
              </w:tc>
              <w:tc>
                <w:tcPr>
                  <w:tcW w:w="768" w:type="pct"/>
                  <w:vAlign w:val="center"/>
                </w:tcPr>
                <w:p w14:paraId="319462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达标情况</w:t>
                  </w:r>
                </w:p>
              </w:tc>
            </w:tr>
            <w:tr w14:paraId="1C07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restart"/>
                  <w:vAlign w:val="center"/>
                </w:tcPr>
                <w:p w14:paraId="29A54C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升压站厂界</w:t>
                  </w:r>
                </w:p>
              </w:tc>
              <w:tc>
                <w:tcPr>
                  <w:tcW w:w="1117" w:type="pct"/>
                  <w:vMerge w:val="restart"/>
                  <w:vAlign w:val="center"/>
                </w:tcPr>
                <w:p w14:paraId="456BF5B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东侧围墙1m处</w:t>
                  </w:r>
                </w:p>
              </w:tc>
              <w:tc>
                <w:tcPr>
                  <w:tcW w:w="905" w:type="pct"/>
                  <w:vMerge w:val="restart"/>
                  <w:vAlign w:val="center"/>
                </w:tcPr>
                <w:p w14:paraId="59BF4B7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29</w:t>
                  </w:r>
                </w:p>
              </w:tc>
              <w:tc>
                <w:tcPr>
                  <w:tcW w:w="1269" w:type="dxa"/>
                  <w:vMerge w:val="restart"/>
                  <w:vAlign w:val="center"/>
                </w:tcPr>
                <w:p w14:paraId="1ABF257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
                    </w:rPr>
                    <w:t>28.76</w:t>
                  </w:r>
                </w:p>
              </w:tc>
              <w:tc>
                <w:tcPr>
                  <w:tcW w:w="768" w:type="pct"/>
                  <w:vAlign w:val="center"/>
                </w:tcPr>
                <w:p w14:paraId="320C3AA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昼间55</w:t>
                  </w:r>
                </w:p>
              </w:tc>
              <w:tc>
                <w:tcPr>
                  <w:tcW w:w="768" w:type="pct"/>
                  <w:vAlign w:val="center"/>
                </w:tcPr>
                <w:p w14:paraId="1A3270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达标</w:t>
                  </w:r>
                </w:p>
              </w:tc>
            </w:tr>
            <w:tr w14:paraId="72D7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658B9F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continue"/>
                  <w:vAlign w:val="center"/>
                </w:tcPr>
                <w:p w14:paraId="3862B78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905" w:type="pct"/>
                  <w:vMerge w:val="continue"/>
                  <w:vAlign w:val="center"/>
                </w:tcPr>
                <w:p w14:paraId="3E279A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768" w:type="pct"/>
                  <w:vMerge w:val="continue"/>
                  <w:vAlign w:val="center"/>
                </w:tcPr>
                <w:p w14:paraId="105171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768" w:type="pct"/>
                  <w:vAlign w:val="center"/>
                </w:tcPr>
                <w:p w14:paraId="1F6B0A5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夜间45</w:t>
                  </w:r>
                </w:p>
              </w:tc>
              <w:tc>
                <w:tcPr>
                  <w:tcW w:w="768" w:type="pct"/>
                  <w:vAlign w:val="center"/>
                </w:tcPr>
                <w:p w14:paraId="687886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达标</w:t>
                  </w:r>
                </w:p>
              </w:tc>
            </w:tr>
            <w:tr w14:paraId="7245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61FBEF6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restart"/>
                  <w:vAlign w:val="center"/>
                </w:tcPr>
                <w:p w14:paraId="191C8A8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西侧围墙1m处</w:t>
                  </w:r>
                </w:p>
              </w:tc>
              <w:tc>
                <w:tcPr>
                  <w:tcW w:w="905" w:type="pct"/>
                  <w:vMerge w:val="restart"/>
                  <w:vAlign w:val="center"/>
                </w:tcPr>
                <w:p w14:paraId="76FC23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6.1</w:t>
                  </w:r>
                </w:p>
              </w:tc>
              <w:tc>
                <w:tcPr>
                  <w:tcW w:w="1269" w:type="dxa"/>
                  <w:vMerge w:val="restart"/>
                  <w:vAlign w:val="center"/>
                </w:tcPr>
                <w:p w14:paraId="41E255C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
                    </w:rPr>
                    <w:t>42.3</w:t>
                  </w:r>
                </w:p>
              </w:tc>
              <w:tc>
                <w:tcPr>
                  <w:tcW w:w="1186" w:type="dxa"/>
                  <w:vAlign w:val="center"/>
                </w:tcPr>
                <w:p w14:paraId="2300837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昼间55</w:t>
                  </w:r>
                </w:p>
              </w:tc>
              <w:tc>
                <w:tcPr>
                  <w:tcW w:w="768" w:type="pct"/>
                  <w:vAlign w:val="center"/>
                </w:tcPr>
                <w:p w14:paraId="65BF2D9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达标</w:t>
                  </w:r>
                </w:p>
              </w:tc>
            </w:tr>
            <w:tr w14:paraId="1281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776E9E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continue"/>
                  <w:vAlign w:val="center"/>
                </w:tcPr>
                <w:p w14:paraId="69BA032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905" w:type="pct"/>
                  <w:vMerge w:val="continue"/>
                  <w:vAlign w:val="center"/>
                </w:tcPr>
                <w:p w14:paraId="2017931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768" w:type="pct"/>
                  <w:vMerge w:val="continue"/>
                  <w:vAlign w:val="center"/>
                </w:tcPr>
                <w:p w14:paraId="437180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86" w:type="dxa"/>
                  <w:vAlign w:val="center"/>
                </w:tcPr>
                <w:p w14:paraId="745C082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夜间45</w:t>
                  </w:r>
                </w:p>
              </w:tc>
              <w:tc>
                <w:tcPr>
                  <w:tcW w:w="768" w:type="pct"/>
                  <w:vAlign w:val="center"/>
                </w:tcPr>
                <w:p w14:paraId="09B226A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达标</w:t>
                  </w:r>
                </w:p>
              </w:tc>
            </w:tr>
            <w:tr w14:paraId="4A81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0CBE57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restart"/>
                  <w:vAlign w:val="center"/>
                </w:tcPr>
                <w:p w14:paraId="7D24DA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南侧围墙1m处</w:t>
                  </w:r>
                </w:p>
              </w:tc>
              <w:tc>
                <w:tcPr>
                  <w:tcW w:w="905" w:type="pct"/>
                  <w:vMerge w:val="restart"/>
                  <w:vAlign w:val="center"/>
                </w:tcPr>
                <w:p w14:paraId="09D4EF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65.6</w:t>
                  </w:r>
                </w:p>
              </w:tc>
              <w:tc>
                <w:tcPr>
                  <w:tcW w:w="1269" w:type="dxa"/>
                  <w:vMerge w:val="restart"/>
                  <w:vAlign w:val="center"/>
                </w:tcPr>
                <w:p w14:paraId="4905903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
                    </w:rPr>
                    <w:t>21.67</w:t>
                  </w:r>
                </w:p>
              </w:tc>
              <w:tc>
                <w:tcPr>
                  <w:tcW w:w="1186" w:type="dxa"/>
                  <w:vAlign w:val="center"/>
                </w:tcPr>
                <w:p w14:paraId="757B94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昼间55</w:t>
                  </w:r>
                </w:p>
              </w:tc>
              <w:tc>
                <w:tcPr>
                  <w:tcW w:w="768" w:type="pct"/>
                  <w:vAlign w:val="center"/>
                </w:tcPr>
                <w:p w14:paraId="20F74E3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达标</w:t>
                  </w:r>
                </w:p>
              </w:tc>
            </w:tr>
            <w:tr w14:paraId="6DEA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5972CFD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continue"/>
                  <w:vAlign w:val="center"/>
                </w:tcPr>
                <w:p w14:paraId="249D5E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905" w:type="pct"/>
                  <w:vMerge w:val="continue"/>
                  <w:vAlign w:val="center"/>
                </w:tcPr>
                <w:p w14:paraId="442EE4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768" w:type="pct"/>
                  <w:vMerge w:val="continue"/>
                  <w:vAlign w:val="center"/>
                </w:tcPr>
                <w:p w14:paraId="55FB4EA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86" w:type="dxa"/>
                  <w:vAlign w:val="center"/>
                </w:tcPr>
                <w:p w14:paraId="25051D1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夜间45</w:t>
                  </w:r>
                </w:p>
              </w:tc>
              <w:tc>
                <w:tcPr>
                  <w:tcW w:w="768" w:type="pct"/>
                  <w:vAlign w:val="center"/>
                </w:tcPr>
                <w:p w14:paraId="503A76B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达标</w:t>
                  </w:r>
                </w:p>
              </w:tc>
            </w:tr>
            <w:tr w14:paraId="5173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48F4A7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restart"/>
                  <w:vAlign w:val="center"/>
                </w:tcPr>
                <w:p w14:paraId="6CC6EA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北侧围墙1m处</w:t>
                  </w:r>
                </w:p>
              </w:tc>
              <w:tc>
                <w:tcPr>
                  <w:tcW w:w="905" w:type="pct"/>
                  <w:vMerge w:val="restart"/>
                  <w:vAlign w:val="center"/>
                </w:tcPr>
                <w:p w14:paraId="262B29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39.36</w:t>
                  </w:r>
                </w:p>
              </w:tc>
              <w:tc>
                <w:tcPr>
                  <w:tcW w:w="1269" w:type="dxa"/>
                  <w:vMerge w:val="restart"/>
                  <w:vAlign w:val="center"/>
                </w:tcPr>
                <w:p w14:paraId="60F4F07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26.11</w:t>
                  </w:r>
                </w:p>
              </w:tc>
              <w:tc>
                <w:tcPr>
                  <w:tcW w:w="1186" w:type="dxa"/>
                  <w:vAlign w:val="center"/>
                </w:tcPr>
                <w:p w14:paraId="2FBA175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昼间55</w:t>
                  </w:r>
                </w:p>
              </w:tc>
              <w:tc>
                <w:tcPr>
                  <w:tcW w:w="768" w:type="pct"/>
                  <w:vAlign w:val="center"/>
                </w:tcPr>
                <w:p w14:paraId="111E46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达标</w:t>
                  </w:r>
                </w:p>
              </w:tc>
            </w:tr>
            <w:tr w14:paraId="72B2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2" w:type="pct"/>
                  <w:vMerge w:val="continue"/>
                  <w:vAlign w:val="center"/>
                </w:tcPr>
                <w:p w14:paraId="5BC9EF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17" w:type="pct"/>
                  <w:vMerge w:val="continue"/>
                  <w:vAlign w:val="center"/>
                </w:tcPr>
                <w:p w14:paraId="6CEB78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905" w:type="pct"/>
                  <w:vMerge w:val="continue"/>
                  <w:vAlign w:val="center"/>
                </w:tcPr>
                <w:p w14:paraId="207AF7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768" w:type="pct"/>
                  <w:vMerge w:val="continue"/>
                  <w:vAlign w:val="center"/>
                </w:tcPr>
                <w:p w14:paraId="287225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186" w:type="dxa"/>
                  <w:vAlign w:val="center"/>
                </w:tcPr>
                <w:p w14:paraId="3E0531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夜间45</w:t>
                  </w:r>
                </w:p>
              </w:tc>
              <w:tc>
                <w:tcPr>
                  <w:tcW w:w="768" w:type="pct"/>
                  <w:vAlign w:val="center"/>
                </w:tcPr>
                <w:p w14:paraId="6835CAC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达标</w:t>
                  </w:r>
                </w:p>
              </w:tc>
            </w:tr>
          </w:tbl>
          <w:p w14:paraId="3590D234">
            <w:pPr>
              <w:keepNext w:val="0"/>
              <w:keepLines w:val="0"/>
              <w:suppressLineNumbers w:val="0"/>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由上表可知，升压站建成投运后，升压站围墙外1m处的厂界噪声昼夜噪声最大贡献值为</w:t>
            </w:r>
            <w:r>
              <w:rPr>
                <w:rFonts w:hint="eastAsia" w:ascii="Times New Roman" w:hAnsi="Times New Roman" w:cs="Times New Roman"/>
                <w:color w:val="auto"/>
                <w:highlight w:val="none"/>
                <w:lang w:val="en-US" w:eastAsia="zh-CN"/>
              </w:rPr>
              <w:t>42.3</w:t>
            </w:r>
            <w:r>
              <w:rPr>
                <w:rFonts w:hint="default" w:ascii="Times New Roman" w:hAnsi="Times New Roman" w:cs="Times New Roman"/>
                <w:color w:val="auto"/>
                <w:szCs w:val="21"/>
                <w:highlight w:val="none"/>
              </w:rPr>
              <w:t>dB（A）</w:t>
            </w:r>
            <w:r>
              <w:rPr>
                <w:rFonts w:hint="default" w:ascii="Times New Roman" w:hAnsi="Times New Roman" w:cs="Times New Roman"/>
                <w:color w:val="auto"/>
                <w:highlight w:val="none"/>
              </w:rPr>
              <w:t>满足《工业企业厂界环境噪声排放标准》（GB12348-2008</w:t>
            </w:r>
            <w:r>
              <w:rPr>
                <w:rFonts w:hint="eastAsia" w:cs="Times New Roman"/>
                <w:color w:val="auto"/>
                <w:highlight w:val="none"/>
                <w:lang w:eastAsia="zh-CN"/>
              </w:rPr>
              <w:t>）</w:t>
            </w:r>
            <w:r>
              <w:rPr>
                <w:rFonts w:hint="default" w:ascii="Times New Roman" w:hAnsi="Times New Roman" w:cs="Times New Roman"/>
                <w:color w:val="auto"/>
                <w:highlight w:val="none"/>
              </w:rPr>
              <w:t>1类标准（昼间：55dB(A</w:t>
            </w:r>
            <w:r>
              <w:rPr>
                <w:rFonts w:hint="eastAsia" w:cs="Times New Roman"/>
                <w:color w:val="auto"/>
                <w:highlight w:val="none"/>
                <w:lang w:eastAsia="zh-CN"/>
              </w:rPr>
              <w:t>）</w:t>
            </w:r>
            <w:r>
              <w:rPr>
                <w:rFonts w:hint="default" w:ascii="Times New Roman" w:hAnsi="Times New Roman" w:cs="Times New Roman"/>
                <w:color w:val="auto"/>
                <w:highlight w:val="none"/>
              </w:rPr>
              <w:t>，夜间：45dB(A</w:t>
            </w:r>
            <w:r>
              <w:rPr>
                <w:rFonts w:hint="eastAsia" w:cs="Times New Roman"/>
                <w:color w:val="auto"/>
                <w:highlight w:val="none"/>
                <w:lang w:eastAsia="zh-CN"/>
              </w:rPr>
              <w:t>）</w:t>
            </w:r>
            <w:r>
              <w:rPr>
                <w:rFonts w:hint="default" w:ascii="Times New Roman" w:hAnsi="Times New Roman" w:cs="Times New Roman"/>
                <w:color w:val="auto"/>
                <w:highlight w:val="none"/>
              </w:rPr>
              <w:t>）要求。</w:t>
            </w:r>
          </w:p>
          <w:p w14:paraId="18AA9372">
            <w:pPr>
              <w:keepNext w:val="0"/>
              <w:keepLines w:val="0"/>
              <w:suppressLineNumbers w:val="0"/>
              <w:adjustRightInd w:val="0"/>
              <w:snapToGrid w:val="0"/>
              <w:spacing w:before="0" w:beforeAutospacing="0" w:after="0" w:afterAutospacing="0"/>
              <w:ind w:left="0" w:right="0" w:firstLine="480"/>
              <w:rPr>
                <w:rFonts w:hint="default" w:ascii="Times New Roman" w:hAnsi="Times New Roman" w:cs="Times New Roman"/>
                <w:bCs/>
                <w:color w:val="auto"/>
                <w:szCs w:val="21"/>
                <w:highlight w:val="none"/>
              </w:rPr>
            </w:pPr>
            <w:r>
              <w:rPr>
                <w:rFonts w:hint="eastAsia" w:cs="Times New Roman"/>
                <w:color w:val="auto"/>
                <w:highlight w:val="none"/>
                <w:lang w:val="en-US" w:eastAsia="zh-CN"/>
              </w:rPr>
              <w:t>为进一步保护区域声环境，本项目升压站拟采取下列措施：</w:t>
            </w:r>
            <w:r>
              <w:rPr>
                <w:rFonts w:hint="eastAsia" w:cs="Times New Roman"/>
                <w:bCs/>
                <w:color w:val="auto"/>
                <w:szCs w:val="21"/>
                <w:highlight w:val="none"/>
                <w:lang w:val="en-US" w:eastAsia="zh-CN"/>
              </w:rPr>
              <w:t>①</w:t>
            </w:r>
            <w:r>
              <w:rPr>
                <w:rFonts w:hint="default" w:ascii="Times New Roman" w:hAnsi="Times New Roman" w:cs="Times New Roman"/>
                <w:bCs/>
                <w:color w:val="auto"/>
                <w:szCs w:val="21"/>
                <w:highlight w:val="none"/>
              </w:rPr>
              <w:t>选用低噪声设备，合理布置箱式变压器</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②</w:t>
            </w:r>
            <w:r>
              <w:rPr>
                <w:rFonts w:hint="default" w:ascii="Times New Roman" w:hAnsi="Times New Roman" w:cs="Times New Roman"/>
                <w:bCs/>
                <w:color w:val="auto"/>
                <w:szCs w:val="21"/>
                <w:highlight w:val="none"/>
              </w:rPr>
              <w:t>升压站主变安装减振设施</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③</w:t>
            </w:r>
            <w:r>
              <w:rPr>
                <w:rFonts w:hint="default" w:ascii="Times New Roman" w:hAnsi="Times New Roman" w:cs="Times New Roman"/>
                <w:bCs/>
                <w:color w:val="auto"/>
                <w:szCs w:val="21"/>
                <w:highlight w:val="none"/>
              </w:rPr>
              <w:t>设置围墙</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④</w:t>
            </w:r>
            <w:r>
              <w:rPr>
                <w:rFonts w:hint="default" w:ascii="Times New Roman" w:hAnsi="Times New Roman" w:cs="Times New Roman"/>
                <w:bCs/>
                <w:color w:val="auto"/>
                <w:szCs w:val="21"/>
                <w:highlight w:val="none"/>
              </w:rPr>
              <w:t>周边种植绿化带。</w:t>
            </w:r>
          </w:p>
          <w:p w14:paraId="4FBC361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highlight w:val="none"/>
              </w:rPr>
              <w:t>升压站周围200m内无声环境保护目标，</w:t>
            </w:r>
            <w:r>
              <w:rPr>
                <w:rFonts w:hint="eastAsia" w:cs="Times New Roman"/>
                <w:color w:val="auto"/>
                <w:highlight w:val="none"/>
                <w:lang w:val="en-US" w:eastAsia="zh-CN"/>
              </w:rPr>
              <w:t>在采取上述措施后，</w:t>
            </w:r>
            <w:r>
              <w:rPr>
                <w:rFonts w:hint="default" w:ascii="Times New Roman" w:hAnsi="Times New Roman" w:cs="Times New Roman"/>
                <w:color w:val="auto"/>
                <w:highlight w:val="none"/>
              </w:rPr>
              <w:t>项目升压站设备噪声经过距离衰减后会对声环境质量影响不大。</w:t>
            </w:r>
          </w:p>
          <w:p w14:paraId="52889701">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4.3.6 </w:t>
            </w:r>
            <w:r>
              <w:rPr>
                <w:rFonts w:hint="default" w:ascii="Times New Roman" w:hAnsi="Times New Roman" w:eastAsia="仿宋" w:cs="Times New Roman"/>
                <w:b/>
                <w:bCs/>
                <w:color w:val="auto"/>
                <w:sz w:val="24"/>
                <w:szCs w:val="24"/>
                <w:highlight w:val="none"/>
                <w:lang w:val="en-US" w:eastAsia="zh-CN"/>
              </w:rPr>
              <w:t>固废影响分析</w:t>
            </w:r>
          </w:p>
          <w:p w14:paraId="71AFFC2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项目产生的固废为</w:t>
            </w:r>
            <w:bookmarkStart w:id="9" w:name="_Hlk104211741"/>
            <w:r>
              <w:rPr>
                <w:rFonts w:hint="default" w:ascii="Times New Roman" w:hAnsi="Times New Roman" w:eastAsia="仿宋" w:cs="Times New Roman"/>
                <w:color w:val="auto"/>
                <w:sz w:val="24"/>
                <w:szCs w:val="24"/>
                <w:highlight w:val="none"/>
                <w:lang w:val="en-US" w:eastAsia="zh-CN"/>
              </w:rPr>
              <w:t>一般固废、危险废物及生活垃圾。</w:t>
            </w:r>
            <w:bookmarkEnd w:id="9"/>
          </w:p>
          <w:p w14:paraId="61756CF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①一般固废</w:t>
            </w:r>
          </w:p>
          <w:p w14:paraId="38A5050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bookmarkStart w:id="10" w:name="_Hlk104212000"/>
            <w:r>
              <w:rPr>
                <w:rFonts w:hint="default" w:ascii="Times New Roman" w:hAnsi="Times New Roman" w:eastAsia="仿宋" w:cs="Times New Roman"/>
                <w:color w:val="auto"/>
                <w:sz w:val="24"/>
                <w:szCs w:val="24"/>
                <w:highlight w:val="none"/>
                <w:lang w:val="en-US" w:eastAsia="zh-CN"/>
              </w:rPr>
              <w:t>A.废光伏组件</w:t>
            </w:r>
          </w:p>
          <w:p w14:paraId="52C2AFA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根据《国家危险废物名录（2025年版）》，太阳能废光伏</w:t>
            </w:r>
            <w:r>
              <w:rPr>
                <w:rFonts w:hint="eastAsia" w:cs="Times New Roman"/>
                <w:color w:val="auto"/>
                <w:sz w:val="24"/>
                <w:szCs w:val="24"/>
                <w:highlight w:val="none"/>
                <w:lang w:val="en-US" w:eastAsia="zh-CN"/>
              </w:rPr>
              <w:t>板</w:t>
            </w:r>
            <w:r>
              <w:rPr>
                <w:rFonts w:hint="default" w:ascii="Times New Roman" w:hAnsi="Times New Roman" w:eastAsia="仿宋" w:cs="Times New Roman"/>
                <w:color w:val="auto"/>
                <w:sz w:val="24"/>
                <w:szCs w:val="24"/>
                <w:highlight w:val="none"/>
                <w:lang w:val="en-US" w:eastAsia="zh-CN"/>
              </w:rPr>
              <w:t>不属于名录中所列的危险废物。</w:t>
            </w:r>
            <w:bookmarkEnd w:id="10"/>
            <w:r>
              <w:rPr>
                <w:rFonts w:hint="default" w:ascii="Times New Roman" w:hAnsi="Times New Roman" w:eastAsia="仿宋" w:cs="Times New Roman"/>
                <w:color w:val="auto"/>
                <w:sz w:val="24"/>
                <w:szCs w:val="24"/>
                <w:highlight w:val="none"/>
                <w:lang w:val="en-US" w:eastAsia="zh-CN"/>
              </w:rPr>
              <w:t>太阳能电池采用的材料是晶体硅，硅电池片所含主要化学成分有Si、P和B，硅电池中晶体Si纯度为6个9（6N）以上的高纯硅材料，即纯度为99.9999%以上的硅材料。Si、P和B均以晶体形式存在，不具有腐蚀性、易燃性、毒性、反应性和感染性的危险特性。因此，本项目所使用的太阳能电池板报废后属于一般工业固体废物，不属于危险废物。</w:t>
            </w:r>
          </w:p>
          <w:p w14:paraId="4FF4A81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正常情况下，多晶硅电池板的寿命不低于15年，最长25年左右，报废周期较长。本光伏电站共用太阳能电池板283920块，每块重量约33.1kg，共9398t。则在设计寿命25年内产生的废旧光伏组件总量约9398t。一般情况下，运行期间不会产生大量电池板损坏现象。少部分电池板可能受外界因素影响会产生废光伏板，损坏量很少</w:t>
            </w:r>
            <w:bookmarkStart w:id="11" w:name="_Hlk104211858"/>
            <w:r>
              <w:rPr>
                <w:rFonts w:hint="default" w:ascii="Times New Roman" w:hAnsi="Times New Roman" w:eastAsia="仿宋" w:cs="Times New Roman"/>
                <w:color w:val="auto"/>
                <w:sz w:val="24"/>
                <w:szCs w:val="24"/>
                <w:highlight w:val="none"/>
                <w:lang w:val="en-US" w:eastAsia="zh-CN"/>
              </w:rPr>
              <w:t>。根据咨询建设单位，破损电池板由材料供应商直接更换并带走处置，站内工作人员不擅自进行处理。</w:t>
            </w:r>
          </w:p>
          <w:bookmarkEnd w:id="11"/>
          <w:p w14:paraId="5D0B036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B.化粪池污泥</w:t>
            </w:r>
          </w:p>
          <w:p w14:paraId="7F8C8E3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仿宋" w:cs="Times New Roman"/>
                <w:color w:val="auto"/>
                <w:szCs w:val="22"/>
                <w:highlight w:val="none"/>
                <w:lang w:val="en-US"/>
              </w:rPr>
            </w:pPr>
            <w:r>
              <w:rPr>
                <w:rFonts w:hint="default" w:ascii="Times New Roman" w:hAnsi="Times New Roman" w:eastAsia="仿宋" w:cs="Times New Roman"/>
                <w:color w:val="auto"/>
                <w:szCs w:val="22"/>
                <w:highlight w:val="none"/>
                <w:lang w:val="en-US" w:eastAsia="zh-CN"/>
              </w:rPr>
              <w:t>升压站工作人员每人每天污泥产生量为0.5L，则污泥产生量为1.64t/年（含水率95%）。清掏周期以1次/年计，委托当地环卫部门处置。</w:t>
            </w:r>
          </w:p>
          <w:p w14:paraId="055A119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②危险废物</w:t>
            </w:r>
          </w:p>
          <w:p w14:paraId="40B9019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本项目危险废物主要为35kV箱变、主变压器、无功补偿装置SVG检修产生的检修废油以及废铅蓄电池等。</w:t>
            </w:r>
          </w:p>
          <w:p w14:paraId="3AAC207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A.老化变压器油、检修废油</w:t>
            </w:r>
          </w:p>
          <w:p w14:paraId="4457D39D">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项目2台主变总储油量约为</w:t>
            </w:r>
            <w:r>
              <w:rPr>
                <w:rFonts w:hint="eastAsia" w:cs="Times New Roman"/>
                <w:color w:val="auto"/>
                <w:sz w:val="24"/>
                <w:szCs w:val="24"/>
                <w:highlight w:val="none"/>
                <w:lang w:val="en-US" w:eastAsia="zh-CN"/>
              </w:rPr>
              <w:t>70</w:t>
            </w:r>
            <w:r>
              <w:rPr>
                <w:rFonts w:hint="default" w:ascii="Times New Roman" w:hAnsi="Times New Roman" w:eastAsia="仿宋" w:cs="Times New Roman"/>
                <w:color w:val="auto"/>
                <w:sz w:val="24"/>
                <w:szCs w:val="24"/>
                <w:highlight w:val="none"/>
                <w:lang w:val="en-US" w:eastAsia="zh-CN"/>
              </w:rPr>
              <w:t>t</w:t>
            </w:r>
            <w:r>
              <w:rPr>
                <w:rFonts w:hint="eastAsia"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en-US" w:eastAsia="zh-CN"/>
              </w:rPr>
              <w:t>52个箱式变压器，每个箱式变压器内存储1.</w:t>
            </w:r>
            <w:r>
              <w:rPr>
                <w:rFonts w:hint="eastAsia" w:cs="Times New Roman"/>
                <w:color w:val="auto"/>
                <w:sz w:val="24"/>
                <w:szCs w:val="24"/>
                <w:highlight w:val="none"/>
                <w:lang w:val="en-US" w:eastAsia="zh-CN"/>
              </w:rPr>
              <w:t>16</w:t>
            </w:r>
            <w:r>
              <w:rPr>
                <w:rFonts w:hint="default" w:ascii="Times New Roman" w:hAnsi="Times New Roman" w:eastAsia="仿宋" w:cs="Times New Roman"/>
                <w:color w:val="auto"/>
                <w:sz w:val="24"/>
                <w:szCs w:val="24"/>
                <w:highlight w:val="none"/>
                <w:lang w:val="en-US" w:eastAsia="zh-CN"/>
              </w:rPr>
              <w:t>t（1.3m</w:t>
            </w:r>
            <w:r>
              <w:rPr>
                <w:rFonts w:hint="default" w:ascii="Times New Roman" w:hAnsi="Times New Roman" w:eastAsia="仿宋" w:cs="Times New Roman"/>
                <w:color w:val="auto"/>
                <w:sz w:val="24"/>
                <w:szCs w:val="24"/>
                <w:highlight w:val="none"/>
                <w:vertAlign w:val="superscript"/>
                <w:lang w:val="en-US" w:eastAsia="zh-CN"/>
              </w:rPr>
              <w:t>3</w:t>
            </w:r>
            <w:r>
              <w:rPr>
                <w:rFonts w:hint="default" w:ascii="Times New Roman" w:hAnsi="Times New Roman" w:eastAsia="仿宋" w:cs="Times New Roman"/>
                <w:color w:val="auto"/>
                <w:sz w:val="24"/>
                <w:szCs w:val="24"/>
                <w:highlight w:val="none"/>
                <w:lang w:val="en-US" w:eastAsia="zh-CN"/>
              </w:rPr>
              <w:t>）变压器油</w:t>
            </w:r>
            <w:r>
              <w:rPr>
                <w:rFonts w:hint="eastAsia" w:cs="Times New Roman"/>
                <w:color w:val="auto"/>
                <w:sz w:val="24"/>
                <w:szCs w:val="24"/>
                <w:highlight w:val="none"/>
                <w:lang w:val="en-US" w:eastAsia="zh-CN"/>
              </w:rPr>
              <w:t>，共计60.32t</w:t>
            </w:r>
            <w:r>
              <w:rPr>
                <w:rFonts w:hint="default" w:ascii="Times New Roman" w:hAnsi="Times New Roman" w:eastAsia="仿宋" w:cs="Times New Roman"/>
                <w:color w:val="auto"/>
                <w:sz w:val="24"/>
                <w:szCs w:val="24"/>
                <w:highlight w:val="none"/>
                <w:lang w:val="en-US" w:eastAsia="zh-CN"/>
              </w:rPr>
              <w:t>。本项目主变正常运营情况下，变压器油通常无需更换，当经过检测变压器油性能不能满足运行需求将会进行更换，老化变压器油委托有资质的单位回收处置，不在升压站内存放。</w:t>
            </w:r>
          </w:p>
          <w:p w14:paraId="08BBF9D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此外，项目部分设备在维修状态下，也会产生少量的检修废油，产生量约0.05t/a。检修废油经桶装收集后暂存于升压站危废暂存间内，定期</w:t>
            </w:r>
            <w:r>
              <w:rPr>
                <w:rFonts w:hint="eastAsia" w:cs="Times New Roman"/>
                <w:color w:val="auto"/>
                <w:sz w:val="24"/>
                <w:szCs w:val="24"/>
                <w:highlight w:val="none"/>
                <w:lang w:val="en-US" w:eastAsia="zh-CN"/>
              </w:rPr>
              <w:t>交由</w:t>
            </w:r>
            <w:r>
              <w:rPr>
                <w:rFonts w:hint="default" w:ascii="Times New Roman" w:hAnsi="Times New Roman" w:eastAsia="仿宋" w:cs="Times New Roman"/>
                <w:color w:val="auto"/>
                <w:sz w:val="24"/>
                <w:szCs w:val="24"/>
                <w:highlight w:val="none"/>
                <w:lang w:val="en-US" w:eastAsia="zh-CN"/>
              </w:rPr>
              <w:t>资质单位处置。</w:t>
            </w:r>
          </w:p>
          <w:p w14:paraId="34CEDAF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根据《国家危险废物名录（2025年版）》，检修废油为HW08 900-218-08类危险废物，废变压器油为HW08-900-220-08类危险废物。</w:t>
            </w:r>
          </w:p>
          <w:p w14:paraId="0633036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B.废铅蓄电池</w:t>
            </w:r>
          </w:p>
          <w:p w14:paraId="5689D33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升压站内需要使用废铅蓄电池，铅酸蓄电池需不定时更换，更换量约0.1t/a。根据《国家危险废物名录（2025年版）》，废铅蓄电池为危险废物，废物类别为HW31含铅废物，废物代码900-052-31，经收集暂存至危废贮存库暂存内，定期委托有资质单位清运处置。</w:t>
            </w:r>
          </w:p>
          <w:p w14:paraId="64D2430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③生活垃圾</w:t>
            </w:r>
          </w:p>
          <w:p w14:paraId="34C29E1B">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本项目劳动定员为9人，员工均在项目内食宿，生活垃圾产生量以1kg/（人·d）计，则生活垃圾产生量约为9kg/d，年</w:t>
            </w:r>
            <w:bookmarkStart w:id="12" w:name="_Hlk105753321"/>
            <w:r>
              <w:rPr>
                <w:rFonts w:hint="default" w:ascii="Times New Roman" w:hAnsi="Times New Roman" w:eastAsia="仿宋" w:cs="Times New Roman"/>
                <w:color w:val="auto"/>
                <w:sz w:val="24"/>
                <w:szCs w:val="24"/>
                <w:highlight w:val="none"/>
                <w:lang w:val="en-US" w:eastAsia="zh-CN"/>
              </w:rPr>
              <w:t>产生量为3.285t/a。</w:t>
            </w:r>
            <w:bookmarkEnd w:id="12"/>
            <w:r>
              <w:rPr>
                <w:rFonts w:hint="default" w:ascii="Times New Roman" w:hAnsi="Times New Roman" w:eastAsia="仿宋" w:cs="Times New Roman"/>
                <w:color w:val="auto"/>
                <w:sz w:val="24"/>
                <w:szCs w:val="24"/>
                <w:highlight w:val="none"/>
                <w:lang w:val="en-US" w:eastAsia="zh-CN"/>
              </w:rPr>
              <w:t>生活垃圾统一收集后运至迤车镇生活垃圾处置</w:t>
            </w:r>
            <w:r>
              <w:rPr>
                <w:rFonts w:hint="eastAsia" w:cs="Times New Roman"/>
                <w:color w:val="auto"/>
                <w:sz w:val="24"/>
                <w:szCs w:val="24"/>
                <w:highlight w:val="none"/>
                <w:lang w:val="en-US" w:eastAsia="zh-CN"/>
              </w:rPr>
              <w:t>处进行</w:t>
            </w:r>
            <w:r>
              <w:rPr>
                <w:rFonts w:hint="default" w:ascii="Times New Roman" w:hAnsi="Times New Roman" w:eastAsia="仿宋" w:cs="Times New Roman"/>
                <w:color w:val="auto"/>
                <w:sz w:val="24"/>
                <w:szCs w:val="24"/>
                <w:highlight w:val="none"/>
                <w:lang w:val="en-US" w:eastAsia="zh-CN"/>
              </w:rPr>
              <w:t>集中处置。</w:t>
            </w:r>
          </w:p>
          <w:p w14:paraId="001D86E7">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表</w:t>
            </w:r>
            <w:r>
              <w:rPr>
                <w:rFonts w:hint="eastAsia" w:cs="Times New Roman"/>
                <w:color w:val="auto"/>
                <w:sz w:val="21"/>
                <w:szCs w:val="21"/>
                <w:highlight w:val="none"/>
                <w:lang w:val="en-US" w:eastAsia="zh-CN"/>
              </w:rPr>
              <w:t xml:space="preserve">4.3-5 </w:t>
            </w:r>
            <w:r>
              <w:rPr>
                <w:rFonts w:hint="default" w:ascii="Times New Roman" w:hAnsi="Times New Roman" w:eastAsia="仿宋" w:cs="Times New Roman"/>
                <w:color w:val="auto"/>
                <w:sz w:val="21"/>
                <w:szCs w:val="21"/>
                <w:highlight w:val="none"/>
              </w:rPr>
              <w:t>项目固体废弃物产排情况一览表</w:t>
            </w:r>
          </w:p>
          <w:tbl>
            <w:tblPr>
              <w:tblStyle w:val="1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 w:type="dxa"/>
                <w:bottom w:w="0" w:type="dxa"/>
                <w:right w:w="11" w:type="dxa"/>
              </w:tblCellMar>
            </w:tblPr>
            <w:tblGrid>
              <w:gridCol w:w="1065"/>
              <w:gridCol w:w="1160"/>
              <w:gridCol w:w="1720"/>
              <w:gridCol w:w="717"/>
              <w:gridCol w:w="830"/>
              <w:gridCol w:w="983"/>
              <w:gridCol w:w="1818"/>
            </w:tblGrid>
            <w:tr w14:paraId="151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2" w:type="pct"/>
                  <w:noWrap w:val="0"/>
                  <w:vAlign w:val="center"/>
                </w:tcPr>
                <w:p w14:paraId="6EF3F7E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产生环节</w:t>
                  </w:r>
                </w:p>
              </w:tc>
              <w:tc>
                <w:tcPr>
                  <w:tcW w:w="699" w:type="pct"/>
                  <w:noWrap w:val="0"/>
                  <w:vAlign w:val="center"/>
                </w:tcPr>
                <w:p w14:paraId="4299BC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名称</w:t>
                  </w:r>
                </w:p>
              </w:tc>
              <w:tc>
                <w:tcPr>
                  <w:tcW w:w="1036" w:type="pct"/>
                  <w:noWrap w:val="0"/>
                  <w:vAlign w:val="center"/>
                </w:tcPr>
                <w:p w14:paraId="54B1569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属性</w:t>
                  </w:r>
                </w:p>
              </w:tc>
              <w:tc>
                <w:tcPr>
                  <w:tcW w:w="432" w:type="pct"/>
                  <w:noWrap w:val="0"/>
                  <w:vAlign w:val="center"/>
                </w:tcPr>
                <w:p w14:paraId="2FBB4D2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物理</w:t>
                  </w:r>
                </w:p>
                <w:p w14:paraId="2D130AB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性状</w:t>
                  </w:r>
                </w:p>
              </w:tc>
              <w:tc>
                <w:tcPr>
                  <w:tcW w:w="500" w:type="pct"/>
                  <w:noWrap w:val="0"/>
                  <w:vAlign w:val="center"/>
                </w:tcPr>
                <w:p w14:paraId="24A2B3C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环境危险特性</w:t>
                  </w:r>
                </w:p>
              </w:tc>
              <w:tc>
                <w:tcPr>
                  <w:tcW w:w="592" w:type="pct"/>
                  <w:noWrap w:val="0"/>
                  <w:vAlign w:val="center"/>
                </w:tcPr>
                <w:p w14:paraId="0572E99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年度产生量t/a</w:t>
                  </w:r>
                </w:p>
              </w:tc>
              <w:tc>
                <w:tcPr>
                  <w:tcW w:w="1095" w:type="pct"/>
                  <w:noWrap w:val="0"/>
                  <w:vAlign w:val="center"/>
                </w:tcPr>
                <w:p w14:paraId="6C5473E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利用处置方式和去向</w:t>
                  </w:r>
                </w:p>
              </w:tc>
            </w:tr>
            <w:tr w14:paraId="5699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noWrap w:val="0"/>
                  <w:vAlign w:val="center"/>
                </w:tcPr>
                <w:p w14:paraId="084118F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设备检修</w:t>
                  </w:r>
                </w:p>
              </w:tc>
              <w:tc>
                <w:tcPr>
                  <w:tcW w:w="699" w:type="pct"/>
                  <w:noWrap w:val="0"/>
                  <w:vAlign w:val="center"/>
                </w:tcPr>
                <w:p w14:paraId="40AFFF3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检修废油</w:t>
                  </w:r>
                </w:p>
              </w:tc>
              <w:tc>
                <w:tcPr>
                  <w:tcW w:w="1036" w:type="pct"/>
                  <w:noWrap w:val="0"/>
                  <w:vAlign w:val="center"/>
                </w:tcPr>
                <w:p w14:paraId="13B37F4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危险废物HW08，900-249-08</w:t>
                  </w:r>
                </w:p>
              </w:tc>
              <w:tc>
                <w:tcPr>
                  <w:tcW w:w="432" w:type="pct"/>
                  <w:noWrap w:val="0"/>
                  <w:vAlign w:val="center"/>
                </w:tcPr>
                <w:p w14:paraId="4F7E790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液态</w:t>
                  </w:r>
                </w:p>
              </w:tc>
              <w:tc>
                <w:tcPr>
                  <w:tcW w:w="500" w:type="pct"/>
                  <w:noWrap w:val="0"/>
                  <w:vAlign w:val="center"/>
                </w:tcPr>
                <w:p w14:paraId="51D37CB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T</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I</w:t>
                  </w:r>
                </w:p>
              </w:tc>
              <w:tc>
                <w:tcPr>
                  <w:tcW w:w="592" w:type="pct"/>
                  <w:noWrap w:val="0"/>
                  <w:vAlign w:val="center"/>
                </w:tcPr>
                <w:p w14:paraId="1C796F4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0.05</w:t>
                  </w:r>
                </w:p>
              </w:tc>
              <w:tc>
                <w:tcPr>
                  <w:tcW w:w="1095" w:type="pct"/>
                  <w:noWrap w:val="0"/>
                  <w:vAlign w:val="center"/>
                </w:tcPr>
                <w:p w14:paraId="60AF402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暂存于危废间，</w:t>
                  </w:r>
                  <w:r>
                    <w:rPr>
                      <w:rFonts w:hint="default" w:ascii="Times New Roman" w:hAnsi="Times New Roman" w:eastAsia="仿宋" w:cs="Times New Roman"/>
                      <w:color w:val="auto"/>
                      <w:sz w:val="21"/>
                      <w:szCs w:val="21"/>
                      <w:highlight w:val="none"/>
                    </w:rPr>
                    <w:t>委托有资质单位定期清运处置</w:t>
                  </w:r>
                </w:p>
              </w:tc>
            </w:tr>
            <w:tr w14:paraId="2A91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noWrap w:val="0"/>
                  <w:vAlign w:val="center"/>
                </w:tcPr>
                <w:p w14:paraId="0CCDCF5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主变压</w:t>
                  </w:r>
                  <w:r>
                    <w:rPr>
                      <w:rFonts w:hint="default" w:ascii="Times New Roman" w:hAnsi="Times New Roman" w:eastAsia="仿宋" w:cs="Times New Roman"/>
                      <w:color w:val="auto"/>
                      <w:sz w:val="21"/>
                      <w:szCs w:val="21"/>
                      <w:highlight w:val="none"/>
                      <w:lang w:val="en-US" w:eastAsia="zh-CN"/>
                    </w:rPr>
                    <w:t>器</w:t>
                  </w:r>
                </w:p>
              </w:tc>
              <w:tc>
                <w:tcPr>
                  <w:tcW w:w="699" w:type="pct"/>
                  <w:noWrap w:val="0"/>
                  <w:vAlign w:val="center"/>
                </w:tcPr>
                <w:p w14:paraId="717DC09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老化</w:t>
                  </w:r>
                  <w:r>
                    <w:rPr>
                      <w:rFonts w:hint="default" w:ascii="Times New Roman" w:hAnsi="Times New Roman" w:eastAsia="仿宋" w:cs="Times New Roman"/>
                      <w:color w:val="auto"/>
                      <w:sz w:val="21"/>
                      <w:szCs w:val="21"/>
                      <w:highlight w:val="none"/>
                    </w:rPr>
                    <w:t>变压器油</w:t>
                  </w:r>
                </w:p>
              </w:tc>
              <w:tc>
                <w:tcPr>
                  <w:tcW w:w="1036" w:type="pct"/>
                  <w:noWrap w:val="0"/>
                  <w:vAlign w:val="center"/>
                </w:tcPr>
                <w:p w14:paraId="08A3DCB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危险废物HW08，</w:t>
                  </w:r>
                  <w:r>
                    <w:rPr>
                      <w:rFonts w:hint="default" w:ascii="Times New Roman" w:hAnsi="Times New Roman" w:eastAsia="仿宋" w:cs="Times New Roman"/>
                      <w:color w:val="auto"/>
                      <w:kern w:val="0"/>
                      <w:sz w:val="21"/>
                      <w:szCs w:val="21"/>
                      <w:highlight w:val="none"/>
                    </w:rPr>
                    <w:t>900-220-08</w:t>
                  </w:r>
                </w:p>
              </w:tc>
              <w:tc>
                <w:tcPr>
                  <w:tcW w:w="432" w:type="pct"/>
                  <w:noWrap w:val="0"/>
                  <w:vAlign w:val="center"/>
                </w:tcPr>
                <w:p w14:paraId="50C4D1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液态</w:t>
                  </w:r>
                </w:p>
              </w:tc>
              <w:tc>
                <w:tcPr>
                  <w:tcW w:w="500" w:type="pct"/>
                  <w:noWrap w:val="0"/>
                  <w:vAlign w:val="center"/>
                </w:tcPr>
                <w:p w14:paraId="676088F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T</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I</w:t>
                  </w:r>
                </w:p>
              </w:tc>
              <w:tc>
                <w:tcPr>
                  <w:tcW w:w="592" w:type="pct"/>
                  <w:noWrap w:val="0"/>
                  <w:vAlign w:val="center"/>
                </w:tcPr>
                <w:p w14:paraId="393C02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7</w:t>
                  </w:r>
                  <w:r>
                    <w:rPr>
                      <w:rFonts w:hint="default" w:ascii="Times New Roman" w:hAnsi="Times New Roman" w:eastAsia="仿宋" w:cs="Times New Roman"/>
                      <w:color w:val="auto"/>
                      <w:sz w:val="21"/>
                      <w:szCs w:val="21"/>
                      <w:highlight w:val="none"/>
                      <w:lang w:val="en-US" w:eastAsia="zh-CN"/>
                    </w:rPr>
                    <w:t>0</w:t>
                  </w:r>
                  <w:r>
                    <w:rPr>
                      <w:rFonts w:hint="default" w:ascii="Times New Roman" w:hAnsi="Times New Roman" w:eastAsia="仿宋" w:cs="Times New Roman"/>
                      <w:color w:val="auto"/>
                      <w:sz w:val="21"/>
                      <w:szCs w:val="21"/>
                      <w:highlight w:val="none"/>
                    </w:rPr>
                    <w:t>t（最大产生量）</w:t>
                  </w:r>
                </w:p>
              </w:tc>
              <w:tc>
                <w:tcPr>
                  <w:tcW w:w="1095" w:type="pct"/>
                  <w:noWrap w:val="0"/>
                  <w:vAlign w:val="center"/>
                </w:tcPr>
                <w:p w14:paraId="3E125E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换油委托</w:t>
                  </w:r>
                  <w:r>
                    <w:rPr>
                      <w:rFonts w:hint="default" w:ascii="Times New Roman" w:hAnsi="Times New Roman" w:eastAsia="仿宋" w:cs="Times New Roman"/>
                      <w:color w:val="auto"/>
                      <w:sz w:val="21"/>
                      <w:szCs w:val="21"/>
                      <w:highlight w:val="none"/>
                    </w:rPr>
                    <w:t>有资质单位</w:t>
                  </w:r>
                  <w:r>
                    <w:rPr>
                      <w:rFonts w:hint="default" w:ascii="Times New Roman" w:hAnsi="Times New Roman" w:eastAsia="仿宋" w:cs="Times New Roman"/>
                      <w:color w:val="auto"/>
                      <w:sz w:val="21"/>
                      <w:szCs w:val="21"/>
                      <w:highlight w:val="none"/>
                      <w:lang w:val="en-US" w:eastAsia="zh-CN"/>
                    </w:rPr>
                    <w:t>进行</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lang w:val="en-US" w:eastAsia="zh-CN"/>
                    </w:rPr>
                    <w:t>不在场内暂存</w:t>
                  </w:r>
                </w:p>
              </w:tc>
            </w:tr>
            <w:tr w14:paraId="4F2C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noWrap w:val="0"/>
                  <w:vAlign w:val="center"/>
                </w:tcPr>
                <w:p w14:paraId="27BDFD6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箱式变压器</w:t>
                  </w:r>
                  <w:r>
                    <w:rPr>
                      <w:rFonts w:hint="default" w:ascii="Times New Roman" w:hAnsi="Times New Roman" w:eastAsia="仿宋" w:cs="Times New Roman"/>
                      <w:color w:val="auto"/>
                      <w:sz w:val="21"/>
                      <w:szCs w:val="21"/>
                      <w:highlight w:val="none"/>
                      <w:lang w:val="en-US" w:eastAsia="zh-CN"/>
                    </w:rPr>
                    <w:t>废</w:t>
                  </w:r>
                  <w:r>
                    <w:rPr>
                      <w:rFonts w:hint="default" w:ascii="Times New Roman" w:hAnsi="Times New Roman" w:eastAsia="仿宋" w:cs="Times New Roman"/>
                      <w:color w:val="auto"/>
                      <w:sz w:val="21"/>
                      <w:szCs w:val="21"/>
                      <w:highlight w:val="none"/>
                    </w:rPr>
                    <w:t>油</w:t>
                  </w:r>
                </w:p>
              </w:tc>
              <w:tc>
                <w:tcPr>
                  <w:tcW w:w="699" w:type="pct"/>
                  <w:noWrap w:val="0"/>
                  <w:vAlign w:val="center"/>
                </w:tcPr>
                <w:p w14:paraId="6B3C1D4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老化</w:t>
                  </w:r>
                  <w:r>
                    <w:rPr>
                      <w:rFonts w:hint="default" w:ascii="Times New Roman" w:hAnsi="Times New Roman" w:eastAsia="仿宋" w:cs="Times New Roman"/>
                      <w:color w:val="auto"/>
                      <w:sz w:val="21"/>
                      <w:szCs w:val="21"/>
                      <w:highlight w:val="none"/>
                    </w:rPr>
                    <w:t>变压器</w:t>
                  </w:r>
                  <w:r>
                    <w:rPr>
                      <w:rFonts w:hint="default" w:ascii="Times New Roman" w:hAnsi="Times New Roman" w:eastAsia="仿宋" w:cs="Times New Roman"/>
                      <w:color w:val="auto"/>
                      <w:sz w:val="21"/>
                      <w:szCs w:val="21"/>
                      <w:highlight w:val="none"/>
                      <w:lang w:val="en-US" w:eastAsia="zh-CN"/>
                    </w:rPr>
                    <w:t>油</w:t>
                  </w:r>
                </w:p>
              </w:tc>
              <w:tc>
                <w:tcPr>
                  <w:tcW w:w="1036" w:type="pct"/>
                  <w:noWrap w:val="0"/>
                  <w:vAlign w:val="center"/>
                </w:tcPr>
                <w:p w14:paraId="5556E1D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危险废物HW08，</w:t>
                  </w:r>
                  <w:r>
                    <w:rPr>
                      <w:rFonts w:hint="default" w:ascii="Times New Roman" w:hAnsi="Times New Roman" w:eastAsia="仿宋" w:cs="Times New Roman"/>
                      <w:color w:val="auto"/>
                      <w:kern w:val="0"/>
                      <w:sz w:val="21"/>
                      <w:szCs w:val="21"/>
                      <w:highlight w:val="none"/>
                    </w:rPr>
                    <w:t>900-220-08</w:t>
                  </w:r>
                </w:p>
              </w:tc>
              <w:tc>
                <w:tcPr>
                  <w:tcW w:w="432" w:type="pct"/>
                  <w:noWrap w:val="0"/>
                  <w:vAlign w:val="center"/>
                </w:tcPr>
                <w:p w14:paraId="02A7BFE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液态</w:t>
                  </w:r>
                </w:p>
              </w:tc>
              <w:tc>
                <w:tcPr>
                  <w:tcW w:w="500" w:type="pct"/>
                  <w:noWrap w:val="0"/>
                  <w:vAlign w:val="center"/>
                </w:tcPr>
                <w:p w14:paraId="0A382FB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T</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I</w:t>
                  </w:r>
                </w:p>
              </w:tc>
              <w:tc>
                <w:tcPr>
                  <w:tcW w:w="592" w:type="pct"/>
                  <w:noWrap w:val="0"/>
                  <w:vAlign w:val="center"/>
                </w:tcPr>
                <w:p w14:paraId="74AA79E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eastAsia" w:cs="Times New Roman"/>
                      <w:color w:val="auto"/>
                      <w:sz w:val="21"/>
                      <w:szCs w:val="21"/>
                      <w:highlight w:val="none"/>
                      <w:lang w:val="en-US" w:eastAsia="zh-CN"/>
                    </w:rPr>
                    <w:t>60.32</w:t>
                  </w:r>
                  <w:r>
                    <w:rPr>
                      <w:rFonts w:hint="default" w:ascii="Times New Roman" w:hAnsi="Times New Roman" w:eastAsia="仿宋" w:cs="Times New Roman"/>
                      <w:color w:val="auto"/>
                      <w:sz w:val="21"/>
                      <w:szCs w:val="21"/>
                      <w:highlight w:val="none"/>
                    </w:rPr>
                    <w:t>t（</w:t>
                  </w:r>
                  <w:r>
                    <w:rPr>
                      <w:rFonts w:hint="default" w:ascii="Times New Roman" w:hAnsi="Times New Roman" w:eastAsia="仿宋" w:cs="Times New Roman"/>
                      <w:color w:val="auto"/>
                      <w:sz w:val="21"/>
                      <w:szCs w:val="21"/>
                      <w:highlight w:val="none"/>
                      <w:lang w:val="en-US" w:eastAsia="zh-CN"/>
                    </w:rPr>
                    <w:t>52</w:t>
                  </w:r>
                  <w:r>
                    <w:rPr>
                      <w:rFonts w:hint="default" w:ascii="Times New Roman" w:hAnsi="Times New Roman" w:eastAsia="仿宋" w:cs="Times New Roman"/>
                      <w:color w:val="auto"/>
                      <w:sz w:val="21"/>
                      <w:szCs w:val="21"/>
                      <w:highlight w:val="none"/>
                    </w:rPr>
                    <w:t>个箱变合计最大排油量）</w:t>
                  </w:r>
                </w:p>
              </w:tc>
              <w:tc>
                <w:tcPr>
                  <w:tcW w:w="1095" w:type="pct"/>
                  <w:noWrap w:val="0"/>
                  <w:vAlign w:val="center"/>
                </w:tcPr>
                <w:p w14:paraId="069A174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换油委托</w:t>
                  </w:r>
                  <w:r>
                    <w:rPr>
                      <w:rFonts w:hint="default" w:ascii="Times New Roman" w:hAnsi="Times New Roman" w:eastAsia="仿宋" w:cs="Times New Roman"/>
                      <w:color w:val="auto"/>
                      <w:sz w:val="21"/>
                      <w:szCs w:val="21"/>
                      <w:highlight w:val="none"/>
                    </w:rPr>
                    <w:t>有资质单位清理处置</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lang w:val="en-US" w:eastAsia="zh-CN"/>
                    </w:rPr>
                    <w:t>不在场内暂存</w:t>
                  </w:r>
                </w:p>
              </w:tc>
            </w:tr>
            <w:tr w14:paraId="02BD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noWrap w:val="0"/>
                  <w:vAlign w:val="center"/>
                </w:tcPr>
                <w:p w14:paraId="13EBBB1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w:t>
                  </w:r>
                </w:p>
              </w:tc>
              <w:tc>
                <w:tcPr>
                  <w:tcW w:w="699" w:type="pct"/>
                  <w:noWrap w:val="0"/>
                  <w:vAlign w:val="center"/>
                </w:tcPr>
                <w:p w14:paraId="3A6E558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废</w:t>
                  </w:r>
                  <w:r>
                    <w:rPr>
                      <w:rFonts w:hint="default" w:ascii="Times New Roman" w:hAnsi="Times New Roman" w:eastAsia="仿宋" w:cs="Times New Roman"/>
                      <w:color w:val="auto"/>
                      <w:sz w:val="21"/>
                      <w:szCs w:val="21"/>
                      <w:highlight w:val="none"/>
                      <w:lang w:val="en-US" w:eastAsia="zh-CN"/>
                    </w:rPr>
                    <w:t>铅酸</w:t>
                  </w:r>
                  <w:r>
                    <w:rPr>
                      <w:rFonts w:hint="default" w:ascii="Times New Roman" w:hAnsi="Times New Roman" w:eastAsia="仿宋" w:cs="Times New Roman"/>
                      <w:color w:val="auto"/>
                      <w:sz w:val="21"/>
                      <w:szCs w:val="21"/>
                      <w:highlight w:val="none"/>
                    </w:rPr>
                    <w:t>蓄电池</w:t>
                  </w:r>
                </w:p>
              </w:tc>
              <w:tc>
                <w:tcPr>
                  <w:tcW w:w="1036" w:type="pct"/>
                  <w:noWrap w:val="0"/>
                  <w:vAlign w:val="center"/>
                </w:tcPr>
                <w:p w14:paraId="4568630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危险废物</w:t>
                  </w:r>
                </w:p>
                <w:p w14:paraId="53408A2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HW31</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900-052-31</w:t>
                  </w:r>
                </w:p>
              </w:tc>
              <w:tc>
                <w:tcPr>
                  <w:tcW w:w="432" w:type="pct"/>
                  <w:noWrap w:val="0"/>
                  <w:vAlign w:val="center"/>
                </w:tcPr>
                <w:p w14:paraId="2CB1373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固态</w:t>
                  </w:r>
                </w:p>
              </w:tc>
              <w:tc>
                <w:tcPr>
                  <w:tcW w:w="500" w:type="pct"/>
                  <w:noWrap w:val="0"/>
                  <w:vAlign w:val="center"/>
                </w:tcPr>
                <w:p w14:paraId="2C5FBD9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T</w:t>
                  </w:r>
                  <w:r>
                    <w:rPr>
                      <w:rFonts w:hint="default" w:ascii="Times New Roman" w:hAnsi="Times New Roman"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C</w:t>
                  </w:r>
                </w:p>
              </w:tc>
              <w:tc>
                <w:tcPr>
                  <w:tcW w:w="592" w:type="pct"/>
                  <w:noWrap w:val="0"/>
                  <w:vAlign w:val="center"/>
                </w:tcPr>
                <w:p w14:paraId="46E4CEC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0.</w:t>
                  </w:r>
                  <w:r>
                    <w:rPr>
                      <w:rFonts w:hint="default" w:ascii="Times New Roman" w:hAnsi="Times New Roman" w:eastAsia="仿宋" w:cs="Times New Roman"/>
                      <w:color w:val="auto"/>
                      <w:sz w:val="21"/>
                      <w:szCs w:val="21"/>
                      <w:highlight w:val="none"/>
                      <w:lang w:val="en-US" w:eastAsia="zh-CN"/>
                    </w:rPr>
                    <w:t>1</w:t>
                  </w:r>
                  <w:r>
                    <w:rPr>
                      <w:rFonts w:hint="default" w:ascii="Times New Roman" w:hAnsi="Times New Roman" w:eastAsia="仿宋" w:cs="Times New Roman"/>
                      <w:color w:val="auto"/>
                      <w:sz w:val="21"/>
                      <w:szCs w:val="21"/>
                      <w:highlight w:val="none"/>
                    </w:rPr>
                    <w:t>t/次（约5年更换一次）</w:t>
                  </w:r>
                </w:p>
              </w:tc>
              <w:tc>
                <w:tcPr>
                  <w:tcW w:w="1095" w:type="pct"/>
                  <w:noWrap w:val="0"/>
                  <w:vAlign w:val="center"/>
                </w:tcPr>
                <w:p w14:paraId="7C8353B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暂存于升压站内危废暂存间分区存放，委托有资质单位清运、处理。</w:t>
                  </w:r>
                </w:p>
              </w:tc>
            </w:tr>
            <w:tr w14:paraId="718E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shd w:val="clear" w:color="auto" w:fill="auto"/>
                  <w:noWrap w:val="0"/>
                  <w:vAlign w:val="center"/>
                </w:tcPr>
                <w:p w14:paraId="7B0F5C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化粪池</w:t>
                  </w:r>
                </w:p>
              </w:tc>
              <w:tc>
                <w:tcPr>
                  <w:tcW w:w="699" w:type="pct"/>
                  <w:shd w:val="clear" w:color="auto" w:fill="auto"/>
                  <w:noWrap w:val="0"/>
                  <w:vAlign w:val="center"/>
                </w:tcPr>
                <w:p w14:paraId="78CF263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0"/>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SA"/>
                    </w:rPr>
                    <w:t>污泥</w:t>
                  </w:r>
                </w:p>
              </w:tc>
              <w:tc>
                <w:tcPr>
                  <w:tcW w:w="1036" w:type="pct"/>
                  <w:shd w:val="clear" w:color="auto" w:fill="auto"/>
                  <w:noWrap w:val="0"/>
                  <w:vAlign w:val="center"/>
                </w:tcPr>
                <w:p w14:paraId="240488D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0"/>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SA"/>
                    </w:rPr>
                    <w:t>一般固废</w:t>
                  </w:r>
                </w:p>
              </w:tc>
              <w:tc>
                <w:tcPr>
                  <w:tcW w:w="432" w:type="pct"/>
                  <w:shd w:val="clear" w:color="auto" w:fill="auto"/>
                  <w:noWrap w:val="0"/>
                  <w:vAlign w:val="center"/>
                </w:tcPr>
                <w:p w14:paraId="281F057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液态</w:t>
                  </w:r>
                </w:p>
              </w:tc>
              <w:tc>
                <w:tcPr>
                  <w:tcW w:w="500" w:type="pct"/>
                  <w:shd w:val="clear" w:color="auto" w:fill="auto"/>
                  <w:noWrap w:val="0"/>
                  <w:vAlign w:val="center"/>
                </w:tcPr>
                <w:p w14:paraId="3167938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592" w:type="pct"/>
                  <w:shd w:val="clear" w:color="auto" w:fill="auto"/>
                  <w:noWrap w:val="0"/>
                  <w:vAlign w:val="center"/>
                </w:tcPr>
                <w:p w14:paraId="0BC42B5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1.64</w:t>
                  </w:r>
                </w:p>
              </w:tc>
              <w:tc>
                <w:tcPr>
                  <w:tcW w:w="1095" w:type="pct"/>
                  <w:shd w:val="clear" w:color="auto" w:fill="auto"/>
                  <w:noWrap w:val="0"/>
                  <w:vAlign w:val="center"/>
                </w:tcPr>
                <w:p w14:paraId="014B3E3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委托环卫部门处置</w:t>
                  </w:r>
                </w:p>
              </w:tc>
            </w:tr>
            <w:tr w14:paraId="004C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noWrap w:val="0"/>
                  <w:vAlign w:val="center"/>
                </w:tcPr>
                <w:p w14:paraId="617A857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员工</w:t>
                  </w:r>
                </w:p>
              </w:tc>
              <w:tc>
                <w:tcPr>
                  <w:tcW w:w="699" w:type="pct"/>
                  <w:noWrap w:val="0"/>
                  <w:vAlign w:val="center"/>
                </w:tcPr>
                <w:p w14:paraId="2B52EE1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生活垃圾</w:t>
                  </w:r>
                </w:p>
              </w:tc>
              <w:tc>
                <w:tcPr>
                  <w:tcW w:w="1036" w:type="pct"/>
                  <w:noWrap w:val="0"/>
                  <w:vAlign w:val="center"/>
                </w:tcPr>
                <w:p w14:paraId="1C0BBDC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生活垃圾</w:t>
                  </w:r>
                </w:p>
              </w:tc>
              <w:tc>
                <w:tcPr>
                  <w:tcW w:w="432" w:type="pct"/>
                  <w:noWrap w:val="0"/>
                  <w:vAlign w:val="center"/>
                </w:tcPr>
                <w:p w14:paraId="71A7000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w:t>
                  </w:r>
                </w:p>
              </w:tc>
              <w:tc>
                <w:tcPr>
                  <w:tcW w:w="500" w:type="pct"/>
                  <w:noWrap w:val="0"/>
                  <w:vAlign w:val="center"/>
                </w:tcPr>
                <w:p w14:paraId="715388C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w:t>
                  </w:r>
                </w:p>
              </w:tc>
              <w:tc>
                <w:tcPr>
                  <w:tcW w:w="592" w:type="pct"/>
                  <w:noWrap w:val="0"/>
                  <w:vAlign w:val="center"/>
                </w:tcPr>
                <w:p w14:paraId="1727C0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lang w:val="en-US" w:eastAsia="zh-CN"/>
                    </w:rPr>
                  </w:pPr>
                  <w:r>
                    <w:rPr>
                      <w:rFonts w:hint="default" w:ascii="Times New Roman" w:hAnsi="Times New Roman" w:eastAsia="仿宋" w:cs="Times New Roman"/>
                      <w:snapToGrid w:val="0"/>
                      <w:color w:val="auto"/>
                      <w:sz w:val="21"/>
                      <w:szCs w:val="21"/>
                      <w:highlight w:val="none"/>
                      <w:lang w:val="en-US" w:eastAsia="zh-CN"/>
                    </w:rPr>
                    <w:t>3.285</w:t>
                  </w:r>
                </w:p>
              </w:tc>
              <w:tc>
                <w:tcPr>
                  <w:tcW w:w="1095" w:type="pct"/>
                  <w:noWrap w:val="0"/>
                  <w:vAlign w:val="center"/>
                </w:tcPr>
                <w:p w14:paraId="35C37C9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color w:val="auto"/>
                      <w:sz w:val="21"/>
                      <w:szCs w:val="21"/>
                      <w:highlight w:val="none"/>
                    </w:rPr>
                    <w:t>统一收集后运至</w:t>
                  </w:r>
                  <w:r>
                    <w:rPr>
                      <w:rFonts w:hint="default" w:ascii="Times New Roman" w:hAnsi="Times New Roman" w:eastAsia="仿宋" w:cs="Times New Roman"/>
                      <w:color w:val="auto"/>
                      <w:sz w:val="21"/>
                      <w:szCs w:val="21"/>
                      <w:highlight w:val="none"/>
                      <w:lang w:val="en-US" w:eastAsia="zh-CN"/>
                    </w:rPr>
                    <w:t>迤车</w:t>
                  </w:r>
                  <w:r>
                    <w:rPr>
                      <w:rFonts w:hint="default" w:ascii="Times New Roman" w:hAnsi="Times New Roman" w:eastAsia="仿宋" w:cs="Times New Roman"/>
                      <w:color w:val="auto"/>
                      <w:sz w:val="21"/>
                      <w:szCs w:val="21"/>
                      <w:highlight w:val="none"/>
                    </w:rPr>
                    <w:t>镇生活垃圾处置点集中处置</w:t>
                  </w:r>
                </w:p>
              </w:tc>
            </w:tr>
            <w:tr w14:paraId="5C09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jc w:val="center"/>
              </w:trPr>
              <w:tc>
                <w:tcPr>
                  <w:tcW w:w="642" w:type="pct"/>
                  <w:noWrap w:val="0"/>
                  <w:vAlign w:val="center"/>
                </w:tcPr>
                <w:p w14:paraId="203D124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光伏阵列区</w:t>
                  </w:r>
                </w:p>
              </w:tc>
              <w:tc>
                <w:tcPr>
                  <w:tcW w:w="699" w:type="pct"/>
                  <w:noWrap w:val="0"/>
                  <w:vAlign w:val="center"/>
                </w:tcPr>
                <w:p w14:paraId="53B201F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废光伏板</w:t>
                  </w:r>
                </w:p>
              </w:tc>
              <w:tc>
                <w:tcPr>
                  <w:tcW w:w="1036" w:type="pct"/>
                  <w:noWrap w:val="0"/>
                  <w:vAlign w:val="center"/>
                </w:tcPr>
                <w:p w14:paraId="1C0EE69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一般固体</w:t>
                  </w:r>
                </w:p>
                <w:p w14:paraId="499F85A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废物</w:t>
                  </w:r>
                </w:p>
              </w:tc>
              <w:tc>
                <w:tcPr>
                  <w:tcW w:w="432" w:type="pct"/>
                  <w:noWrap w:val="0"/>
                  <w:vAlign w:val="center"/>
                </w:tcPr>
                <w:p w14:paraId="0045FD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500" w:type="pct"/>
                  <w:noWrap w:val="0"/>
                  <w:vAlign w:val="center"/>
                </w:tcPr>
                <w:p w14:paraId="2BC5B57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w:t>
                  </w:r>
                </w:p>
              </w:tc>
              <w:tc>
                <w:tcPr>
                  <w:tcW w:w="592" w:type="pct"/>
                  <w:noWrap w:val="0"/>
                  <w:vAlign w:val="center"/>
                </w:tcPr>
                <w:p w14:paraId="2D061D7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snapToGrid w:val="0"/>
                      <w:color w:val="auto"/>
                      <w:sz w:val="21"/>
                      <w:szCs w:val="21"/>
                      <w:highlight w:val="none"/>
                    </w:rPr>
                  </w:pPr>
                  <w:r>
                    <w:rPr>
                      <w:rFonts w:hint="default" w:ascii="Times New Roman" w:hAnsi="Times New Roman" w:eastAsia="仿宋" w:cs="Times New Roman"/>
                      <w:snapToGrid w:val="0"/>
                      <w:color w:val="auto"/>
                      <w:sz w:val="21"/>
                      <w:szCs w:val="21"/>
                      <w:highlight w:val="none"/>
                      <w:lang w:val="en-US" w:eastAsia="zh-CN"/>
                    </w:rPr>
                    <w:t>9398</w:t>
                  </w:r>
                  <w:r>
                    <w:rPr>
                      <w:rFonts w:hint="default" w:ascii="Times New Roman" w:hAnsi="Times New Roman" w:eastAsia="仿宋" w:cs="Times New Roman"/>
                      <w:snapToGrid w:val="0"/>
                      <w:color w:val="auto"/>
                      <w:sz w:val="21"/>
                      <w:szCs w:val="21"/>
                      <w:highlight w:val="none"/>
                    </w:rPr>
                    <w:t>t</w:t>
                  </w:r>
                  <w:r>
                    <w:rPr>
                      <w:rFonts w:hint="default" w:ascii="Times New Roman" w:hAnsi="Times New Roman" w:eastAsia="仿宋" w:cs="Times New Roman"/>
                      <w:color w:val="auto"/>
                      <w:sz w:val="21"/>
                      <w:szCs w:val="21"/>
                      <w:highlight w:val="none"/>
                    </w:rPr>
                    <w:t>（15年/次至服务期满）</w:t>
                  </w:r>
                </w:p>
              </w:tc>
              <w:tc>
                <w:tcPr>
                  <w:tcW w:w="1095" w:type="pct"/>
                  <w:noWrap w:val="0"/>
                  <w:vAlign w:val="center"/>
                </w:tcPr>
                <w:p w14:paraId="09CE6B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按照《光伏组件回收再利用通用技术要求》（GB/T 39753-2021）执行</w:t>
                  </w:r>
                </w:p>
              </w:tc>
            </w:tr>
          </w:tbl>
          <w:p w14:paraId="723F4803">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仿宋" w:cs="Times New Roman"/>
                <w:b/>
                <w:bCs/>
                <w:color w:val="auto"/>
                <w:szCs w:val="22"/>
                <w:highlight w:val="none"/>
              </w:rPr>
            </w:pPr>
            <w:r>
              <w:rPr>
                <w:rFonts w:hint="default" w:ascii="Times New Roman" w:hAnsi="Times New Roman" w:eastAsia="仿宋" w:cs="Times New Roman"/>
                <w:b/>
                <w:bCs/>
                <w:color w:val="auto"/>
                <w:szCs w:val="22"/>
                <w:highlight w:val="none"/>
              </w:rPr>
              <w:t>固体废物环境管理要求：</w:t>
            </w:r>
          </w:p>
          <w:p w14:paraId="5FBBD6E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①一般固废：</w:t>
            </w:r>
          </w:p>
          <w:p w14:paraId="1CE78F81">
            <w:pPr>
              <w:keepNext w:val="0"/>
              <w:keepLines w:val="0"/>
              <w:numPr>
                <w:ilvl w:val="0"/>
                <w:numId w:val="2"/>
              </w:numPr>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 w:val="24"/>
                <w:szCs w:val="24"/>
                <w:highlight w:val="none"/>
                <w:lang w:val="en-US" w:eastAsia="zh-CN"/>
              </w:rPr>
              <w:t>破损电池板由材料供应商直接更换并带走处置，站内工作人员不擅自进行处理，不在厂区暂存</w:t>
            </w:r>
            <w:r>
              <w:rPr>
                <w:rFonts w:hint="default" w:ascii="Times New Roman" w:hAnsi="Times New Roman" w:eastAsia="仿宋" w:cs="Times New Roman"/>
                <w:color w:val="auto"/>
                <w:szCs w:val="22"/>
                <w:highlight w:val="none"/>
              </w:rPr>
              <w:t>；</w:t>
            </w:r>
          </w:p>
          <w:p w14:paraId="1D69FFC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val="en-US" w:eastAsia="zh-CN"/>
              </w:rPr>
              <w:t>b</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生活垃圾存放应做到防雨、防流失，不得露天堆放，防止雨水进入产生二次污染，严禁随意丢弃、焚烧。</w:t>
            </w:r>
          </w:p>
          <w:p w14:paraId="6FA64E5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②危险废物：</w:t>
            </w:r>
          </w:p>
          <w:p w14:paraId="0DB928A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在主变压器</w:t>
            </w:r>
            <w:r>
              <w:rPr>
                <w:rFonts w:hint="eastAsia" w:cs="Times New Roman"/>
                <w:color w:val="auto"/>
                <w:szCs w:val="22"/>
                <w:highlight w:val="none"/>
                <w:lang w:val="en-US" w:eastAsia="zh-CN"/>
              </w:rPr>
              <w:t>下方设置两个集油坑，分别为20m</w:t>
            </w:r>
            <w:r>
              <w:rPr>
                <w:rFonts w:hint="eastAsia" w:cs="Times New Roman"/>
                <w:color w:val="auto"/>
                <w:szCs w:val="22"/>
                <w:highlight w:val="none"/>
                <w:vertAlign w:val="superscript"/>
                <w:lang w:val="en-US" w:eastAsia="zh-CN"/>
              </w:rPr>
              <w:t>3</w:t>
            </w:r>
            <w:r>
              <w:rPr>
                <w:rFonts w:hint="eastAsia" w:cs="Times New Roman"/>
                <w:color w:val="auto"/>
                <w:szCs w:val="22"/>
                <w:highlight w:val="none"/>
                <w:vertAlign w:val="baseline"/>
                <w:lang w:val="en-US" w:eastAsia="zh-CN"/>
              </w:rPr>
              <w:t>。升压站东北角</w:t>
            </w:r>
            <w:r>
              <w:rPr>
                <w:rFonts w:hint="default" w:ascii="Times New Roman" w:hAnsi="Times New Roman" w:eastAsia="仿宋" w:cs="Times New Roman"/>
                <w:color w:val="auto"/>
                <w:szCs w:val="22"/>
                <w:highlight w:val="none"/>
              </w:rPr>
              <w:t>设</w:t>
            </w:r>
            <w:r>
              <w:rPr>
                <w:rFonts w:hint="default" w:ascii="Times New Roman" w:hAnsi="Times New Roman" w:eastAsia="仿宋" w:cs="Times New Roman"/>
                <w:color w:val="auto"/>
                <w:szCs w:val="22"/>
                <w:highlight w:val="none"/>
                <w:lang w:eastAsia="zh-CN"/>
              </w:rPr>
              <w:t>一处</w:t>
            </w:r>
            <w:r>
              <w:rPr>
                <w:rFonts w:hint="default" w:ascii="Times New Roman" w:hAnsi="Times New Roman" w:eastAsia="仿宋" w:cs="Times New Roman"/>
                <w:color w:val="auto"/>
                <w:szCs w:val="22"/>
                <w:highlight w:val="none"/>
              </w:rPr>
              <w:t>容积为</w:t>
            </w:r>
            <w:r>
              <w:rPr>
                <w:rFonts w:hint="default" w:ascii="Times New Roman" w:hAnsi="Times New Roman" w:eastAsia="仿宋" w:cs="Times New Roman"/>
                <w:color w:val="auto"/>
                <w:szCs w:val="22"/>
                <w:highlight w:val="none"/>
                <w:lang w:val="en-US" w:eastAsia="zh-CN"/>
              </w:rPr>
              <w:t>85</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的事故油池</w:t>
            </w:r>
            <w:r>
              <w:rPr>
                <w:rFonts w:hint="eastAsia" w:cs="Times New Roman"/>
                <w:color w:val="auto"/>
                <w:szCs w:val="22"/>
                <w:highlight w:val="none"/>
                <w:lang w:eastAsia="zh-CN"/>
              </w:rPr>
              <w:t>，</w:t>
            </w:r>
            <w:r>
              <w:rPr>
                <w:rFonts w:hint="eastAsia" w:cs="Times New Roman"/>
                <w:color w:val="auto"/>
                <w:szCs w:val="22"/>
                <w:highlight w:val="none"/>
                <w:lang w:val="en-US" w:eastAsia="zh-CN"/>
              </w:rPr>
              <w:t>通过集油管道与集油坑相连</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在箱变周边各建设一座容积</w:t>
            </w:r>
            <w:r>
              <w:rPr>
                <w:rFonts w:hint="default" w:ascii="Times New Roman" w:hAnsi="Times New Roman" w:eastAsia="仿宋" w:cs="Times New Roman"/>
                <w:color w:val="auto"/>
                <w:szCs w:val="22"/>
                <w:highlight w:val="none"/>
                <w:lang w:val="en-US" w:eastAsia="zh-CN"/>
              </w:rPr>
              <w:t>2</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的事故油池</w:t>
            </w:r>
            <w:r>
              <w:rPr>
                <w:rFonts w:hint="eastAsia"/>
                <w:color w:val="auto"/>
                <w:highlight w:val="none"/>
                <w:lang w:eastAsia="zh-CN"/>
              </w:rPr>
              <w:t>，</w:t>
            </w:r>
            <w:r>
              <w:rPr>
                <w:rFonts w:hint="eastAsia"/>
                <w:color w:val="auto"/>
                <w:highlight w:val="none"/>
                <w:lang w:val="en-US" w:eastAsia="zh-CN"/>
              </w:rPr>
              <w:t>无集油坑。</w:t>
            </w:r>
            <w:r>
              <w:rPr>
                <w:rFonts w:hint="default" w:ascii="Times New Roman" w:hAnsi="Times New Roman" w:eastAsia="仿宋" w:cs="Times New Roman"/>
                <w:color w:val="auto"/>
                <w:szCs w:val="22"/>
                <w:highlight w:val="none"/>
              </w:rPr>
              <w:t>升压站内设置一间</w:t>
            </w:r>
            <w:r>
              <w:rPr>
                <w:rFonts w:hint="eastAsia" w:cs="Times New Roman"/>
                <w:color w:val="auto"/>
                <w:szCs w:val="22"/>
                <w:highlight w:val="none"/>
                <w:lang w:val="en-US" w:eastAsia="zh-CN"/>
              </w:rPr>
              <w:t>危险废物贮存库</w:t>
            </w:r>
            <w:r>
              <w:rPr>
                <w:rFonts w:hint="eastAsia"/>
                <w:color w:val="auto"/>
                <w:highlight w:val="none"/>
                <w:lang w:val="en-US" w:eastAsia="zh-CN"/>
              </w:rPr>
              <w:t>建筑面积30m</w:t>
            </w:r>
            <w:r>
              <w:rPr>
                <w:rFonts w:hint="eastAsia"/>
                <w:color w:val="auto"/>
                <w:highlight w:val="none"/>
                <w:vertAlign w:val="superscript"/>
                <w:lang w:val="en-US" w:eastAsia="zh-CN"/>
              </w:rPr>
              <w:t>2</w:t>
            </w:r>
            <w:r>
              <w:rPr>
                <w:rFonts w:hint="default" w:ascii="Times New Roman" w:hAnsi="Times New Roman" w:eastAsia="仿宋" w:cs="Times New Roman"/>
                <w:color w:val="auto"/>
                <w:szCs w:val="22"/>
                <w:highlight w:val="none"/>
              </w:rPr>
              <w:t>，收集后的</w:t>
            </w:r>
            <w:r>
              <w:rPr>
                <w:rFonts w:hint="eastAsia" w:cs="Times New Roman"/>
                <w:color w:val="auto"/>
                <w:szCs w:val="22"/>
                <w:highlight w:val="none"/>
                <w:lang w:val="en-US" w:eastAsia="zh-CN"/>
              </w:rPr>
              <w:t>废油</w:t>
            </w:r>
            <w:r>
              <w:rPr>
                <w:rFonts w:hint="default" w:ascii="Times New Roman" w:hAnsi="Times New Roman" w:eastAsia="仿宋" w:cs="Times New Roman"/>
                <w:bCs/>
                <w:color w:val="auto"/>
                <w:szCs w:val="22"/>
                <w:highlight w:val="none"/>
              </w:rPr>
              <w:t>及废铅蓄电池</w:t>
            </w:r>
            <w:r>
              <w:rPr>
                <w:rFonts w:hint="default" w:ascii="Times New Roman" w:hAnsi="Times New Roman" w:eastAsia="仿宋" w:cs="Times New Roman"/>
                <w:color w:val="auto"/>
                <w:szCs w:val="22"/>
                <w:highlight w:val="none"/>
              </w:rPr>
              <w:t>严格按《危险废物贮存污染控制标准》（GB 18597-2023）中的要求进行贮存、管理，经危废暂存间暂存后定期交由有资质的单位处理。</w:t>
            </w:r>
          </w:p>
          <w:p w14:paraId="1BA026D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项目升压站按照《危险废物贮存污染控制标准》（GB 18597-2023）的相关要求，设置一间危废暂存间，用于各类危废的分区暂存。执行危废转移联单制度。具体包括：</w:t>
            </w:r>
          </w:p>
          <w:p w14:paraId="37F9937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a</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贮存设施应根据危险废物的形态、物理化学性质、包装形式和污染物迁移途径，采取必要的防风、防晒、防雨、防漏、防渗、防腐以及其他环境污染防治措施；</w:t>
            </w:r>
          </w:p>
          <w:p w14:paraId="17521EF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b</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贮存设施或贮存分区内地面、墙面</w:t>
            </w:r>
            <w:r>
              <w:rPr>
                <w:rFonts w:hint="default" w:ascii="Times New Roman" w:hAnsi="Times New Roman" w:eastAsia="仿宋" w:cs="Times New Roman"/>
                <w:color w:val="auto"/>
                <w:szCs w:val="22"/>
                <w:highlight w:val="none"/>
                <w:lang w:eastAsia="zh-CN"/>
              </w:rPr>
              <w:t>裙角</w:t>
            </w:r>
            <w:r>
              <w:rPr>
                <w:rFonts w:hint="default" w:ascii="Times New Roman" w:hAnsi="Times New Roman" w:eastAsia="仿宋" w:cs="Times New Roman"/>
                <w:color w:val="auto"/>
                <w:szCs w:val="22"/>
                <w:highlight w:val="none"/>
              </w:rPr>
              <w:t>、堵截泄漏的围堰、接触危险废物的隔板和墙体等应采用坚固的材料建造，表面无裂缝；</w:t>
            </w:r>
          </w:p>
          <w:p w14:paraId="01CAA4E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c</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危废暂存间地面和裙脚应采取表面防渗措施，可采用抗渗混凝土、高密度聚乙烯膜、钠基膨润土防水毯或其他防渗性能等效的材料；防渗层为至少1m厚黏土层（渗透系数不大于10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7</w:t>
            </w:r>
            <w:r>
              <w:rPr>
                <w:rFonts w:hint="default" w:ascii="Times New Roman" w:hAnsi="Times New Roman" w:eastAsia="仿宋" w:cs="Times New Roman"/>
                <w:color w:val="auto"/>
                <w:szCs w:val="22"/>
                <w:highlight w:val="none"/>
              </w:rPr>
              <w:t>cm/s），或至少2mm厚高密度聚乙烯膜等人工防渗材料（渗透系数不大于10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10</w:t>
            </w:r>
            <w:r>
              <w:rPr>
                <w:rFonts w:hint="default" w:ascii="Times New Roman" w:hAnsi="Times New Roman" w:eastAsia="仿宋" w:cs="Times New Roman"/>
                <w:color w:val="auto"/>
                <w:szCs w:val="22"/>
                <w:highlight w:val="none"/>
              </w:rPr>
              <w:t>cm/s）；</w:t>
            </w:r>
          </w:p>
          <w:p w14:paraId="1EC18D1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d</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贮存库内不同贮存分区之间应采取隔离措施。隔离措施可根据危险废物特性采用过道、隔板或隔墙等方式；</w:t>
            </w:r>
          </w:p>
          <w:p w14:paraId="6CCD204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e</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在贮存库内通过贮存分区方式贮存危险废物的，应具有液体泄漏堵截设施，堵截设施最小容积不应低于对应贮存区域最大液态废物容器容积或液态废物总储</w:t>
            </w:r>
            <w:r>
              <w:rPr>
                <w:rFonts w:hint="default" w:ascii="Times New Roman" w:hAnsi="Times New Roman" w:eastAsia="仿宋" w:cs="Times New Roman"/>
                <w:color w:val="auto"/>
                <w:szCs w:val="22"/>
                <w:highlight w:val="none"/>
                <w:lang w:eastAsia="zh-CN"/>
              </w:rPr>
              <w:t>量的</w:t>
            </w:r>
            <w:r>
              <w:rPr>
                <w:rFonts w:hint="default" w:ascii="Times New Roman" w:hAnsi="Times New Roman" w:eastAsia="仿宋" w:cs="Times New Roman"/>
                <w:color w:val="auto"/>
                <w:szCs w:val="22"/>
                <w:highlight w:val="none"/>
              </w:rPr>
              <w:t>1/10（二者取较大者）；用于贮存可能产生渗滤液的危险废物的贮存库或贮存分区应设计渗滤液收集设施，收集设施容积应满足渗滤液的收集要求；</w:t>
            </w:r>
          </w:p>
          <w:p w14:paraId="53172AE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f</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光伏阵列区箱变的事故油池和升压站主变下的集油坑及地埋式事故油池作为重点防渗区，箱变事故油池和主变事故油池建设应该满足三防要求，防扬散、防流失、防渗漏，集油坑和事故油池地面与</w:t>
            </w:r>
            <w:r>
              <w:rPr>
                <w:rFonts w:hint="default" w:ascii="Times New Roman" w:hAnsi="Times New Roman" w:eastAsia="仿宋" w:cs="Times New Roman"/>
                <w:color w:val="auto"/>
                <w:szCs w:val="22"/>
                <w:highlight w:val="none"/>
                <w:lang w:eastAsia="zh-CN"/>
              </w:rPr>
              <w:t>裙角</w:t>
            </w:r>
            <w:r>
              <w:rPr>
                <w:rFonts w:hint="default" w:ascii="Times New Roman" w:hAnsi="Times New Roman" w:eastAsia="仿宋" w:cs="Times New Roman"/>
                <w:color w:val="auto"/>
                <w:szCs w:val="22"/>
                <w:highlight w:val="none"/>
              </w:rPr>
              <w:t>要用混凝土防渗建造，且表面无裂隙；边缘设计堵截泄漏的</w:t>
            </w:r>
            <w:r>
              <w:rPr>
                <w:rFonts w:hint="default" w:ascii="Times New Roman" w:hAnsi="Times New Roman" w:eastAsia="仿宋" w:cs="Times New Roman"/>
                <w:color w:val="auto"/>
                <w:szCs w:val="22"/>
                <w:highlight w:val="none"/>
                <w:lang w:eastAsia="zh-CN"/>
              </w:rPr>
              <w:t>裙角</w:t>
            </w:r>
            <w:r>
              <w:rPr>
                <w:rFonts w:hint="default" w:ascii="Times New Roman" w:hAnsi="Times New Roman" w:eastAsia="仿宋" w:cs="Times New Roman"/>
                <w:color w:val="auto"/>
                <w:szCs w:val="22"/>
                <w:highlight w:val="none"/>
              </w:rPr>
              <w:t>，地面与</w:t>
            </w:r>
            <w:r>
              <w:rPr>
                <w:rFonts w:hint="default" w:ascii="Times New Roman" w:hAnsi="Times New Roman" w:eastAsia="仿宋" w:cs="Times New Roman"/>
                <w:color w:val="auto"/>
                <w:szCs w:val="22"/>
                <w:highlight w:val="none"/>
                <w:lang w:eastAsia="zh-CN"/>
              </w:rPr>
              <w:t>裙角</w:t>
            </w:r>
            <w:r>
              <w:rPr>
                <w:rFonts w:hint="default" w:ascii="Times New Roman" w:hAnsi="Times New Roman" w:eastAsia="仿宋" w:cs="Times New Roman"/>
                <w:color w:val="auto"/>
                <w:szCs w:val="22"/>
                <w:highlight w:val="none"/>
              </w:rPr>
              <w:t>所围建的容积不低于堵截最大容器的最大储量或总储量的十分之一；集油坑和事故油池防渗层为至少1m厚黏土层（渗透系数不大于10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7</w:t>
            </w:r>
            <w:r>
              <w:rPr>
                <w:rFonts w:hint="default" w:ascii="Times New Roman" w:hAnsi="Times New Roman" w:eastAsia="仿宋" w:cs="Times New Roman"/>
                <w:color w:val="auto"/>
                <w:szCs w:val="22"/>
                <w:highlight w:val="none"/>
              </w:rPr>
              <w:t>cm/s），或至少2mm厚高密度聚乙烯膜等人工防渗材料（渗透系数不大于10</w:t>
            </w:r>
            <w:r>
              <w:rPr>
                <w:rFonts w:hint="default" w:ascii="Times New Roman" w:hAnsi="Times New Roman" w:eastAsia="仿宋" w:cs="Times New Roman"/>
                <w:color w:val="auto"/>
                <w:szCs w:val="22"/>
                <w:highlight w:val="none"/>
                <w:vertAlign w:val="superscript"/>
                <w:lang w:val="en-US" w:eastAsia="zh-CN"/>
              </w:rPr>
              <w:t>-1</w:t>
            </w:r>
            <w:r>
              <w:rPr>
                <w:rFonts w:hint="default" w:ascii="Times New Roman" w:hAnsi="Times New Roman" w:eastAsia="仿宋" w:cs="Times New Roman"/>
                <w:color w:val="auto"/>
                <w:szCs w:val="22"/>
                <w:highlight w:val="none"/>
                <w:vertAlign w:val="superscript"/>
              </w:rPr>
              <w:t>0</w:t>
            </w:r>
            <w:r>
              <w:rPr>
                <w:rFonts w:hint="default" w:ascii="Times New Roman" w:hAnsi="Times New Roman" w:eastAsia="仿宋" w:cs="Times New Roman"/>
                <w:color w:val="auto"/>
                <w:szCs w:val="22"/>
                <w:highlight w:val="none"/>
              </w:rPr>
              <w:t>cm/s）。</w:t>
            </w:r>
          </w:p>
          <w:p w14:paraId="5EF7A55A">
            <w:pPr>
              <w:keepNext w:val="0"/>
              <w:keepLines w:val="0"/>
              <w:suppressLineNumbers w:val="0"/>
              <w:adjustRightInd w:val="0"/>
              <w:snapToGrid w:val="0"/>
              <w:spacing w:before="0" w:beforeAutospacing="0" w:after="0" w:afterAutospacing="0" w:line="360" w:lineRule="auto"/>
              <w:ind w:left="0" w:right="0" w:firstLine="482" w:firstLineChars="200"/>
              <w:rPr>
                <w:rFonts w:hint="eastAsia" w:cs="Times New Roman"/>
                <w:color w:val="auto"/>
                <w:szCs w:val="22"/>
                <w:highlight w:val="none"/>
                <w:lang w:val="en-US" w:eastAsia="zh-CN"/>
              </w:rPr>
            </w:pPr>
            <w:r>
              <w:rPr>
                <w:rFonts w:hint="eastAsia" w:cs="Times New Roman"/>
                <w:b/>
                <w:bCs/>
                <w:color w:val="auto"/>
                <w:szCs w:val="22"/>
                <w:highlight w:val="none"/>
                <w:lang w:val="en-US" w:eastAsia="zh-CN"/>
              </w:rPr>
              <w:t>危险废物贮存库设置合理性分析</w:t>
            </w:r>
          </w:p>
          <w:p w14:paraId="53E66C1B">
            <w:pPr>
              <w:keepNext w:val="0"/>
              <w:keepLines w:val="0"/>
              <w:suppressLineNumbers w:val="0"/>
              <w:adjustRightInd w:val="0"/>
              <w:snapToGrid w:val="0"/>
              <w:spacing w:before="0" w:beforeAutospacing="0" w:after="0" w:afterAutospacing="0" w:line="360" w:lineRule="auto"/>
              <w:ind w:left="0" w:right="0" w:firstLine="480" w:firstLineChars="200"/>
              <w:rPr>
                <w:rFonts w:hint="eastAsia" w:cs="Times New Roman"/>
                <w:color w:val="auto"/>
                <w:szCs w:val="22"/>
                <w:highlight w:val="none"/>
                <w:vertAlign w:val="baseline"/>
                <w:lang w:val="en-US" w:eastAsia="zh-CN"/>
              </w:rPr>
            </w:pPr>
            <w:r>
              <w:rPr>
                <w:rFonts w:hint="eastAsia" w:cs="Times New Roman"/>
                <w:color w:val="auto"/>
                <w:szCs w:val="22"/>
                <w:highlight w:val="none"/>
                <w:lang w:val="en-US" w:eastAsia="zh-CN"/>
              </w:rPr>
              <w:t>本项目升压站检修废油产生量为0.05t/次，废铅酸蓄电池产生量为0.1t/次。其中废油密度取0.895t/m</w:t>
            </w:r>
            <w:r>
              <w:rPr>
                <w:rFonts w:hint="eastAsia" w:cs="Times New Roman"/>
                <w:color w:val="auto"/>
                <w:szCs w:val="22"/>
                <w:highlight w:val="none"/>
                <w:vertAlign w:val="superscript"/>
                <w:lang w:val="en-US" w:eastAsia="zh-CN"/>
              </w:rPr>
              <w:t>3</w:t>
            </w:r>
            <w:r>
              <w:rPr>
                <w:rFonts w:hint="eastAsia" w:cs="Times New Roman"/>
                <w:color w:val="auto"/>
                <w:szCs w:val="22"/>
                <w:highlight w:val="none"/>
                <w:vertAlign w:val="baseline"/>
                <w:lang w:val="en-US" w:eastAsia="zh-CN"/>
              </w:rPr>
              <w:t>，则检修废油产生量为55L.8L/次。铅酸蓄电池按单个10kg计，体积约0.005m</w:t>
            </w:r>
            <w:r>
              <w:rPr>
                <w:rFonts w:hint="eastAsia" w:cs="Times New Roman"/>
                <w:color w:val="auto"/>
                <w:szCs w:val="22"/>
                <w:highlight w:val="none"/>
                <w:vertAlign w:val="superscript"/>
                <w:lang w:val="en-US" w:eastAsia="zh-CN"/>
              </w:rPr>
              <w:t>3</w:t>
            </w:r>
            <w:r>
              <w:rPr>
                <w:rFonts w:hint="eastAsia" w:cs="Times New Roman"/>
                <w:color w:val="auto"/>
                <w:szCs w:val="22"/>
                <w:highlight w:val="none"/>
                <w:vertAlign w:val="baseline"/>
                <w:lang w:val="en-US" w:eastAsia="zh-CN"/>
              </w:rPr>
              <w:t>，则废铅酸蓄电池产生量为0.05m</w:t>
            </w:r>
            <w:r>
              <w:rPr>
                <w:rFonts w:hint="eastAsia" w:cs="Times New Roman"/>
                <w:color w:val="auto"/>
                <w:szCs w:val="22"/>
                <w:highlight w:val="none"/>
                <w:vertAlign w:val="superscript"/>
                <w:lang w:val="en-US" w:eastAsia="zh-CN"/>
              </w:rPr>
              <w:t>3</w:t>
            </w:r>
            <w:r>
              <w:rPr>
                <w:rFonts w:hint="eastAsia" w:cs="Times New Roman"/>
                <w:color w:val="auto"/>
                <w:szCs w:val="22"/>
                <w:highlight w:val="none"/>
                <w:vertAlign w:val="baseline"/>
                <w:lang w:val="en-US" w:eastAsia="zh-CN"/>
              </w:rPr>
              <w:t>/次。</w:t>
            </w:r>
          </w:p>
          <w:p w14:paraId="6A769955">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仿宋" w:cs="Times New Roman"/>
                <w:color w:val="auto"/>
                <w:szCs w:val="22"/>
                <w:highlight w:val="none"/>
                <w:vertAlign w:val="baseline"/>
                <w:lang w:val="en-US" w:eastAsia="zh-CN"/>
              </w:rPr>
            </w:pPr>
            <w:r>
              <w:rPr>
                <w:rFonts w:hint="eastAsia" w:cs="Times New Roman"/>
                <w:color w:val="auto"/>
                <w:szCs w:val="22"/>
                <w:highlight w:val="none"/>
                <w:vertAlign w:val="baseline"/>
                <w:lang w:val="en-US" w:eastAsia="zh-CN"/>
              </w:rPr>
              <w:t>本项目危险废物贮存库建筑面积30m</w:t>
            </w:r>
            <w:r>
              <w:rPr>
                <w:rFonts w:hint="eastAsia" w:cs="Times New Roman"/>
                <w:color w:val="auto"/>
                <w:szCs w:val="22"/>
                <w:highlight w:val="none"/>
                <w:vertAlign w:val="superscript"/>
                <w:lang w:val="en-US" w:eastAsia="zh-CN"/>
              </w:rPr>
              <w:t>3</w:t>
            </w:r>
            <w:r>
              <w:rPr>
                <w:rFonts w:hint="eastAsia" w:cs="Times New Roman"/>
                <w:color w:val="auto"/>
                <w:szCs w:val="22"/>
                <w:highlight w:val="none"/>
                <w:vertAlign w:val="baseline"/>
                <w:lang w:val="en-US" w:eastAsia="zh-CN"/>
              </w:rPr>
              <w:t>，可容纳检修废油2000L，废铅酸蓄电池50个，满足多次危险废物产生后的储存需求，在按</w:t>
            </w:r>
            <w:r>
              <w:rPr>
                <w:rFonts w:hint="default" w:ascii="Times New Roman" w:hAnsi="Times New Roman" w:eastAsia="仿宋" w:cs="Times New Roman"/>
                <w:color w:val="auto"/>
                <w:szCs w:val="22"/>
                <w:highlight w:val="none"/>
              </w:rPr>
              <w:t>《危险废物贮存污染控制标准》（GB 18597-2023）的相关要求</w:t>
            </w:r>
            <w:r>
              <w:rPr>
                <w:rFonts w:hint="eastAsia" w:ascii="Times New Roman" w:hAnsi="Times New Roman" w:cs="Times New Roman"/>
                <w:color w:val="auto"/>
                <w:szCs w:val="22"/>
                <w:highlight w:val="none"/>
                <w:lang w:val="en-US" w:eastAsia="zh-CN"/>
              </w:rPr>
              <w:t>建设后，设置合理。</w:t>
            </w:r>
          </w:p>
          <w:p w14:paraId="13ECC552">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4.3.7 </w:t>
            </w:r>
            <w:r>
              <w:rPr>
                <w:rFonts w:hint="default" w:ascii="Times New Roman" w:hAnsi="Times New Roman" w:eastAsia="仿宋" w:cs="Times New Roman"/>
                <w:b/>
                <w:bCs/>
                <w:color w:val="auto"/>
                <w:sz w:val="24"/>
                <w:szCs w:val="24"/>
                <w:highlight w:val="none"/>
                <w:lang w:val="en-US" w:eastAsia="zh-CN"/>
              </w:rPr>
              <w:t>土壤、地下水影响分析</w:t>
            </w:r>
          </w:p>
          <w:p w14:paraId="0F7A44C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本项目属于光伏发电项目，可能造成本项目土壤、地下水污染的途径主要是变压器油泄漏，且项目设置的事故油池防渗层破损，将会造成土壤、地下水的污染。</w:t>
            </w:r>
          </w:p>
          <w:p w14:paraId="2C5C469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根据《环境影响评价技术导则地下水环境》（HJ610-2016）划分要求及本项目污染物产生、处理的过程环节，结合场区的总平面布置情况，将本项目事故油池、危废暂存间设置为重点防渗区。事故油池按《火力发电厂与变电站设计防火标准》（GB50229-2019）中要求进行建设，并要求其防渗层为至少1m厚黏土层（K≤10</w:t>
            </w:r>
            <w:r>
              <w:rPr>
                <w:rFonts w:hint="default" w:ascii="Times New Roman" w:hAnsi="Times New Roman" w:eastAsia="仿宋" w:cs="Times New Roman"/>
                <w:color w:val="auto"/>
                <w:sz w:val="24"/>
                <w:szCs w:val="24"/>
                <w:highlight w:val="none"/>
                <w:vertAlign w:val="superscript"/>
                <w:lang w:val="en-US" w:eastAsia="zh-CN"/>
              </w:rPr>
              <w:t>-7</w:t>
            </w:r>
            <w:r>
              <w:rPr>
                <w:rFonts w:hint="default" w:ascii="Times New Roman" w:hAnsi="Times New Roman" w:eastAsia="仿宋" w:cs="Times New Roman"/>
                <w:color w:val="auto"/>
                <w:sz w:val="24"/>
                <w:szCs w:val="24"/>
                <w:highlight w:val="none"/>
                <w:lang w:val="en-US" w:eastAsia="zh-CN"/>
              </w:rPr>
              <w:t>cm/s），或至少2mm厚高密度聚乙烯膜等人工防渗材料（K≤10</w:t>
            </w:r>
            <w:r>
              <w:rPr>
                <w:rFonts w:hint="default" w:ascii="Times New Roman" w:hAnsi="Times New Roman" w:eastAsia="仿宋" w:cs="Times New Roman"/>
                <w:color w:val="auto"/>
                <w:sz w:val="24"/>
                <w:szCs w:val="24"/>
                <w:highlight w:val="none"/>
                <w:vertAlign w:val="superscript"/>
                <w:lang w:val="en-US" w:eastAsia="zh-CN"/>
              </w:rPr>
              <w:t>-10</w:t>
            </w:r>
            <w:r>
              <w:rPr>
                <w:rFonts w:hint="default" w:ascii="Times New Roman" w:hAnsi="Times New Roman" w:eastAsia="仿宋" w:cs="Times New Roman"/>
                <w:color w:val="auto"/>
                <w:sz w:val="24"/>
                <w:szCs w:val="24"/>
                <w:highlight w:val="none"/>
                <w:lang w:val="en-US" w:eastAsia="zh-CN"/>
              </w:rPr>
              <w:t>cm/s），或其他防渗性能等效的材料要求进行防渗处理。</w:t>
            </w:r>
          </w:p>
          <w:p w14:paraId="1092308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在确保上述防渗措施得以落实的前提下，防渗措施达到应有的防渗效果，可有效防止地下水和土壤污染的发生，对地下水和土壤环境影响较小。</w:t>
            </w:r>
          </w:p>
          <w:p w14:paraId="18C72775">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4.3.8 </w:t>
            </w:r>
            <w:r>
              <w:rPr>
                <w:rFonts w:hint="default" w:ascii="Times New Roman" w:hAnsi="Times New Roman" w:eastAsia="仿宋" w:cs="Times New Roman"/>
                <w:b/>
                <w:bCs/>
                <w:color w:val="auto"/>
                <w:sz w:val="24"/>
                <w:szCs w:val="24"/>
                <w:highlight w:val="none"/>
                <w:lang w:val="en-US" w:eastAsia="zh-CN"/>
              </w:rPr>
              <w:t>光污染影响分析</w:t>
            </w:r>
          </w:p>
          <w:p w14:paraId="42597FA3">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lang w:eastAsia="zh-CN"/>
              </w:rPr>
            </w:pPr>
            <w:r>
              <w:rPr>
                <w:rFonts w:hint="default" w:ascii="Times New Roman" w:hAnsi="Times New Roman" w:eastAsia="仿宋" w:cs="Times New Roman"/>
                <w:color w:val="auto"/>
                <w:szCs w:val="22"/>
                <w:highlight w:val="none"/>
              </w:rPr>
              <w:t>本项目采用单晶硅太阳能电池，该电池组件最外层为特种钢化玻璃</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这种钢化玻璃的透光率极高，达95%以上，该光伏方阵区的反射率仅为5%左右，远低于《玻璃幕墙光学性能》（GB/T18091-2000）中“在城市主干道、立交桥、高架桥两侧设立的玻璃幕墙，应采用反射比小于16%的低辐射玻璃”的规定，反射量极小</w:t>
            </w:r>
            <w:r>
              <w:rPr>
                <w:rFonts w:hint="default" w:ascii="Times New Roman" w:hAnsi="Times New Roman" w:eastAsia="仿宋" w:cs="Times New Roman"/>
                <w:color w:val="auto"/>
                <w:szCs w:val="22"/>
                <w:highlight w:val="none"/>
                <w:lang w:eastAsia="zh-CN"/>
              </w:rPr>
              <w:t>。</w:t>
            </w:r>
          </w:p>
          <w:p w14:paraId="6D281468">
            <w:pPr>
              <w:keepNext w:val="0"/>
              <w:keepLines w:val="0"/>
              <w:suppressLineNumbers w:val="0"/>
              <w:spacing w:before="0" w:beforeAutospacing="0" w:after="0" w:afterAutospacing="0" w:line="360" w:lineRule="auto"/>
              <w:ind w:left="0" w:right="0" w:firstLine="480" w:firstLineChars="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pacing w:val="0"/>
                <w:kern w:val="2"/>
                <w:sz w:val="24"/>
                <w:szCs w:val="24"/>
                <w:highlight w:val="none"/>
                <w:lang w:val="en-US" w:eastAsia="zh-CN" w:bidi="ar-SA"/>
              </w:rPr>
              <w:t>项目设计时充分考虑反射光影响：太阳电池组件采用经刻槽处理的晶体硅（表面刻有小金字塔状槽体），并添加ZVA材料，最大限度吸收太阳光并减少反射，降低反射光对周围敏感目标的影响。综上，项目建设不会对周围环境造成光污染影响。</w:t>
            </w:r>
          </w:p>
          <w:p w14:paraId="2AC11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drawing>
                <wp:inline distT="0" distB="0" distL="114300" distR="114300">
                  <wp:extent cx="4857750" cy="4541520"/>
                  <wp:effectExtent l="0" t="0" r="3810" b="0"/>
                  <wp:docPr id="12" name="图片 15" descr="QQ截图2024032711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QQ截图20240327110722"/>
                          <pic:cNvPicPr>
                            <a:picLocks noChangeAspect="1"/>
                          </pic:cNvPicPr>
                        </pic:nvPicPr>
                        <pic:blipFill>
                          <a:blip r:embed="rId54"/>
                          <a:stretch>
                            <a:fillRect/>
                          </a:stretch>
                        </pic:blipFill>
                        <pic:spPr>
                          <a:xfrm>
                            <a:off x="0" y="0"/>
                            <a:ext cx="4857750" cy="4541520"/>
                          </a:xfrm>
                          <a:prstGeom prst="rect">
                            <a:avLst/>
                          </a:prstGeom>
                          <a:noFill/>
                          <a:ln>
                            <a:noFill/>
                          </a:ln>
                        </pic:spPr>
                      </pic:pic>
                    </a:graphicData>
                  </a:graphic>
                </wp:inline>
              </w:drawing>
            </w:r>
          </w:p>
          <w:p w14:paraId="0D9A4595">
            <w:pPr>
              <w:keepNext w:val="0"/>
              <w:keepLines w:val="0"/>
              <w:widowControl w:val="0"/>
              <w:suppressLineNumbers w:val="0"/>
              <w:spacing w:before="0" w:beforeAutospacing="0" w:after="0" w:afterAutospacing="0" w:line="360" w:lineRule="auto"/>
              <w:ind w:left="0" w:right="0" w:firstLine="0" w:firstLineChars="0"/>
              <w:jc w:val="center"/>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图</w:t>
            </w:r>
            <w:r>
              <w:rPr>
                <w:rFonts w:hint="eastAsia" w:cs="Times New Roman"/>
                <w:b/>
                <w:color w:val="auto"/>
                <w:kern w:val="2"/>
                <w:sz w:val="21"/>
                <w:szCs w:val="20"/>
                <w:highlight w:val="none"/>
                <w:lang w:val="en-US" w:eastAsia="zh-CN" w:bidi="ar-SA"/>
              </w:rPr>
              <w:t>4.3-3</w:t>
            </w:r>
            <w:r>
              <w:rPr>
                <w:rFonts w:hint="default" w:ascii="Times New Roman" w:hAnsi="Times New Roman" w:eastAsia="仿宋" w:cs="Times New Roman"/>
                <w:b/>
                <w:color w:val="auto"/>
                <w:kern w:val="2"/>
                <w:sz w:val="21"/>
                <w:szCs w:val="20"/>
                <w:highlight w:val="none"/>
                <w:lang w:val="en-US" w:eastAsia="zh-CN" w:bidi="ar-SA"/>
              </w:rPr>
              <w:t xml:space="preserve"> 太阳能电池反射示意图</w:t>
            </w:r>
          </w:p>
          <w:p w14:paraId="3FD045BF">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4.3.9</w:t>
            </w:r>
            <w:r>
              <w:rPr>
                <w:rFonts w:hint="default" w:ascii="Times New Roman" w:hAnsi="Times New Roman" w:eastAsia="仿宋" w:cs="Times New Roman"/>
                <w:b/>
                <w:bCs/>
                <w:color w:val="auto"/>
                <w:highlight w:val="none"/>
              </w:rPr>
              <w:t>电磁辐射</w:t>
            </w:r>
          </w:p>
          <w:p w14:paraId="3411981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bookmarkStart w:id="13" w:name="_Hlk104212849"/>
            <w:r>
              <w:rPr>
                <w:rFonts w:hint="default" w:ascii="Times New Roman" w:hAnsi="Times New Roman" w:eastAsia="仿宋" w:cs="Times New Roman"/>
                <w:color w:val="auto"/>
                <w:szCs w:val="22"/>
                <w:highlight w:val="none"/>
              </w:rPr>
              <w:t>根据项目电磁辐射专章评价，电磁辐射影响评价影响分析及结论如下：</w:t>
            </w:r>
            <w:bookmarkEnd w:id="13"/>
          </w:p>
          <w:p w14:paraId="1F33EB3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4"/>
                <w:highlight w:val="none"/>
              </w:rPr>
            </w:pPr>
            <w:r>
              <w:rPr>
                <w:rFonts w:hint="default" w:ascii="Times New Roman" w:hAnsi="Times New Roman" w:eastAsia="仿宋" w:cs="Times New Roman"/>
                <w:color w:val="auto"/>
                <w:szCs w:val="22"/>
                <w:highlight w:val="none"/>
              </w:rPr>
              <w:t>根据类比预测：项目升压站建成投运后，其</w:t>
            </w:r>
            <w:r>
              <w:rPr>
                <w:rFonts w:hint="default" w:ascii="Times New Roman" w:hAnsi="Times New Roman" w:eastAsia="仿宋" w:cs="Times New Roman"/>
                <w:color w:val="auto"/>
                <w:spacing w:val="0"/>
                <w:sz w:val="24"/>
                <w:szCs w:val="24"/>
                <w:highlight w:val="none"/>
              </w:rPr>
              <w:t>升压站厂界工频电场强度为1.363</w:t>
            </w:r>
            <w:r>
              <w:rPr>
                <w:rFonts w:hint="eastAsia" w:ascii="Times New Roman" w:hAnsi="Times New Roman" w:cs="Times New Roman"/>
                <w:color w:val="auto"/>
                <w:spacing w:val="0"/>
                <w:sz w:val="24"/>
                <w:szCs w:val="24"/>
                <w:highlight w:val="none"/>
                <w:lang w:val="en-US" w:eastAsia="zh-CN"/>
              </w:rPr>
              <w:t>-</w:t>
            </w:r>
            <w:r>
              <w:rPr>
                <w:rFonts w:hint="eastAsia" w:cs="Times New Roman"/>
                <w:color w:val="auto"/>
                <w:spacing w:val="0"/>
                <w:sz w:val="24"/>
                <w:szCs w:val="24"/>
                <w:highlight w:val="none"/>
                <w:lang w:eastAsia="zh-CN"/>
              </w:rPr>
              <w:t>715.984</w:t>
            </w:r>
            <w:r>
              <w:rPr>
                <w:rFonts w:hint="default" w:ascii="Times New Roman" w:hAnsi="Times New Roman" w:eastAsia="仿宋" w:cs="Times New Roman"/>
                <w:color w:val="auto"/>
                <w:spacing w:val="0"/>
                <w:sz w:val="24"/>
                <w:szCs w:val="24"/>
                <w:highlight w:val="none"/>
              </w:rPr>
              <w:t>V/m</w:t>
            </w:r>
            <w:r>
              <w:rPr>
                <w:rFonts w:hint="eastAsia" w:ascii="Times New Roman" w:hAnsi="Times New Roman"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工频磁感应强度为0.045</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1.141μT。升压站站界外断面电场强度为4.217</w:t>
            </w:r>
            <w:r>
              <w:rPr>
                <w:rFonts w:hint="eastAsia" w:ascii="Times New Roman" w:hAnsi="Times New Roman" w:cs="Times New Roman"/>
                <w:color w:val="auto"/>
                <w:spacing w:val="0"/>
                <w:sz w:val="24"/>
                <w:szCs w:val="24"/>
                <w:highlight w:val="none"/>
                <w:lang w:val="en-US" w:eastAsia="zh-CN"/>
              </w:rPr>
              <w:t>-</w:t>
            </w:r>
            <w:r>
              <w:rPr>
                <w:rFonts w:hint="eastAsia" w:cs="Times New Roman"/>
                <w:color w:val="auto"/>
                <w:spacing w:val="0"/>
                <w:sz w:val="24"/>
                <w:szCs w:val="24"/>
                <w:highlight w:val="none"/>
                <w:lang w:eastAsia="zh-CN"/>
              </w:rPr>
              <w:t>715.984</w:t>
            </w:r>
            <w:r>
              <w:rPr>
                <w:rFonts w:hint="default" w:ascii="Times New Roman" w:hAnsi="Times New Roman" w:eastAsia="仿宋" w:cs="Times New Roman"/>
                <w:color w:val="auto"/>
                <w:spacing w:val="0"/>
                <w:sz w:val="24"/>
                <w:szCs w:val="24"/>
                <w:highlight w:val="none"/>
              </w:rPr>
              <w:t>V/m</w:t>
            </w:r>
            <w:r>
              <w:rPr>
                <w:rFonts w:hint="eastAsia" w:ascii="Times New Roman" w:hAnsi="Times New Roman"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工频磁感应强度为0.067</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1.141μT</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bCs/>
                <w:color w:val="auto"/>
                <w:szCs w:val="22"/>
                <w:highlight w:val="none"/>
              </w:rPr>
              <w:t>满足《电磁环境控制限值》（GB8702-2014）中</w:t>
            </w:r>
            <w:r>
              <w:rPr>
                <w:rFonts w:hint="default" w:ascii="Times New Roman" w:hAnsi="Times New Roman" w:eastAsia="仿宋" w:cs="Times New Roman"/>
                <w:color w:val="auto"/>
                <w:szCs w:val="22"/>
                <w:highlight w:val="none"/>
              </w:rPr>
              <w:t>工频电场强度公众</w:t>
            </w:r>
            <w:r>
              <w:rPr>
                <w:rFonts w:hint="default" w:ascii="Times New Roman" w:hAnsi="Times New Roman" w:eastAsia="仿宋" w:cs="Times New Roman"/>
                <w:color w:val="auto"/>
                <w:szCs w:val="22"/>
                <w:highlight w:val="none"/>
                <w:lang w:eastAsia="zh-CN"/>
              </w:rPr>
              <w:t>暴露</w:t>
            </w:r>
            <w:r>
              <w:rPr>
                <w:rFonts w:hint="default" w:ascii="Times New Roman" w:hAnsi="Times New Roman" w:eastAsia="仿宋" w:cs="Times New Roman"/>
                <w:color w:val="auto"/>
                <w:szCs w:val="22"/>
                <w:highlight w:val="none"/>
              </w:rPr>
              <w:t>控制限值4</w:t>
            </w:r>
            <w:r>
              <w:rPr>
                <w:rFonts w:hint="default" w:ascii="Times New Roman" w:hAnsi="Times New Roman" w:eastAsia="仿宋" w:cs="Times New Roman"/>
                <w:color w:val="auto"/>
                <w:szCs w:val="22"/>
                <w:highlight w:val="none"/>
                <w:lang w:val="en-US" w:eastAsia="zh-CN"/>
              </w:rPr>
              <w:t>k</w:t>
            </w:r>
            <w:r>
              <w:rPr>
                <w:rFonts w:hint="default" w:ascii="Times New Roman" w:hAnsi="Times New Roman" w:eastAsia="仿宋" w:cs="Times New Roman"/>
                <w:color w:val="auto"/>
                <w:szCs w:val="22"/>
                <w:highlight w:val="none"/>
              </w:rPr>
              <w:t>V/m和工频磁场强度公众</w:t>
            </w:r>
            <w:r>
              <w:rPr>
                <w:rFonts w:hint="default" w:ascii="Times New Roman" w:hAnsi="Times New Roman" w:eastAsia="仿宋" w:cs="Times New Roman"/>
                <w:color w:val="auto"/>
                <w:szCs w:val="22"/>
                <w:highlight w:val="none"/>
                <w:lang w:eastAsia="zh-CN"/>
              </w:rPr>
              <w:t>暴露</w:t>
            </w:r>
            <w:r>
              <w:rPr>
                <w:rFonts w:hint="default" w:ascii="Times New Roman" w:hAnsi="Times New Roman" w:eastAsia="仿宋" w:cs="Times New Roman"/>
                <w:color w:val="auto"/>
                <w:szCs w:val="22"/>
                <w:highlight w:val="none"/>
              </w:rPr>
              <w:t>控制限值</w:t>
            </w:r>
            <w:r>
              <w:rPr>
                <w:rFonts w:hint="default" w:ascii="Times New Roman" w:hAnsi="Times New Roman" w:eastAsia="仿宋" w:cs="Times New Roman"/>
                <w:color w:val="auto"/>
                <w:szCs w:val="22"/>
                <w:highlight w:val="none"/>
                <w:lang w:val="en-US" w:eastAsia="zh-CN"/>
              </w:rPr>
              <w:t>0.1m</w:t>
            </w:r>
            <w:r>
              <w:rPr>
                <w:rFonts w:hint="default" w:ascii="Times New Roman" w:hAnsi="Times New Roman" w:eastAsia="仿宋" w:cs="Times New Roman"/>
                <w:bCs/>
                <w:color w:val="auto"/>
                <w:szCs w:val="22"/>
                <w:highlight w:val="none"/>
              </w:rPr>
              <w:t>T</w:t>
            </w:r>
            <w:r>
              <w:rPr>
                <w:rFonts w:hint="default" w:ascii="Times New Roman" w:hAnsi="Times New Roman" w:eastAsia="仿宋" w:cs="Times New Roman"/>
                <w:color w:val="auto"/>
                <w:szCs w:val="22"/>
                <w:highlight w:val="none"/>
              </w:rPr>
              <w:t>的要求。</w:t>
            </w:r>
          </w:p>
          <w:p w14:paraId="24FF76D8">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根据现场调查，本项目220kV升压站周围40m内无居民点，电场强度和磁感应强度均有随距离增加而减小的特点，故升压站产生的工频电场和工频磁场对周边的影响较小。</w:t>
            </w:r>
          </w:p>
          <w:p w14:paraId="2E256915">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4.3.10 </w:t>
            </w:r>
            <w:r>
              <w:rPr>
                <w:rFonts w:hint="default" w:ascii="Times New Roman" w:hAnsi="Times New Roman" w:eastAsia="仿宋" w:cs="Times New Roman"/>
                <w:b/>
                <w:bCs/>
                <w:color w:val="auto"/>
                <w:sz w:val="24"/>
                <w:szCs w:val="24"/>
                <w:highlight w:val="none"/>
                <w:lang w:val="en-US" w:eastAsia="zh-CN"/>
              </w:rPr>
              <w:t>环境风险影响分析</w:t>
            </w:r>
          </w:p>
          <w:p w14:paraId="7512CBD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环境风险评价的目的是</w:t>
            </w:r>
            <w:r>
              <w:rPr>
                <w:rFonts w:hint="default" w:ascii="Times New Roman" w:hAnsi="Times New Roman" w:eastAsia="仿宋" w:cs="Times New Roman"/>
                <w:color w:val="auto"/>
                <w:szCs w:val="22"/>
                <w:highlight w:val="none"/>
                <w:lang w:val="en-US" w:eastAsia="zh-CN"/>
              </w:rPr>
              <w:t>针对</w:t>
            </w:r>
            <w:r>
              <w:rPr>
                <w:rFonts w:hint="default" w:ascii="Times New Roman" w:hAnsi="Times New Roman" w:eastAsia="仿宋" w:cs="Times New Roman"/>
                <w:color w:val="auto"/>
                <w:szCs w:val="22"/>
                <w:highlight w:val="none"/>
              </w:rPr>
              <w:t>建设项目建设和运行期间可能发生的突发性事件或事故引起有毒有害和易燃易爆等物质的泄漏</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分析和预测建设项目存在的潜在危险、有害因素</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所造成的人身安全与环境影响和损害程度，提出合理可行的防范、应急与减缓措施，以使建设项目事故率、损失和环境影响达到可接受的水平。本次评价根据《建设项目环境风险评价技术导则》（HJ169-2018）要求进行评价。</w:t>
            </w:r>
          </w:p>
          <w:p w14:paraId="502AAD4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①风险源识别</w:t>
            </w:r>
          </w:p>
          <w:p w14:paraId="03756FE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本项目涉及的危险物质主要是变压器油，存在于升压站主变压器和光伏区箱式变压器内。此外项目废铅蓄电池中含有铅和硫酸，其中铅占电池总重量的82%左右，硫酸占电池总重量的7%左右。</w:t>
            </w:r>
          </w:p>
          <w:p w14:paraId="594AA44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w:t>
            </w:r>
            <w:r>
              <w:rPr>
                <w:rFonts w:hint="eastAsia" w:cs="Times New Roman"/>
                <w:b/>
                <w:color w:val="auto"/>
                <w:kern w:val="2"/>
                <w:sz w:val="21"/>
                <w:szCs w:val="20"/>
                <w:highlight w:val="none"/>
                <w:lang w:val="en-US" w:eastAsia="zh-CN" w:bidi="ar-SA"/>
              </w:rPr>
              <w:t>4.3-7</w:t>
            </w:r>
            <w:r>
              <w:rPr>
                <w:rFonts w:hint="default" w:ascii="Times New Roman" w:hAnsi="Times New Roman" w:eastAsia="仿宋" w:cs="Times New Roman"/>
                <w:b/>
                <w:color w:val="auto"/>
                <w:kern w:val="2"/>
                <w:sz w:val="21"/>
                <w:szCs w:val="20"/>
                <w:highlight w:val="none"/>
                <w:lang w:val="en-US" w:eastAsia="zh-CN" w:bidi="ar-SA"/>
              </w:rPr>
              <w:t xml:space="preserve"> 项目涉及的危险物质情况一览表</w:t>
            </w:r>
          </w:p>
          <w:tbl>
            <w:tblPr>
              <w:tblStyle w:val="10"/>
              <w:tblW w:w="48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38"/>
              <w:gridCol w:w="1019"/>
              <w:gridCol w:w="1523"/>
              <w:gridCol w:w="3271"/>
            </w:tblGrid>
            <w:tr w14:paraId="53697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90" w:type="pct"/>
                  <w:tcBorders>
                    <w:top w:val="single" w:color="000000" w:sz="4" w:space="0"/>
                    <w:left w:val="single" w:color="000000" w:sz="4" w:space="0"/>
                    <w:bottom w:val="single" w:color="000000" w:sz="4" w:space="0"/>
                    <w:right w:val="single" w:color="000000" w:sz="4" w:space="0"/>
                  </w:tcBorders>
                  <w:noWrap w:val="0"/>
                  <w:vAlign w:val="center"/>
                </w:tcPr>
                <w:p w14:paraId="2D8B2E9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危险物质</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14:paraId="0FD2EA3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形态</w:t>
                  </w:r>
                </w:p>
              </w:tc>
              <w:tc>
                <w:tcPr>
                  <w:tcW w:w="946" w:type="pct"/>
                  <w:tcBorders>
                    <w:top w:val="single" w:color="000000" w:sz="4" w:space="0"/>
                    <w:left w:val="single" w:color="000000" w:sz="4" w:space="0"/>
                    <w:bottom w:val="single" w:color="000000" w:sz="4" w:space="0"/>
                    <w:right w:val="single" w:color="000000" w:sz="4" w:space="0"/>
                  </w:tcBorders>
                  <w:noWrap w:val="0"/>
                  <w:vAlign w:val="center"/>
                </w:tcPr>
                <w:p w14:paraId="06CF933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最大储存量</w:t>
                  </w:r>
                </w:p>
              </w:tc>
              <w:tc>
                <w:tcPr>
                  <w:tcW w:w="2028" w:type="pct"/>
                  <w:tcBorders>
                    <w:top w:val="single" w:color="000000" w:sz="4" w:space="0"/>
                    <w:left w:val="single" w:color="000000" w:sz="4" w:space="0"/>
                    <w:bottom w:val="single" w:color="000000" w:sz="4" w:space="0"/>
                    <w:right w:val="single" w:color="000000" w:sz="4" w:space="0"/>
                  </w:tcBorders>
                  <w:noWrap w:val="0"/>
                  <w:vAlign w:val="center"/>
                </w:tcPr>
                <w:p w14:paraId="3C11E80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备注</w:t>
                  </w:r>
                </w:p>
              </w:tc>
            </w:tr>
            <w:tr w14:paraId="42EBF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90" w:type="pct"/>
                  <w:tcBorders>
                    <w:top w:val="single" w:color="000000" w:sz="4" w:space="0"/>
                    <w:left w:val="single" w:color="000000" w:sz="4" w:space="0"/>
                    <w:bottom w:val="single" w:color="000000" w:sz="4" w:space="0"/>
                    <w:right w:val="single" w:color="000000" w:sz="4" w:space="0"/>
                  </w:tcBorders>
                  <w:noWrap w:val="0"/>
                  <w:vAlign w:val="center"/>
                </w:tcPr>
                <w:p w14:paraId="5B7274A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变压器油</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14:paraId="4682F34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液态</w:t>
                  </w:r>
                </w:p>
              </w:tc>
              <w:tc>
                <w:tcPr>
                  <w:tcW w:w="946" w:type="pct"/>
                  <w:tcBorders>
                    <w:top w:val="single" w:color="000000" w:sz="4" w:space="0"/>
                    <w:left w:val="single" w:color="000000" w:sz="4" w:space="0"/>
                    <w:bottom w:val="single" w:color="000000" w:sz="4" w:space="0"/>
                    <w:right w:val="single" w:color="000000" w:sz="4" w:space="0"/>
                  </w:tcBorders>
                  <w:noWrap w:val="0"/>
                  <w:vAlign w:val="center"/>
                </w:tcPr>
                <w:p w14:paraId="26032D2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130t</w:t>
                  </w:r>
                </w:p>
              </w:tc>
              <w:tc>
                <w:tcPr>
                  <w:tcW w:w="2028" w:type="pct"/>
                  <w:tcBorders>
                    <w:top w:val="single" w:color="000000" w:sz="4" w:space="0"/>
                    <w:left w:val="single" w:color="000000" w:sz="4" w:space="0"/>
                    <w:bottom w:val="single" w:color="000000" w:sz="4" w:space="0"/>
                    <w:right w:val="single" w:color="000000" w:sz="4" w:space="0"/>
                  </w:tcBorders>
                  <w:noWrap w:val="0"/>
                  <w:vAlign w:val="center"/>
                </w:tcPr>
                <w:p w14:paraId="05B3715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升压站主变压器内</w:t>
                  </w:r>
                </w:p>
              </w:tc>
            </w:tr>
            <w:tr w14:paraId="6C9C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90" w:type="pct"/>
                  <w:tcBorders>
                    <w:top w:val="single" w:color="000000" w:sz="4" w:space="0"/>
                    <w:left w:val="single" w:color="000000" w:sz="4" w:space="0"/>
                    <w:bottom w:val="single" w:color="000000" w:sz="4" w:space="0"/>
                    <w:right w:val="single" w:color="000000" w:sz="4" w:space="0"/>
                  </w:tcBorders>
                  <w:noWrap w:val="0"/>
                  <w:vAlign w:val="center"/>
                </w:tcPr>
                <w:p w14:paraId="654FC03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变压器油</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14:paraId="0C07063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液态</w:t>
                  </w:r>
                </w:p>
              </w:tc>
              <w:tc>
                <w:tcPr>
                  <w:tcW w:w="946" w:type="pct"/>
                  <w:tcBorders>
                    <w:top w:val="single" w:color="000000" w:sz="4" w:space="0"/>
                    <w:left w:val="single" w:color="000000" w:sz="4" w:space="0"/>
                    <w:bottom w:val="single" w:color="000000" w:sz="4" w:space="0"/>
                    <w:right w:val="single" w:color="000000" w:sz="4" w:space="0"/>
                  </w:tcBorders>
                  <w:noWrap w:val="0"/>
                  <w:vAlign w:val="center"/>
                </w:tcPr>
                <w:p w14:paraId="308000C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1.</w:t>
                  </w:r>
                  <w:r>
                    <w:rPr>
                      <w:rFonts w:hint="eastAsia" w:cs="Times New Roman"/>
                      <w:color w:val="auto"/>
                      <w:kern w:val="2"/>
                      <w:sz w:val="21"/>
                      <w:szCs w:val="22"/>
                      <w:highlight w:val="none"/>
                      <w:lang w:val="en-US" w:eastAsia="zh-CN" w:bidi="ar-SA"/>
                    </w:rPr>
                    <w:t>16</w:t>
                  </w:r>
                  <w:r>
                    <w:rPr>
                      <w:rFonts w:hint="default" w:ascii="Times New Roman" w:hAnsi="Times New Roman" w:eastAsia="仿宋" w:cs="Times New Roman"/>
                      <w:color w:val="auto"/>
                      <w:kern w:val="2"/>
                      <w:sz w:val="21"/>
                      <w:szCs w:val="22"/>
                      <w:highlight w:val="none"/>
                      <w:lang w:val="en-US" w:eastAsia="zh-CN" w:bidi="ar-SA"/>
                    </w:rPr>
                    <w:t>t×52组</w:t>
                  </w:r>
                </w:p>
              </w:tc>
              <w:tc>
                <w:tcPr>
                  <w:tcW w:w="2028" w:type="pct"/>
                  <w:tcBorders>
                    <w:top w:val="single" w:color="000000" w:sz="4" w:space="0"/>
                    <w:left w:val="single" w:color="000000" w:sz="4" w:space="0"/>
                    <w:bottom w:val="single" w:color="000000" w:sz="4" w:space="0"/>
                    <w:right w:val="single" w:color="000000" w:sz="4" w:space="0"/>
                  </w:tcBorders>
                  <w:noWrap w:val="0"/>
                  <w:vAlign w:val="center"/>
                </w:tcPr>
                <w:p w14:paraId="354D644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光伏场区箱式变压器内</w:t>
                  </w:r>
                </w:p>
              </w:tc>
            </w:tr>
            <w:tr w14:paraId="669F0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90" w:type="pct"/>
                  <w:tcBorders>
                    <w:top w:val="single" w:color="000000" w:sz="4" w:space="0"/>
                    <w:left w:val="single" w:color="000000" w:sz="4" w:space="0"/>
                    <w:bottom w:val="single" w:color="000000" w:sz="4" w:space="0"/>
                    <w:right w:val="single" w:color="000000" w:sz="4" w:space="0"/>
                  </w:tcBorders>
                  <w:noWrap w:val="0"/>
                  <w:vAlign w:val="center"/>
                </w:tcPr>
                <w:p w14:paraId="2B1B515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检修废油</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14:paraId="11A96B0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液态</w:t>
                  </w:r>
                </w:p>
              </w:tc>
              <w:tc>
                <w:tcPr>
                  <w:tcW w:w="946" w:type="pct"/>
                  <w:tcBorders>
                    <w:top w:val="single" w:color="000000" w:sz="4" w:space="0"/>
                    <w:left w:val="single" w:color="000000" w:sz="4" w:space="0"/>
                    <w:bottom w:val="single" w:color="000000" w:sz="4" w:space="0"/>
                    <w:right w:val="single" w:color="000000" w:sz="4" w:space="0"/>
                  </w:tcBorders>
                  <w:noWrap w:val="0"/>
                  <w:vAlign w:val="center"/>
                </w:tcPr>
                <w:p w14:paraId="1C73E96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0.05t</w:t>
                  </w:r>
                </w:p>
              </w:tc>
              <w:tc>
                <w:tcPr>
                  <w:tcW w:w="2028" w:type="pct"/>
                  <w:tcBorders>
                    <w:top w:val="single" w:color="000000" w:sz="4" w:space="0"/>
                    <w:left w:val="single" w:color="000000" w:sz="4" w:space="0"/>
                    <w:bottom w:val="single" w:color="000000" w:sz="4" w:space="0"/>
                    <w:right w:val="single" w:color="000000" w:sz="4" w:space="0"/>
                  </w:tcBorders>
                  <w:noWrap w:val="0"/>
                  <w:vAlign w:val="center"/>
                </w:tcPr>
                <w:p w14:paraId="05501F2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升压站危废暂存间</w:t>
                  </w:r>
                </w:p>
              </w:tc>
            </w:tr>
            <w:tr w14:paraId="1B2B5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90" w:type="pct"/>
                  <w:tcBorders>
                    <w:top w:val="single" w:color="000000" w:sz="4" w:space="0"/>
                    <w:left w:val="single" w:color="000000" w:sz="4" w:space="0"/>
                    <w:bottom w:val="single" w:color="000000" w:sz="4" w:space="0"/>
                    <w:right w:val="single" w:color="000000" w:sz="4" w:space="0"/>
                  </w:tcBorders>
                  <w:noWrap w:val="0"/>
                  <w:vAlign w:val="center"/>
                </w:tcPr>
                <w:p w14:paraId="1839F19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bookmarkStart w:id="14" w:name="_Hlk104215195"/>
                  <w:r>
                    <w:rPr>
                      <w:rFonts w:hint="default" w:ascii="Times New Roman" w:hAnsi="Times New Roman" w:eastAsia="仿宋" w:cs="Times New Roman"/>
                      <w:color w:val="auto"/>
                      <w:kern w:val="2"/>
                      <w:sz w:val="21"/>
                      <w:szCs w:val="22"/>
                      <w:highlight w:val="none"/>
                      <w:lang w:val="en-US" w:eastAsia="zh-CN" w:bidi="ar-SA"/>
                    </w:rPr>
                    <w:t>硫酸</w:t>
                  </w:r>
                  <w:bookmarkEnd w:id="14"/>
                  <w:r>
                    <w:rPr>
                      <w:rFonts w:hint="default" w:ascii="Times New Roman" w:hAnsi="Times New Roman" w:eastAsia="仿宋" w:cs="Times New Roman"/>
                      <w:color w:val="auto"/>
                      <w:kern w:val="2"/>
                      <w:sz w:val="21"/>
                      <w:szCs w:val="22"/>
                      <w:highlight w:val="none"/>
                      <w:lang w:val="en-US" w:eastAsia="zh-CN" w:bidi="ar-SA"/>
                    </w:rPr>
                    <w:t>（废铅蓄电池内）</w:t>
                  </w:r>
                </w:p>
              </w:tc>
              <w:tc>
                <w:tcPr>
                  <w:tcW w:w="633" w:type="pct"/>
                  <w:tcBorders>
                    <w:top w:val="single" w:color="000000" w:sz="4" w:space="0"/>
                    <w:left w:val="single" w:color="000000" w:sz="4" w:space="0"/>
                    <w:bottom w:val="single" w:color="000000" w:sz="4" w:space="0"/>
                    <w:right w:val="single" w:color="000000" w:sz="4" w:space="0"/>
                  </w:tcBorders>
                  <w:noWrap w:val="0"/>
                  <w:vAlign w:val="center"/>
                </w:tcPr>
                <w:p w14:paraId="6255C84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液体</w:t>
                  </w:r>
                </w:p>
              </w:tc>
              <w:tc>
                <w:tcPr>
                  <w:tcW w:w="946" w:type="pct"/>
                  <w:tcBorders>
                    <w:top w:val="single" w:color="000000" w:sz="4" w:space="0"/>
                    <w:left w:val="single" w:color="000000" w:sz="4" w:space="0"/>
                    <w:bottom w:val="single" w:color="000000" w:sz="4" w:space="0"/>
                    <w:right w:val="single" w:color="000000" w:sz="4" w:space="0"/>
                  </w:tcBorders>
                  <w:noWrap w:val="0"/>
                  <w:vAlign w:val="center"/>
                </w:tcPr>
                <w:p w14:paraId="7D47BAF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2.1t</w:t>
                  </w:r>
                </w:p>
              </w:tc>
              <w:tc>
                <w:tcPr>
                  <w:tcW w:w="2028" w:type="pct"/>
                  <w:tcBorders>
                    <w:top w:val="single" w:color="000000" w:sz="4" w:space="0"/>
                    <w:left w:val="single" w:color="000000" w:sz="4" w:space="0"/>
                    <w:bottom w:val="single" w:color="000000" w:sz="4" w:space="0"/>
                    <w:right w:val="single" w:color="000000" w:sz="4" w:space="0"/>
                  </w:tcBorders>
                  <w:noWrap w:val="0"/>
                  <w:vAlign w:val="center"/>
                </w:tcPr>
                <w:p w14:paraId="5153035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危废暂存间废铅蓄电池内</w:t>
                  </w:r>
                </w:p>
              </w:tc>
            </w:tr>
            <w:tr w14:paraId="138B7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773876E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注：废铅蓄电池无临界值，本次废铅蓄电池内危险物质以硫酸计。</w:t>
                  </w:r>
                </w:p>
              </w:tc>
            </w:tr>
          </w:tbl>
          <w:p w14:paraId="13DFB2A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w:t>
            </w:r>
            <w:r>
              <w:rPr>
                <w:rFonts w:hint="eastAsia" w:cs="Times New Roman"/>
                <w:b/>
                <w:color w:val="auto"/>
                <w:kern w:val="2"/>
                <w:sz w:val="21"/>
                <w:szCs w:val="20"/>
                <w:highlight w:val="none"/>
                <w:lang w:val="en-US" w:eastAsia="zh-CN" w:bidi="ar-SA"/>
              </w:rPr>
              <w:t>4.3-7</w:t>
            </w:r>
            <w:r>
              <w:rPr>
                <w:rFonts w:hint="default" w:ascii="Times New Roman" w:hAnsi="Times New Roman" w:eastAsia="仿宋" w:cs="Times New Roman"/>
                <w:b/>
                <w:color w:val="auto"/>
                <w:kern w:val="2"/>
                <w:sz w:val="21"/>
                <w:szCs w:val="20"/>
                <w:highlight w:val="none"/>
                <w:lang w:val="en-US" w:eastAsia="zh-CN" w:bidi="ar-SA"/>
              </w:rPr>
              <w:t xml:space="preserve"> 变压器油理化性质</w:t>
            </w:r>
          </w:p>
          <w:tbl>
            <w:tblPr>
              <w:tblStyle w:val="10"/>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6212"/>
            </w:tblGrid>
            <w:tr w14:paraId="5EFF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142" w:type="pct"/>
                  <w:noWrap w:val="0"/>
                  <w:vAlign w:val="center"/>
                </w:tcPr>
                <w:p w14:paraId="2499F53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名称</w:t>
                  </w:r>
                </w:p>
              </w:tc>
              <w:tc>
                <w:tcPr>
                  <w:tcW w:w="3857" w:type="pct"/>
                  <w:noWrap w:val="0"/>
                  <w:vAlign w:val="center"/>
                </w:tcPr>
                <w:p w14:paraId="534C5C1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理化性质</w:t>
                  </w:r>
                </w:p>
              </w:tc>
            </w:tr>
            <w:tr w14:paraId="5E12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142" w:type="pct"/>
                  <w:noWrap w:val="0"/>
                  <w:vAlign w:val="center"/>
                </w:tcPr>
                <w:p w14:paraId="49C90C5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变压器油</w:t>
                  </w:r>
                </w:p>
              </w:tc>
              <w:tc>
                <w:tcPr>
                  <w:tcW w:w="3857" w:type="pct"/>
                  <w:noWrap w:val="0"/>
                  <w:vAlign w:val="center"/>
                </w:tcPr>
                <w:p w14:paraId="776F2095">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外观与性状：稍有黏稠半透明液体；</w:t>
                  </w:r>
                </w:p>
                <w:p w14:paraId="3FA8ED37">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相对密度（水=1）：0.86~0.895；</w:t>
                  </w:r>
                </w:p>
                <w:p w14:paraId="71B6E00F">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相对蒸气密度（空气=1）：1.4；</w:t>
                  </w:r>
                </w:p>
                <w:p w14:paraId="4D4341C1">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闪点（℃）：≥135；</w:t>
                  </w:r>
                </w:p>
                <w:p w14:paraId="4E0D18E5">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溶解性：不溶于水。</w:t>
                  </w:r>
                </w:p>
                <w:p w14:paraId="324C81B8">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火灾类别：丙类，可燃液体。</w:t>
                  </w:r>
                </w:p>
                <w:p w14:paraId="61DEF32D">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急性毒性：大鼠吸入LC50:300000mg/m</w:t>
                  </w:r>
                  <w:r>
                    <w:rPr>
                      <w:rFonts w:hint="default" w:ascii="Times New Roman" w:hAnsi="Times New Roman" w:eastAsia="仿宋" w:cs="Times New Roman"/>
                      <w:color w:val="auto"/>
                      <w:kern w:val="2"/>
                      <w:sz w:val="21"/>
                      <w:szCs w:val="22"/>
                      <w:highlight w:val="none"/>
                      <w:vertAlign w:val="superscript"/>
                      <w:lang w:val="en-US" w:eastAsia="zh-CN" w:bidi="ar-SA"/>
                    </w:rPr>
                    <w:t>3</w:t>
                  </w:r>
                  <w:r>
                    <w:rPr>
                      <w:rFonts w:hint="default" w:ascii="Times New Roman" w:hAnsi="Times New Roman" w:eastAsia="仿宋" w:cs="Times New Roman"/>
                      <w:color w:val="auto"/>
                      <w:kern w:val="2"/>
                      <w:sz w:val="21"/>
                      <w:szCs w:val="22"/>
                      <w:highlight w:val="none"/>
                      <w:lang w:val="en-US" w:eastAsia="zh-CN" w:bidi="ar-SA"/>
                    </w:rPr>
                    <w:t>（5个月）；小鼠吸入LC50:300000mg/m</w:t>
                  </w:r>
                  <w:r>
                    <w:rPr>
                      <w:rFonts w:hint="default" w:ascii="Times New Roman" w:hAnsi="Times New Roman" w:eastAsia="仿宋" w:cs="Times New Roman"/>
                      <w:color w:val="auto"/>
                      <w:kern w:val="2"/>
                      <w:sz w:val="21"/>
                      <w:szCs w:val="22"/>
                      <w:highlight w:val="none"/>
                      <w:vertAlign w:val="superscript"/>
                      <w:lang w:val="en-US" w:eastAsia="zh-CN" w:bidi="ar-SA"/>
                    </w:rPr>
                    <w:t>3</w:t>
                  </w:r>
                  <w:r>
                    <w:rPr>
                      <w:rFonts w:hint="default" w:ascii="Times New Roman" w:hAnsi="Times New Roman" w:eastAsia="仿宋" w:cs="Times New Roman"/>
                      <w:color w:val="auto"/>
                      <w:kern w:val="2"/>
                      <w:sz w:val="21"/>
                      <w:szCs w:val="22"/>
                      <w:highlight w:val="none"/>
                      <w:lang w:val="en-US" w:eastAsia="zh-CN" w:bidi="ar-SA"/>
                    </w:rPr>
                    <w:t>（5个月）。</w:t>
                  </w:r>
                </w:p>
              </w:tc>
            </w:tr>
          </w:tbl>
          <w:p w14:paraId="62A117D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w:t>
            </w:r>
            <w:r>
              <w:rPr>
                <w:rFonts w:hint="eastAsia" w:cs="Times New Roman"/>
                <w:b/>
                <w:color w:val="auto"/>
                <w:kern w:val="2"/>
                <w:sz w:val="21"/>
                <w:szCs w:val="20"/>
                <w:highlight w:val="none"/>
                <w:lang w:val="en-US" w:eastAsia="zh-CN" w:bidi="ar-SA"/>
              </w:rPr>
              <w:t>4.3-8</w:t>
            </w:r>
            <w:r>
              <w:rPr>
                <w:rFonts w:hint="default" w:ascii="Times New Roman" w:hAnsi="Times New Roman" w:eastAsia="仿宋" w:cs="Times New Roman"/>
                <w:b/>
                <w:color w:val="auto"/>
                <w:kern w:val="2"/>
                <w:sz w:val="21"/>
                <w:szCs w:val="20"/>
                <w:highlight w:val="none"/>
                <w:lang w:val="en-US" w:eastAsia="zh-CN" w:bidi="ar-SA"/>
              </w:rPr>
              <w:t xml:space="preserve"> 危险物质主要成分基本性质一览表</w:t>
            </w:r>
          </w:p>
          <w:tbl>
            <w:tblPr>
              <w:tblStyle w:val="10"/>
              <w:tblW w:w="48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70"/>
              <w:gridCol w:w="1379"/>
              <w:gridCol w:w="5602"/>
            </w:tblGrid>
            <w:tr w14:paraId="07C36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restart"/>
                  <w:tcBorders>
                    <w:top w:val="single" w:color="000000" w:sz="4" w:space="0"/>
                    <w:left w:val="single" w:color="000000" w:sz="4" w:space="0"/>
                    <w:bottom w:val="single" w:color="000000" w:sz="4" w:space="0"/>
                    <w:right w:val="single" w:color="000000" w:sz="4" w:space="0"/>
                  </w:tcBorders>
                  <w:noWrap w:val="0"/>
                  <w:vAlign w:val="center"/>
                </w:tcPr>
                <w:p w14:paraId="0F54D70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检修废油</w:t>
                  </w: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66600C7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危险废物</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310CBE3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0"/>
                      <w:sz w:val="21"/>
                      <w:szCs w:val="22"/>
                      <w:highlight w:val="none"/>
                      <w:lang w:val="en-US" w:eastAsia="zh-CN" w:bidi="ar-SA"/>
                    </w:rPr>
                  </w:pPr>
                  <w:r>
                    <w:rPr>
                      <w:rFonts w:hint="default" w:ascii="Times New Roman" w:hAnsi="Times New Roman" w:eastAsia="仿宋" w:cs="Times New Roman"/>
                      <w:color w:val="auto"/>
                      <w:kern w:val="0"/>
                      <w:sz w:val="21"/>
                      <w:szCs w:val="22"/>
                      <w:highlight w:val="none"/>
                      <w:lang w:val="en-US" w:eastAsia="zh-CN" w:bidi="ar-SA"/>
                    </w:rPr>
                    <w:t>变压器维护、更换和拆解过程中产生的</w:t>
                  </w:r>
                  <w:r>
                    <w:rPr>
                      <w:rFonts w:hint="default" w:ascii="Times New Roman" w:hAnsi="Times New Roman" w:eastAsia="仿宋" w:cs="Times New Roman"/>
                      <w:color w:val="auto"/>
                      <w:kern w:val="2"/>
                      <w:sz w:val="21"/>
                      <w:szCs w:val="22"/>
                      <w:highlight w:val="none"/>
                      <w:lang w:val="en-US" w:eastAsia="zh-CN" w:bidi="ar-SA"/>
                    </w:rPr>
                    <w:t>检修废油</w:t>
                  </w:r>
                </w:p>
              </w:tc>
            </w:tr>
            <w:tr w14:paraId="4C89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EF1C0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01C65FE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废物类别</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20EA760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HW08废矿物油与含矿物油废物</w:t>
                  </w:r>
                </w:p>
              </w:tc>
            </w:tr>
            <w:tr w14:paraId="30E64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E19B8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74A3A9C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危险代码</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44A4705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900-220-08</w:t>
                  </w:r>
                </w:p>
              </w:tc>
            </w:tr>
            <w:tr w14:paraId="707B2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50F4E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44A7973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危险特征</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27D3FDE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T（毒性），I（易燃性）</w:t>
                  </w:r>
                </w:p>
              </w:tc>
            </w:tr>
            <w:tr w14:paraId="56983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3C367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69DD5FE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危险特性</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7A83A41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废变压油中含有致癌，致突变，致变形物质及废酸，重金属等物质，对人体危害极大</w:t>
                  </w:r>
                </w:p>
              </w:tc>
            </w:tr>
            <w:tr w14:paraId="710B4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restart"/>
                  <w:tcBorders>
                    <w:top w:val="single" w:color="000000" w:sz="4" w:space="0"/>
                    <w:left w:val="single" w:color="000000" w:sz="4" w:space="0"/>
                    <w:bottom w:val="single" w:color="000000" w:sz="4" w:space="0"/>
                    <w:right w:val="single" w:color="000000" w:sz="4" w:space="0"/>
                  </w:tcBorders>
                  <w:noWrap w:val="0"/>
                  <w:vAlign w:val="center"/>
                </w:tcPr>
                <w:p w14:paraId="1D9A8CC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废铅蓄</w:t>
                  </w:r>
                </w:p>
                <w:p w14:paraId="6D97FCF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电池</w:t>
                  </w: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3A26818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危险废物</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6A692BC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0"/>
                      <w:sz w:val="21"/>
                      <w:szCs w:val="22"/>
                      <w:highlight w:val="none"/>
                      <w:lang w:val="en-US" w:eastAsia="zh-CN" w:bidi="ar-SA"/>
                    </w:rPr>
                  </w:pPr>
                  <w:r>
                    <w:rPr>
                      <w:rFonts w:hint="default" w:ascii="Times New Roman" w:hAnsi="Times New Roman" w:eastAsia="仿宋" w:cs="Times New Roman"/>
                      <w:color w:val="auto"/>
                      <w:kern w:val="0"/>
                      <w:sz w:val="21"/>
                      <w:szCs w:val="22"/>
                      <w:highlight w:val="none"/>
                      <w:lang w:val="en-US" w:eastAsia="zh-CN" w:bidi="ar-SA"/>
                    </w:rPr>
                    <w:t>废铅蓄电池及废铅蓄电池拆解过程中产生的废铅板、废铅膏和酸液</w:t>
                  </w:r>
                </w:p>
              </w:tc>
            </w:tr>
            <w:tr w14:paraId="711A7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8BA77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0807A3A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废物类别</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46EC88C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HW31含铅废物</w:t>
                  </w:r>
                </w:p>
              </w:tc>
            </w:tr>
            <w:tr w14:paraId="4DF44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7C2B3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2459963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危险代码</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42982D3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900-052-31</w:t>
                  </w:r>
                </w:p>
              </w:tc>
            </w:tr>
            <w:tr w14:paraId="3758B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0F8C2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65394F3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危险特征</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0AC7D8D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T（毒性），C（腐蚀性）</w:t>
                  </w:r>
                </w:p>
              </w:tc>
            </w:tr>
            <w:tr w14:paraId="594EE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27C6F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856" w:type="pct"/>
                  <w:tcBorders>
                    <w:top w:val="single" w:color="000000" w:sz="4" w:space="0"/>
                    <w:left w:val="single" w:color="000000" w:sz="4" w:space="0"/>
                    <w:bottom w:val="single" w:color="000000" w:sz="4" w:space="0"/>
                    <w:right w:val="single" w:color="000000" w:sz="4" w:space="0"/>
                  </w:tcBorders>
                  <w:noWrap w:val="0"/>
                  <w:vAlign w:val="center"/>
                </w:tcPr>
                <w:p w14:paraId="4B62429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危险特性</w:t>
                  </w:r>
                </w:p>
              </w:tc>
              <w:tc>
                <w:tcPr>
                  <w:tcW w:w="3478" w:type="pct"/>
                  <w:tcBorders>
                    <w:top w:val="single" w:color="000000" w:sz="4" w:space="0"/>
                    <w:left w:val="single" w:color="000000" w:sz="4" w:space="0"/>
                    <w:bottom w:val="single" w:color="000000" w:sz="4" w:space="0"/>
                    <w:right w:val="single" w:color="000000" w:sz="4" w:space="0"/>
                  </w:tcBorders>
                  <w:noWrap w:val="0"/>
                  <w:vAlign w:val="center"/>
                </w:tcPr>
                <w:p w14:paraId="4BE1390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shd w:val="clear" w:color="auto" w:fill="FFFFFF"/>
                      <w:lang w:val="en-US" w:eastAsia="zh-CN" w:bidi="ar-SA"/>
                    </w:rPr>
                    <w:t>废旧电池的危害主要集中在其中所含的少量的重金属上，如铅、汞、镉等。这些有毒物质通过各种途径进入人体内，长期积蓄难以排除，损害神经系统、造血功能和骨骼，甚至可以致癌。废铅蓄电池内含有硫酸，具有腐蚀性，一旦接触人体将对皮肤造成灼伤。</w:t>
                  </w:r>
                </w:p>
              </w:tc>
            </w:tr>
          </w:tbl>
          <w:p w14:paraId="3586192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②环境风险事故分析</w:t>
            </w:r>
          </w:p>
          <w:p w14:paraId="3528E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本项目220kV升压站内设有</w:t>
            </w:r>
            <w:r>
              <w:rPr>
                <w:rFonts w:hint="default" w:ascii="Times New Roman" w:hAnsi="Times New Roman" w:eastAsia="仿宋" w:cs="Times New Roman"/>
                <w:bCs/>
                <w:color w:val="auto"/>
                <w:sz w:val="24"/>
                <w:szCs w:val="24"/>
                <w:highlight w:val="none"/>
                <w:lang w:val="en-US" w:eastAsia="zh-CN"/>
              </w:rPr>
              <w:t>1</w:t>
            </w:r>
            <w:r>
              <w:rPr>
                <w:rFonts w:hint="default" w:ascii="Times New Roman" w:hAnsi="Times New Roman" w:eastAsia="仿宋" w:cs="Times New Roman"/>
                <w:bCs/>
                <w:color w:val="auto"/>
                <w:sz w:val="24"/>
                <w:szCs w:val="24"/>
                <w:highlight w:val="none"/>
              </w:rPr>
              <w:t>台</w:t>
            </w:r>
            <w:r>
              <w:rPr>
                <w:rFonts w:hint="default" w:ascii="Times New Roman" w:hAnsi="Times New Roman" w:eastAsia="仿宋" w:cs="Times New Roman"/>
                <w:bCs/>
                <w:color w:val="auto"/>
                <w:sz w:val="24"/>
                <w:szCs w:val="24"/>
                <w:highlight w:val="none"/>
                <w:lang w:val="en-US" w:eastAsia="zh-CN"/>
              </w:rPr>
              <w:t>230MVA和1台210MVA</w:t>
            </w:r>
            <w:r>
              <w:rPr>
                <w:rFonts w:hint="default" w:ascii="Times New Roman" w:hAnsi="Times New Roman" w:eastAsia="仿宋" w:cs="Times New Roman"/>
                <w:bCs/>
                <w:color w:val="auto"/>
                <w:sz w:val="24"/>
                <w:szCs w:val="24"/>
                <w:highlight w:val="none"/>
              </w:rPr>
              <w:t>主变机组，</w:t>
            </w:r>
            <w:r>
              <w:rPr>
                <w:rFonts w:hint="default" w:ascii="Times New Roman" w:hAnsi="Times New Roman" w:eastAsia="仿宋" w:cs="Times New Roman"/>
                <w:bCs/>
                <w:color w:val="auto"/>
                <w:sz w:val="24"/>
                <w:szCs w:val="24"/>
                <w:highlight w:val="none"/>
                <w:lang w:val="en-US" w:eastAsia="zh-CN"/>
              </w:rPr>
              <w:t>分别有</w:t>
            </w:r>
            <w:r>
              <w:rPr>
                <w:rFonts w:hint="default" w:ascii="Times New Roman" w:hAnsi="Times New Roman" w:eastAsia="仿宋" w:cs="Times New Roman"/>
                <w:bCs/>
                <w:color w:val="auto"/>
                <w:sz w:val="24"/>
                <w:szCs w:val="24"/>
                <w:highlight w:val="none"/>
              </w:rPr>
              <w:t>变压器油</w:t>
            </w:r>
            <w:r>
              <w:rPr>
                <w:rFonts w:hint="default" w:ascii="Times New Roman" w:hAnsi="Times New Roman" w:eastAsia="仿宋" w:cs="Times New Roman"/>
                <w:bCs/>
                <w:color w:val="auto"/>
                <w:sz w:val="24"/>
                <w:szCs w:val="24"/>
                <w:highlight w:val="none"/>
                <w:lang w:val="en-US" w:eastAsia="zh-CN"/>
              </w:rPr>
              <w:t>70t和60t</w:t>
            </w:r>
            <w:r>
              <w:rPr>
                <w:rFonts w:hint="default" w:ascii="Times New Roman" w:hAnsi="Times New Roman" w:eastAsia="仿宋" w:cs="Times New Roman"/>
                <w:bCs/>
                <w:color w:val="auto"/>
                <w:sz w:val="24"/>
                <w:szCs w:val="24"/>
                <w:highlight w:val="none"/>
              </w:rPr>
              <w:t>。变压器油是一种液体绝缘油料，由石油的轻质润滑油馏分经精制和加抗氧化剂而成。有高的比热容、耐电压强度、氧化稳定性，低的凝固点，不能含有水分和杂质，用于变压器、油开关和其他高电压设备中。主要成分是烷烃、环烷族饱和烃、芳香族不饱和烃等化合物。变压器废油属于危险废物，为防止事故变压器油泄漏污染环境，在变压器下方修建了事故油池。在发生事故时事故漏油能全部暂存于事故漏油池，避免污染周边环境。事故漏油及时抽取，存放于密闭容器内，并设置明显标识注明。事故漏油属于危险废物，交由有资质的单位进行回收处理。</w:t>
            </w:r>
          </w:p>
          <w:p w14:paraId="6E8BBE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电气设备等检修润滑油需定期进行更换，更换的废油由专门容器收集，暂存在危废暂存间内，交由资质单位妥善处置。</w:t>
            </w:r>
          </w:p>
          <w:p w14:paraId="2740927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根据《建设项目环境风险评价技术导则》（HJ169-2018）的要求，建设项目环境风险潜势划分为Ⅰ、Ⅱ、Ⅲ、Ⅳ/Ⅳ</w:t>
            </w:r>
            <w:r>
              <w:rPr>
                <w:rFonts w:hint="default" w:ascii="Times New Roman" w:hAnsi="Times New Roman" w:eastAsia="仿宋" w:cs="Times New Roman"/>
                <w:bCs/>
                <w:color w:val="auto"/>
                <w:szCs w:val="22"/>
                <w:highlight w:val="none"/>
                <w:vertAlign w:val="superscript"/>
              </w:rPr>
              <w:t>+</w:t>
            </w:r>
            <w:r>
              <w:rPr>
                <w:rFonts w:hint="default" w:ascii="Times New Roman" w:hAnsi="Times New Roman" w:eastAsia="仿宋" w:cs="Times New Roman"/>
                <w:bCs/>
                <w:color w:val="auto"/>
                <w:szCs w:val="22"/>
                <w:highlight w:val="none"/>
              </w:rPr>
              <w:t>级。</w:t>
            </w:r>
          </w:p>
          <w:p w14:paraId="52A1247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计算所涉及的每种危险物质在厂界内的最大存在总量与其在《建设项目环境风险评价技术导则》（HJ169-2018）附录B中对应临界量的比值Q。在不同厂区的同一种物质，按其在厂界内的最大存在总量计算。</w:t>
            </w:r>
          </w:p>
          <w:p w14:paraId="192C821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当只涉及一种危险物质时，计算该物质的总量与其临界量比值，即为Q；当存在多种危险物质时，则按下式计算物质总量与其临界量比值（Q）：</w:t>
            </w:r>
          </w:p>
          <w:p w14:paraId="24D4FF38">
            <w:pPr>
              <w:keepNext w:val="0"/>
              <w:keepLines w:val="0"/>
              <w:suppressLineNumbers w:val="0"/>
              <w:spacing w:before="0" w:beforeAutospacing="0" w:after="0" w:afterAutospacing="0" w:line="360" w:lineRule="auto"/>
              <w:ind w:left="0" w:right="0"/>
              <w:jc w:val="center"/>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Q=q</w:t>
            </w:r>
            <w:r>
              <w:rPr>
                <w:rFonts w:hint="default" w:ascii="Times New Roman" w:hAnsi="Times New Roman" w:eastAsia="仿宋" w:cs="Times New Roman"/>
                <w:bCs/>
                <w:color w:val="auto"/>
                <w:szCs w:val="22"/>
                <w:highlight w:val="none"/>
                <w:vertAlign w:val="subscript"/>
              </w:rPr>
              <w:t>1</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1</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2</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2</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3</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3</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n</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n</w:t>
            </w:r>
          </w:p>
          <w:p w14:paraId="3FB20C5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式中q</w:t>
            </w:r>
            <w:r>
              <w:rPr>
                <w:rFonts w:hint="default" w:ascii="Times New Roman" w:hAnsi="Times New Roman" w:eastAsia="仿宋" w:cs="Times New Roman"/>
                <w:bCs/>
                <w:color w:val="auto"/>
                <w:szCs w:val="22"/>
                <w:highlight w:val="none"/>
                <w:vertAlign w:val="subscript"/>
              </w:rPr>
              <w:t>1</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2</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3</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n</w:t>
            </w:r>
            <w:r>
              <w:rPr>
                <w:rFonts w:hint="default" w:ascii="Times New Roman" w:hAnsi="Times New Roman" w:eastAsia="仿宋" w:cs="Times New Roman"/>
                <w:bCs/>
                <w:color w:val="auto"/>
                <w:szCs w:val="22"/>
                <w:highlight w:val="none"/>
              </w:rPr>
              <w:t>--每种危险物质实际存在量，t；</w:t>
            </w:r>
          </w:p>
          <w:p w14:paraId="68FF1524">
            <w:pPr>
              <w:keepNext w:val="0"/>
              <w:keepLines w:val="0"/>
              <w:suppressLineNumbers w:val="0"/>
              <w:spacing w:before="0" w:beforeAutospacing="0" w:after="0" w:afterAutospacing="0" w:line="360" w:lineRule="auto"/>
              <w:ind w:left="0" w:right="0" w:firstLine="1039" w:firstLineChars="433"/>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1</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2</w:t>
            </w:r>
            <w:r>
              <w:rPr>
                <w:rFonts w:hint="default" w:ascii="Times New Roman" w:hAnsi="Times New Roman" w:eastAsia="仿宋" w:cs="Times New Roman"/>
                <w:bCs/>
                <w:color w:val="auto"/>
                <w:szCs w:val="22"/>
                <w:highlight w:val="none"/>
              </w:rPr>
              <w:t>，Q</w:t>
            </w:r>
            <w:r>
              <w:rPr>
                <w:rFonts w:hint="default" w:ascii="Times New Roman" w:hAnsi="Times New Roman" w:eastAsia="仿宋" w:cs="Times New Roman"/>
                <w:bCs/>
                <w:color w:val="auto"/>
                <w:szCs w:val="22"/>
                <w:highlight w:val="none"/>
                <w:vertAlign w:val="subscript"/>
              </w:rPr>
              <w:t>3</w:t>
            </w:r>
            <w:r>
              <w:rPr>
                <w:rFonts w:hint="default" w:ascii="Times New Roman" w:hAnsi="Times New Roman" w:eastAsia="仿宋" w:cs="Times New Roman"/>
                <w:bCs/>
                <w:color w:val="auto"/>
                <w:szCs w:val="22"/>
                <w:highlight w:val="none"/>
              </w:rPr>
              <w:t>·····，Qn--与各危险物质相对应的生产场所或贮存区的临界量，t。</w:t>
            </w:r>
          </w:p>
          <w:p w14:paraId="4B4B3F4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当Q＜1时，该项目环境风险潜势为I。</w:t>
            </w:r>
          </w:p>
          <w:p w14:paraId="6E92D73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当Q≥1时，将Q值划分为：（1）1≤Q＜10；（2）10≤Q＜100；（3）Q≥100。</w:t>
            </w:r>
          </w:p>
          <w:p w14:paraId="24399A0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bCs/>
                <w:color w:val="auto"/>
                <w:szCs w:val="22"/>
                <w:highlight w:val="none"/>
              </w:rPr>
              <w:t>按照《建设项目环境风险评价技术导则》（HJ169-2018）推荐的方法，该项目物质的临界量如下表所示。</w:t>
            </w:r>
          </w:p>
          <w:p w14:paraId="52C2F91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w:t>
            </w:r>
            <w:r>
              <w:rPr>
                <w:rFonts w:hint="eastAsia" w:cs="Times New Roman"/>
                <w:b/>
                <w:color w:val="auto"/>
                <w:kern w:val="2"/>
                <w:sz w:val="21"/>
                <w:szCs w:val="20"/>
                <w:highlight w:val="none"/>
                <w:lang w:val="en-US" w:eastAsia="zh-CN" w:bidi="ar-SA"/>
              </w:rPr>
              <w:t>4.3-9</w:t>
            </w:r>
            <w:r>
              <w:rPr>
                <w:rFonts w:hint="default" w:ascii="Times New Roman" w:hAnsi="Times New Roman" w:eastAsia="仿宋" w:cs="Times New Roman"/>
                <w:b/>
                <w:color w:val="auto"/>
                <w:kern w:val="2"/>
                <w:sz w:val="21"/>
                <w:szCs w:val="20"/>
                <w:highlight w:val="none"/>
                <w:lang w:val="en-US" w:eastAsia="zh-CN" w:bidi="ar-SA"/>
              </w:rPr>
              <w:t xml:space="preserve"> 风险物质的临界量一览表</w:t>
            </w:r>
          </w:p>
          <w:tbl>
            <w:tblPr>
              <w:tblStyle w:val="10"/>
              <w:tblW w:w="48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6"/>
              <w:gridCol w:w="2233"/>
              <w:gridCol w:w="1134"/>
              <w:gridCol w:w="3888"/>
            </w:tblGrid>
            <w:tr w14:paraId="59053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 w:type="pct"/>
                  <w:tcBorders>
                    <w:top w:val="single" w:color="000000" w:sz="4" w:space="0"/>
                    <w:left w:val="single" w:color="000000" w:sz="4" w:space="0"/>
                    <w:bottom w:val="single" w:color="000000" w:sz="4" w:space="0"/>
                    <w:right w:val="single" w:color="000000" w:sz="4" w:space="0"/>
                  </w:tcBorders>
                  <w:noWrap w:val="0"/>
                  <w:vAlign w:val="center"/>
                </w:tcPr>
                <w:p w14:paraId="15CAC80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序号</w:t>
                  </w:r>
                </w:p>
              </w:tc>
              <w:tc>
                <w:tcPr>
                  <w:tcW w:w="1386" w:type="pct"/>
                  <w:tcBorders>
                    <w:top w:val="single" w:color="000000" w:sz="4" w:space="0"/>
                    <w:left w:val="single" w:color="000000" w:sz="4" w:space="0"/>
                    <w:bottom w:val="single" w:color="000000" w:sz="4" w:space="0"/>
                    <w:right w:val="single" w:color="000000" w:sz="4" w:space="0"/>
                  </w:tcBorders>
                  <w:noWrap w:val="0"/>
                  <w:vAlign w:val="center"/>
                </w:tcPr>
                <w:p w14:paraId="371AB72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物质</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5881BFE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临界量t</w:t>
                  </w:r>
                </w:p>
              </w:tc>
              <w:tc>
                <w:tcPr>
                  <w:tcW w:w="2414" w:type="pct"/>
                  <w:tcBorders>
                    <w:top w:val="single" w:color="000000" w:sz="4" w:space="0"/>
                    <w:left w:val="single" w:color="000000" w:sz="4" w:space="0"/>
                    <w:bottom w:val="single" w:color="000000" w:sz="4" w:space="0"/>
                    <w:right w:val="single" w:color="000000" w:sz="4" w:space="0"/>
                  </w:tcBorders>
                  <w:noWrap w:val="0"/>
                  <w:vAlign w:val="center"/>
                </w:tcPr>
                <w:p w14:paraId="5F6B954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数据来源</w:t>
                  </w:r>
                </w:p>
              </w:tc>
            </w:tr>
            <w:tr w14:paraId="69DB4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 w:type="pct"/>
                  <w:tcBorders>
                    <w:top w:val="single" w:color="000000" w:sz="4" w:space="0"/>
                    <w:left w:val="single" w:color="000000" w:sz="4" w:space="0"/>
                    <w:bottom w:val="single" w:color="000000" w:sz="4" w:space="0"/>
                    <w:right w:val="single" w:color="000000" w:sz="4" w:space="0"/>
                  </w:tcBorders>
                  <w:noWrap w:val="0"/>
                  <w:vAlign w:val="center"/>
                </w:tcPr>
                <w:p w14:paraId="2639F0B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1</w:t>
                  </w:r>
                </w:p>
              </w:tc>
              <w:tc>
                <w:tcPr>
                  <w:tcW w:w="1386" w:type="pct"/>
                  <w:tcBorders>
                    <w:top w:val="single" w:color="000000" w:sz="4" w:space="0"/>
                    <w:left w:val="single" w:color="000000" w:sz="4" w:space="0"/>
                    <w:bottom w:val="single" w:color="000000" w:sz="4" w:space="0"/>
                    <w:right w:val="single" w:color="000000" w:sz="4" w:space="0"/>
                  </w:tcBorders>
                  <w:noWrap w:val="0"/>
                  <w:vAlign w:val="center"/>
                </w:tcPr>
                <w:p w14:paraId="7B84BC6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变压器油</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0F1A17C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2500</w:t>
                  </w:r>
                </w:p>
              </w:tc>
              <w:tc>
                <w:tcPr>
                  <w:tcW w:w="2414" w:type="pct"/>
                  <w:vMerge w:val="restart"/>
                  <w:tcBorders>
                    <w:top w:val="single" w:color="000000" w:sz="4" w:space="0"/>
                    <w:left w:val="single" w:color="000000" w:sz="4" w:space="0"/>
                    <w:right w:val="single" w:color="000000" w:sz="4" w:space="0"/>
                  </w:tcBorders>
                  <w:noWrap w:val="0"/>
                  <w:vAlign w:val="center"/>
                </w:tcPr>
                <w:p w14:paraId="4DD90CB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按照《建设项目环境风险评价技术导则》（HJ169-2018）中“表B.1突发环境事件风险物质及临界量”来确定。</w:t>
                  </w:r>
                </w:p>
              </w:tc>
            </w:tr>
            <w:tr w14:paraId="35AE4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 w:type="pct"/>
                  <w:tcBorders>
                    <w:top w:val="single" w:color="000000" w:sz="4" w:space="0"/>
                    <w:left w:val="single" w:color="000000" w:sz="4" w:space="0"/>
                    <w:bottom w:val="single" w:color="000000" w:sz="4" w:space="0"/>
                    <w:right w:val="single" w:color="000000" w:sz="4" w:space="0"/>
                  </w:tcBorders>
                  <w:noWrap w:val="0"/>
                  <w:vAlign w:val="center"/>
                </w:tcPr>
                <w:p w14:paraId="0B0A825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w:t>
                  </w:r>
                </w:p>
              </w:tc>
              <w:tc>
                <w:tcPr>
                  <w:tcW w:w="1386" w:type="pct"/>
                  <w:tcBorders>
                    <w:top w:val="single" w:color="000000" w:sz="4" w:space="0"/>
                    <w:left w:val="single" w:color="000000" w:sz="4" w:space="0"/>
                    <w:bottom w:val="single" w:color="000000" w:sz="4" w:space="0"/>
                    <w:right w:val="single" w:color="000000" w:sz="4" w:space="0"/>
                  </w:tcBorders>
                  <w:noWrap w:val="0"/>
                  <w:vAlign w:val="center"/>
                </w:tcPr>
                <w:p w14:paraId="7853578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检修废油</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370A9A2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2500</w:t>
                  </w:r>
                </w:p>
              </w:tc>
              <w:tc>
                <w:tcPr>
                  <w:tcW w:w="2414" w:type="pct"/>
                  <w:vMerge w:val="continue"/>
                  <w:tcBorders>
                    <w:top w:val="single" w:color="000000" w:sz="4" w:space="0"/>
                    <w:left w:val="single" w:color="000000" w:sz="4" w:space="0"/>
                    <w:right w:val="single" w:color="000000" w:sz="4" w:space="0"/>
                  </w:tcBorders>
                  <w:noWrap w:val="0"/>
                  <w:vAlign w:val="center"/>
                </w:tcPr>
                <w:p w14:paraId="52D0510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r>
            <w:tr w14:paraId="2F2B8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 w:type="pct"/>
                  <w:tcBorders>
                    <w:top w:val="single" w:color="000000" w:sz="4" w:space="0"/>
                    <w:left w:val="single" w:color="000000" w:sz="4" w:space="0"/>
                    <w:bottom w:val="single" w:color="000000" w:sz="4" w:space="0"/>
                    <w:right w:val="single" w:color="000000" w:sz="4" w:space="0"/>
                  </w:tcBorders>
                  <w:noWrap w:val="0"/>
                  <w:vAlign w:val="center"/>
                </w:tcPr>
                <w:p w14:paraId="7F34D52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3</w:t>
                  </w:r>
                </w:p>
              </w:tc>
              <w:tc>
                <w:tcPr>
                  <w:tcW w:w="1386" w:type="pct"/>
                  <w:tcBorders>
                    <w:top w:val="single" w:color="000000" w:sz="4" w:space="0"/>
                    <w:left w:val="single" w:color="000000" w:sz="4" w:space="0"/>
                    <w:bottom w:val="single" w:color="000000" w:sz="4" w:space="0"/>
                    <w:right w:val="single" w:color="000000" w:sz="4" w:space="0"/>
                  </w:tcBorders>
                  <w:noWrap w:val="0"/>
                  <w:vAlign w:val="center"/>
                </w:tcPr>
                <w:p w14:paraId="21CF93B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硫酸（废铅蓄电池内）</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087BD8E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10</w:t>
                  </w:r>
                </w:p>
              </w:tc>
              <w:tc>
                <w:tcPr>
                  <w:tcW w:w="2414" w:type="pct"/>
                  <w:vMerge w:val="continue"/>
                  <w:tcBorders>
                    <w:left w:val="single" w:color="000000" w:sz="4" w:space="0"/>
                    <w:right w:val="single" w:color="000000" w:sz="4" w:space="0"/>
                  </w:tcBorders>
                  <w:noWrap w:val="0"/>
                  <w:vAlign w:val="center"/>
                </w:tcPr>
                <w:p w14:paraId="37A836E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r>
          </w:tbl>
          <w:p w14:paraId="512C22C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bCs/>
                <w:color w:val="auto"/>
                <w:szCs w:val="22"/>
                <w:highlight w:val="none"/>
              </w:rPr>
              <w:t>根据上述公式及危险物质临界量可知，该项目危险物质数量与临界量比值Q如下表所示。</w:t>
            </w:r>
          </w:p>
          <w:p w14:paraId="4C8E661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w:t>
            </w:r>
            <w:r>
              <w:rPr>
                <w:rFonts w:hint="eastAsia" w:cs="Times New Roman"/>
                <w:b/>
                <w:color w:val="auto"/>
                <w:kern w:val="2"/>
                <w:sz w:val="21"/>
                <w:szCs w:val="20"/>
                <w:highlight w:val="none"/>
                <w:lang w:val="en-US" w:eastAsia="zh-CN" w:bidi="ar-SA"/>
              </w:rPr>
              <w:t>4.3-10</w:t>
            </w:r>
            <w:r>
              <w:rPr>
                <w:rFonts w:hint="default" w:ascii="Times New Roman" w:hAnsi="Times New Roman" w:eastAsia="仿宋" w:cs="Times New Roman"/>
                <w:b/>
                <w:color w:val="auto"/>
                <w:kern w:val="2"/>
                <w:sz w:val="21"/>
                <w:szCs w:val="20"/>
                <w:highlight w:val="none"/>
                <w:lang w:val="en-US" w:eastAsia="zh-CN" w:bidi="ar-SA"/>
              </w:rPr>
              <w:t xml:space="preserve"> 危险物质数量与临界量比值Q计算一览表单位：t/a</w:t>
            </w:r>
          </w:p>
          <w:tbl>
            <w:tblPr>
              <w:tblStyle w:val="10"/>
              <w:tblW w:w="486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34" w:type="dxa"/>
                <w:bottom w:w="0" w:type="dxa"/>
                <w:right w:w="34" w:type="dxa"/>
              </w:tblCellMar>
            </w:tblPr>
            <w:tblGrid>
              <w:gridCol w:w="1433"/>
              <w:gridCol w:w="1880"/>
              <w:gridCol w:w="1287"/>
              <w:gridCol w:w="1489"/>
              <w:gridCol w:w="1055"/>
              <w:gridCol w:w="930"/>
            </w:tblGrid>
            <w:tr w14:paraId="4B12F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4" w:type="dxa"/>
                  <w:bottom w:w="0" w:type="dxa"/>
                  <w:right w:w="34" w:type="dxa"/>
                </w:tblCellMar>
              </w:tblPrEx>
              <w:trPr>
                <w:jc w:val="center"/>
              </w:trPr>
              <w:tc>
                <w:tcPr>
                  <w:tcW w:w="887" w:type="pct"/>
                  <w:tcBorders>
                    <w:top w:val="single" w:color="000000" w:sz="4" w:space="0"/>
                    <w:left w:val="single" w:color="000000" w:sz="4" w:space="0"/>
                    <w:bottom w:val="single" w:color="000000" w:sz="4" w:space="0"/>
                    <w:right w:val="single" w:color="000000" w:sz="4" w:space="0"/>
                  </w:tcBorders>
                  <w:noWrap w:val="0"/>
                  <w:vAlign w:val="center"/>
                </w:tcPr>
                <w:p w14:paraId="3CFCDE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危险品名称</w:t>
                  </w:r>
                </w:p>
              </w:tc>
              <w:tc>
                <w:tcPr>
                  <w:tcW w:w="1164" w:type="pct"/>
                  <w:tcBorders>
                    <w:top w:val="single" w:color="000000" w:sz="4" w:space="0"/>
                    <w:left w:val="single" w:color="000000" w:sz="4" w:space="0"/>
                    <w:bottom w:val="single" w:color="000000" w:sz="4" w:space="0"/>
                    <w:right w:val="single" w:color="000000" w:sz="4" w:space="0"/>
                  </w:tcBorders>
                  <w:noWrap w:val="0"/>
                  <w:vAlign w:val="center"/>
                </w:tcPr>
                <w:p w14:paraId="77F3E4E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贮存设施</w:t>
                  </w:r>
                </w:p>
              </w:tc>
              <w:tc>
                <w:tcPr>
                  <w:tcW w:w="797" w:type="pct"/>
                  <w:tcBorders>
                    <w:top w:val="single" w:color="000000" w:sz="4" w:space="0"/>
                    <w:left w:val="single" w:color="000000" w:sz="4" w:space="0"/>
                    <w:bottom w:val="single" w:color="000000" w:sz="4" w:space="0"/>
                    <w:right w:val="single" w:color="000000" w:sz="4" w:space="0"/>
                  </w:tcBorders>
                  <w:noWrap w:val="0"/>
                  <w:vAlign w:val="center"/>
                </w:tcPr>
                <w:p w14:paraId="34DCD0D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贮存方式</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6E5D1C7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最大贮存量（t）</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698EDA2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临界量（t）</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65CAC5D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q/Q</w:t>
                  </w:r>
                </w:p>
              </w:tc>
            </w:tr>
            <w:tr w14:paraId="433F2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4" w:type="dxa"/>
                  <w:bottom w:w="0" w:type="dxa"/>
                  <w:right w:w="34" w:type="dxa"/>
                </w:tblCellMar>
              </w:tblPrEx>
              <w:trPr>
                <w:jc w:val="center"/>
              </w:trPr>
              <w:tc>
                <w:tcPr>
                  <w:tcW w:w="887" w:type="pct"/>
                  <w:tcBorders>
                    <w:top w:val="single" w:color="000000" w:sz="4" w:space="0"/>
                    <w:left w:val="single" w:color="000000" w:sz="4" w:space="0"/>
                    <w:bottom w:val="single" w:color="000000" w:sz="4" w:space="0"/>
                    <w:right w:val="single" w:color="000000" w:sz="4" w:space="0"/>
                  </w:tcBorders>
                  <w:noWrap w:val="0"/>
                  <w:vAlign w:val="center"/>
                </w:tcPr>
                <w:p w14:paraId="584B897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主变压器油</w:t>
                  </w:r>
                </w:p>
              </w:tc>
              <w:tc>
                <w:tcPr>
                  <w:tcW w:w="1164" w:type="pct"/>
                  <w:tcBorders>
                    <w:top w:val="single" w:color="000000" w:sz="4" w:space="0"/>
                    <w:left w:val="single" w:color="000000" w:sz="4" w:space="0"/>
                    <w:bottom w:val="single" w:color="000000" w:sz="4" w:space="0"/>
                    <w:right w:val="single" w:color="000000" w:sz="4" w:space="0"/>
                  </w:tcBorders>
                  <w:noWrap w:val="0"/>
                  <w:vAlign w:val="center"/>
                </w:tcPr>
                <w:p w14:paraId="64CC695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升压站主变压器内</w:t>
                  </w:r>
                </w:p>
              </w:tc>
              <w:tc>
                <w:tcPr>
                  <w:tcW w:w="797" w:type="pct"/>
                  <w:tcBorders>
                    <w:top w:val="single" w:color="000000" w:sz="4" w:space="0"/>
                    <w:left w:val="single" w:color="000000" w:sz="4" w:space="0"/>
                    <w:bottom w:val="single" w:color="000000" w:sz="4" w:space="0"/>
                    <w:right w:val="single" w:color="000000" w:sz="4" w:space="0"/>
                  </w:tcBorders>
                  <w:noWrap w:val="0"/>
                  <w:vAlign w:val="center"/>
                </w:tcPr>
                <w:p w14:paraId="3B89929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6FA43E2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130</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0F04F5B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2500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774EC58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0.052</w:t>
                  </w:r>
                </w:p>
              </w:tc>
            </w:tr>
            <w:tr w14:paraId="1A077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4" w:type="dxa"/>
                  <w:bottom w:w="0" w:type="dxa"/>
                  <w:right w:w="34" w:type="dxa"/>
                </w:tblCellMar>
              </w:tblPrEx>
              <w:trPr>
                <w:jc w:val="center"/>
              </w:trPr>
              <w:tc>
                <w:tcPr>
                  <w:tcW w:w="887" w:type="pct"/>
                  <w:tcBorders>
                    <w:top w:val="single" w:color="000000" w:sz="4" w:space="0"/>
                    <w:left w:val="single" w:color="000000" w:sz="4" w:space="0"/>
                    <w:bottom w:val="single" w:color="000000" w:sz="4" w:space="0"/>
                    <w:right w:val="single" w:color="000000" w:sz="4" w:space="0"/>
                  </w:tcBorders>
                  <w:noWrap w:val="0"/>
                  <w:vAlign w:val="center"/>
                </w:tcPr>
                <w:p w14:paraId="7D6AF6B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箱式变压器油</w:t>
                  </w:r>
                </w:p>
              </w:tc>
              <w:tc>
                <w:tcPr>
                  <w:tcW w:w="1164" w:type="pct"/>
                  <w:tcBorders>
                    <w:top w:val="single" w:color="000000" w:sz="4" w:space="0"/>
                    <w:left w:val="single" w:color="000000" w:sz="4" w:space="0"/>
                    <w:bottom w:val="single" w:color="000000" w:sz="4" w:space="0"/>
                    <w:right w:val="single" w:color="000000" w:sz="4" w:space="0"/>
                  </w:tcBorders>
                  <w:noWrap w:val="0"/>
                  <w:vAlign w:val="center"/>
                </w:tcPr>
                <w:p w14:paraId="2018156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光伏场区箱式变压器内</w:t>
                  </w:r>
                </w:p>
              </w:tc>
              <w:tc>
                <w:tcPr>
                  <w:tcW w:w="797" w:type="pct"/>
                  <w:tcBorders>
                    <w:top w:val="single" w:color="000000" w:sz="4" w:space="0"/>
                    <w:left w:val="single" w:color="000000" w:sz="4" w:space="0"/>
                    <w:bottom w:val="single" w:color="000000" w:sz="4" w:space="0"/>
                    <w:right w:val="single" w:color="000000" w:sz="4" w:space="0"/>
                  </w:tcBorders>
                  <w:noWrap w:val="0"/>
                  <w:vAlign w:val="center"/>
                </w:tcPr>
                <w:p w14:paraId="47F637E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4C4FDBC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eastAsia" w:cs="Times New Roman"/>
                      <w:color w:val="auto"/>
                      <w:kern w:val="2"/>
                      <w:sz w:val="21"/>
                      <w:szCs w:val="22"/>
                      <w:highlight w:val="none"/>
                      <w:lang w:val="en-US" w:eastAsia="zh-CN" w:bidi="ar-SA"/>
                    </w:rPr>
                    <w:t>60.32(</w:t>
                  </w:r>
                  <w:r>
                    <w:rPr>
                      <w:rFonts w:hint="default" w:ascii="Times New Roman" w:hAnsi="Times New Roman" w:eastAsia="仿宋" w:cs="Times New Roman"/>
                      <w:color w:val="auto"/>
                      <w:kern w:val="2"/>
                      <w:sz w:val="21"/>
                      <w:szCs w:val="22"/>
                      <w:highlight w:val="none"/>
                      <w:lang w:val="en-US" w:eastAsia="zh-CN" w:bidi="ar-SA"/>
                    </w:rPr>
                    <w:t>1.</w:t>
                  </w:r>
                  <w:r>
                    <w:rPr>
                      <w:rFonts w:hint="eastAsia" w:cs="Times New Roman"/>
                      <w:color w:val="auto"/>
                      <w:kern w:val="2"/>
                      <w:sz w:val="21"/>
                      <w:szCs w:val="22"/>
                      <w:highlight w:val="none"/>
                      <w:lang w:val="en-US" w:eastAsia="zh-CN" w:bidi="ar-SA"/>
                    </w:rPr>
                    <w:t>16</w:t>
                  </w:r>
                  <w:r>
                    <w:rPr>
                      <w:rFonts w:hint="default" w:ascii="Times New Roman" w:hAnsi="Times New Roman" w:eastAsia="仿宋" w:cs="Times New Roman"/>
                      <w:color w:val="auto"/>
                      <w:spacing w:val="0"/>
                      <w:sz w:val="21"/>
                      <w:szCs w:val="21"/>
                      <w:highlight w:val="none"/>
                    </w:rPr>
                    <w:t>×</w:t>
                  </w:r>
                  <w:r>
                    <w:rPr>
                      <w:rFonts w:hint="default" w:ascii="Times New Roman" w:hAnsi="Times New Roman" w:eastAsia="仿宋" w:cs="Times New Roman"/>
                      <w:color w:val="auto"/>
                      <w:spacing w:val="0"/>
                      <w:sz w:val="21"/>
                      <w:szCs w:val="21"/>
                      <w:highlight w:val="none"/>
                      <w:lang w:val="en-US" w:eastAsia="zh-CN"/>
                    </w:rPr>
                    <w:t>52</w:t>
                  </w:r>
                  <w:r>
                    <w:rPr>
                      <w:rFonts w:hint="eastAsia" w:cs="Times New Roman"/>
                      <w:color w:val="auto"/>
                      <w:spacing w:val="0"/>
                      <w:sz w:val="21"/>
                      <w:szCs w:val="21"/>
                      <w:highlight w:val="none"/>
                      <w:lang w:val="en-US" w:eastAsia="zh-CN"/>
                    </w:rPr>
                    <w:t>)</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1C7072F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2500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1A45872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0.02</w:t>
                  </w:r>
                  <w:r>
                    <w:rPr>
                      <w:rFonts w:hint="eastAsia" w:cs="Times New Roman"/>
                      <w:color w:val="auto"/>
                      <w:kern w:val="2"/>
                      <w:sz w:val="21"/>
                      <w:szCs w:val="22"/>
                      <w:highlight w:val="none"/>
                      <w:lang w:val="en-US" w:eastAsia="zh-CN" w:bidi="ar-SA"/>
                    </w:rPr>
                    <w:t>413</w:t>
                  </w:r>
                </w:p>
              </w:tc>
            </w:tr>
            <w:tr w14:paraId="1604B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4" w:type="dxa"/>
                  <w:bottom w:w="0" w:type="dxa"/>
                  <w:right w:w="34" w:type="dxa"/>
                </w:tblCellMar>
              </w:tblPrEx>
              <w:trPr>
                <w:jc w:val="center"/>
              </w:trPr>
              <w:tc>
                <w:tcPr>
                  <w:tcW w:w="887" w:type="pct"/>
                  <w:tcBorders>
                    <w:top w:val="single" w:color="000000" w:sz="4" w:space="0"/>
                    <w:left w:val="single" w:color="000000" w:sz="4" w:space="0"/>
                    <w:bottom w:val="single" w:color="000000" w:sz="4" w:space="0"/>
                    <w:right w:val="single" w:color="000000" w:sz="4" w:space="0"/>
                  </w:tcBorders>
                  <w:noWrap w:val="0"/>
                  <w:vAlign w:val="center"/>
                </w:tcPr>
                <w:p w14:paraId="181FC44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检修废油</w:t>
                  </w:r>
                </w:p>
              </w:tc>
              <w:tc>
                <w:tcPr>
                  <w:tcW w:w="1164" w:type="pct"/>
                  <w:tcBorders>
                    <w:top w:val="single" w:color="000000" w:sz="4" w:space="0"/>
                    <w:left w:val="single" w:color="000000" w:sz="4" w:space="0"/>
                    <w:bottom w:val="single" w:color="000000" w:sz="4" w:space="0"/>
                    <w:right w:val="single" w:color="000000" w:sz="4" w:space="0"/>
                  </w:tcBorders>
                  <w:noWrap w:val="0"/>
                  <w:vAlign w:val="center"/>
                </w:tcPr>
                <w:p w14:paraId="700BF55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升压站危废暂存间</w:t>
                  </w:r>
                </w:p>
              </w:tc>
              <w:tc>
                <w:tcPr>
                  <w:tcW w:w="797" w:type="pct"/>
                  <w:tcBorders>
                    <w:top w:val="single" w:color="000000" w:sz="4" w:space="0"/>
                    <w:left w:val="single" w:color="000000" w:sz="4" w:space="0"/>
                    <w:bottom w:val="single" w:color="000000" w:sz="4" w:space="0"/>
                    <w:right w:val="single" w:color="000000" w:sz="4" w:space="0"/>
                  </w:tcBorders>
                  <w:noWrap w:val="0"/>
                  <w:vAlign w:val="center"/>
                </w:tcPr>
                <w:p w14:paraId="268CDE1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bCs/>
                      <w:color w:val="auto"/>
                      <w:kern w:val="2"/>
                      <w:sz w:val="21"/>
                      <w:szCs w:val="21"/>
                      <w:highlight w:val="none"/>
                      <w:lang w:val="en-US" w:eastAsia="zh-CN" w:bidi="ar-SA"/>
                    </w:rPr>
                    <w:t>/</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750ED2B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bCs/>
                      <w:color w:val="auto"/>
                      <w:kern w:val="2"/>
                      <w:sz w:val="21"/>
                      <w:szCs w:val="21"/>
                      <w:highlight w:val="none"/>
                      <w:lang w:val="en-US" w:eastAsia="zh-CN" w:bidi="ar-SA"/>
                    </w:rPr>
                    <w:t>0.05</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434F939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bCs/>
                      <w:color w:val="auto"/>
                      <w:kern w:val="2"/>
                      <w:sz w:val="21"/>
                      <w:szCs w:val="21"/>
                      <w:highlight w:val="none"/>
                      <w:lang w:val="en-US" w:eastAsia="zh-CN" w:bidi="ar-SA"/>
                    </w:rPr>
                    <w:t>2500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7AC3879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0.00002</w:t>
                  </w:r>
                </w:p>
              </w:tc>
            </w:tr>
            <w:tr w14:paraId="29CD4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4" w:type="dxa"/>
                  <w:bottom w:w="0" w:type="dxa"/>
                  <w:right w:w="34" w:type="dxa"/>
                </w:tblCellMar>
              </w:tblPrEx>
              <w:trPr>
                <w:jc w:val="center"/>
              </w:trPr>
              <w:tc>
                <w:tcPr>
                  <w:tcW w:w="887" w:type="pct"/>
                  <w:tcBorders>
                    <w:top w:val="single" w:color="000000" w:sz="4" w:space="0"/>
                    <w:left w:val="single" w:color="000000" w:sz="4" w:space="0"/>
                    <w:bottom w:val="single" w:color="000000" w:sz="4" w:space="0"/>
                    <w:right w:val="single" w:color="000000" w:sz="4" w:space="0"/>
                  </w:tcBorders>
                  <w:noWrap w:val="0"/>
                  <w:vAlign w:val="center"/>
                </w:tcPr>
                <w:p w14:paraId="0A24F60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硫酸（废铅蓄电池内）</w:t>
                  </w:r>
                </w:p>
              </w:tc>
              <w:tc>
                <w:tcPr>
                  <w:tcW w:w="1164" w:type="pct"/>
                  <w:tcBorders>
                    <w:top w:val="single" w:color="000000" w:sz="4" w:space="0"/>
                    <w:left w:val="single" w:color="000000" w:sz="4" w:space="0"/>
                    <w:bottom w:val="single" w:color="000000" w:sz="4" w:space="0"/>
                    <w:right w:val="single" w:color="000000" w:sz="4" w:space="0"/>
                  </w:tcBorders>
                  <w:noWrap w:val="0"/>
                  <w:vAlign w:val="center"/>
                </w:tcPr>
                <w:p w14:paraId="14B8011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危废暂存间废铅蓄电池内</w:t>
                  </w:r>
                </w:p>
              </w:tc>
              <w:tc>
                <w:tcPr>
                  <w:tcW w:w="797" w:type="pct"/>
                  <w:tcBorders>
                    <w:top w:val="single" w:color="000000" w:sz="4" w:space="0"/>
                    <w:left w:val="single" w:color="000000" w:sz="4" w:space="0"/>
                    <w:bottom w:val="single" w:color="000000" w:sz="4" w:space="0"/>
                    <w:right w:val="single" w:color="000000" w:sz="4" w:space="0"/>
                  </w:tcBorders>
                  <w:noWrap w:val="0"/>
                  <w:vAlign w:val="center"/>
                </w:tcPr>
                <w:p w14:paraId="0EE853F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bCs/>
                      <w:color w:val="auto"/>
                      <w:kern w:val="2"/>
                      <w:sz w:val="21"/>
                      <w:szCs w:val="21"/>
                      <w:highlight w:val="none"/>
                      <w:lang w:val="en-US" w:eastAsia="zh-CN" w:bidi="ar-SA"/>
                    </w:rPr>
                    <w:t>专用容器</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123F954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bCs/>
                      <w:color w:val="auto"/>
                      <w:kern w:val="2"/>
                      <w:sz w:val="21"/>
                      <w:szCs w:val="21"/>
                      <w:highlight w:val="none"/>
                      <w:lang w:val="en-US" w:eastAsia="zh-CN" w:bidi="ar-SA"/>
                    </w:rPr>
                    <w:t>2.1</w:t>
                  </w:r>
                </w:p>
              </w:tc>
              <w:tc>
                <w:tcPr>
                  <w:tcW w:w="651" w:type="pct"/>
                  <w:tcBorders>
                    <w:top w:val="single" w:color="000000" w:sz="4" w:space="0"/>
                    <w:left w:val="single" w:color="000000" w:sz="4" w:space="0"/>
                    <w:bottom w:val="single" w:color="000000" w:sz="4" w:space="0"/>
                    <w:right w:val="single" w:color="000000" w:sz="4" w:space="0"/>
                  </w:tcBorders>
                  <w:noWrap w:val="0"/>
                  <w:vAlign w:val="center"/>
                </w:tcPr>
                <w:p w14:paraId="66EDDD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bCs/>
                      <w:color w:val="auto"/>
                      <w:kern w:val="2"/>
                      <w:sz w:val="21"/>
                      <w:szCs w:val="21"/>
                      <w:highlight w:val="none"/>
                      <w:lang w:val="en-US" w:eastAsia="zh-CN" w:bidi="ar-SA"/>
                    </w:rPr>
                  </w:pPr>
                  <w:r>
                    <w:rPr>
                      <w:rFonts w:hint="default" w:ascii="Times New Roman" w:hAnsi="Times New Roman" w:eastAsia="仿宋" w:cs="Times New Roman"/>
                      <w:bCs/>
                      <w:color w:val="auto"/>
                      <w:kern w:val="2"/>
                      <w:sz w:val="21"/>
                      <w:szCs w:val="21"/>
                      <w:highlight w:val="none"/>
                      <w:lang w:val="en-US" w:eastAsia="zh-CN" w:bidi="ar-SA"/>
                    </w:rPr>
                    <w:t>10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6CEF8B6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0.21</w:t>
                  </w:r>
                </w:p>
              </w:tc>
            </w:tr>
            <w:tr w14:paraId="5C862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4" w:type="dxa"/>
                  <w:bottom w:w="0" w:type="dxa"/>
                  <w:right w:w="34" w:type="dxa"/>
                </w:tblCellMar>
              </w:tblPrEx>
              <w:trPr>
                <w:jc w:val="center"/>
              </w:trPr>
              <w:tc>
                <w:tcPr>
                  <w:tcW w:w="887" w:type="pct"/>
                  <w:tcBorders>
                    <w:top w:val="single" w:color="000000" w:sz="4" w:space="0"/>
                    <w:left w:val="single" w:color="000000" w:sz="4" w:space="0"/>
                    <w:bottom w:val="single" w:color="000000" w:sz="4" w:space="0"/>
                    <w:right w:val="single" w:color="000000" w:sz="4" w:space="0"/>
                  </w:tcBorders>
                  <w:noWrap w:val="0"/>
                  <w:vAlign w:val="center"/>
                </w:tcPr>
                <w:p w14:paraId="464205D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合计</w:t>
                  </w:r>
                </w:p>
              </w:tc>
              <w:tc>
                <w:tcPr>
                  <w:tcW w:w="3536" w:type="pct"/>
                  <w:gridSpan w:val="4"/>
                  <w:tcBorders>
                    <w:top w:val="single" w:color="000000" w:sz="4" w:space="0"/>
                    <w:left w:val="single" w:color="000000" w:sz="4" w:space="0"/>
                    <w:bottom w:val="single" w:color="000000" w:sz="4" w:space="0"/>
                    <w:right w:val="single" w:color="000000" w:sz="4" w:space="0"/>
                  </w:tcBorders>
                  <w:noWrap w:val="0"/>
                  <w:vAlign w:val="center"/>
                </w:tcPr>
                <w:p w14:paraId="5D4C2BA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q</w:t>
                  </w:r>
                  <w:r>
                    <w:rPr>
                      <w:rFonts w:hint="default" w:ascii="Times New Roman" w:hAnsi="Times New Roman" w:eastAsia="仿宋" w:cs="Times New Roman"/>
                      <w:color w:val="auto"/>
                      <w:kern w:val="2"/>
                      <w:sz w:val="21"/>
                      <w:szCs w:val="22"/>
                      <w:highlight w:val="none"/>
                      <w:vertAlign w:val="subscript"/>
                      <w:lang w:val="en-US" w:eastAsia="zh-CN" w:bidi="ar-SA"/>
                    </w:rPr>
                    <w:t>n</w:t>
                  </w:r>
                  <w:r>
                    <w:rPr>
                      <w:rFonts w:hint="default" w:ascii="Times New Roman" w:hAnsi="Times New Roman" w:eastAsia="仿宋" w:cs="Times New Roman"/>
                      <w:color w:val="auto"/>
                      <w:kern w:val="2"/>
                      <w:sz w:val="21"/>
                      <w:szCs w:val="22"/>
                      <w:highlight w:val="none"/>
                      <w:lang w:val="en-US" w:eastAsia="zh-CN" w:bidi="ar-SA"/>
                    </w:rPr>
                    <w:t>/Q</w:t>
                  </w:r>
                  <w:r>
                    <w:rPr>
                      <w:rFonts w:hint="default" w:ascii="Times New Roman" w:hAnsi="Times New Roman" w:eastAsia="仿宋" w:cs="Times New Roman"/>
                      <w:color w:val="auto"/>
                      <w:kern w:val="2"/>
                      <w:sz w:val="21"/>
                      <w:szCs w:val="22"/>
                      <w:highlight w:val="none"/>
                      <w:vertAlign w:val="subscript"/>
                      <w:lang w:val="en-US" w:eastAsia="zh-CN" w:bidi="ar-SA"/>
                    </w:rPr>
                    <w:t>n</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3848F40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0.28</w:t>
                  </w:r>
                  <w:r>
                    <w:rPr>
                      <w:rFonts w:hint="eastAsia" w:cs="Times New Roman"/>
                      <w:color w:val="auto"/>
                      <w:kern w:val="2"/>
                      <w:sz w:val="21"/>
                      <w:szCs w:val="22"/>
                      <w:highlight w:val="none"/>
                      <w:lang w:val="en-US" w:eastAsia="zh-CN" w:bidi="ar-SA"/>
                    </w:rPr>
                    <w:t>615</w:t>
                  </w:r>
                </w:p>
              </w:tc>
            </w:tr>
          </w:tbl>
          <w:p w14:paraId="0C5A330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环境风险评价工作等级划分为一级、二级、三级。根据建设项目涉及的物质及工艺系统危险性和所在地的环境敏感性确定环境风险潜势，按照下表确定评价工作等级。</w:t>
            </w:r>
          </w:p>
          <w:p w14:paraId="14AAB71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 xml:space="preserve"> 表</w:t>
            </w:r>
            <w:r>
              <w:rPr>
                <w:rFonts w:hint="eastAsia" w:cs="Times New Roman"/>
                <w:b/>
                <w:color w:val="auto"/>
                <w:kern w:val="2"/>
                <w:sz w:val="21"/>
                <w:szCs w:val="20"/>
                <w:highlight w:val="none"/>
                <w:lang w:val="en-US" w:eastAsia="zh-CN" w:bidi="ar-SA"/>
              </w:rPr>
              <w:t>4.3-11</w:t>
            </w:r>
            <w:r>
              <w:rPr>
                <w:rFonts w:hint="default" w:ascii="Times New Roman" w:hAnsi="Times New Roman" w:eastAsia="仿宋" w:cs="Times New Roman"/>
                <w:b/>
                <w:color w:val="auto"/>
                <w:kern w:val="2"/>
                <w:sz w:val="21"/>
                <w:szCs w:val="20"/>
                <w:highlight w:val="none"/>
                <w:lang w:val="en-US" w:eastAsia="zh-CN" w:bidi="ar-SA"/>
              </w:rPr>
              <w:t xml:space="preserve"> 评价工作等级划分</w:t>
            </w:r>
          </w:p>
          <w:tbl>
            <w:tblPr>
              <w:tblStyle w:val="10"/>
              <w:tblW w:w="474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27"/>
              <w:gridCol w:w="1626"/>
              <w:gridCol w:w="1626"/>
              <w:gridCol w:w="1627"/>
              <w:gridCol w:w="1374"/>
            </w:tblGrid>
            <w:tr w14:paraId="19B21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noWrap w:val="0"/>
                  <w:vAlign w:val="center"/>
                </w:tcPr>
                <w:p w14:paraId="14C1F20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环境风险潜势</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98CF2C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Ⅳ、Ⅳ</w:t>
                  </w:r>
                  <w:r>
                    <w:rPr>
                      <w:rFonts w:hint="default" w:ascii="Times New Roman" w:hAnsi="Times New Roman" w:eastAsia="仿宋" w:cs="Times New Roman"/>
                      <w:color w:val="auto"/>
                      <w:kern w:val="2"/>
                      <w:sz w:val="21"/>
                      <w:szCs w:val="22"/>
                      <w:highlight w:val="none"/>
                      <w:vertAlign w:val="superscript"/>
                      <w:lang w:val="en-US" w:eastAsia="zh-CN" w:bidi="ar-SA"/>
                    </w:rPr>
                    <w:t>+</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478C330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Ⅲ</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14:paraId="570C620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Ⅱ</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6BE84A4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Ⅰ</w:t>
                  </w:r>
                </w:p>
              </w:tc>
            </w:tr>
            <w:tr w14:paraId="42DAD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noWrap w:val="0"/>
                  <w:vAlign w:val="center"/>
                </w:tcPr>
                <w:p w14:paraId="3A37577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评价工作等级</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0E883EC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一</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15D5736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二</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14:paraId="3471B17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三</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6643DA0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shd w:val="pct10" w:color="auto" w:fill="FFFFFF"/>
                      <w:lang w:val="en-US" w:eastAsia="zh-CN" w:bidi="ar-SA"/>
                    </w:rPr>
                    <w:t>简单分析</w:t>
                  </w:r>
                </w:p>
              </w:tc>
            </w:tr>
          </w:tbl>
          <w:p w14:paraId="3B4672D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zCs w:val="22"/>
                <w:highlight w:val="none"/>
              </w:rPr>
              <w:t>根据上述内容可知，本项目环境风险潜势为</w:t>
            </w:r>
            <w:r>
              <w:rPr>
                <w:rFonts w:hint="default" w:ascii="Times New Roman" w:hAnsi="Times New Roman" w:eastAsia="仿宋" w:cs="Times New Roman"/>
                <w:bCs/>
                <w:color w:val="auto"/>
                <w:szCs w:val="22"/>
                <w:highlight w:val="none"/>
              </w:rPr>
              <w:t>Ⅰ级，做简单分析即可。</w:t>
            </w:r>
          </w:p>
          <w:p w14:paraId="3D7C002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③环境风险影响途径</w:t>
            </w:r>
          </w:p>
          <w:p w14:paraId="35E4B69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根据项目风险物质的储存使用情况，可能产生环境风险的生产设施主要有主变、箱变、危废暂存间。风险物质向环境转移的途径主要是在油品在使用、储运过程中若操作不当，造成物质泄漏，以及遇火源或在高温（高于闪点）等特殊情况下，产生CO等次生污染物排放；此外废铅酸蓄电池在暂存过程中，如电解液泄漏，可能污染土壤及地下水。</w:t>
            </w:r>
          </w:p>
          <w:p w14:paraId="2B27BCB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kern w:val="2"/>
                <w:sz w:val="21"/>
                <w:szCs w:val="20"/>
                <w:highlight w:val="none"/>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w:t>
            </w:r>
            <w:r>
              <w:rPr>
                <w:rFonts w:hint="eastAsia" w:cs="Times New Roman"/>
                <w:b/>
                <w:color w:val="auto"/>
                <w:kern w:val="2"/>
                <w:sz w:val="21"/>
                <w:szCs w:val="20"/>
                <w:highlight w:val="none"/>
                <w:lang w:val="en-US" w:eastAsia="zh-CN" w:bidi="ar-SA"/>
              </w:rPr>
              <w:t>4.3-12</w:t>
            </w:r>
            <w:r>
              <w:rPr>
                <w:rFonts w:hint="default" w:ascii="Times New Roman" w:hAnsi="Times New Roman" w:eastAsia="仿宋" w:cs="Times New Roman"/>
                <w:b/>
                <w:color w:val="auto"/>
                <w:kern w:val="2"/>
                <w:sz w:val="21"/>
                <w:szCs w:val="20"/>
                <w:highlight w:val="none"/>
                <w:lang w:val="en-US" w:eastAsia="zh-CN" w:bidi="ar-SA"/>
              </w:rPr>
              <w:t xml:space="preserve"> 生产设施危险性识别及风险物质向环境转移途径</w:t>
            </w:r>
          </w:p>
          <w:tbl>
            <w:tblPr>
              <w:tblStyle w:val="10"/>
              <w:tblW w:w="4860" w:type="pct"/>
              <w:jc w:val="center"/>
              <w:tblLayout w:type="autofit"/>
              <w:tblCellMar>
                <w:top w:w="0" w:type="dxa"/>
                <w:left w:w="108" w:type="dxa"/>
                <w:bottom w:w="0" w:type="dxa"/>
                <w:right w:w="108" w:type="dxa"/>
              </w:tblCellMar>
            </w:tblPr>
            <w:tblGrid>
              <w:gridCol w:w="1147"/>
              <w:gridCol w:w="1928"/>
              <w:gridCol w:w="1690"/>
              <w:gridCol w:w="3312"/>
            </w:tblGrid>
            <w:tr w14:paraId="355296ED">
              <w:tblPrEx>
                <w:tblCellMar>
                  <w:top w:w="0" w:type="dxa"/>
                  <w:left w:w="108" w:type="dxa"/>
                  <w:bottom w:w="0" w:type="dxa"/>
                  <w:right w:w="108" w:type="dxa"/>
                </w:tblCellMar>
              </w:tblPrEx>
              <w:trPr>
                <w:jc w:val="center"/>
              </w:trPr>
              <w:tc>
                <w:tcPr>
                  <w:tcW w:w="710" w:type="pct"/>
                  <w:tcBorders>
                    <w:top w:val="single" w:color="000000" w:sz="4" w:space="0"/>
                    <w:left w:val="single" w:color="000000" w:sz="4" w:space="0"/>
                    <w:bottom w:val="single" w:color="000000" w:sz="4" w:space="0"/>
                    <w:right w:val="single" w:color="000000" w:sz="4" w:space="0"/>
                  </w:tcBorders>
                  <w:noWrap w:val="0"/>
                  <w:vAlign w:val="center"/>
                </w:tcPr>
                <w:p w14:paraId="73B56CE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危险物质</w:t>
                  </w:r>
                </w:p>
              </w:tc>
              <w:tc>
                <w:tcPr>
                  <w:tcW w:w="1193" w:type="pct"/>
                  <w:tcBorders>
                    <w:top w:val="single" w:color="000000" w:sz="4" w:space="0"/>
                    <w:left w:val="nil"/>
                    <w:bottom w:val="single" w:color="000000" w:sz="4" w:space="0"/>
                    <w:right w:val="single" w:color="000000" w:sz="4" w:space="0"/>
                  </w:tcBorders>
                  <w:noWrap w:val="0"/>
                  <w:vAlign w:val="center"/>
                </w:tcPr>
                <w:p w14:paraId="07AE9F4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风险单元</w:t>
                  </w:r>
                </w:p>
              </w:tc>
              <w:tc>
                <w:tcPr>
                  <w:tcW w:w="1046" w:type="pct"/>
                  <w:tcBorders>
                    <w:top w:val="single" w:color="000000" w:sz="4" w:space="0"/>
                    <w:left w:val="nil"/>
                    <w:bottom w:val="single" w:color="000000" w:sz="4" w:space="0"/>
                    <w:right w:val="single" w:color="000000" w:sz="4" w:space="0"/>
                  </w:tcBorders>
                  <w:noWrap w:val="0"/>
                  <w:vAlign w:val="center"/>
                </w:tcPr>
                <w:p w14:paraId="5963A77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环境风险类型</w:t>
                  </w:r>
                </w:p>
              </w:tc>
              <w:tc>
                <w:tcPr>
                  <w:tcW w:w="2049" w:type="pct"/>
                  <w:tcBorders>
                    <w:top w:val="single" w:color="000000" w:sz="4" w:space="0"/>
                    <w:left w:val="nil"/>
                    <w:bottom w:val="single" w:color="000000" w:sz="4" w:space="0"/>
                    <w:right w:val="single" w:color="000000" w:sz="4" w:space="0"/>
                  </w:tcBorders>
                  <w:noWrap w:val="0"/>
                  <w:vAlign w:val="center"/>
                </w:tcPr>
                <w:p w14:paraId="59D18BC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影响环境的途径</w:t>
                  </w:r>
                </w:p>
              </w:tc>
            </w:tr>
            <w:tr w14:paraId="2ECFE382">
              <w:tblPrEx>
                <w:tblCellMar>
                  <w:top w:w="0" w:type="dxa"/>
                  <w:left w:w="108" w:type="dxa"/>
                  <w:bottom w:w="0" w:type="dxa"/>
                  <w:right w:w="108" w:type="dxa"/>
                </w:tblCellMar>
              </w:tblPrEx>
              <w:trPr>
                <w:jc w:val="center"/>
              </w:trPr>
              <w:tc>
                <w:tcPr>
                  <w:tcW w:w="710" w:type="pct"/>
                  <w:vMerge w:val="restart"/>
                  <w:tcBorders>
                    <w:top w:val="single" w:color="000000" w:sz="4" w:space="0"/>
                    <w:left w:val="single" w:color="000000" w:sz="4" w:space="0"/>
                    <w:bottom w:val="single" w:color="000000" w:sz="4" w:space="0"/>
                    <w:right w:val="single" w:color="000000" w:sz="4" w:space="0"/>
                  </w:tcBorders>
                  <w:noWrap w:val="0"/>
                  <w:vAlign w:val="center"/>
                </w:tcPr>
                <w:p w14:paraId="1078A9D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变压器油</w:t>
                  </w:r>
                </w:p>
              </w:tc>
              <w:tc>
                <w:tcPr>
                  <w:tcW w:w="1193" w:type="pct"/>
                  <w:vMerge w:val="restart"/>
                  <w:tcBorders>
                    <w:top w:val="nil"/>
                    <w:left w:val="single" w:color="000000" w:sz="4" w:space="0"/>
                    <w:bottom w:val="single" w:color="000000" w:sz="4" w:space="0"/>
                    <w:right w:val="single" w:color="000000" w:sz="4" w:space="0"/>
                  </w:tcBorders>
                  <w:noWrap w:val="0"/>
                  <w:vAlign w:val="center"/>
                </w:tcPr>
                <w:p w14:paraId="3898C4A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主变、箱变、危废暂存间</w:t>
                  </w:r>
                </w:p>
              </w:tc>
              <w:tc>
                <w:tcPr>
                  <w:tcW w:w="1046" w:type="pct"/>
                  <w:tcBorders>
                    <w:top w:val="single" w:color="000000" w:sz="4" w:space="0"/>
                    <w:left w:val="nil"/>
                    <w:bottom w:val="single" w:color="000000" w:sz="4" w:space="0"/>
                    <w:right w:val="single" w:color="000000" w:sz="4" w:space="0"/>
                  </w:tcBorders>
                  <w:noWrap w:val="0"/>
                  <w:vAlign w:val="center"/>
                </w:tcPr>
                <w:p w14:paraId="3D2FF59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泄漏</w:t>
                  </w:r>
                </w:p>
              </w:tc>
              <w:tc>
                <w:tcPr>
                  <w:tcW w:w="2049" w:type="pct"/>
                  <w:tcBorders>
                    <w:top w:val="single" w:color="000000" w:sz="4" w:space="0"/>
                    <w:left w:val="nil"/>
                    <w:bottom w:val="single" w:color="000000" w:sz="4" w:space="0"/>
                    <w:right w:val="single" w:color="000000" w:sz="4" w:space="0"/>
                  </w:tcBorders>
                  <w:noWrap w:val="0"/>
                  <w:vAlign w:val="center"/>
                </w:tcPr>
                <w:p w14:paraId="56697D7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0"/>
                      <w:szCs w:val="20"/>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溢流进入地表水体地表漫流或下渗污染土壤；下渗污染地下水</w:t>
                  </w:r>
                </w:p>
              </w:tc>
            </w:tr>
            <w:tr w14:paraId="7CB6ED40">
              <w:tblPrEx>
                <w:tblCellMar>
                  <w:top w:w="0" w:type="dxa"/>
                  <w:left w:w="108" w:type="dxa"/>
                  <w:bottom w:w="0" w:type="dxa"/>
                  <w:right w:w="108" w:type="dxa"/>
                </w:tblCellMar>
              </w:tblPrEx>
              <w:trPr>
                <w:jc w:val="center"/>
              </w:trPr>
              <w:tc>
                <w:tcPr>
                  <w:tcW w:w="71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5ADF6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1193" w:type="pct"/>
                  <w:vMerge w:val="continue"/>
                  <w:tcBorders>
                    <w:top w:val="nil"/>
                    <w:left w:val="single" w:color="000000" w:sz="4" w:space="0"/>
                    <w:bottom w:val="single" w:color="000000" w:sz="4" w:space="0"/>
                    <w:right w:val="single" w:color="000000" w:sz="4" w:space="0"/>
                  </w:tcBorders>
                  <w:noWrap w:val="0"/>
                  <w:vAlign w:val="center"/>
                </w:tcPr>
                <w:p w14:paraId="28181F8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1046" w:type="pct"/>
                  <w:tcBorders>
                    <w:top w:val="single" w:color="000000" w:sz="4" w:space="0"/>
                    <w:left w:val="nil"/>
                    <w:bottom w:val="single" w:color="000000" w:sz="4" w:space="0"/>
                    <w:right w:val="single" w:color="000000" w:sz="4" w:space="0"/>
                  </w:tcBorders>
                  <w:noWrap w:val="0"/>
                  <w:vAlign w:val="center"/>
                </w:tcPr>
                <w:p w14:paraId="45CE72A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0"/>
                      <w:szCs w:val="20"/>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火灾/爆炸</w:t>
                  </w:r>
                </w:p>
              </w:tc>
              <w:tc>
                <w:tcPr>
                  <w:tcW w:w="2049" w:type="pct"/>
                  <w:tcBorders>
                    <w:top w:val="single" w:color="000000" w:sz="4" w:space="0"/>
                    <w:left w:val="nil"/>
                    <w:bottom w:val="single" w:color="000000" w:sz="4" w:space="0"/>
                    <w:right w:val="single" w:color="000000" w:sz="4" w:space="0"/>
                  </w:tcBorders>
                  <w:noWrap w:val="0"/>
                  <w:vAlign w:val="center"/>
                </w:tcPr>
                <w:p w14:paraId="6580908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0"/>
                      <w:szCs w:val="20"/>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产生CO造成大气污染</w:t>
                  </w:r>
                </w:p>
              </w:tc>
            </w:tr>
            <w:tr w14:paraId="5DD62D53">
              <w:tblPrEx>
                <w:tblCellMar>
                  <w:top w:w="0" w:type="dxa"/>
                  <w:left w:w="108" w:type="dxa"/>
                  <w:bottom w:w="0" w:type="dxa"/>
                  <w:right w:w="108" w:type="dxa"/>
                </w:tblCellMar>
              </w:tblPrEx>
              <w:trPr>
                <w:jc w:val="center"/>
              </w:trPr>
              <w:tc>
                <w:tcPr>
                  <w:tcW w:w="710" w:type="pct"/>
                  <w:tcBorders>
                    <w:top w:val="single" w:color="000000" w:sz="4" w:space="0"/>
                    <w:left w:val="single" w:color="000000" w:sz="4" w:space="0"/>
                    <w:bottom w:val="single" w:color="000000" w:sz="4" w:space="0"/>
                    <w:right w:val="single" w:color="000000" w:sz="4" w:space="0"/>
                  </w:tcBorders>
                  <w:noWrap w:val="0"/>
                  <w:vAlign w:val="center"/>
                </w:tcPr>
                <w:p w14:paraId="172A3DA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0"/>
                      <w:szCs w:val="20"/>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电解液（硫酸）</w:t>
                  </w:r>
                </w:p>
              </w:tc>
              <w:tc>
                <w:tcPr>
                  <w:tcW w:w="1193" w:type="pct"/>
                  <w:tcBorders>
                    <w:top w:val="nil"/>
                    <w:left w:val="nil"/>
                    <w:bottom w:val="single" w:color="000000" w:sz="4" w:space="0"/>
                    <w:right w:val="single" w:color="000000" w:sz="4" w:space="0"/>
                  </w:tcBorders>
                  <w:noWrap w:val="0"/>
                  <w:vAlign w:val="center"/>
                </w:tcPr>
                <w:p w14:paraId="0C2823C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废铅酸蓄电池</w:t>
                  </w:r>
                </w:p>
              </w:tc>
              <w:tc>
                <w:tcPr>
                  <w:tcW w:w="1046" w:type="pct"/>
                  <w:tcBorders>
                    <w:top w:val="single" w:color="000000" w:sz="4" w:space="0"/>
                    <w:left w:val="nil"/>
                    <w:bottom w:val="single" w:color="000000" w:sz="4" w:space="0"/>
                    <w:right w:val="single" w:color="000000" w:sz="4" w:space="0"/>
                  </w:tcBorders>
                  <w:noWrap w:val="0"/>
                  <w:vAlign w:val="center"/>
                </w:tcPr>
                <w:p w14:paraId="787469F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泄漏</w:t>
                  </w:r>
                </w:p>
              </w:tc>
              <w:tc>
                <w:tcPr>
                  <w:tcW w:w="2049" w:type="pct"/>
                  <w:tcBorders>
                    <w:top w:val="single" w:color="000000" w:sz="4" w:space="0"/>
                    <w:left w:val="nil"/>
                    <w:bottom w:val="single" w:color="000000" w:sz="4" w:space="0"/>
                    <w:right w:val="single" w:color="000000" w:sz="4" w:space="0"/>
                  </w:tcBorders>
                  <w:noWrap w:val="0"/>
                  <w:vAlign w:val="center"/>
                </w:tcPr>
                <w:p w14:paraId="07DEB9D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下渗污染土壤及地下水</w:t>
                  </w:r>
                </w:p>
              </w:tc>
            </w:tr>
          </w:tbl>
          <w:p w14:paraId="1EC55BF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除此之外，项目各类高压带电设备、电缆、铅蓄电池等如未正确安装，或运行过程中出现设备损坏、操作不当等，也易发生爆燃、火灾事故，一方面直接威胁项目内及周边人员的人身安全，同时各类塑料、电池电解液等燃烧将产生有毒有害气体污染大气环境，此外火灾也可能对周边植被造成破坏。</w:t>
            </w:r>
          </w:p>
          <w:p w14:paraId="1CF9841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④环境风险分析</w:t>
            </w:r>
          </w:p>
          <w:p w14:paraId="17DD58A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A</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大气环境风险分析</w:t>
            </w:r>
          </w:p>
          <w:p w14:paraId="196B831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变压器油在使用、储运过程中若操作不当或设备损坏造成物质泄漏，泄漏后遇火源或在高温（高于闪点）等特殊情况下，将引发火灾爆炸风险，将对周边大气产生较为严重的环境污染。由于变压器油泄漏后直接进入事故油池，暴露在空气中的量较小，通过加强巡检等措施后，可以及时发生泄漏，</w:t>
            </w:r>
            <w:r>
              <w:rPr>
                <w:rFonts w:hint="default" w:ascii="Times New Roman" w:hAnsi="Times New Roman" w:eastAsia="仿宋" w:cs="Times New Roman"/>
                <w:color w:val="auto"/>
                <w:szCs w:val="22"/>
                <w:highlight w:val="none"/>
              </w:rPr>
              <w:t>切断泄漏源，并</w:t>
            </w:r>
            <w:r>
              <w:rPr>
                <w:rFonts w:hint="default" w:ascii="Times New Roman" w:hAnsi="Times New Roman" w:eastAsia="仿宋" w:cs="Times New Roman"/>
                <w:bCs/>
                <w:color w:val="auto"/>
                <w:szCs w:val="22"/>
                <w:highlight w:val="none"/>
              </w:rPr>
              <w:t>用事故油池收容泄漏物，在采取以上应急措施后，引起火灾爆炸的可能性较小。建设单位需强化禁火区域安全管理，严禁烟火，将生产、储存装置区域列为禁火区，区内加强火源管理，严禁吸烟。宿舍、办公室、休息室内严禁存放易燃易爆物品。在变压器、危险废物暂存间附近，配置推车式泡沫灭火器及</w:t>
            </w:r>
            <w:r>
              <w:rPr>
                <w:rFonts w:hint="default" w:ascii="Times New Roman" w:hAnsi="Times New Roman" w:eastAsia="仿宋" w:cs="Times New Roman"/>
                <w:bCs/>
                <w:color w:val="auto"/>
                <w:szCs w:val="22"/>
                <w:highlight w:val="none"/>
                <w:lang w:eastAsia="zh-CN"/>
              </w:rPr>
              <w:t>沙箱</w:t>
            </w:r>
            <w:r>
              <w:rPr>
                <w:rFonts w:hint="default" w:ascii="Times New Roman" w:hAnsi="Times New Roman" w:eastAsia="仿宋" w:cs="Times New Roman"/>
                <w:bCs/>
                <w:color w:val="auto"/>
                <w:szCs w:val="22"/>
                <w:highlight w:val="none"/>
              </w:rPr>
              <w:t>等灭火器材，设置室外消火栓。建设单位应认真落实风险防范措施，大气环境风险可控，对周边环境影响较小。</w:t>
            </w:r>
          </w:p>
          <w:p w14:paraId="67D03CB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若发生火灾事故，消防废水收集后</w:t>
            </w:r>
            <w:r>
              <w:rPr>
                <w:rFonts w:hint="default" w:ascii="Times New Roman" w:hAnsi="Times New Roman" w:eastAsia="仿宋" w:cs="Times New Roman"/>
                <w:bCs/>
                <w:color w:val="auto"/>
                <w:szCs w:val="22"/>
                <w:highlight w:val="none"/>
                <w:lang w:val="en-US" w:eastAsia="zh-CN"/>
              </w:rPr>
              <w:t>处理后回用，不能处理的</w:t>
            </w:r>
            <w:r>
              <w:rPr>
                <w:rFonts w:hint="default" w:ascii="Times New Roman" w:hAnsi="Times New Roman" w:eastAsia="仿宋" w:cs="Times New Roman"/>
                <w:bCs/>
                <w:color w:val="auto"/>
                <w:szCs w:val="22"/>
                <w:highlight w:val="none"/>
              </w:rPr>
              <w:t>用罐车运至</w:t>
            </w:r>
            <w:r>
              <w:rPr>
                <w:rFonts w:hint="default" w:ascii="Times New Roman" w:hAnsi="Times New Roman" w:eastAsia="仿宋" w:cs="Times New Roman"/>
                <w:bCs/>
                <w:color w:val="auto"/>
                <w:szCs w:val="22"/>
                <w:highlight w:val="none"/>
                <w:lang w:val="en-US" w:eastAsia="zh-CN"/>
              </w:rPr>
              <w:t>就近可接纳的</w:t>
            </w:r>
            <w:r>
              <w:rPr>
                <w:rFonts w:hint="default" w:ascii="Times New Roman" w:hAnsi="Times New Roman" w:eastAsia="仿宋" w:cs="Times New Roman"/>
                <w:bCs/>
                <w:color w:val="auto"/>
                <w:szCs w:val="22"/>
                <w:highlight w:val="none"/>
              </w:rPr>
              <w:t>污水处理厂处理。</w:t>
            </w:r>
          </w:p>
          <w:p w14:paraId="17A3C68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B</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地表水环境风险分析</w:t>
            </w:r>
          </w:p>
          <w:p w14:paraId="614B20B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lang w:val="en-US" w:eastAsia="zh-CN"/>
              </w:rPr>
              <w:t>a.</w:t>
            </w:r>
            <w:r>
              <w:rPr>
                <w:rFonts w:hint="default" w:ascii="Times New Roman" w:hAnsi="Times New Roman" w:eastAsia="仿宋" w:cs="Times New Roman"/>
                <w:bCs/>
                <w:color w:val="auto"/>
                <w:szCs w:val="22"/>
                <w:highlight w:val="none"/>
              </w:rPr>
              <w:t>若因</w:t>
            </w:r>
            <w:r>
              <w:rPr>
                <w:rFonts w:hint="default" w:ascii="Times New Roman" w:hAnsi="Times New Roman" w:eastAsia="仿宋" w:cs="Times New Roman"/>
                <w:color w:val="auto"/>
                <w:szCs w:val="22"/>
                <w:highlight w:val="none"/>
              </w:rPr>
              <w:t>管理不当或设备损坏导致变压器油发生泄漏，在雨天时可能随地表径流一起进入地表水，对地表水造成污染。由于项目主变压器附近设有事故油池，若变压器发生泄漏后，事故变压油将全部进入事故油池，事故油池</w:t>
            </w:r>
            <w:r>
              <w:rPr>
                <w:rFonts w:hint="default" w:ascii="Times New Roman" w:hAnsi="Times New Roman" w:eastAsia="仿宋" w:cs="Times New Roman"/>
                <w:color w:val="auto"/>
                <w:szCs w:val="22"/>
                <w:highlight w:val="none"/>
                <w:lang w:val="en-US" w:eastAsia="zh-CN"/>
              </w:rPr>
              <w:t>建设</w:t>
            </w:r>
            <w:r>
              <w:rPr>
                <w:rFonts w:hint="default" w:ascii="Times New Roman" w:hAnsi="Times New Roman" w:eastAsia="仿宋" w:cs="Times New Roman"/>
                <w:color w:val="auto"/>
                <w:szCs w:val="22"/>
                <w:highlight w:val="none"/>
              </w:rPr>
              <w:t>阶段按要求采取重点防渗措施，经事故油池收集的变压油最终交有资质的单位处理。危废暂存间设置有导流沟和收集池，</w:t>
            </w:r>
            <w:r>
              <w:rPr>
                <w:rFonts w:hint="default" w:ascii="Times New Roman" w:hAnsi="Times New Roman" w:eastAsia="仿宋" w:cs="Times New Roman"/>
                <w:bCs/>
                <w:color w:val="auto"/>
                <w:szCs w:val="22"/>
                <w:highlight w:val="none"/>
              </w:rPr>
              <w:t>若确实发生了</w:t>
            </w:r>
            <w:r>
              <w:rPr>
                <w:rFonts w:hint="default" w:ascii="Times New Roman" w:hAnsi="Times New Roman" w:eastAsia="仿宋" w:cs="Times New Roman"/>
                <w:color w:val="auto"/>
                <w:szCs w:val="22"/>
                <w:highlight w:val="none"/>
              </w:rPr>
              <w:t>泄漏事故，及时切断泄漏源，封闭现场，采用</w:t>
            </w:r>
            <w:r>
              <w:rPr>
                <w:rFonts w:hint="default" w:ascii="Times New Roman" w:hAnsi="Times New Roman" w:eastAsia="仿宋" w:cs="Times New Roman"/>
                <w:bCs/>
                <w:color w:val="auto"/>
                <w:szCs w:val="22"/>
                <w:highlight w:val="none"/>
              </w:rPr>
              <w:t>合适的材料收容泄漏物</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bCs/>
                <w:color w:val="auto"/>
                <w:szCs w:val="22"/>
                <w:highlight w:val="none"/>
              </w:rPr>
              <w:t>通过及时采取应急措施处理后，</w:t>
            </w:r>
            <w:r>
              <w:rPr>
                <w:rFonts w:hint="default" w:ascii="Times New Roman" w:hAnsi="Times New Roman" w:eastAsia="仿宋" w:cs="Times New Roman"/>
                <w:color w:val="auto"/>
                <w:szCs w:val="22"/>
                <w:highlight w:val="none"/>
              </w:rPr>
              <w:t>变压器油不会随地表径流一起进入地表水，地表水环境风险可控</w:t>
            </w:r>
            <w:r>
              <w:rPr>
                <w:rFonts w:hint="default" w:ascii="Times New Roman" w:hAnsi="Times New Roman" w:eastAsia="仿宋" w:cs="Times New Roman"/>
                <w:bCs/>
                <w:color w:val="auto"/>
                <w:szCs w:val="22"/>
                <w:highlight w:val="none"/>
              </w:rPr>
              <w:t>。</w:t>
            </w:r>
          </w:p>
          <w:p w14:paraId="75FC5FE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lang w:val="en-US" w:eastAsia="zh-CN"/>
              </w:rPr>
            </w:pPr>
            <w:r>
              <w:rPr>
                <w:rFonts w:hint="default" w:ascii="Times New Roman" w:hAnsi="Times New Roman" w:eastAsia="仿宋" w:cs="Times New Roman"/>
                <w:bCs/>
                <w:color w:val="auto"/>
                <w:szCs w:val="22"/>
                <w:highlight w:val="none"/>
                <w:lang w:val="en-US" w:eastAsia="zh-CN"/>
              </w:rPr>
              <w:t>b.若升压站发生火灾需要使用消防用水</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则会产生一定的消防废水，</w:t>
            </w:r>
            <w:r>
              <w:rPr>
                <w:rFonts w:hint="default" w:ascii="Times New Roman" w:hAnsi="Times New Roman" w:eastAsia="仿宋" w:cs="Times New Roman"/>
                <w:color w:val="auto"/>
                <w:szCs w:val="22"/>
                <w:highlight w:val="none"/>
              </w:rPr>
              <w:t>可能</w:t>
            </w:r>
            <w:r>
              <w:rPr>
                <w:rFonts w:hint="default" w:ascii="Times New Roman" w:hAnsi="Times New Roman" w:eastAsia="仿宋" w:cs="Times New Roman"/>
                <w:color w:val="auto"/>
                <w:szCs w:val="22"/>
                <w:highlight w:val="none"/>
                <w:lang w:val="en-US" w:eastAsia="zh-CN"/>
              </w:rPr>
              <w:t>会进入站内雨水管道并排出站外</w:t>
            </w:r>
            <w:r>
              <w:rPr>
                <w:rFonts w:hint="default" w:ascii="Times New Roman" w:hAnsi="Times New Roman" w:eastAsia="仿宋" w:cs="Times New Roman"/>
                <w:color w:val="auto"/>
                <w:szCs w:val="22"/>
                <w:highlight w:val="none"/>
              </w:rPr>
              <w:t>，对地表水造成污染。由于项目</w:t>
            </w:r>
            <w:r>
              <w:rPr>
                <w:rFonts w:hint="default" w:ascii="Times New Roman" w:hAnsi="Times New Roman" w:eastAsia="仿宋" w:cs="Times New Roman"/>
                <w:color w:val="auto"/>
                <w:szCs w:val="22"/>
                <w:highlight w:val="none"/>
                <w:lang w:val="en-US" w:eastAsia="zh-CN"/>
              </w:rPr>
              <w:t>场地限制项目不设置事故水</w:t>
            </w:r>
            <w:r>
              <w:rPr>
                <w:rFonts w:hint="default" w:ascii="Times New Roman" w:hAnsi="Times New Roman" w:eastAsia="仿宋" w:cs="Times New Roman"/>
                <w:color w:val="auto"/>
                <w:szCs w:val="22"/>
                <w:highlight w:val="none"/>
              </w:rPr>
              <w:t>池，</w:t>
            </w:r>
            <w:r>
              <w:rPr>
                <w:rFonts w:hint="default" w:ascii="Times New Roman" w:hAnsi="Times New Roman" w:eastAsia="仿宋" w:cs="Times New Roman"/>
                <w:color w:val="auto"/>
                <w:szCs w:val="22"/>
                <w:highlight w:val="none"/>
                <w:lang w:val="en-US" w:eastAsia="zh-CN"/>
              </w:rPr>
              <w:t>但项目采取一定措施可防止消防废水排出站外：建立环境风险应急预案，明确应急响应，措施保障等。</w:t>
            </w:r>
            <w:r>
              <w:rPr>
                <w:rFonts w:hint="default" w:ascii="Times New Roman" w:hAnsi="Times New Roman" w:eastAsia="仿宋" w:cs="Times New Roman"/>
                <w:color w:val="auto"/>
                <w:szCs w:val="22"/>
                <w:highlight w:val="none"/>
              </w:rPr>
              <w:t>若</w:t>
            </w:r>
            <w:r>
              <w:rPr>
                <w:rFonts w:hint="default" w:ascii="Times New Roman" w:hAnsi="Times New Roman" w:eastAsia="仿宋" w:cs="Times New Roman"/>
                <w:color w:val="auto"/>
                <w:szCs w:val="22"/>
                <w:highlight w:val="none"/>
                <w:lang w:val="en-US" w:eastAsia="zh-CN"/>
              </w:rPr>
              <w:t>产生消防火灾废水</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需立即关闭站内雨水总排放口阀门</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前期消防废水会沿雨水管道进入各集水井，满溢后，可将废水引至事故油池</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待火情结束，立即将消防废水引入一体化污水处理站处理达标后回用，</w:t>
            </w:r>
            <w:r>
              <w:rPr>
                <w:rFonts w:hint="default" w:ascii="Times New Roman" w:hAnsi="Times New Roman" w:eastAsia="仿宋" w:cs="Times New Roman"/>
                <w:bCs/>
                <w:color w:val="auto"/>
                <w:szCs w:val="22"/>
                <w:highlight w:val="none"/>
                <w:lang w:val="en-US" w:eastAsia="zh-CN"/>
              </w:rPr>
              <w:t>不能处理的</w:t>
            </w:r>
            <w:r>
              <w:rPr>
                <w:rFonts w:hint="default" w:ascii="Times New Roman" w:hAnsi="Times New Roman" w:eastAsia="仿宋" w:cs="Times New Roman"/>
                <w:bCs/>
                <w:color w:val="auto"/>
                <w:szCs w:val="22"/>
                <w:highlight w:val="none"/>
              </w:rPr>
              <w:t>用罐车运至</w:t>
            </w:r>
            <w:r>
              <w:rPr>
                <w:rFonts w:hint="default" w:ascii="Times New Roman" w:hAnsi="Times New Roman" w:eastAsia="仿宋" w:cs="Times New Roman"/>
                <w:bCs/>
                <w:color w:val="auto"/>
                <w:szCs w:val="22"/>
                <w:highlight w:val="none"/>
                <w:lang w:val="en-US" w:eastAsia="zh-CN"/>
              </w:rPr>
              <w:t>就近可接纳的</w:t>
            </w:r>
            <w:r>
              <w:rPr>
                <w:rFonts w:hint="default" w:ascii="Times New Roman" w:hAnsi="Times New Roman" w:eastAsia="仿宋" w:cs="Times New Roman"/>
                <w:bCs/>
                <w:color w:val="auto"/>
                <w:szCs w:val="22"/>
                <w:highlight w:val="none"/>
              </w:rPr>
              <w:t>污水处理厂处理</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bCs/>
                <w:color w:val="auto"/>
                <w:szCs w:val="22"/>
                <w:highlight w:val="none"/>
              </w:rPr>
              <w:t>通过及时采取应急措施处理后，</w:t>
            </w:r>
            <w:r>
              <w:rPr>
                <w:rFonts w:hint="default" w:ascii="Times New Roman" w:hAnsi="Times New Roman" w:eastAsia="仿宋" w:cs="Times New Roman"/>
                <w:color w:val="auto"/>
                <w:szCs w:val="22"/>
                <w:highlight w:val="none"/>
                <w:lang w:val="en-US" w:eastAsia="zh-CN"/>
              </w:rPr>
              <w:t>消防废水</w:t>
            </w:r>
            <w:r>
              <w:rPr>
                <w:rFonts w:hint="default" w:ascii="Times New Roman" w:hAnsi="Times New Roman" w:eastAsia="仿宋" w:cs="Times New Roman"/>
                <w:color w:val="auto"/>
                <w:szCs w:val="22"/>
                <w:highlight w:val="none"/>
              </w:rPr>
              <w:t>不会随地表径流一起进入地表水，地表水环境风险可控</w:t>
            </w:r>
            <w:r>
              <w:rPr>
                <w:rFonts w:hint="default" w:ascii="Times New Roman" w:hAnsi="Times New Roman" w:eastAsia="仿宋" w:cs="Times New Roman"/>
                <w:bCs/>
                <w:color w:val="auto"/>
                <w:szCs w:val="22"/>
                <w:highlight w:val="none"/>
              </w:rPr>
              <w:t>。</w:t>
            </w:r>
          </w:p>
          <w:p w14:paraId="66A3A30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C</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地下水及土壤环境风险分析</w:t>
            </w:r>
          </w:p>
          <w:p w14:paraId="4573274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若集油坑、事故油池及危废暂存间设置的防渗层破裂或失效，变压器油下渗后可能对地下水及土壤造成污染，导致泄漏主要原因为：衬垫材料不良或施工不当引起衬垫失效；基础不均匀沉降引起的衬垫破裂；人为破坏引起衬垫失效。</w:t>
            </w:r>
          </w:p>
          <w:p w14:paraId="3156D6F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项目在基建期根据环评要求及设计规范的要求严格做好防渗工程（危废暂存间、集油坑及事故油池），重点防渗技术要求为：</w:t>
            </w:r>
            <w:bookmarkStart w:id="15" w:name="OLE_LINK12"/>
            <w:r>
              <w:rPr>
                <w:rFonts w:hint="default" w:ascii="Times New Roman" w:hAnsi="Times New Roman" w:eastAsia="仿宋" w:cs="Times New Roman"/>
                <w:color w:val="auto"/>
                <w:szCs w:val="22"/>
                <w:highlight w:val="none"/>
              </w:rPr>
              <w:t>防渗层为至少1m厚黏土层（渗透系数不大于10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7</w:t>
            </w:r>
            <w:r>
              <w:rPr>
                <w:rFonts w:hint="default" w:ascii="Times New Roman" w:hAnsi="Times New Roman" w:eastAsia="仿宋" w:cs="Times New Roman"/>
                <w:color w:val="auto"/>
                <w:szCs w:val="22"/>
                <w:highlight w:val="none"/>
              </w:rPr>
              <w:t>cm/s），或至少2mm厚高密度聚乙烯膜等人工防渗材料（渗透系数不大于10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10</w:t>
            </w:r>
            <w:r>
              <w:rPr>
                <w:rFonts w:hint="default" w:ascii="Times New Roman" w:hAnsi="Times New Roman" w:eastAsia="仿宋" w:cs="Times New Roman"/>
                <w:color w:val="auto"/>
                <w:szCs w:val="22"/>
                <w:highlight w:val="none"/>
              </w:rPr>
              <w:t>cm/s）。</w:t>
            </w:r>
            <w:bookmarkEnd w:id="15"/>
            <w:r>
              <w:rPr>
                <w:rFonts w:hint="default" w:ascii="Times New Roman" w:hAnsi="Times New Roman" w:eastAsia="仿宋" w:cs="Times New Roman"/>
                <w:color w:val="auto"/>
                <w:szCs w:val="22"/>
                <w:highlight w:val="none"/>
              </w:rPr>
              <w:t>废铅蓄电池储存在危废暂存间，危废暂存间做重点防渗处理，渗入地下水及土壤可能性较小，运行期加强监管的基础上，则地下水及土壤环境风险可控。</w:t>
            </w:r>
          </w:p>
          <w:p w14:paraId="587B128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项目升压站主变压器旁设置</w:t>
            </w:r>
            <w:r>
              <w:rPr>
                <w:rFonts w:hint="eastAsia" w:cs="Times New Roman"/>
                <w:color w:val="auto"/>
                <w:szCs w:val="22"/>
                <w:highlight w:val="none"/>
                <w:lang w:val="en-US" w:eastAsia="zh-CN"/>
              </w:rPr>
              <w:t>2个20m</w:t>
            </w:r>
            <w:r>
              <w:rPr>
                <w:rFonts w:hint="eastAsia" w:cs="Times New Roman"/>
                <w:color w:val="auto"/>
                <w:szCs w:val="22"/>
                <w:highlight w:val="none"/>
                <w:vertAlign w:val="superscript"/>
                <w:lang w:val="en-US" w:eastAsia="zh-CN"/>
              </w:rPr>
              <w:t>3</w:t>
            </w:r>
            <w:r>
              <w:rPr>
                <w:rFonts w:hint="eastAsia" w:cs="Times New Roman"/>
                <w:color w:val="auto"/>
                <w:szCs w:val="22"/>
                <w:highlight w:val="none"/>
                <w:vertAlign w:val="baseline"/>
                <w:lang w:val="en-US" w:eastAsia="zh-CN"/>
              </w:rPr>
              <w:t>的</w:t>
            </w:r>
            <w:r>
              <w:rPr>
                <w:rFonts w:hint="default" w:ascii="Times New Roman" w:hAnsi="Times New Roman" w:eastAsia="仿宋" w:cs="Times New Roman"/>
                <w:color w:val="auto"/>
                <w:szCs w:val="22"/>
                <w:highlight w:val="none"/>
              </w:rPr>
              <w:t>集油坑和1个</w:t>
            </w:r>
            <w:r>
              <w:rPr>
                <w:rFonts w:hint="eastAsia" w:cs="Times New Roman"/>
                <w:color w:val="auto"/>
                <w:szCs w:val="22"/>
                <w:highlight w:val="none"/>
                <w:lang w:val="en-US" w:eastAsia="zh-CN"/>
              </w:rPr>
              <w:t>85m</w:t>
            </w:r>
            <w:r>
              <w:rPr>
                <w:rFonts w:hint="eastAsia" w:cs="Times New Roman"/>
                <w:color w:val="auto"/>
                <w:szCs w:val="22"/>
                <w:highlight w:val="none"/>
                <w:vertAlign w:val="superscript"/>
                <w:lang w:val="en-US" w:eastAsia="zh-CN"/>
              </w:rPr>
              <w:t>3</w:t>
            </w:r>
            <w:r>
              <w:rPr>
                <w:rFonts w:hint="default" w:ascii="Times New Roman" w:hAnsi="Times New Roman" w:eastAsia="仿宋" w:cs="Times New Roman"/>
                <w:color w:val="auto"/>
                <w:szCs w:val="22"/>
                <w:highlight w:val="none"/>
              </w:rPr>
              <w:t>事故油池，事故油池设置为地埋式</w:t>
            </w:r>
            <w:r>
              <w:rPr>
                <w:rFonts w:hint="eastAsia" w:cs="Times New Roman"/>
                <w:color w:val="auto"/>
                <w:szCs w:val="22"/>
                <w:highlight w:val="none"/>
                <w:lang w:eastAsia="zh-CN"/>
              </w:rPr>
              <w:t>。</w:t>
            </w:r>
            <w:r>
              <w:rPr>
                <w:rFonts w:hint="default" w:ascii="Times New Roman" w:hAnsi="Times New Roman" w:eastAsia="仿宋" w:cs="Times New Roman"/>
                <w:color w:val="auto"/>
                <w:szCs w:val="22"/>
                <w:highlight w:val="none"/>
              </w:rPr>
              <w:t>主变压器发生故障时变压器油可通过集油坑收集进入事故油池；项目每个箱式变压器内油量不多，即使全部泄漏，箱式变压器下方有一个</w:t>
            </w:r>
            <w:r>
              <w:rPr>
                <w:rFonts w:hint="default" w:ascii="Times New Roman" w:hAnsi="Times New Roman" w:eastAsia="仿宋" w:cs="Times New Roman"/>
                <w:color w:val="auto"/>
                <w:szCs w:val="22"/>
                <w:highlight w:val="none"/>
                <w:lang w:val="en-US" w:eastAsia="zh-CN"/>
              </w:rPr>
              <w:t>2</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事故油池可以收集泄漏油。若流入地表土壤，第四系坡残积</w:t>
            </w:r>
            <w:r>
              <w:rPr>
                <w:rFonts w:hint="default" w:ascii="Times New Roman" w:hAnsi="Times New Roman" w:eastAsia="仿宋" w:cs="Times New Roman"/>
                <w:color w:val="auto"/>
                <w:szCs w:val="22"/>
                <w:highlight w:val="none"/>
                <w:lang w:eastAsia="zh-CN"/>
              </w:rPr>
              <w:t>粉质粘土</w:t>
            </w:r>
            <w:r>
              <w:rPr>
                <w:rFonts w:hint="default" w:ascii="Times New Roman" w:hAnsi="Times New Roman" w:eastAsia="仿宋" w:cs="Times New Roman"/>
                <w:color w:val="auto"/>
                <w:szCs w:val="22"/>
                <w:highlight w:val="none"/>
              </w:rPr>
              <w:t>，其渗透性低，防污性能较强，向地下水及土壤渗透的影响范围很小，电站内工作人员在巡检时能够及时发现并</w:t>
            </w:r>
            <w:r>
              <w:rPr>
                <w:rFonts w:hint="default" w:ascii="Times New Roman" w:hAnsi="Times New Roman" w:eastAsia="仿宋" w:cs="Times New Roman"/>
                <w:color w:val="auto"/>
                <w:szCs w:val="22"/>
                <w:highlight w:val="none"/>
                <w:lang w:eastAsia="zh-CN"/>
              </w:rPr>
              <w:t>做出</w:t>
            </w:r>
            <w:r>
              <w:rPr>
                <w:rFonts w:hint="default" w:ascii="Times New Roman" w:hAnsi="Times New Roman" w:eastAsia="仿宋" w:cs="Times New Roman"/>
                <w:color w:val="auto"/>
                <w:szCs w:val="22"/>
                <w:highlight w:val="none"/>
              </w:rPr>
              <w:t>处理，污染地下水及土壤的可能性极小。</w:t>
            </w:r>
          </w:p>
          <w:p w14:paraId="5347994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val="en-US" w:eastAsia="zh-CN"/>
              </w:rPr>
              <w:t>D.</w:t>
            </w:r>
            <w:r>
              <w:rPr>
                <w:rFonts w:hint="default" w:ascii="Times New Roman" w:hAnsi="Times New Roman" w:eastAsia="仿宋" w:cs="Times New Roman"/>
                <w:color w:val="auto"/>
                <w:szCs w:val="22"/>
                <w:highlight w:val="none"/>
              </w:rPr>
              <w:t>火灾环境风险分析</w:t>
            </w:r>
          </w:p>
          <w:p w14:paraId="27A827C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箱式变压器等各种电气设备，在外部火源移近、过负荷、短路、过电压、绝缘层严重过热、老化、损坏等情况下，均可能引发电气火灾。</w:t>
            </w:r>
          </w:p>
          <w:p w14:paraId="7A8E617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电缆自身故障、机械损伤造成电缆短路或其他高温物体与电缆接触时，可能引起电缆着火，且电缆着火后蔓延速度很快，因而使之相连的电气仪表、控制系统、设备烧毁、酿成重大火灾，甚至造成光伏</w:t>
            </w:r>
            <w:r>
              <w:rPr>
                <w:rFonts w:hint="eastAsia" w:cs="Times New Roman"/>
                <w:color w:val="auto"/>
                <w:szCs w:val="22"/>
                <w:highlight w:val="none"/>
                <w:lang w:val="en-US" w:eastAsia="zh-CN"/>
              </w:rPr>
              <w:t>电站</w:t>
            </w:r>
            <w:r>
              <w:rPr>
                <w:rFonts w:hint="default" w:ascii="Times New Roman" w:hAnsi="Times New Roman" w:eastAsia="仿宋" w:cs="Times New Roman"/>
                <w:color w:val="auto"/>
                <w:szCs w:val="22"/>
                <w:highlight w:val="none"/>
              </w:rPr>
              <w:t>停产。</w:t>
            </w:r>
          </w:p>
          <w:p w14:paraId="03D3F45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光伏</w:t>
            </w:r>
            <w:r>
              <w:rPr>
                <w:rFonts w:hint="eastAsia" w:cs="Times New Roman"/>
                <w:color w:val="auto"/>
                <w:szCs w:val="22"/>
                <w:highlight w:val="none"/>
                <w:lang w:val="en-US" w:eastAsia="zh-CN"/>
              </w:rPr>
              <w:t>电站</w:t>
            </w:r>
            <w:r>
              <w:rPr>
                <w:rFonts w:hint="default" w:ascii="Times New Roman" w:hAnsi="Times New Roman" w:eastAsia="仿宋" w:cs="Times New Roman"/>
                <w:color w:val="auto"/>
                <w:szCs w:val="22"/>
                <w:highlight w:val="none"/>
              </w:rPr>
              <w:t>发生的火灾可能对工作人员和仪器设备造成危害，如火灾蔓延到周边农田，对耕地植被和生态系统造成严重破坏，同时会对当地村民造成一定的经济损失。</w:t>
            </w:r>
          </w:p>
          <w:p w14:paraId="5AA7CA3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⑤</w:t>
            </w:r>
            <w:r>
              <w:rPr>
                <w:rFonts w:hint="eastAsia" w:cs="Times New Roman"/>
                <w:bCs/>
                <w:color w:val="auto"/>
                <w:szCs w:val="22"/>
                <w:highlight w:val="none"/>
                <w:lang w:eastAsia="zh-CN"/>
              </w:rPr>
              <w:t>环境风险防控</w:t>
            </w:r>
            <w:r>
              <w:rPr>
                <w:rFonts w:hint="default" w:ascii="Times New Roman" w:hAnsi="Times New Roman" w:eastAsia="仿宋" w:cs="Times New Roman"/>
                <w:bCs/>
                <w:color w:val="auto"/>
                <w:szCs w:val="22"/>
                <w:highlight w:val="none"/>
              </w:rPr>
              <w:t>措施及应急要求</w:t>
            </w:r>
          </w:p>
          <w:p w14:paraId="54149A1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项目设计已提出，在升压站主变下方设置集油坑，集油坑经排油管道与事故油池连接，事故油池有效容积</w:t>
            </w:r>
            <w:r>
              <w:rPr>
                <w:rFonts w:hint="default" w:ascii="Times New Roman" w:hAnsi="Times New Roman" w:eastAsia="仿宋" w:cs="Times New Roman"/>
                <w:bCs/>
                <w:color w:val="auto"/>
                <w:szCs w:val="22"/>
                <w:highlight w:val="none"/>
                <w:lang w:val="en-US" w:eastAsia="zh-CN"/>
              </w:rPr>
              <w:t>85</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，采用钢筋混凝土结构。若发生事故，主变内的绝缘油进入下方集油坑，经排油管排入事故油池收集。</w:t>
            </w:r>
          </w:p>
          <w:p w14:paraId="3CBD3BC3">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仿宋" w:cs="Times New Roman"/>
                <w:b/>
                <w:color w:val="auto"/>
                <w:szCs w:val="22"/>
                <w:highlight w:val="none"/>
              </w:rPr>
            </w:pPr>
            <w:r>
              <w:rPr>
                <w:rFonts w:hint="default" w:ascii="Times New Roman" w:hAnsi="Times New Roman" w:eastAsia="仿宋" w:cs="Times New Roman"/>
                <w:b/>
                <w:color w:val="auto"/>
                <w:szCs w:val="22"/>
                <w:highlight w:val="none"/>
              </w:rPr>
              <w:t>升压站事故废油收集设施合理性分析：</w:t>
            </w:r>
          </w:p>
          <w:p w14:paraId="36A9334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A</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根据《火力发电厂与变电站设计防火规范》（GB50229-2019）中：“户外单台油量为1000kg以上的电气设备，应设置贮油或挡油设施，其容积宜按设备油量的20%设计，并能将事故油排至总事故贮油池。总事故贮油池的容量应按其接入的油量最大的一台设备油量100%确定，并设置油水分离装置。贮油或挡油设施应大于设备外廓每边各1m”。</w:t>
            </w:r>
          </w:p>
          <w:p w14:paraId="39F5456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根据</w:t>
            </w:r>
            <w:r>
              <w:rPr>
                <w:rFonts w:hint="default" w:ascii="Times New Roman" w:hAnsi="Times New Roman" w:eastAsia="仿宋" w:cs="Times New Roman"/>
                <w:bCs/>
                <w:color w:val="auto"/>
                <w:szCs w:val="22"/>
                <w:highlight w:val="none"/>
                <w:lang w:val="en-US" w:eastAsia="zh-CN"/>
              </w:rPr>
              <w:t>建设</w:t>
            </w:r>
            <w:r>
              <w:rPr>
                <w:rFonts w:hint="default" w:ascii="Times New Roman" w:hAnsi="Times New Roman" w:eastAsia="仿宋" w:cs="Times New Roman"/>
                <w:bCs/>
                <w:color w:val="auto"/>
                <w:szCs w:val="22"/>
                <w:highlight w:val="none"/>
              </w:rPr>
              <w:t>单位提供资料，项目主变压器</w:t>
            </w:r>
            <w:r>
              <w:rPr>
                <w:rFonts w:hint="default" w:ascii="Times New Roman" w:hAnsi="Times New Roman" w:eastAsia="仿宋" w:cs="Times New Roman"/>
                <w:bCs/>
                <w:color w:val="auto"/>
                <w:szCs w:val="22"/>
                <w:highlight w:val="none"/>
                <w:lang w:val="en-US" w:eastAsia="zh-CN"/>
              </w:rPr>
              <w:t>为1</w:t>
            </w:r>
            <w:r>
              <w:rPr>
                <w:rFonts w:hint="default" w:ascii="Times New Roman" w:hAnsi="Times New Roman" w:eastAsia="仿宋" w:cs="Times New Roman"/>
                <w:bCs/>
                <w:color w:val="auto"/>
                <w:szCs w:val="22"/>
                <w:highlight w:val="none"/>
              </w:rPr>
              <w:t>台</w:t>
            </w:r>
            <w:r>
              <w:rPr>
                <w:rFonts w:hint="default" w:ascii="Times New Roman" w:hAnsi="Times New Roman" w:eastAsia="仿宋" w:cs="Times New Roman"/>
                <w:bCs/>
                <w:color w:val="auto"/>
                <w:szCs w:val="22"/>
                <w:highlight w:val="none"/>
                <w:lang w:val="en-US" w:eastAsia="zh-CN"/>
              </w:rPr>
              <w:t>230</w:t>
            </w:r>
            <w:r>
              <w:rPr>
                <w:rFonts w:hint="default" w:ascii="Times New Roman" w:hAnsi="Times New Roman" w:eastAsia="仿宋" w:cs="Times New Roman"/>
                <w:bCs/>
                <w:color w:val="auto"/>
                <w:szCs w:val="22"/>
                <w:highlight w:val="none"/>
              </w:rPr>
              <w:t>MVA</w:t>
            </w:r>
            <w:r>
              <w:rPr>
                <w:rFonts w:hint="default" w:ascii="Times New Roman" w:hAnsi="Times New Roman" w:eastAsia="仿宋" w:cs="Times New Roman"/>
                <w:bCs/>
                <w:color w:val="auto"/>
                <w:szCs w:val="22"/>
                <w:highlight w:val="none"/>
                <w:lang w:val="en-US" w:eastAsia="zh-CN"/>
              </w:rPr>
              <w:t>和1</w:t>
            </w:r>
            <w:r>
              <w:rPr>
                <w:rFonts w:hint="default" w:ascii="Times New Roman" w:hAnsi="Times New Roman" w:eastAsia="仿宋" w:cs="Times New Roman"/>
                <w:bCs/>
                <w:color w:val="auto"/>
                <w:szCs w:val="22"/>
                <w:highlight w:val="none"/>
              </w:rPr>
              <w:t>台</w:t>
            </w:r>
            <w:r>
              <w:rPr>
                <w:rFonts w:hint="default" w:ascii="Times New Roman" w:hAnsi="Times New Roman" w:eastAsia="仿宋" w:cs="Times New Roman"/>
                <w:bCs/>
                <w:color w:val="auto"/>
                <w:szCs w:val="22"/>
                <w:highlight w:val="none"/>
                <w:lang w:val="en-US" w:eastAsia="zh-CN"/>
              </w:rPr>
              <w:t>210</w:t>
            </w:r>
            <w:r>
              <w:rPr>
                <w:rFonts w:hint="default" w:ascii="Times New Roman" w:hAnsi="Times New Roman" w:eastAsia="仿宋" w:cs="Times New Roman"/>
                <w:bCs/>
                <w:color w:val="auto"/>
                <w:szCs w:val="22"/>
                <w:highlight w:val="none"/>
              </w:rPr>
              <w:t>MVA，</w:t>
            </w:r>
            <w:r>
              <w:rPr>
                <w:rFonts w:hint="default" w:ascii="Times New Roman" w:hAnsi="Times New Roman" w:eastAsia="仿宋" w:cs="Times New Roman"/>
                <w:bCs/>
                <w:color w:val="auto"/>
                <w:szCs w:val="22"/>
                <w:highlight w:val="none"/>
                <w:lang w:val="en-US" w:eastAsia="zh-CN"/>
              </w:rPr>
              <w:t>变压器</w:t>
            </w:r>
            <w:r>
              <w:rPr>
                <w:rFonts w:hint="eastAsia" w:cs="Times New Roman"/>
                <w:bCs/>
                <w:color w:val="auto"/>
                <w:szCs w:val="22"/>
                <w:highlight w:val="none"/>
                <w:lang w:val="en-US" w:eastAsia="zh-CN"/>
              </w:rPr>
              <w:t>总</w:t>
            </w:r>
            <w:r>
              <w:rPr>
                <w:rFonts w:hint="default" w:ascii="Times New Roman" w:hAnsi="Times New Roman" w:eastAsia="仿宋" w:cs="Times New Roman"/>
                <w:bCs/>
                <w:color w:val="auto"/>
                <w:szCs w:val="22"/>
                <w:highlight w:val="none"/>
              </w:rPr>
              <w:t>油重约</w:t>
            </w:r>
            <w:r>
              <w:rPr>
                <w:rFonts w:hint="default" w:ascii="Times New Roman" w:hAnsi="Times New Roman" w:eastAsia="仿宋" w:cs="Times New Roman"/>
                <w:bCs/>
                <w:color w:val="auto"/>
                <w:szCs w:val="22"/>
                <w:highlight w:val="none"/>
                <w:lang w:val="en-US" w:eastAsia="zh-CN"/>
              </w:rPr>
              <w:t>70</w:t>
            </w:r>
            <w:r>
              <w:rPr>
                <w:rFonts w:hint="default" w:ascii="Times New Roman" w:hAnsi="Times New Roman" w:eastAsia="仿宋" w:cs="Times New Roman"/>
                <w:bCs/>
                <w:color w:val="auto"/>
                <w:szCs w:val="22"/>
                <w:highlight w:val="none"/>
              </w:rPr>
              <w:t>t，使用的油为环烷基矿物油，密度为895kg/m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，折算成体积为</w:t>
            </w:r>
            <w:r>
              <w:rPr>
                <w:rFonts w:hint="default" w:ascii="Times New Roman" w:hAnsi="Times New Roman" w:eastAsia="仿宋" w:cs="Times New Roman"/>
                <w:bCs/>
                <w:color w:val="auto"/>
                <w:szCs w:val="22"/>
                <w:highlight w:val="none"/>
                <w:lang w:val="en-US" w:eastAsia="zh-CN"/>
              </w:rPr>
              <w:t>78.2</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）。项目主变下集油坑每边大于变压器外廓约1.1</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1.3m，集油坑容积约</w:t>
            </w:r>
            <w:r>
              <w:rPr>
                <w:rFonts w:hint="eastAsia" w:cs="Times New Roman"/>
                <w:bCs/>
                <w:color w:val="auto"/>
                <w:szCs w:val="22"/>
                <w:highlight w:val="none"/>
                <w:lang w:val="en-US" w:eastAsia="zh-CN"/>
              </w:rPr>
              <w:t>20</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，大于主变油量的20%（</w:t>
            </w:r>
            <w:r>
              <w:rPr>
                <w:rFonts w:hint="default" w:ascii="Times New Roman" w:hAnsi="Times New Roman" w:eastAsia="仿宋" w:cs="Times New Roman"/>
                <w:bCs/>
                <w:color w:val="auto"/>
                <w:szCs w:val="22"/>
                <w:highlight w:val="none"/>
                <w:lang w:val="en-US" w:eastAsia="zh-CN"/>
              </w:rPr>
              <w:t>15.64</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）。事故油池有效容积</w:t>
            </w:r>
            <w:r>
              <w:rPr>
                <w:rFonts w:hint="default" w:ascii="Times New Roman" w:hAnsi="Times New Roman" w:eastAsia="仿宋" w:cs="Times New Roman"/>
                <w:bCs/>
                <w:color w:val="auto"/>
                <w:szCs w:val="22"/>
                <w:highlight w:val="none"/>
                <w:lang w:val="en-US" w:eastAsia="zh-CN"/>
              </w:rPr>
              <w:t>85</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，大于最大一台主变100%油量。满足《火力发电厂与变电站设计防火规范》（GB50229-2019）中相关要求。从环保角度分析，升压站集油坑和事故油池容积合理。</w:t>
            </w:r>
          </w:p>
          <w:p w14:paraId="24B4CFE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B</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项目初步设计已提出，在光伏场区各箱变基础内配套设置1个容积</w:t>
            </w:r>
            <w:r>
              <w:rPr>
                <w:rFonts w:hint="default" w:ascii="Times New Roman" w:hAnsi="Times New Roman" w:eastAsia="仿宋" w:cs="Times New Roman"/>
                <w:bCs/>
                <w:color w:val="auto"/>
                <w:szCs w:val="22"/>
                <w:highlight w:val="none"/>
                <w:lang w:val="en-US" w:eastAsia="zh-CN"/>
              </w:rPr>
              <w:t>2</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事故油池。根据设计资料，本项目</w:t>
            </w:r>
            <w:r>
              <w:rPr>
                <w:rFonts w:hint="default" w:ascii="Times New Roman" w:hAnsi="Times New Roman" w:eastAsia="仿宋" w:cs="Times New Roman"/>
                <w:bCs/>
                <w:color w:val="auto"/>
                <w:szCs w:val="22"/>
                <w:highlight w:val="none"/>
                <w:lang w:val="en-US" w:eastAsia="zh-CN"/>
              </w:rPr>
              <w:t>单</w:t>
            </w:r>
            <w:r>
              <w:rPr>
                <w:rFonts w:hint="default" w:ascii="Times New Roman" w:hAnsi="Times New Roman" w:eastAsia="仿宋" w:cs="Times New Roman"/>
                <w:bCs/>
                <w:color w:val="auto"/>
                <w:szCs w:val="22"/>
                <w:highlight w:val="none"/>
              </w:rPr>
              <w:t>台箱</w:t>
            </w:r>
            <w:r>
              <w:rPr>
                <w:rFonts w:hint="default" w:ascii="Times New Roman" w:hAnsi="Times New Roman" w:eastAsia="仿宋" w:cs="Times New Roman"/>
                <w:bCs/>
                <w:color w:val="auto"/>
                <w:szCs w:val="22"/>
                <w:highlight w:val="none"/>
                <w:lang w:val="en-US" w:eastAsia="zh-CN"/>
              </w:rPr>
              <w:t>式</w:t>
            </w:r>
            <w:r>
              <w:rPr>
                <w:rFonts w:hint="default" w:ascii="Times New Roman" w:hAnsi="Times New Roman" w:eastAsia="仿宋" w:cs="Times New Roman"/>
                <w:bCs/>
                <w:color w:val="auto"/>
                <w:szCs w:val="22"/>
                <w:highlight w:val="none"/>
              </w:rPr>
              <w:t>变</w:t>
            </w:r>
            <w:r>
              <w:rPr>
                <w:rFonts w:hint="default" w:ascii="Times New Roman" w:hAnsi="Times New Roman" w:eastAsia="仿宋" w:cs="Times New Roman"/>
                <w:bCs/>
                <w:color w:val="auto"/>
                <w:szCs w:val="22"/>
                <w:highlight w:val="none"/>
                <w:lang w:val="en-US" w:eastAsia="zh-CN"/>
              </w:rPr>
              <w:t>压器</w:t>
            </w:r>
            <w:r>
              <w:rPr>
                <w:rFonts w:hint="default" w:ascii="Times New Roman" w:hAnsi="Times New Roman" w:eastAsia="仿宋" w:cs="Times New Roman"/>
                <w:bCs/>
                <w:color w:val="auto"/>
                <w:szCs w:val="22"/>
                <w:highlight w:val="none"/>
              </w:rPr>
              <w:t>油重约</w:t>
            </w:r>
            <w:r>
              <w:rPr>
                <w:rFonts w:hint="eastAsia" w:cs="Times New Roman"/>
                <w:bCs/>
                <w:color w:val="auto"/>
                <w:szCs w:val="22"/>
                <w:highlight w:val="none"/>
                <w:lang w:val="en-US" w:eastAsia="zh-CN"/>
              </w:rPr>
              <w:t>1160</w:t>
            </w:r>
            <w:r>
              <w:rPr>
                <w:rFonts w:hint="default" w:ascii="Times New Roman" w:hAnsi="Times New Roman" w:eastAsia="仿宋" w:cs="Times New Roman"/>
                <w:bCs/>
                <w:color w:val="auto"/>
                <w:szCs w:val="22"/>
                <w:highlight w:val="none"/>
              </w:rPr>
              <w:t>kg，折算成体积约为</w:t>
            </w:r>
            <w:r>
              <w:rPr>
                <w:rFonts w:hint="eastAsia" w:cs="Times New Roman"/>
                <w:bCs/>
                <w:color w:val="auto"/>
                <w:szCs w:val="22"/>
                <w:highlight w:val="none"/>
                <w:lang w:val="en-US" w:eastAsia="zh-CN"/>
              </w:rPr>
              <w:t>1.3</w:t>
            </w:r>
            <w:r>
              <w:rPr>
                <w:rFonts w:hint="default" w:ascii="Times New Roman" w:hAnsi="Times New Roman" w:eastAsia="仿宋" w:cs="Times New Roman"/>
                <w:bCs/>
                <w:color w:val="auto"/>
                <w:szCs w:val="22"/>
                <w:highlight w:val="none"/>
              </w:rPr>
              <w:t>m</w:t>
            </w:r>
            <w:r>
              <w:rPr>
                <w:rFonts w:hint="default" w:ascii="Times New Roman" w:hAnsi="Times New Roman" w:eastAsia="仿宋" w:cs="Times New Roman"/>
                <w:bCs/>
                <w:color w:val="auto"/>
                <w:szCs w:val="22"/>
                <w:highlight w:val="none"/>
                <w:vertAlign w:val="superscript"/>
              </w:rPr>
              <w:t>3</w:t>
            </w:r>
            <w:r>
              <w:rPr>
                <w:rFonts w:hint="default" w:ascii="Times New Roman" w:hAnsi="Times New Roman" w:eastAsia="仿宋" w:cs="Times New Roman"/>
                <w:bCs/>
                <w:color w:val="auto"/>
                <w:szCs w:val="22"/>
                <w:highlight w:val="none"/>
              </w:rPr>
              <w:t>，则对应事故油可容纳事故状态下箱变100%排油量，设计合理，完全能保证事故排油不外排，而且集油坑不与雨水系统相通，不会对周边水环境</w:t>
            </w:r>
            <w:r>
              <w:rPr>
                <w:rFonts w:hint="eastAsia" w:cs="Times New Roman"/>
                <w:bCs/>
                <w:color w:val="auto"/>
                <w:szCs w:val="22"/>
                <w:highlight w:val="none"/>
                <w:lang w:eastAsia="zh-CN"/>
              </w:rPr>
              <w:t>产生</w:t>
            </w:r>
            <w:r>
              <w:rPr>
                <w:rFonts w:hint="default" w:ascii="Times New Roman" w:hAnsi="Times New Roman" w:eastAsia="仿宋" w:cs="Times New Roman"/>
                <w:bCs/>
                <w:color w:val="auto"/>
                <w:szCs w:val="22"/>
                <w:highlight w:val="none"/>
              </w:rPr>
              <w:t>不良影响。集油坑设置满足环境保护要求的基础防渗设计。同时加强场地内用油管理，制定</w:t>
            </w:r>
            <w:r>
              <w:rPr>
                <w:rFonts w:hint="eastAsia" w:cs="Times New Roman"/>
                <w:bCs/>
                <w:color w:val="auto"/>
                <w:szCs w:val="22"/>
                <w:highlight w:val="none"/>
                <w:lang w:eastAsia="zh-CN"/>
              </w:rPr>
              <w:t>环境风险防控</w:t>
            </w:r>
            <w:r>
              <w:rPr>
                <w:rFonts w:hint="default" w:ascii="Times New Roman" w:hAnsi="Times New Roman" w:eastAsia="仿宋" w:cs="Times New Roman"/>
                <w:bCs/>
                <w:color w:val="auto"/>
                <w:szCs w:val="22"/>
                <w:highlight w:val="none"/>
              </w:rPr>
              <w:t>措施和应急预案，严防漏油事故影响区域水体。</w:t>
            </w:r>
          </w:p>
          <w:p w14:paraId="758FC36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C</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项目应严格做好分区防渗工程：升压站集油坑、事故油池、危废暂存间以及光伏场区箱变集油池须采取防渗处理，防渗技术要求为：</w:t>
            </w:r>
            <w:bookmarkStart w:id="16" w:name="OLE_LINK13"/>
            <w:r>
              <w:rPr>
                <w:rFonts w:hint="default" w:ascii="Times New Roman" w:hAnsi="Times New Roman" w:eastAsia="仿宋" w:cs="Times New Roman"/>
                <w:color w:val="auto"/>
                <w:szCs w:val="22"/>
                <w:highlight w:val="none"/>
              </w:rPr>
              <w:t>防渗层为至少1m厚黏土层（渗透系数不大于10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7</w:t>
            </w:r>
            <w:r>
              <w:rPr>
                <w:rFonts w:hint="default" w:ascii="Times New Roman" w:hAnsi="Times New Roman" w:eastAsia="仿宋" w:cs="Times New Roman"/>
                <w:color w:val="auto"/>
                <w:szCs w:val="22"/>
                <w:highlight w:val="none"/>
              </w:rPr>
              <w:t>cm/s），或至少2mm厚高密度聚乙烯膜等人工防渗材料（渗透系数不大于10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10</w:t>
            </w:r>
            <w:r>
              <w:rPr>
                <w:rFonts w:hint="default" w:ascii="Times New Roman" w:hAnsi="Times New Roman" w:eastAsia="仿宋" w:cs="Times New Roman"/>
                <w:color w:val="auto"/>
                <w:szCs w:val="22"/>
                <w:highlight w:val="none"/>
              </w:rPr>
              <w:t>cm/s）。</w:t>
            </w:r>
            <w:bookmarkEnd w:id="16"/>
            <w:r>
              <w:rPr>
                <w:rFonts w:hint="default" w:ascii="Times New Roman" w:hAnsi="Times New Roman" w:eastAsia="仿宋" w:cs="Times New Roman"/>
                <w:bCs/>
                <w:color w:val="auto"/>
                <w:szCs w:val="22"/>
                <w:highlight w:val="none"/>
              </w:rPr>
              <w:t>工程施工</w:t>
            </w:r>
            <w:r>
              <w:rPr>
                <w:rFonts w:hint="eastAsia" w:cs="Times New Roman"/>
                <w:bCs/>
                <w:color w:val="auto"/>
                <w:szCs w:val="22"/>
                <w:highlight w:val="none"/>
                <w:lang w:eastAsia="zh-CN"/>
              </w:rPr>
              <w:t>期间</w:t>
            </w:r>
            <w:r>
              <w:rPr>
                <w:rFonts w:hint="default" w:ascii="Times New Roman" w:hAnsi="Times New Roman" w:eastAsia="仿宋" w:cs="Times New Roman"/>
                <w:bCs/>
                <w:color w:val="auto"/>
                <w:szCs w:val="22"/>
                <w:highlight w:val="none"/>
              </w:rPr>
              <w:t>加强工程监理和环境监理，提高防渗工程质量，做好照片、录像以及相关文字说明等存档资料。</w:t>
            </w:r>
          </w:p>
          <w:p w14:paraId="4703D27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D</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如实记载每批危废的名称、来源、数量、特性和包装容器的类别、入库日期、存放库位、废物出库日期及接收单位名称。贮存期间定期养护，控制好贮存场所的温度和湿度；装卸、搬运时应轻装轻卸，注意自我防护。定期对所暂存的危险废物容器及暂存设施进行检查，发现破损，及时采取措施清理更换。</w:t>
            </w:r>
          </w:p>
          <w:p w14:paraId="5155F4F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E</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各类电气设备、电缆、蓄电池等应确保正确安装，运行过程中定期检修，出现破损及时更换，确保设备设施运行安全。严格落实防火规定，升压站内严禁吸烟、明火。人员进入升压站生产区内检修结束后，应及时清理现场，防止遗留火种。</w:t>
            </w:r>
          </w:p>
          <w:p w14:paraId="16AD671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F</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完善升压站消防设施、消防器材的配套，确保应急疏散通道、消防通道的通畅，加强人员消防安全培训，定期开展消防演练。</w:t>
            </w:r>
          </w:p>
          <w:p w14:paraId="2561C6D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G</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定期开展光伏电站火灾风险隐患排查，检查站内是否存放废旧充油设备及易燃易爆物品，电缆沟防火墙是否完好、电缆孔洞防火封堵是否合格；检查消防设施</w:t>
            </w:r>
            <w:r>
              <w:rPr>
                <w:rFonts w:hint="default" w:ascii="Times New Roman" w:hAnsi="Times New Roman" w:eastAsia="仿宋" w:cs="Times New Roman"/>
                <w:bCs/>
                <w:color w:val="auto"/>
                <w:szCs w:val="22"/>
                <w:highlight w:val="none"/>
                <w:lang w:eastAsia="zh-CN"/>
              </w:rPr>
              <w:t>账</w:t>
            </w:r>
            <w:r>
              <w:rPr>
                <w:rFonts w:hint="default" w:ascii="Times New Roman" w:hAnsi="Times New Roman" w:eastAsia="仿宋" w:cs="Times New Roman"/>
                <w:bCs/>
                <w:color w:val="auto"/>
                <w:szCs w:val="22"/>
                <w:highlight w:val="none"/>
              </w:rPr>
              <w:t>、卡、物是否一致，配置是否满足要求，防火门闭门器、防火胶条是否完好；应急疏散标识是否齐全，消防通道是否畅通；检查火灾报警控制器功能是否正常，主、备电源能否正常切换，是否存在误报、漏报现象，数据传输是否及时准确，烟感、手动报警装置能否正常启动；并结合站内实际情况，对不合格或损坏的灭火器、消防铁锹、消防桶及时进行更换，修订完善各站消防应急预案，提升消防应急处置能力。</w:t>
            </w:r>
          </w:p>
          <w:p w14:paraId="581BA8E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H</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加强对操作人员的岗位培训，建立健全的环保管理机制和各项环保规章制度，落实岗位环保责任制，加强</w:t>
            </w:r>
            <w:r>
              <w:rPr>
                <w:rFonts w:hint="eastAsia" w:cs="Times New Roman"/>
                <w:bCs/>
                <w:color w:val="auto"/>
                <w:szCs w:val="22"/>
                <w:highlight w:val="none"/>
                <w:lang w:eastAsia="zh-CN"/>
              </w:rPr>
              <w:t>环境风险防控</w:t>
            </w:r>
            <w:r>
              <w:rPr>
                <w:rFonts w:hint="default" w:ascii="Times New Roman" w:hAnsi="Times New Roman" w:eastAsia="仿宋" w:cs="Times New Roman"/>
                <w:bCs/>
                <w:color w:val="auto"/>
                <w:szCs w:val="22"/>
                <w:highlight w:val="none"/>
              </w:rPr>
              <w:t>工作，防止事故排放导致环境问题。</w:t>
            </w:r>
          </w:p>
          <w:p w14:paraId="00CBAA0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L</w:t>
            </w:r>
            <w:r>
              <w:rPr>
                <w:rFonts w:hint="default" w:ascii="Times New Roman" w:hAnsi="Times New Roman" w:eastAsia="仿宋" w:cs="Times New Roman"/>
                <w:bCs/>
                <w:color w:val="auto"/>
                <w:szCs w:val="22"/>
                <w:highlight w:val="none"/>
                <w:lang w:eastAsia="zh-CN"/>
              </w:rPr>
              <w:t>.</w:t>
            </w:r>
            <w:r>
              <w:rPr>
                <w:rFonts w:hint="default" w:ascii="Times New Roman" w:hAnsi="Times New Roman" w:eastAsia="仿宋" w:cs="Times New Roman"/>
                <w:bCs/>
                <w:color w:val="auto"/>
                <w:szCs w:val="22"/>
                <w:highlight w:val="none"/>
              </w:rPr>
              <w:t>针对本项目可能发生的突发事故，为了将风险事故率降低到</w:t>
            </w:r>
            <w:r>
              <w:rPr>
                <w:rFonts w:hint="default" w:ascii="Times New Roman" w:hAnsi="Times New Roman" w:eastAsia="仿宋" w:cs="Times New Roman"/>
                <w:bCs/>
                <w:color w:val="auto"/>
                <w:szCs w:val="22"/>
                <w:highlight w:val="none"/>
                <w:lang w:eastAsia="zh-CN"/>
              </w:rPr>
              <w:t>最低</w:t>
            </w:r>
            <w:r>
              <w:rPr>
                <w:rFonts w:hint="default" w:ascii="Times New Roman" w:hAnsi="Times New Roman" w:eastAsia="仿宋" w:cs="Times New Roman"/>
                <w:bCs/>
                <w:color w:val="auto"/>
                <w:szCs w:val="22"/>
                <w:highlight w:val="none"/>
              </w:rPr>
              <w:t>，建设单位应编制突发环境事件应急预案并报</w:t>
            </w:r>
            <w:r>
              <w:rPr>
                <w:rFonts w:hint="default" w:ascii="Times New Roman" w:hAnsi="Times New Roman" w:eastAsia="仿宋" w:cs="Times New Roman"/>
                <w:bCs/>
                <w:color w:val="auto"/>
                <w:szCs w:val="22"/>
                <w:highlight w:val="none"/>
                <w:lang w:val="en-US" w:eastAsia="zh-CN"/>
              </w:rPr>
              <w:t>曲靖</w:t>
            </w:r>
            <w:r>
              <w:rPr>
                <w:rFonts w:hint="default" w:ascii="Times New Roman" w:hAnsi="Times New Roman" w:eastAsia="仿宋" w:cs="Times New Roman"/>
                <w:bCs/>
                <w:color w:val="auto"/>
                <w:szCs w:val="22"/>
                <w:highlight w:val="none"/>
              </w:rPr>
              <w:t>市生态环境局</w:t>
            </w:r>
            <w:r>
              <w:rPr>
                <w:rFonts w:hint="default" w:ascii="Times New Roman" w:hAnsi="Times New Roman" w:eastAsia="仿宋" w:cs="Times New Roman"/>
                <w:bCs/>
                <w:color w:val="auto"/>
                <w:szCs w:val="22"/>
                <w:highlight w:val="none"/>
                <w:lang w:val="en-US" w:eastAsia="zh-CN"/>
              </w:rPr>
              <w:t>会泽</w:t>
            </w:r>
            <w:r>
              <w:rPr>
                <w:rFonts w:hint="default" w:ascii="Times New Roman" w:hAnsi="Times New Roman" w:eastAsia="仿宋" w:cs="Times New Roman"/>
                <w:bCs/>
                <w:color w:val="auto"/>
                <w:szCs w:val="22"/>
                <w:highlight w:val="none"/>
              </w:rPr>
              <w:t>分局备案。严格落实</w:t>
            </w:r>
            <w:r>
              <w:rPr>
                <w:rFonts w:hint="eastAsia" w:cs="Times New Roman"/>
                <w:bCs/>
                <w:color w:val="auto"/>
                <w:szCs w:val="22"/>
                <w:highlight w:val="none"/>
                <w:lang w:eastAsia="zh-CN"/>
              </w:rPr>
              <w:t>应急物资储备</w:t>
            </w:r>
            <w:r>
              <w:rPr>
                <w:rFonts w:hint="default" w:ascii="Times New Roman" w:hAnsi="Times New Roman" w:eastAsia="仿宋" w:cs="Times New Roman"/>
                <w:bCs/>
                <w:color w:val="auto"/>
                <w:szCs w:val="22"/>
                <w:highlight w:val="none"/>
              </w:rPr>
              <w:t>，定期演练，尽量将突发环境事件发生的可能性及产生的影响降低到最低程度。</w:t>
            </w:r>
          </w:p>
          <w:p w14:paraId="5468153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eastAsia" w:cs="Times New Roman"/>
                <w:color w:val="auto"/>
                <w:szCs w:val="22"/>
                <w:highlight w:val="none"/>
                <w:lang w:val="en-US" w:eastAsia="zh-CN"/>
              </w:rPr>
              <w:t>⑥</w:t>
            </w:r>
            <w:r>
              <w:rPr>
                <w:rFonts w:hint="default" w:ascii="Times New Roman" w:hAnsi="Times New Roman" w:eastAsia="仿宋" w:cs="Times New Roman"/>
                <w:color w:val="auto"/>
                <w:szCs w:val="22"/>
                <w:highlight w:val="none"/>
              </w:rPr>
              <w:t>环境风险分析结论</w:t>
            </w:r>
          </w:p>
          <w:p w14:paraId="6233207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lang w:eastAsia="zh-CN"/>
              </w:rPr>
              <w:t>建设</w:t>
            </w:r>
            <w:r>
              <w:rPr>
                <w:rFonts w:hint="default" w:ascii="Times New Roman" w:hAnsi="Times New Roman" w:eastAsia="仿宋" w:cs="Times New Roman"/>
                <w:bCs/>
                <w:color w:val="auto"/>
                <w:szCs w:val="22"/>
                <w:highlight w:val="none"/>
              </w:rPr>
              <w:t>单位要引起高度重视，采取严格的风险防范措施，建立有效的应急预案，加强风险管理，防止事故的发生，将事故影响程度减少到最低。在建设单位严格落实各项风险防范措施和风险应急预案的前提下，工程环境风险可防可控，项目建设是可行的。</w:t>
            </w:r>
          </w:p>
          <w:p w14:paraId="56B71726">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4.4 </w:t>
            </w:r>
            <w:r>
              <w:rPr>
                <w:rFonts w:hint="default" w:ascii="Times New Roman" w:hAnsi="Times New Roman" w:eastAsia="仿宋" w:cs="Times New Roman"/>
                <w:b/>
                <w:bCs/>
                <w:color w:val="auto"/>
                <w:sz w:val="24"/>
                <w:szCs w:val="24"/>
                <w:highlight w:val="none"/>
                <w:lang w:val="en-US" w:eastAsia="zh-CN"/>
              </w:rPr>
              <w:t>服务期满后环境影响分析</w:t>
            </w:r>
          </w:p>
          <w:p w14:paraId="6AF5ECD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项目光伏系统使用寿命25年，其中组件寿命25年，逆变器寿命25年，电缆使用寿命大于20年。服务期满后，光伏组件的转化效率降低，不能满足发电需求。光伏电站运行期满后光伏组件的拆除回收、电气设备的拆除回收以及各类建（构）筑物的拆除可能对外环境产生一定的影响。</w:t>
            </w:r>
          </w:p>
          <w:p w14:paraId="205B6FB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1</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光伏组件</w:t>
            </w:r>
          </w:p>
          <w:p w14:paraId="30F8B14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运行期满后，拆除废旧光伏组件总计</w:t>
            </w:r>
            <w:r>
              <w:rPr>
                <w:rFonts w:hint="default" w:ascii="Times New Roman" w:hAnsi="Times New Roman" w:eastAsia="仿宋" w:cs="Times New Roman"/>
                <w:color w:val="auto"/>
                <w:sz w:val="24"/>
                <w:szCs w:val="24"/>
                <w:highlight w:val="none"/>
                <w:lang w:val="en-US" w:eastAsia="zh-CN"/>
              </w:rPr>
              <w:t>283920</w:t>
            </w:r>
            <w:r>
              <w:rPr>
                <w:rFonts w:hint="default" w:ascii="Times New Roman" w:hAnsi="Times New Roman" w:eastAsia="仿宋" w:cs="Times New Roman"/>
                <w:color w:val="auto"/>
                <w:szCs w:val="22"/>
                <w:highlight w:val="none"/>
              </w:rPr>
              <w:t>块，全部由光伏组件提供厂商负责回收</w:t>
            </w:r>
            <w:r>
              <w:rPr>
                <w:rFonts w:hint="default" w:ascii="Times New Roman" w:hAnsi="Times New Roman" w:eastAsia="仿宋" w:cs="Times New Roman"/>
                <w:color w:val="auto"/>
                <w:szCs w:val="21"/>
                <w:highlight w:val="none"/>
              </w:rPr>
              <w:t>。</w:t>
            </w:r>
          </w:p>
          <w:p w14:paraId="6689292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2</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电气设备</w:t>
            </w:r>
          </w:p>
          <w:p w14:paraId="7B6050A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本项目电气设备主要为逆变器、箱式变压器，电气设备经过运行期的使用和维护，其损耗较小，可全部由设备生产商回收进行维护和大修后再次使用。可就地进行拆解后运回原厂进行维修。</w:t>
            </w:r>
          </w:p>
          <w:p w14:paraId="09F78F9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建（构）筑物</w:t>
            </w:r>
          </w:p>
          <w:p w14:paraId="5A25398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本项目在服务期满后，将全部拆除各类建（构）筑物。本项目主要建（构）筑物有光伏组件基础和升压站建构筑物基础，大部分为混凝土结构。拆除后尽量用于场地平整和对场地进行原地貌恢复，对环境影响较小。最终光伏电站占用土地应恢复植被。废变压器油及废蓄电池等危险废物由具有危险废物处理处置资质的单位进行回收、运输和处置时，应先向当地主管</w:t>
            </w:r>
            <w:r>
              <w:rPr>
                <w:rFonts w:hint="default" w:ascii="Times New Roman" w:hAnsi="Times New Roman" w:eastAsia="仿宋" w:cs="Times New Roman"/>
                <w:color w:val="auto"/>
                <w:szCs w:val="22"/>
                <w:highlight w:val="none"/>
                <w:lang w:eastAsia="zh-CN"/>
              </w:rPr>
              <w:t>生态环境部</w:t>
            </w:r>
            <w:r>
              <w:rPr>
                <w:rFonts w:hint="default" w:ascii="Times New Roman" w:hAnsi="Times New Roman" w:eastAsia="仿宋" w:cs="Times New Roman"/>
                <w:color w:val="auto"/>
                <w:szCs w:val="22"/>
                <w:highlight w:val="none"/>
              </w:rPr>
              <w:t>门进行申报登记</w:t>
            </w:r>
            <w:r>
              <w:rPr>
                <w:rFonts w:hint="default" w:ascii="Times New Roman" w:hAnsi="Times New Roman" w:eastAsia="仿宋" w:cs="Times New Roman"/>
                <w:color w:val="auto"/>
                <w:szCs w:val="22"/>
                <w:highlight w:val="none"/>
                <w:lang w:eastAsia="zh-CN"/>
              </w:rPr>
              <w:t>，经生态环境</w:t>
            </w:r>
            <w:r>
              <w:rPr>
                <w:rFonts w:hint="default" w:ascii="Times New Roman" w:hAnsi="Times New Roman" w:eastAsia="仿宋" w:cs="Times New Roman"/>
                <w:color w:val="auto"/>
                <w:szCs w:val="22"/>
                <w:highlight w:val="none"/>
              </w:rPr>
              <w:t>部门同意后按照《</w:t>
            </w:r>
            <w:r>
              <w:rPr>
                <w:rFonts w:hint="default" w:ascii="Times New Roman" w:hAnsi="Times New Roman" w:eastAsia="仿宋" w:cs="Times New Roman"/>
                <w:color w:val="auto"/>
                <w:szCs w:val="22"/>
                <w:highlight w:val="none"/>
                <w:lang w:eastAsia="zh-CN"/>
              </w:rPr>
              <w:t>危险废物转移管理办法</w:t>
            </w:r>
            <w:r>
              <w:rPr>
                <w:rFonts w:hint="default" w:ascii="Times New Roman" w:hAnsi="Times New Roman" w:eastAsia="仿宋" w:cs="Times New Roman"/>
                <w:color w:val="auto"/>
                <w:szCs w:val="22"/>
                <w:highlight w:val="none"/>
              </w:rPr>
              <w:t>》填写危险废物转移联单后，由具有危险废物处理处置资质的单位进行回收、运输和处置。</w:t>
            </w:r>
          </w:p>
          <w:p w14:paraId="1AE5FF6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4</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恢复措施</w:t>
            </w:r>
          </w:p>
          <w:p w14:paraId="3BD666F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本项目光伏发电站服务期满后拆除后应进行生态恢复，拆除过程中应</w:t>
            </w:r>
            <w:r>
              <w:rPr>
                <w:rFonts w:hint="default" w:ascii="Times New Roman" w:hAnsi="Times New Roman" w:eastAsia="仿宋" w:cs="Times New Roman"/>
                <w:color w:val="auto"/>
                <w:szCs w:val="22"/>
                <w:highlight w:val="none"/>
                <w:lang w:eastAsia="zh-CN"/>
              </w:rPr>
              <w:t>尽量减少</w:t>
            </w:r>
            <w:r>
              <w:rPr>
                <w:rFonts w:hint="default" w:ascii="Times New Roman" w:hAnsi="Times New Roman" w:eastAsia="仿宋" w:cs="Times New Roman"/>
                <w:color w:val="auto"/>
                <w:szCs w:val="22"/>
                <w:highlight w:val="none"/>
              </w:rPr>
              <w:t>对土地的扰动。</w:t>
            </w:r>
          </w:p>
          <w:p w14:paraId="7DC1514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4"/>
                <w:highlight w:val="none"/>
              </w:rPr>
            </w:pPr>
            <w:r>
              <w:rPr>
                <w:rFonts w:hint="default" w:ascii="Times New Roman" w:hAnsi="Times New Roman" w:eastAsia="仿宋" w:cs="Times New Roman"/>
                <w:color w:val="auto"/>
                <w:szCs w:val="24"/>
                <w:highlight w:val="none"/>
              </w:rPr>
              <w:t>掘除光伏方阵区混凝土的基础部分场地应进行恢复，覆土厚度30cm，并将光伏方阵区侵蚀沟和低洼区域填土、平整，恢复后的场地则进行洒水和压实，以固结地表，防止产生扬尘和对土壤的风蚀。光伏电站在服务期满后，要严格采取固废处置及生态恢复的环保措施，确保无遗留环保问题。</w:t>
            </w:r>
          </w:p>
          <w:p w14:paraId="0C22AE4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Cs w:val="22"/>
                <w:highlight w:val="none"/>
              </w:rPr>
              <w:t>综上，建设单位在严格落实上述环境保护措施后，光伏电站服务期满后对环境产生的影响较小。</w:t>
            </w:r>
          </w:p>
        </w:tc>
      </w:tr>
      <w:tr w14:paraId="16E40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1" w:hRule="atLeast"/>
          <w:jc w:val="center"/>
        </w:trPr>
        <w:tc>
          <w:tcPr>
            <w:tcW w:w="369" w:type="pct"/>
            <w:noWrap w:val="0"/>
            <w:tcMar>
              <w:left w:w="28" w:type="dxa"/>
              <w:right w:w="28" w:type="dxa"/>
            </w:tcMar>
            <w:vAlign w:val="center"/>
          </w:tcPr>
          <w:p w14:paraId="78C6F0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bCs/>
                <w:color w:val="auto"/>
                <w:spacing w:val="10"/>
                <w:kern w:val="2"/>
                <w:sz w:val="24"/>
                <w:szCs w:val="24"/>
                <w:highlight w:val="none"/>
              </w:rPr>
            </w:pPr>
            <w:r>
              <w:rPr>
                <w:rFonts w:hint="default" w:ascii="Times New Roman" w:hAnsi="Times New Roman" w:eastAsia="仿宋" w:cs="Times New Roman"/>
                <w:bCs/>
                <w:color w:val="auto"/>
                <w:kern w:val="2"/>
                <w:sz w:val="24"/>
                <w:szCs w:val="24"/>
                <w:highlight w:val="none"/>
              </w:rPr>
              <w:t>选址选线环境合理性分析</w:t>
            </w:r>
          </w:p>
        </w:tc>
        <w:tc>
          <w:tcPr>
            <w:tcW w:w="4630" w:type="pct"/>
            <w:noWrap w:val="0"/>
            <w:vAlign w:val="center"/>
          </w:tcPr>
          <w:p w14:paraId="43A37EE6">
            <w:pPr>
              <w:keepNext w:val="0"/>
              <w:keepLines w:val="0"/>
              <w:suppressLineNumbers w:val="0"/>
              <w:adjustRightInd w:val="0"/>
              <w:snapToGrid w:val="0"/>
              <w:spacing w:before="0" w:beforeAutospacing="0" w:after="0" w:afterAutospacing="0" w:line="360" w:lineRule="auto"/>
              <w:ind w:left="0" w:leftChars="0" w:right="0" w:rightChars="0" w:firstLine="0" w:firstLineChars="0"/>
              <w:jc w:val="both"/>
              <w:rPr>
                <w:rFonts w:hint="default" w:ascii="Times New Roman" w:hAnsi="Times New Roman" w:eastAsia="仿宋" w:cs="Times New Roman"/>
                <w:b/>
                <w:bCs w:val="0"/>
                <w:color w:val="auto"/>
                <w:sz w:val="24"/>
                <w:szCs w:val="24"/>
                <w:highlight w:val="none"/>
                <w:lang w:val="en-US" w:eastAsia="zh-CN"/>
              </w:rPr>
            </w:pPr>
            <w:r>
              <w:rPr>
                <w:rFonts w:hint="eastAsia" w:cs="Times New Roman"/>
                <w:b/>
                <w:bCs w:val="0"/>
                <w:color w:val="auto"/>
                <w:sz w:val="24"/>
                <w:szCs w:val="24"/>
                <w:highlight w:val="none"/>
                <w:lang w:val="en-US" w:eastAsia="zh-CN"/>
              </w:rPr>
              <w:t xml:space="preserve">4.5 </w:t>
            </w:r>
            <w:r>
              <w:rPr>
                <w:rFonts w:hint="default" w:ascii="Times New Roman" w:hAnsi="Times New Roman" w:eastAsia="仿宋" w:cs="Times New Roman"/>
                <w:b/>
                <w:bCs w:val="0"/>
                <w:color w:val="auto"/>
                <w:sz w:val="24"/>
                <w:szCs w:val="24"/>
                <w:highlight w:val="none"/>
                <w:lang w:val="en-US" w:eastAsia="zh-CN"/>
              </w:rPr>
              <w:t>工程选址合理性分析</w:t>
            </w:r>
          </w:p>
          <w:p w14:paraId="2DFDC43D">
            <w:pPr>
              <w:keepNext w:val="0"/>
              <w:keepLines w:val="0"/>
              <w:suppressLineNumbers w:val="0"/>
              <w:adjustRightInd w:val="0"/>
              <w:snapToGrid w:val="0"/>
              <w:spacing w:before="0" w:beforeAutospacing="0" w:after="0" w:afterAutospacing="0" w:line="360" w:lineRule="auto"/>
              <w:ind w:left="0" w:leftChars="0" w:right="0" w:rightChars="0" w:firstLine="480" w:firstLineChars="200"/>
              <w:jc w:val="both"/>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本项目太阳能水平总辐射量为</w:t>
            </w:r>
            <w:r>
              <w:rPr>
                <w:rFonts w:hint="default" w:ascii="Times New Roman" w:hAnsi="Times New Roman" w:eastAsia="仿宋" w:cs="Times New Roman"/>
                <w:color w:val="auto"/>
                <w:spacing w:val="-1"/>
                <w:sz w:val="24"/>
                <w:szCs w:val="24"/>
                <w:highlight w:val="none"/>
              </w:rPr>
              <w:t>5</w:t>
            </w:r>
            <w:r>
              <w:rPr>
                <w:rFonts w:hint="default" w:ascii="Times New Roman" w:hAnsi="Times New Roman" w:eastAsia="仿宋" w:cs="Times New Roman"/>
                <w:color w:val="auto"/>
                <w:spacing w:val="-1"/>
                <w:sz w:val="24"/>
                <w:szCs w:val="24"/>
                <w:highlight w:val="none"/>
                <w:lang w:val="en-US" w:eastAsia="zh-CN"/>
              </w:rPr>
              <w:t>449.8</w:t>
            </w:r>
            <w:r>
              <w:rPr>
                <w:rFonts w:hint="default" w:ascii="Times New Roman" w:hAnsi="Times New Roman" w:eastAsia="仿宋" w:cs="Times New Roman"/>
                <w:b w:val="0"/>
                <w:bCs/>
                <w:color w:val="auto"/>
                <w:sz w:val="24"/>
                <w:szCs w:val="24"/>
                <w:highlight w:val="none"/>
                <w:lang w:val="en-US" w:eastAsia="zh-CN"/>
              </w:rPr>
              <w:t>MJ/m</w:t>
            </w:r>
            <w:r>
              <w:rPr>
                <w:rFonts w:hint="default" w:ascii="Times New Roman" w:hAnsi="Times New Roman" w:eastAsia="仿宋" w:cs="Times New Roman"/>
                <w:b w:val="0"/>
                <w:bCs/>
                <w:color w:val="auto"/>
                <w:sz w:val="24"/>
                <w:szCs w:val="24"/>
                <w:highlight w:val="none"/>
                <w:vertAlign w:val="superscript"/>
                <w:lang w:val="en-US" w:eastAsia="zh-CN"/>
              </w:rPr>
              <w:t>2</w:t>
            </w:r>
            <w:r>
              <w:rPr>
                <w:rFonts w:hint="default" w:ascii="Times New Roman" w:hAnsi="Times New Roman" w:eastAsia="仿宋" w:cs="Times New Roman"/>
                <w:b w:val="0"/>
                <w:bCs/>
                <w:color w:val="auto"/>
                <w:sz w:val="24"/>
                <w:szCs w:val="24"/>
                <w:highlight w:val="none"/>
                <w:lang w:val="en-US" w:eastAsia="zh-CN"/>
              </w:rPr>
              <w:t>，太阳能资源达到很丰富等级，适合进行太阳能资源的开发利用。项目区地质稳定，无活动性断裂通过，地基承载力满足设计要求，适合于本项目光伏组件的布设。</w:t>
            </w:r>
          </w:p>
          <w:p w14:paraId="6C305881">
            <w:pPr>
              <w:keepNext w:val="0"/>
              <w:keepLines w:val="0"/>
              <w:suppressLineNumbers w:val="0"/>
              <w:bidi w:val="0"/>
              <w:spacing w:before="0" w:beforeAutospacing="0" w:after="0" w:afterAutospacing="0"/>
              <w:ind w:left="0" w:leftChars="0" w:right="0" w:firstLine="0" w:firstLineChars="0"/>
              <w:rPr>
                <w:rFonts w:hint="default" w:ascii="Times New Roman" w:hAnsi="Times New Roman" w:eastAsia="仿宋" w:cs="Times New Roman"/>
                <w:b/>
                <w:bCs w:val="0"/>
                <w:color w:val="auto"/>
                <w:szCs w:val="24"/>
                <w:highlight w:val="none"/>
                <w:lang w:val="en-US" w:eastAsia="zh-CN"/>
              </w:rPr>
            </w:pPr>
            <w:r>
              <w:rPr>
                <w:rFonts w:hint="eastAsia"/>
                <w:color w:val="auto"/>
                <w:highlight w:val="none"/>
                <w:lang w:val="en-US" w:eastAsia="zh-CN"/>
              </w:rPr>
              <w:t xml:space="preserve">4.5.1 </w:t>
            </w:r>
            <w:r>
              <w:rPr>
                <w:rFonts w:hint="default"/>
                <w:color w:val="auto"/>
                <w:highlight w:val="none"/>
                <w:lang w:val="en-US" w:eastAsia="zh-CN"/>
              </w:rPr>
              <w:t>环境合理性分析</w:t>
            </w:r>
          </w:p>
          <w:p w14:paraId="697E30BA">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（1）政府部门相关意见</w:t>
            </w:r>
          </w:p>
          <w:p w14:paraId="3E0FF4BE">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建设单位已取得了会泽县发展和改革局、会泽县林业和草原局、会泽县生态环境局、会泽县水务局、会泽县地震局、迤车镇人民政府、马路乡人民政府、纸厂乡人民政府关于迤车镇中寨村委会竹子箐光伏项目选址的意见，明确同意项目选址。</w:t>
            </w:r>
          </w:p>
          <w:p w14:paraId="714FFAE7">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（2）光伏区</w:t>
            </w:r>
            <w:r>
              <w:rPr>
                <w:rFonts w:hint="eastAsia"/>
                <w:color w:val="auto"/>
                <w:highlight w:val="none"/>
                <w:lang w:val="en-US" w:eastAsia="zh-CN"/>
              </w:rPr>
              <w:t>选址环境合理性分析</w:t>
            </w:r>
          </w:p>
          <w:p w14:paraId="7C336547">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根据项目《使用林地可行性报告》（云南绘山绘水林业规划设计有限公司，云林许准（曲）</w:t>
            </w:r>
            <w:r>
              <w:rPr>
                <w:rFonts w:hint="eastAsia"/>
                <w:color w:val="auto"/>
                <w:highlight w:val="none"/>
                <w:lang w:val="en-US" w:eastAsia="zh-CN"/>
              </w:rPr>
              <w:t>〔2025〕210号</w:t>
            </w:r>
            <w:r>
              <w:rPr>
                <w:rFonts w:hint="default"/>
                <w:color w:val="auto"/>
                <w:highlight w:val="none"/>
                <w:lang w:val="en-US" w:eastAsia="zh-CN"/>
              </w:rPr>
              <w:t>），本项目林地使用面积0.6056hm</w:t>
            </w:r>
            <w:r>
              <w:rPr>
                <w:rFonts w:hint="default"/>
                <w:color w:val="auto"/>
                <w:highlight w:val="none"/>
                <w:vertAlign w:val="superscript"/>
                <w:lang w:val="en-US" w:eastAsia="zh-CN"/>
              </w:rPr>
              <w:t>2</w:t>
            </w:r>
            <w:r>
              <w:rPr>
                <w:rFonts w:hint="default"/>
                <w:color w:val="auto"/>
                <w:highlight w:val="none"/>
                <w:lang w:val="en-US" w:eastAsia="zh-CN"/>
              </w:rPr>
              <w:t>，均为永久占地，光伏阵列等临时用地均为非林地。项目选址充分考虑了国家和云南省相关用地政策、规划、环保要求，项目选址避让了公益林、基本农田、天然林、疏林地、未成林造林地、采伐迹地、火烧迹地、覆盖度高于50%的灌木林地、耕地等，避让了自然保护区、水源保护区、生态保护红线、风景名胜区等环境敏感区，使用的土地类型为其他林地、裸岩石砾地、农村道路、其他草地、其他园地，区域年降雨量400毫米以上，灌木林覆盖度低于50%，为可供林地。项目占地区域无珍稀濒危动植物，用地区植被覆盖率较低，生态环境不敏感。</w:t>
            </w:r>
          </w:p>
          <w:p w14:paraId="5F7170C6">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本项目是太阳能光伏发电项目，</w:t>
            </w:r>
            <w:r>
              <w:rPr>
                <w:rFonts w:hint="eastAsia"/>
                <w:color w:val="auto"/>
                <w:highlight w:val="none"/>
                <w:lang w:val="en-US" w:eastAsia="zh-CN"/>
              </w:rPr>
              <w:t>属于</w:t>
            </w:r>
            <w:r>
              <w:rPr>
                <w:rFonts w:hint="default"/>
                <w:color w:val="auto"/>
                <w:highlight w:val="none"/>
                <w:lang w:val="en-US" w:eastAsia="zh-CN"/>
              </w:rPr>
              <w:t>清洁能源，主要污染为施工期生态影响、噪声影响、扬尘影响，在采取相应的措施后均能达到相应质量标准，对周围环境的影响是短暂的，随着施工的结束而消失。运营期主要影响为废水影响、固体废物影响、生态环境影响、环境风险等，本项目在采取本评价提出的各项污染防治对策措施和生态保护措施后，项目产生的环境影响均可得到有效控制，能够满足当地环境保护的要求，且不会改变当地的环境功能。</w:t>
            </w:r>
          </w:p>
          <w:p w14:paraId="051F34CD">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综上所述，本项目选址环境合理。</w:t>
            </w:r>
          </w:p>
          <w:p w14:paraId="3B9F41B5">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升压站</w:t>
            </w:r>
            <w:r>
              <w:rPr>
                <w:rFonts w:hint="eastAsia"/>
                <w:color w:val="auto"/>
                <w:highlight w:val="none"/>
                <w:lang w:val="en-US" w:eastAsia="zh-CN"/>
              </w:rPr>
              <w:t>选址环境合理性分析</w:t>
            </w:r>
          </w:p>
          <w:p w14:paraId="10F2DB55">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根据</w:t>
            </w:r>
            <w:r>
              <w:rPr>
                <w:rFonts w:hint="default"/>
                <w:color w:val="auto"/>
                <w:highlight w:val="none"/>
                <w:lang w:val="en-US" w:eastAsia="zh-CN"/>
              </w:rPr>
              <w:t>现场踏勘</w:t>
            </w:r>
            <w:r>
              <w:rPr>
                <w:rFonts w:hint="default"/>
                <w:color w:val="auto"/>
                <w:highlight w:val="none"/>
              </w:rPr>
              <w:t>，</w:t>
            </w:r>
            <w:r>
              <w:rPr>
                <w:rFonts w:hint="default"/>
                <w:color w:val="auto"/>
                <w:highlight w:val="none"/>
                <w:lang w:val="en-US" w:eastAsia="zh-CN"/>
              </w:rPr>
              <w:t>项目</w:t>
            </w:r>
            <w:r>
              <w:rPr>
                <w:rFonts w:hint="default"/>
                <w:color w:val="auto"/>
                <w:highlight w:val="none"/>
              </w:rPr>
              <w:t>220kV升压站场址位于项目</w:t>
            </w:r>
            <w:r>
              <w:rPr>
                <w:rFonts w:hint="default"/>
                <w:color w:val="auto"/>
                <w:highlight w:val="none"/>
                <w:lang w:val="en-US" w:eastAsia="zh-CN"/>
              </w:rPr>
              <w:t>28#光伏阵列中部。</w:t>
            </w:r>
            <w:r>
              <w:rPr>
                <w:rFonts w:hint="default"/>
                <w:color w:val="auto"/>
                <w:highlight w:val="none"/>
              </w:rPr>
              <w:t>升压站站址处地质条件相对较好，不存在山洪泥石流危害，该站址选址无比选方案，不存在用地制约。</w:t>
            </w:r>
          </w:p>
          <w:p w14:paraId="47019524">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经查证核实，本项目升压站不涉及自然保护区、风景名胜区、森林公园、饮用水水源保护区及生态保护红线等环境敏感区。工程选址与当地的土地利用规划不冲突。</w:t>
            </w:r>
          </w:p>
          <w:p w14:paraId="4FCB71E9">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升压站占地</w:t>
            </w:r>
            <w:r>
              <w:rPr>
                <w:rFonts w:hint="default"/>
                <w:color w:val="auto"/>
                <w:highlight w:val="none"/>
                <w:lang w:val="en-US" w:eastAsia="zh-CN"/>
              </w:rPr>
              <w:t>类型主要为灌草丛和裸地</w:t>
            </w:r>
            <w:r>
              <w:rPr>
                <w:rFonts w:hint="default"/>
                <w:color w:val="auto"/>
                <w:highlight w:val="none"/>
              </w:rPr>
              <w:t>，无国家和地方重点保护野生植物分布，项目建设对当地植物资源的数量及利用方式产生影响小。经调查，</w:t>
            </w:r>
            <w:r>
              <w:rPr>
                <w:rFonts w:hint="default"/>
                <w:color w:val="auto"/>
                <w:highlight w:val="none"/>
                <w:lang w:val="en-US" w:eastAsia="zh-CN"/>
              </w:rPr>
              <w:t>升压站周边</w:t>
            </w:r>
            <w:r>
              <w:rPr>
                <w:rFonts w:hint="eastAsia"/>
                <w:color w:val="auto"/>
                <w:highlight w:val="none"/>
                <w:lang w:val="en-US" w:eastAsia="zh-CN"/>
              </w:rPr>
              <w:t>200</w:t>
            </w:r>
            <w:r>
              <w:rPr>
                <w:rFonts w:hint="default"/>
                <w:color w:val="auto"/>
                <w:highlight w:val="none"/>
                <w:lang w:val="en-US" w:eastAsia="zh-CN"/>
              </w:rPr>
              <w:t>m范围内无居民点等环境敏感目标</w:t>
            </w:r>
            <w:r>
              <w:rPr>
                <w:rFonts w:hint="default"/>
                <w:color w:val="auto"/>
                <w:highlight w:val="none"/>
              </w:rPr>
              <w:t>。升压站区施工期生产生活废污水量较小，经处理后全部回用不外排，运行期生活污水经处理后全部回用不外排，对地表水环境影响小。</w:t>
            </w:r>
          </w:p>
          <w:p w14:paraId="37F9569F">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该站址从环境影响角度分析具有下列特点：a、升压站电磁评价范围内出线范围内无环境敏感目标分布，周站址</w:t>
            </w:r>
            <w:r>
              <w:rPr>
                <w:rFonts w:hint="default"/>
                <w:color w:val="auto"/>
                <w:highlight w:val="none"/>
                <w:lang w:val="en-US" w:eastAsia="zh-CN"/>
              </w:rPr>
              <w:t>周边无居民点</w:t>
            </w:r>
            <w:r>
              <w:rPr>
                <w:rFonts w:hint="default"/>
                <w:color w:val="auto"/>
                <w:highlight w:val="none"/>
              </w:rPr>
              <w:t>，升压站电磁对周边</w:t>
            </w:r>
            <w:r>
              <w:rPr>
                <w:rFonts w:hint="default"/>
                <w:color w:val="auto"/>
                <w:highlight w:val="none"/>
                <w:lang w:val="en-US" w:eastAsia="zh-CN"/>
              </w:rPr>
              <w:t>环境</w:t>
            </w:r>
            <w:r>
              <w:rPr>
                <w:rFonts w:hint="default"/>
                <w:color w:val="auto"/>
                <w:highlight w:val="none"/>
              </w:rPr>
              <w:t>影响较小；结合厂界噪声预测达标的结果，升压站运行噪声对周围</w:t>
            </w:r>
            <w:r>
              <w:rPr>
                <w:rFonts w:hint="default"/>
                <w:color w:val="auto"/>
                <w:highlight w:val="none"/>
                <w:lang w:val="en-US" w:eastAsia="zh-CN"/>
              </w:rPr>
              <w:t>环境</w:t>
            </w:r>
            <w:r>
              <w:rPr>
                <w:rFonts w:hint="default"/>
                <w:color w:val="auto"/>
                <w:highlight w:val="none"/>
              </w:rPr>
              <w:t>影响不大；b、站址不涉及声环境0类功能区；c、通过预测分析，升压站投运后产生的电磁环境和声环境影响均满足相应评价标准要求；d、符合《输变电建设项目环境保护技术要求》（HJ1113-2020）的要求。</w:t>
            </w:r>
          </w:p>
          <w:p w14:paraId="30976FD5">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从环境制约因素和环境影响程度分析，该升压站站址选址合理。</w:t>
            </w:r>
          </w:p>
          <w:p w14:paraId="444C3356">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lang w:val="en-US" w:eastAsia="zh-CN"/>
              </w:rPr>
              <w:t>升压站平面布局环境合理性分析</w:t>
            </w:r>
          </w:p>
          <w:p w14:paraId="504A5C7E">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本项目升压站选址呈南北长东西短的矩形，矩形自北向南分别设置为生产区和办公生活区。生产区内设置有站用变、2台主变、配电室、继保室、主变事故油池和危险废物贮存库；办公生活区设置有办公生活楼、消防一体化设备和污水处理站。</w:t>
            </w:r>
          </w:p>
          <w:p w14:paraId="7615DC38">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升压站选址位于山坡处，西高东低，坡度较大。升压站西侧利用山体地面承重主变等大质量设备。东侧则构建架空层，架空层上方设置配电室、继保室、危险废物贮存库、办公区综合楼等小质量建构筑物。架空层下方则设置事故油池、消防一体化平台、污水处理站等池体构筑物。升压站平面布局可减少池体开挖，各池体位于架空层修建也能够保证污水、废油自流进入对应池体。一旦发生废水、废油泄漏事故，池体或管道维修难度、成本和时间消耗也相对较少。</w:t>
            </w:r>
          </w:p>
          <w:p w14:paraId="48730DE3">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升压站主变位于生产区中部西侧。经分析，升压站设备噪声满足《工业企业厂界环境噪声排放标准》（GB12348-2008）中1类标准。</w:t>
            </w:r>
          </w:p>
          <w:p w14:paraId="6585FD8C">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rPr>
              <w:t>从环境影响程度分析，该升压站</w:t>
            </w:r>
            <w:r>
              <w:rPr>
                <w:rFonts w:hint="eastAsia"/>
                <w:color w:val="auto"/>
                <w:highlight w:val="none"/>
                <w:lang w:val="en-US" w:eastAsia="zh-CN"/>
              </w:rPr>
              <w:t>平面布局</w:t>
            </w:r>
            <w:r>
              <w:rPr>
                <w:rFonts w:hint="default"/>
                <w:color w:val="auto"/>
                <w:highlight w:val="none"/>
              </w:rPr>
              <w:t>合理。</w:t>
            </w:r>
          </w:p>
          <w:p w14:paraId="7C194B6B">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）临时工程选址</w:t>
            </w:r>
            <w:r>
              <w:rPr>
                <w:rFonts w:hint="eastAsia"/>
                <w:color w:val="auto"/>
                <w:highlight w:val="none"/>
                <w:lang w:val="en-US" w:eastAsia="zh-CN"/>
              </w:rPr>
              <w:t>环境</w:t>
            </w:r>
            <w:r>
              <w:rPr>
                <w:rFonts w:hint="default"/>
                <w:color w:val="auto"/>
                <w:highlight w:val="none"/>
                <w:lang w:val="en-US" w:eastAsia="zh-CN"/>
              </w:rPr>
              <w:t>合理性分析</w:t>
            </w:r>
          </w:p>
          <w:p w14:paraId="1E8DA8E1">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施工期间办公生活均采用在周边乡镇租用临时办公点的方式，施工人员不在项目区食宿；施工期间本项目建设过程中涉及的设备、组件等进行分批次运输，单次运输量较小，仅在光伏阵列区施工临时场地露天堆放，不对场地进行硬化，单次运输组件安装完毕后方进行下一批次组件的运输，不会长期堆放。</w:t>
            </w:r>
          </w:p>
          <w:p w14:paraId="503AFF70">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本项目不单独设置石料场及砂场；不设置专门取土场；施工期挖填平衡，不产生弃渣，不设置弃渣场</w:t>
            </w:r>
            <w:r>
              <w:rPr>
                <w:rFonts w:hint="eastAsia"/>
                <w:color w:val="auto"/>
                <w:highlight w:val="none"/>
                <w:lang w:val="en-US" w:eastAsia="zh-CN"/>
              </w:rPr>
              <w:t>；</w:t>
            </w:r>
            <w:r>
              <w:rPr>
                <w:rFonts w:hint="default"/>
                <w:color w:val="auto"/>
                <w:highlight w:val="none"/>
                <w:lang w:val="en-US" w:eastAsia="zh-CN"/>
              </w:rPr>
              <w:t>表土均堆存于光伏发电区用地内</w:t>
            </w:r>
            <w:r>
              <w:rPr>
                <w:rFonts w:hint="eastAsia"/>
                <w:color w:val="auto"/>
                <w:highlight w:val="none"/>
                <w:lang w:val="en-US" w:eastAsia="zh-CN"/>
              </w:rPr>
              <w:t>；施工场地均设置在光伏方阵用地范围内，不额外占地；项目不设置临时牵张场、跨越场和塔基施工营地，牵张设备在塔基附近道路上临时布置，不额外占地。</w:t>
            </w:r>
          </w:p>
          <w:p w14:paraId="7FFE95FB">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本项目</w:t>
            </w:r>
            <w:r>
              <w:rPr>
                <w:rFonts w:hint="default"/>
                <w:color w:val="auto"/>
                <w:highlight w:val="none"/>
                <w:lang w:val="en-US" w:eastAsia="zh-CN"/>
              </w:rPr>
              <w:t>光伏片区新建、改扩建进场道路共36.48km，改扩建道路25.64km，新建场内道路10.84km。改扩建道路及新建施工道路路面宽4.0m，路基宽4.5m，泥结碎石路面；</w:t>
            </w:r>
            <w:r>
              <w:rPr>
                <w:rFonts w:hint="default"/>
                <w:color w:val="auto"/>
                <w:highlight w:val="none"/>
              </w:rPr>
              <w:t>本项目道路工程从环境影响角度分析具有以下特点：</w:t>
            </w:r>
          </w:p>
          <w:p w14:paraId="19123B09">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①进场道路</w:t>
            </w:r>
            <w:r>
              <w:rPr>
                <w:rFonts w:hint="default"/>
                <w:color w:val="auto"/>
                <w:highlight w:val="none"/>
                <w:lang w:val="en-US" w:eastAsia="zh-CN"/>
              </w:rPr>
              <w:t>尽可能</w:t>
            </w:r>
            <w:r>
              <w:rPr>
                <w:rFonts w:hint="default"/>
                <w:color w:val="auto"/>
                <w:highlight w:val="none"/>
              </w:rPr>
              <w:t>依托既有道路，场内道路尽量利用既有道路，对局部不满足运输要求的进行改扩建，并尽量避让植被较好区域，减少对植被的破坏；</w:t>
            </w:r>
          </w:p>
          <w:p w14:paraId="614426B0">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②场内道路两侧根据需要设置排水沟、沉淀池等水土保持措施，有利于减少水土流失影响；</w:t>
            </w:r>
          </w:p>
          <w:p w14:paraId="700D5B1E">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③场内道路采用</w:t>
            </w:r>
            <w:r>
              <w:rPr>
                <w:rFonts w:hint="default"/>
                <w:color w:val="auto"/>
                <w:highlight w:val="none"/>
                <w:lang w:val="en-US" w:eastAsia="zh-CN"/>
              </w:rPr>
              <w:t>山皮石</w:t>
            </w:r>
            <w:r>
              <w:rPr>
                <w:rFonts w:hint="default"/>
                <w:color w:val="auto"/>
                <w:highlight w:val="none"/>
              </w:rPr>
              <w:t>路面，有利于减少车辆运输产生的扬尘影响。</w:t>
            </w:r>
          </w:p>
          <w:p w14:paraId="387ACEF2">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因此，</w:t>
            </w:r>
            <w:r>
              <w:rPr>
                <w:rFonts w:hint="default"/>
                <w:color w:val="auto"/>
                <w:highlight w:val="none"/>
              </w:rPr>
              <w:t>本项目进场道路和场内道路设置合理。</w:t>
            </w:r>
          </w:p>
          <w:p w14:paraId="19412BE5">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6</w:t>
            </w:r>
            <w:r>
              <w:rPr>
                <w:rFonts w:hint="default"/>
                <w:color w:val="auto"/>
                <w:highlight w:val="none"/>
                <w:lang w:val="en-US" w:eastAsia="zh-CN"/>
              </w:rPr>
              <w:t>）项目集电线路选址符合性分析</w:t>
            </w:r>
          </w:p>
          <w:p w14:paraId="6A2FC5F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highlight w:val="none"/>
                <w:lang w:bidi="ar"/>
              </w:rPr>
            </w:pPr>
            <w:r>
              <w:rPr>
                <w:rFonts w:hint="default" w:ascii="Times New Roman" w:hAnsi="Times New Roman" w:eastAsia="仿宋" w:cs="Times New Roman"/>
                <w:b w:val="0"/>
                <w:bCs/>
                <w:color w:val="auto"/>
                <w:kern w:val="0"/>
                <w:sz w:val="24"/>
                <w:highlight w:val="none"/>
                <w:lang w:bidi="ar"/>
              </w:rPr>
              <w:t>1、不可避让分析</w:t>
            </w:r>
          </w:p>
          <w:p w14:paraId="66C9FA8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highlight w:val="none"/>
                <w:lang w:bidi="ar"/>
              </w:rPr>
            </w:pPr>
            <w:r>
              <w:rPr>
                <w:rFonts w:hint="default" w:ascii="Times New Roman" w:hAnsi="Times New Roman" w:eastAsia="仿宋" w:cs="Times New Roman"/>
                <w:b w:val="0"/>
                <w:bCs/>
                <w:color w:val="auto"/>
                <w:kern w:val="0"/>
                <w:sz w:val="24"/>
                <w:highlight w:val="none"/>
                <w:lang w:bidi="ar"/>
              </w:rPr>
              <w:t>本项目涉及的</w:t>
            </w:r>
            <w:r>
              <w:rPr>
                <w:rFonts w:hint="eastAsia" w:cs="Times New Roman"/>
                <w:b w:val="0"/>
                <w:bCs/>
                <w:color w:val="auto"/>
                <w:kern w:val="0"/>
                <w:sz w:val="24"/>
                <w:highlight w:val="none"/>
                <w:lang w:eastAsia="zh-CN" w:bidi="ar"/>
              </w:rPr>
              <w:t>生态保护红线</w:t>
            </w:r>
            <w:r>
              <w:rPr>
                <w:rFonts w:hint="default" w:ascii="Times New Roman" w:hAnsi="Times New Roman" w:eastAsia="仿宋" w:cs="Times New Roman"/>
                <w:b w:val="0"/>
                <w:bCs/>
                <w:color w:val="auto"/>
                <w:kern w:val="0"/>
                <w:sz w:val="24"/>
                <w:highlight w:val="none"/>
                <w:lang w:bidi="ar"/>
              </w:rPr>
              <w:t>为：“</w:t>
            </w:r>
            <w:r>
              <w:rPr>
                <w:rFonts w:hint="default" w:ascii="Times New Roman" w:hAnsi="Times New Roman" w:eastAsia="仿宋" w:cs="Times New Roman"/>
                <w:snapToGrid w:val="0"/>
                <w:color w:val="auto"/>
                <w:kern w:val="0"/>
                <w:sz w:val="24"/>
                <w:szCs w:val="24"/>
                <w:highlight w:val="none"/>
                <w:lang w:val="en-US" w:eastAsia="zh-CN"/>
              </w:rPr>
              <w:t>金沙江下游—小江流域水土流失控制生态保护红线</w:t>
            </w:r>
            <w:r>
              <w:rPr>
                <w:rFonts w:hint="default" w:ascii="Times New Roman" w:hAnsi="Times New Roman" w:eastAsia="仿宋" w:cs="Times New Roman"/>
                <w:b w:val="0"/>
                <w:bCs/>
                <w:color w:val="auto"/>
                <w:kern w:val="0"/>
                <w:sz w:val="24"/>
                <w:highlight w:val="none"/>
                <w:lang w:bidi="ar"/>
              </w:rPr>
              <w:t>”红线类型：</w:t>
            </w:r>
            <w:r>
              <w:rPr>
                <w:rFonts w:hint="eastAsia" w:cs="Times New Roman"/>
                <w:b w:val="0"/>
                <w:bCs/>
                <w:color w:val="auto"/>
                <w:kern w:val="0"/>
                <w:sz w:val="24"/>
                <w:highlight w:val="none"/>
                <w:lang w:val="en-US" w:eastAsia="zh-CN" w:bidi="ar"/>
              </w:rPr>
              <w:t>水土流失控制</w:t>
            </w:r>
            <w:r>
              <w:rPr>
                <w:rFonts w:hint="default" w:ascii="Times New Roman" w:hAnsi="Times New Roman" w:eastAsia="仿宋" w:cs="Times New Roman"/>
                <w:b w:val="0"/>
                <w:bCs/>
                <w:color w:val="auto"/>
                <w:kern w:val="0"/>
                <w:sz w:val="24"/>
                <w:highlight w:val="none"/>
                <w:lang w:bidi="ar"/>
              </w:rPr>
              <w:t>。经</w:t>
            </w:r>
            <w:r>
              <w:rPr>
                <w:rFonts w:hint="eastAsia" w:cs="Times New Roman"/>
                <w:b w:val="0"/>
                <w:bCs/>
                <w:color w:val="auto"/>
                <w:kern w:val="0"/>
                <w:sz w:val="24"/>
                <w:highlight w:val="none"/>
                <w:lang w:val="en-US" w:eastAsia="zh-CN" w:bidi="ar"/>
              </w:rPr>
              <w:t>会泽</w:t>
            </w:r>
            <w:r>
              <w:rPr>
                <w:rFonts w:hint="default" w:ascii="Times New Roman" w:hAnsi="Times New Roman" w:eastAsia="仿宋" w:cs="Times New Roman"/>
                <w:b w:val="0"/>
                <w:bCs/>
                <w:color w:val="auto"/>
                <w:kern w:val="0"/>
                <w:sz w:val="24"/>
                <w:highlight w:val="none"/>
                <w:lang w:bidi="ar"/>
              </w:rPr>
              <w:t>县自然资源局确认，本项目不占用</w:t>
            </w:r>
            <w:r>
              <w:rPr>
                <w:rFonts w:hint="eastAsia" w:cs="Times New Roman"/>
                <w:b w:val="0"/>
                <w:bCs/>
                <w:color w:val="auto"/>
                <w:kern w:val="0"/>
                <w:sz w:val="24"/>
                <w:highlight w:val="none"/>
                <w:lang w:eastAsia="zh-CN" w:bidi="ar"/>
              </w:rPr>
              <w:t>生态保护红线</w:t>
            </w:r>
            <w:r>
              <w:rPr>
                <w:rFonts w:hint="default" w:ascii="Times New Roman" w:hAnsi="Times New Roman" w:eastAsia="仿宋" w:cs="Times New Roman"/>
                <w:b w:val="0"/>
                <w:bCs/>
                <w:color w:val="auto"/>
                <w:kern w:val="0"/>
                <w:sz w:val="24"/>
                <w:highlight w:val="none"/>
                <w:lang w:bidi="ar"/>
              </w:rPr>
              <w:t>区域。</w:t>
            </w:r>
          </w:p>
          <w:p w14:paraId="0381C09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highlight w:val="none"/>
                <w:lang w:bidi="ar"/>
              </w:rPr>
            </w:pPr>
            <w:r>
              <w:rPr>
                <w:rFonts w:hint="default" w:ascii="Times New Roman" w:hAnsi="Times New Roman" w:eastAsia="仿宋" w:cs="Times New Roman"/>
                <w:b w:val="0"/>
                <w:bCs/>
                <w:color w:val="auto"/>
                <w:kern w:val="0"/>
                <w:sz w:val="24"/>
                <w:highlight w:val="none"/>
                <w:lang w:bidi="ar"/>
              </w:rPr>
              <w:t>①项目建设的必要性</w:t>
            </w:r>
          </w:p>
          <w:p w14:paraId="772D7D5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highlight w:val="none"/>
                <w:lang w:bidi="ar"/>
              </w:rPr>
            </w:pPr>
            <w:r>
              <w:rPr>
                <w:rFonts w:hint="default" w:ascii="Times New Roman" w:hAnsi="Times New Roman" w:eastAsia="仿宋" w:cs="Times New Roman"/>
                <w:b w:val="0"/>
                <w:bCs/>
                <w:color w:val="auto"/>
                <w:kern w:val="0"/>
                <w:sz w:val="24"/>
                <w:highlight w:val="none"/>
                <w:lang w:bidi="ar"/>
              </w:rPr>
              <w:t>本项目的建设主要为</w:t>
            </w:r>
            <w:r>
              <w:rPr>
                <w:rFonts w:hint="eastAsia" w:cs="Times New Roman"/>
                <w:b w:val="0"/>
                <w:bCs/>
                <w:color w:val="auto"/>
                <w:kern w:val="0"/>
                <w:sz w:val="24"/>
                <w:highlight w:val="none"/>
                <w:lang w:val="en-US" w:eastAsia="zh-CN" w:bidi="ar"/>
              </w:rPr>
              <w:t>会泽县</w:t>
            </w:r>
            <w:r>
              <w:rPr>
                <w:rFonts w:hint="default" w:ascii="Times New Roman" w:hAnsi="Times New Roman" w:eastAsia="仿宋" w:cs="Times New Roman"/>
                <w:b w:val="0"/>
                <w:bCs/>
                <w:color w:val="auto"/>
                <w:kern w:val="0"/>
                <w:sz w:val="24"/>
                <w:highlight w:val="none"/>
                <w:lang w:bidi="ar"/>
              </w:rPr>
              <w:t>光伏产业发展需求，提高</w:t>
            </w:r>
            <w:r>
              <w:rPr>
                <w:rFonts w:hint="eastAsia" w:cs="Times New Roman"/>
                <w:b w:val="0"/>
                <w:bCs/>
                <w:color w:val="auto"/>
                <w:kern w:val="0"/>
                <w:sz w:val="24"/>
                <w:highlight w:val="none"/>
                <w:lang w:val="en-US" w:eastAsia="zh-CN" w:bidi="ar"/>
              </w:rPr>
              <w:t>当地</w:t>
            </w:r>
            <w:r>
              <w:rPr>
                <w:rFonts w:hint="default" w:ascii="Times New Roman" w:hAnsi="Times New Roman" w:eastAsia="仿宋" w:cs="Times New Roman"/>
                <w:b w:val="0"/>
                <w:bCs/>
                <w:color w:val="auto"/>
                <w:kern w:val="0"/>
                <w:sz w:val="24"/>
                <w:highlight w:val="none"/>
                <w:lang w:bidi="ar"/>
              </w:rPr>
              <w:t>电网供电可靠性，改善片区电网结构，为</w:t>
            </w:r>
            <w:r>
              <w:rPr>
                <w:rFonts w:hint="eastAsia" w:cs="Times New Roman"/>
                <w:b w:val="0"/>
                <w:bCs/>
                <w:color w:val="auto"/>
                <w:kern w:val="0"/>
                <w:sz w:val="24"/>
                <w:highlight w:val="none"/>
                <w:lang w:val="en-US" w:eastAsia="zh-CN" w:bidi="ar"/>
              </w:rPr>
              <w:t>会泽县</w:t>
            </w:r>
            <w:r>
              <w:rPr>
                <w:rFonts w:hint="default" w:ascii="Times New Roman" w:hAnsi="Times New Roman" w:eastAsia="仿宋" w:cs="Times New Roman"/>
                <w:b w:val="0"/>
                <w:bCs/>
                <w:color w:val="auto"/>
                <w:kern w:val="0"/>
                <w:sz w:val="24"/>
                <w:highlight w:val="none"/>
                <w:lang w:bidi="ar"/>
              </w:rPr>
              <w:t>规划新能源提供接入点，提高</w:t>
            </w:r>
            <w:r>
              <w:rPr>
                <w:rFonts w:hint="eastAsia" w:cs="Times New Roman"/>
                <w:b w:val="0"/>
                <w:bCs/>
                <w:color w:val="auto"/>
                <w:kern w:val="0"/>
                <w:sz w:val="24"/>
                <w:highlight w:val="none"/>
                <w:lang w:val="en-US" w:eastAsia="zh-CN" w:bidi="ar"/>
              </w:rPr>
              <w:t>会泽县</w:t>
            </w:r>
            <w:r>
              <w:rPr>
                <w:rFonts w:hint="default" w:ascii="Times New Roman" w:hAnsi="Times New Roman" w:eastAsia="仿宋" w:cs="Times New Roman"/>
                <w:b w:val="0"/>
                <w:bCs/>
                <w:color w:val="auto"/>
                <w:kern w:val="0"/>
                <w:sz w:val="24"/>
                <w:highlight w:val="none"/>
                <w:lang w:bidi="ar"/>
              </w:rPr>
              <w:t>供电区域的供电可靠性和供电能力，本项目的建设是十分必要的。</w:t>
            </w:r>
          </w:p>
          <w:p w14:paraId="4970BEF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highlight w:val="none"/>
                <w:lang w:bidi="ar"/>
              </w:rPr>
            </w:pPr>
            <w:r>
              <w:rPr>
                <w:rFonts w:hint="default" w:ascii="Times New Roman" w:hAnsi="Times New Roman" w:eastAsia="仿宋" w:cs="Times New Roman"/>
                <w:b w:val="0"/>
                <w:bCs/>
                <w:color w:val="auto"/>
                <w:kern w:val="0"/>
                <w:sz w:val="24"/>
                <w:highlight w:val="none"/>
                <w:lang w:bidi="ar"/>
              </w:rPr>
              <w:t>②选线过程中对生态保护红线的避让情况</w:t>
            </w:r>
          </w:p>
          <w:p w14:paraId="4CA67E1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val="0"/>
                <w:bCs/>
                <w:color w:val="auto"/>
                <w:kern w:val="0"/>
                <w:sz w:val="24"/>
                <w:highlight w:val="none"/>
                <w:lang w:bidi="ar"/>
              </w:rPr>
            </w:pPr>
            <w:r>
              <w:rPr>
                <w:rFonts w:hint="default" w:ascii="Times New Roman" w:hAnsi="Times New Roman" w:eastAsia="仿宋" w:cs="Times New Roman"/>
                <w:b w:val="0"/>
                <w:bCs/>
                <w:color w:val="auto"/>
                <w:kern w:val="0"/>
                <w:sz w:val="24"/>
                <w:highlight w:val="none"/>
                <w:lang w:bidi="ar"/>
              </w:rPr>
              <w:t>建设单位和设计单位按照路径选择基本原则，在技术经济可行条件下，拟定了本项目线路路径方案，受周边生态保护红线范围、基本农田范围、已建电力线路、线路通道紧张的影响，已尽可能对生态保护红线进行避让。本项目线路路径无法完全避让生态保护红线。</w:t>
            </w:r>
          </w:p>
          <w:p w14:paraId="097D49C4">
            <w:pPr>
              <w:keepNext w:val="0"/>
              <w:keepLines w:val="0"/>
              <w:suppressLineNumbers w:val="0"/>
              <w:spacing w:before="0" w:beforeAutospacing="0" w:after="0" w:afterAutospacing="0" w:line="360" w:lineRule="auto"/>
              <w:ind w:left="0" w:right="0" w:firstLine="480" w:firstLineChars="200"/>
              <w:rPr>
                <w:rFonts w:hint="eastAsia" w:cs="Times New Roman"/>
                <w:b w:val="0"/>
                <w:bCs/>
                <w:color w:val="auto"/>
                <w:sz w:val="24"/>
                <w:highlight w:val="none"/>
                <w:lang w:val="en-US" w:eastAsia="zh-CN"/>
              </w:rPr>
            </w:pPr>
            <w:r>
              <w:rPr>
                <w:rFonts w:hint="eastAsia" w:cs="Times New Roman"/>
                <w:b w:val="0"/>
                <w:bCs/>
                <w:color w:val="auto"/>
                <w:sz w:val="24"/>
                <w:highlight w:val="none"/>
                <w:lang w:val="en-US" w:eastAsia="zh-CN"/>
              </w:rPr>
              <w:t>③线路跨越生态保护红线的环境影响</w:t>
            </w:r>
          </w:p>
          <w:p w14:paraId="76834980">
            <w:pPr>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工程塔基毗邻生态保护红线段植被以云南松林为主，本项目占地区不占用生态保护红线，项目建设不会造成沿线生态保护红线植被面积的直接减少，生态保护红线范围内以针叶林生态系统为优势的现状不会发生改变，现有植物群落的物种组成也不会发生改变，生态系统的功能和其中的生态关系将基本维持不变。</w:t>
            </w:r>
          </w:p>
          <w:p w14:paraId="6342C8F9">
            <w:pPr>
              <w:keepNext w:val="0"/>
              <w:keepLines w:val="0"/>
              <w:suppressLineNumbers w:val="0"/>
              <w:spacing w:before="0" w:beforeAutospacing="0" w:after="0" w:afterAutospacing="0" w:line="360" w:lineRule="auto"/>
              <w:ind w:left="0" w:right="0" w:firstLine="480" w:firstLineChars="200"/>
              <w:rPr>
                <w:rFonts w:hint="default" w:cs="Times New Roman"/>
                <w:b w:val="0"/>
                <w:bCs/>
                <w:color w:val="auto"/>
                <w:sz w:val="24"/>
                <w:highlight w:val="none"/>
                <w:lang w:val="en-US" w:eastAsia="zh-CN"/>
              </w:rPr>
            </w:pPr>
            <w:r>
              <w:rPr>
                <w:rFonts w:hint="default" w:ascii="Times New Roman" w:hAnsi="Times New Roman" w:eastAsia="仿宋" w:cs="Times New Roman"/>
                <w:color w:val="auto"/>
                <w:sz w:val="24"/>
                <w:szCs w:val="24"/>
                <w:highlight w:val="none"/>
                <w:lang w:eastAsia="zh-CN"/>
              </w:rPr>
              <w:t>项目建设不会导致对沿线的生态保护红线形成切割，也不会改变该生态保护红线斑块整体的性质和功能。总体而言，本项目建设不会导致项目地生态保护红线面积减少、功能降低、性质改变，故而本项目</w:t>
            </w:r>
            <w:r>
              <w:rPr>
                <w:rFonts w:hint="eastAsia" w:cs="Times New Roman"/>
                <w:color w:val="auto"/>
                <w:sz w:val="24"/>
                <w:szCs w:val="24"/>
                <w:highlight w:val="none"/>
                <w:lang w:val="en-US" w:eastAsia="zh-CN"/>
              </w:rPr>
              <w:t>架空线路</w:t>
            </w:r>
            <w:r>
              <w:rPr>
                <w:rFonts w:hint="default" w:ascii="Times New Roman" w:hAnsi="Times New Roman" w:eastAsia="仿宋" w:cs="Times New Roman"/>
                <w:color w:val="auto"/>
                <w:sz w:val="24"/>
                <w:szCs w:val="24"/>
                <w:highlight w:val="none"/>
                <w:lang w:eastAsia="zh-CN"/>
              </w:rPr>
              <w:t>对生态保护红线的影响较小。</w:t>
            </w:r>
          </w:p>
          <w:p w14:paraId="08F7147D">
            <w:pPr>
              <w:keepNext w:val="0"/>
              <w:keepLines w:val="0"/>
              <w:suppressLineNumbers w:val="0"/>
              <w:spacing w:before="0" w:beforeAutospacing="0" w:after="0" w:afterAutospacing="0" w:line="360" w:lineRule="auto"/>
              <w:ind w:left="0" w:right="0" w:firstLine="480" w:firstLineChars="200"/>
              <w:rPr>
                <w:rFonts w:hint="eastAsia" w:cs="Times New Roman"/>
                <w:b w:val="0"/>
                <w:bCs/>
                <w:color w:val="auto"/>
                <w:sz w:val="24"/>
                <w:highlight w:val="none"/>
                <w:lang w:val="en-US" w:eastAsia="zh-CN"/>
              </w:rPr>
            </w:pPr>
            <w:r>
              <w:rPr>
                <w:rFonts w:hint="eastAsia" w:cs="Times New Roman"/>
                <w:b w:val="0"/>
                <w:bCs/>
                <w:color w:val="auto"/>
                <w:sz w:val="24"/>
                <w:highlight w:val="none"/>
                <w:lang w:val="en-US" w:eastAsia="zh-CN"/>
              </w:rPr>
              <w:t>④与生态保护红线相关政策相符性</w:t>
            </w:r>
          </w:p>
          <w:p w14:paraId="272F473C">
            <w:pPr>
              <w:keepNext w:val="0"/>
              <w:keepLines w:val="0"/>
              <w:suppressLineNumbers w:val="0"/>
              <w:spacing w:before="0" w:beforeAutospacing="0" w:after="0" w:afterAutospacing="0" w:line="360" w:lineRule="auto"/>
              <w:ind w:left="0" w:right="0" w:firstLine="480" w:firstLineChars="200"/>
              <w:rPr>
                <w:rFonts w:hint="default" w:cs="Times New Roman"/>
                <w:b w:val="0"/>
                <w:bCs/>
                <w:color w:val="auto"/>
                <w:sz w:val="24"/>
                <w:highlight w:val="none"/>
                <w:lang w:val="en-US" w:eastAsia="zh-CN"/>
              </w:rPr>
            </w:pPr>
            <w:r>
              <w:rPr>
                <w:rFonts w:hint="eastAsia" w:cs="Times New Roman"/>
                <w:b w:val="0"/>
                <w:bCs/>
                <w:color w:val="auto"/>
                <w:sz w:val="24"/>
                <w:highlight w:val="none"/>
                <w:lang w:val="en-US" w:eastAsia="zh-CN"/>
              </w:rPr>
              <w:t>经分析，本项目符合《关于以改善环境质量为核心加强环境影响评价管理的通知》（环评〔2016〕150号）、《关于生态环境领域进一步深化“放管服”改革，推动经济高质量发展的指导意见》（环规财〔2018〕86号）、《关于在国土空间规划中统筹划定落实三条控制线的指导意见》（国务院公报〔2019〕32号）、《关于加强生态保护红线管理的通知（试行）》（自然资发〔2022〕142号）等相关政策。</w:t>
            </w:r>
          </w:p>
          <w:p w14:paraId="7B527B24">
            <w:pPr>
              <w:keepNext w:val="0"/>
              <w:keepLines w:val="0"/>
              <w:suppressLineNumbers w:val="0"/>
              <w:adjustRightInd w:val="0"/>
              <w:snapToGrid w:val="0"/>
              <w:spacing w:before="0" w:beforeAutospacing="0" w:after="0" w:afterAutospacing="0" w:line="360" w:lineRule="auto"/>
              <w:ind w:left="0" w:leftChars="0" w:right="0" w:rightChars="0" w:firstLine="480" w:firstLineChars="200"/>
              <w:jc w:val="both"/>
              <w:rPr>
                <w:rFonts w:hint="default" w:ascii="Times New Roman" w:hAnsi="Times New Roman" w:eastAsia="仿宋" w:cs="Times New Roman"/>
                <w:b w:val="0"/>
                <w:bCs/>
                <w:color w:val="auto"/>
                <w:sz w:val="24"/>
                <w:szCs w:val="24"/>
                <w:highlight w:val="none"/>
                <w:lang w:eastAsia="zh-CN"/>
              </w:rPr>
            </w:pPr>
            <w:r>
              <w:rPr>
                <w:rFonts w:hint="default" w:ascii="Times New Roman" w:hAnsi="Times New Roman" w:eastAsia="仿宋" w:cs="Times New Roman"/>
                <w:b w:val="0"/>
                <w:bCs/>
                <w:color w:val="auto"/>
                <w:kern w:val="0"/>
                <w:sz w:val="24"/>
                <w:highlight w:val="none"/>
                <w:lang w:bidi="ar"/>
              </w:rPr>
              <w:t>从环境制约因素和环境影响程度分析，本项目集电线路走向选择合理。</w:t>
            </w:r>
          </w:p>
        </w:tc>
      </w:tr>
    </w:tbl>
    <w:p w14:paraId="7EEC641E">
      <w:pPr>
        <w:adjustRightInd w:val="0"/>
        <w:snapToGrid w:val="0"/>
        <w:spacing w:before="0" w:beforeAutospacing="0" w:after="0" w:afterAutospacing="0"/>
        <w:jc w:val="center"/>
        <w:rPr>
          <w:rFonts w:hint="default" w:ascii="Times New Roman" w:hAnsi="Times New Roman" w:eastAsia="仿宋" w:cs="Times New Roman"/>
          <w:bCs/>
          <w:color w:val="auto"/>
          <w:spacing w:val="10"/>
          <w:kern w:val="2"/>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230AFAA0">
      <w:pPr>
        <w:jc w:val="center"/>
        <w:outlineLvl w:val="0"/>
        <w:rPr>
          <w:rFonts w:hint="default" w:ascii="Times New Roman" w:hAnsi="Times New Roman" w:eastAsia="仿宋" w:cs="Times New Roman"/>
          <w:snapToGrid w:val="0"/>
          <w:color w:val="auto"/>
          <w:sz w:val="30"/>
          <w:szCs w:val="30"/>
          <w:highlight w:val="none"/>
        </w:rPr>
      </w:pPr>
      <w:bookmarkStart w:id="17" w:name="_Toc5768"/>
      <w:r>
        <w:rPr>
          <w:rFonts w:hint="default" w:ascii="Times New Roman" w:hAnsi="Times New Roman" w:eastAsia="仿宋" w:cs="Times New Roman"/>
          <w:snapToGrid w:val="0"/>
          <w:color w:val="auto"/>
          <w:sz w:val="30"/>
          <w:szCs w:val="30"/>
          <w:highlight w:val="none"/>
        </w:rPr>
        <w:t>五、主要生态环境保护措施</w:t>
      </w:r>
      <w:bookmarkEnd w:id="17"/>
    </w:p>
    <w:tbl>
      <w:tblPr>
        <w:tblStyle w:val="10"/>
        <w:tblW w:w="555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678"/>
      </w:tblGrid>
      <w:tr w14:paraId="70891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7" w:type="pct"/>
            <w:noWrap w:val="0"/>
            <w:tcMar>
              <w:left w:w="28" w:type="dxa"/>
              <w:right w:w="28" w:type="dxa"/>
            </w:tcMar>
            <w:vAlign w:val="center"/>
          </w:tcPr>
          <w:p w14:paraId="3859A7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pacing w:val="10"/>
                <w:sz w:val="24"/>
                <w:szCs w:val="24"/>
                <w:highlight w:val="none"/>
              </w:rPr>
              <w:t>施工期生态环境保护措施</w:t>
            </w:r>
          </w:p>
        </w:tc>
        <w:tc>
          <w:tcPr>
            <w:tcW w:w="4622" w:type="pct"/>
            <w:noWrap w:val="0"/>
            <w:vAlign w:val="top"/>
          </w:tcPr>
          <w:p w14:paraId="7918F4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cs="Times New Roman"/>
                <w:b/>
                <w:bCs w:val="0"/>
                <w:color w:val="auto"/>
                <w:spacing w:val="-3"/>
                <w:sz w:val="24"/>
                <w:szCs w:val="24"/>
                <w:highlight w:val="none"/>
                <w:lang w:val="en-US" w:eastAsia="zh-CN"/>
              </w:rPr>
            </w:pPr>
            <w:r>
              <w:rPr>
                <w:rFonts w:hint="eastAsia" w:cs="Times New Roman"/>
                <w:b/>
                <w:bCs w:val="0"/>
                <w:color w:val="auto"/>
                <w:spacing w:val="-3"/>
                <w:sz w:val="24"/>
                <w:szCs w:val="24"/>
                <w:highlight w:val="none"/>
                <w:lang w:val="en-US" w:eastAsia="zh-CN"/>
              </w:rPr>
              <w:t>5.1 环境保护措施</w:t>
            </w:r>
          </w:p>
          <w:p w14:paraId="747A609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b/>
                <w:bCs w:val="0"/>
                <w:color w:val="auto"/>
                <w:spacing w:val="-3"/>
                <w:sz w:val="24"/>
                <w:szCs w:val="24"/>
                <w:highlight w:val="none"/>
                <w:lang w:val="en-US" w:eastAsia="zh-CN"/>
              </w:rPr>
            </w:pPr>
            <w:r>
              <w:rPr>
                <w:rFonts w:hint="eastAsia" w:cs="Times New Roman"/>
                <w:b/>
                <w:bCs w:val="0"/>
                <w:color w:val="auto"/>
                <w:spacing w:val="-3"/>
                <w:sz w:val="24"/>
                <w:szCs w:val="24"/>
                <w:highlight w:val="none"/>
                <w:lang w:val="en-US" w:eastAsia="zh-CN"/>
              </w:rPr>
              <w:t>5.1.1 生态环境保护措施</w:t>
            </w:r>
          </w:p>
          <w:p w14:paraId="7E1A26BF">
            <w:pPr>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lang w:val="en-US" w:eastAsia="zh-CN"/>
              </w:rPr>
              <w:t>1、</w:t>
            </w:r>
            <w:r>
              <w:rPr>
                <w:rFonts w:hint="default"/>
                <w:color w:val="auto"/>
                <w:highlight w:val="none"/>
              </w:rPr>
              <w:t>植</w:t>
            </w:r>
            <w:r>
              <w:rPr>
                <w:rFonts w:hint="default"/>
                <w:color w:val="auto"/>
                <w:highlight w:val="none"/>
                <w:lang w:val="en-US" w:eastAsia="zh-CN"/>
              </w:rPr>
              <w:t>被</w:t>
            </w:r>
            <w:r>
              <w:rPr>
                <w:rFonts w:hint="default"/>
                <w:color w:val="auto"/>
                <w:highlight w:val="none"/>
              </w:rPr>
              <w:t>保护措施</w:t>
            </w:r>
          </w:p>
          <w:p w14:paraId="273724D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eastAsia="zh-CN"/>
              </w:rPr>
            </w:pPr>
            <w:r>
              <w:rPr>
                <w:rFonts w:hint="default" w:ascii="Times New Roman" w:hAnsi="Times New Roman" w:eastAsia="仿宋" w:cs="Times New Roman"/>
                <w:color w:val="auto"/>
                <w:spacing w:val="0"/>
                <w:kern w:val="0"/>
                <w:sz w:val="24"/>
                <w:szCs w:val="24"/>
                <w:highlight w:val="none"/>
              </w:rPr>
              <w:t>在施工过程中，为保护工程区内的生态环境，</w:t>
            </w:r>
            <w:r>
              <w:rPr>
                <w:rFonts w:hint="default" w:ascii="Times New Roman" w:hAnsi="Times New Roman" w:eastAsia="仿宋" w:cs="Times New Roman"/>
                <w:color w:val="auto"/>
                <w:spacing w:val="0"/>
                <w:kern w:val="0"/>
                <w:sz w:val="24"/>
                <w:szCs w:val="24"/>
                <w:highlight w:val="none"/>
                <w:lang w:val="en-US" w:eastAsia="zh-CN"/>
              </w:rPr>
              <w:t>应</w:t>
            </w:r>
            <w:r>
              <w:rPr>
                <w:rFonts w:hint="default" w:ascii="Times New Roman" w:hAnsi="Times New Roman" w:eastAsia="仿宋" w:cs="Times New Roman"/>
                <w:color w:val="auto"/>
                <w:spacing w:val="0"/>
                <w:kern w:val="0"/>
                <w:sz w:val="24"/>
                <w:szCs w:val="24"/>
                <w:highlight w:val="none"/>
              </w:rPr>
              <w:t>进行精密设计，尽量少占用土地，减少施工工期和施工范围，以减轻施工对周围自然植被、地形地貌等环境的影响。具体采取以下生态保护措施</w:t>
            </w:r>
            <w:r>
              <w:rPr>
                <w:rFonts w:hint="default" w:ascii="Times New Roman" w:hAnsi="Times New Roman" w:eastAsia="仿宋" w:cs="Times New Roman"/>
                <w:color w:val="auto"/>
                <w:spacing w:val="0"/>
                <w:kern w:val="0"/>
                <w:sz w:val="24"/>
                <w:szCs w:val="24"/>
                <w:highlight w:val="none"/>
                <w:lang w:eastAsia="zh-CN"/>
              </w:rPr>
              <w:t>：</w:t>
            </w:r>
          </w:p>
          <w:p w14:paraId="45519DE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eastAsia="zh-CN"/>
              </w:rPr>
            </w:pPr>
            <w:r>
              <w:rPr>
                <w:rFonts w:hint="default" w:ascii="Times New Roman" w:hAnsi="Times New Roman" w:eastAsia="仿宋" w:cs="Times New Roman"/>
                <w:color w:val="auto"/>
                <w:spacing w:val="0"/>
                <w:kern w:val="0"/>
                <w:sz w:val="24"/>
                <w:szCs w:val="24"/>
                <w:highlight w:val="none"/>
                <w:lang w:eastAsia="zh-CN"/>
              </w:rPr>
              <w:t>①施工期各类施工临时占地、施工机械停放区域等工程占地应保证在征地红线范围内进行，禁止超计划占用土地和破坏植被，禁止施工人员违法砍伐树木，禁止到非施工区活动，减少地表扰动；优化施工道路设计，尽量收缩边坡，优化线形，少占土地，场内外道路，除利用的乡村道路，其他新建道路应根据项目运行后的使用功能合理制定恢复措施，场内道路禁止水泥硬化。</w:t>
            </w:r>
          </w:p>
          <w:p w14:paraId="37D530C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eastAsia="zh-CN"/>
              </w:rPr>
            </w:pPr>
            <w:r>
              <w:rPr>
                <w:rFonts w:hint="default" w:ascii="Times New Roman" w:hAnsi="Times New Roman" w:eastAsia="仿宋" w:cs="Times New Roman"/>
                <w:color w:val="auto"/>
                <w:spacing w:val="0"/>
                <w:kern w:val="0"/>
                <w:sz w:val="24"/>
                <w:szCs w:val="24"/>
                <w:highlight w:val="none"/>
                <w:lang w:eastAsia="zh-CN"/>
              </w:rPr>
              <w:t>②加强施工管理和环境宣传教育，对施工人员进行环境教育及有关法律法规的宣传教育及培训，增强施工人员的环保意识和野生动植物保护意识。大力宣传《</w:t>
            </w:r>
            <w:r>
              <w:rPr>
                <w:rFonts w:hint="eastAsia" w:cs="Times New Roman"/>
                <w:color w:val="auto"/>
                <w:spacing w:val="0"/>
                <w:kern w:val="0"/>
                <w:sz w:val="24"/>
                <w:szCs w:val="24"/>
                <w:highlight w:val="none"/>
                <w:lang w:eastAsia="zh-CN"/>
              </w:rPr>
              <w:t>中华人民共和国森林法</w:t>
            </w:r>
            <w:r>
              <w:rPr>
                <w:rFonts w:hint="default" w:ascii="Times New Roman" w:hAnsi="Times New Roman" w:eastAsia="仿宋" w:cs="Times New Roman"/>
                <w:color w:val="auto"/>
                <w:spacing w:val="0"/>
                <w:kern w:val="0"/>
                <w:sz w:val="24"/>
                <w:szCs w:val="24"/>
                <w:highlight w:val="none"/>
                <w:lang w:eastAsia="zh-CN"/>
              </w:rPr>
              <w:t>》《</w:t>
            </w:r>
            <w:r>
              <w:rPr>
                <w:rFonts w:hint="eastAsia" w:cs="Times New Roman"/>
                <w:color w:val="auto"/>
                <w:spacing w:val="0"/>
                <w:kern w:val="0"/>
                <w:sz w:val="24"/>
                <w:szCs w:val="24"/>
                <w:highlight w:val="none"/>
                <w:lang w:eastAsia="zh-CN"/>
              </w:rPr>
              <w:t>中华人民共和国野生动物保护法</w:t>
            </w:r>
            <w:r>
              <w:rPr>
                <w:rFonts w:hint="default" w:ascii="Times New Roman" w:hAnsi="Times New Roman" w:eastAsia="仿宋" w:cs="Times New Roman"/>
                <w:color w:val="auto"/>
                <w:spacing w:val="0"/>
                <w:kern w:val="0"/>
                <w:sz w:val="24"/>
                <w:szCs w:val="24"/>
                <w:highlight w:val="none"/>
                <w:lang w:eastAsia="zh-CN"/>
              </w:rPr>
              <w:t>》《森林防火条例》等相关法律法规，使其在工程建设期自觉保护区域的野生动植物。</w:t>
            </w:r>
          </w:p>
          <w:p w14:paraId="501BE74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eastAsia="zh-CN"/>
              </w:rPr>
            </w:pPr>
            <w:r>
              <w:rPr>
                <w:rFonts w:hint="default" w:ascii="Times New Roman" w:hAnsi="Times New Roman" w:eastAsia="仿宋" w:cs="Times New Roman"/>
                <w:color w:val="auto"/>
                <w:spacing w:val="0"/>
                <w:kern w:val="0"/>
                <w:sz w:val="24"/>
                <w:szCs w:val="24"/>
                <w:highlight w:val="none"/>
                <w:lang w:eastAsia="zh-CN"/>
              </w:rPr>
              <w:t>③施工场地平整期间地表植被及其附着土壤剥离并妥善管理，待施工结束后用于临时占地的植被恢复，</w:t>
            </w:r>
            <w:r>
              <w:rPr>
                <w:rFonts w:hint="default" w:ascii="Times New Roman" w:hAnsi="Times New Roman" w:eastAsia="仿宋" w:cs="Times New Roman"/>
                <w:color w:val="auto"/>
                <w:spacing w:val="0"/>
                <w:kern w:val="0"/>
                <w:sz w:val="24"/>
                <w:szCs w:val="24"/>
                <w:highlight w:val="none"/>
                <w:lang w:val="en-US" w:eastAsia="zh-CN"/>
              </w:rPr>
              <w:t>物种选择以当地物种为主</w:t>
            </w:r>
            <w:r>
              <w:rPr>
                <w:rFonts w:hint="default" w:ascii="Times New Roman" w:hAnsi="Times New Roman" w:eastAsia="仿宋" w:cs="Times New Roman"/>
                <w:color w:val="auto"/>
                <w:spacing w:val="0"/>
                <w:kern w:val="0"/>
                <w:sz w:val="24"/>
                <w:szCs w:val="24"/>
                <w:highlight w:val="none"/>
                <w:lang w:eastAsia="zh-CN"/>
              </w:rPr>
              <w:t>。施工结束后必须对临时占地进行恢复，应选择乡土树种及适合当地环境的植物。</w:t>
            </w:r>
          </w:p>
          <w:p w14:paraId="1F295B9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eastAsia="zh-CN"/>
              </w:rPr>
            </w:pPr>
            <w:r>
              <w:rPr>
                <w:rFonts w:hint="default" w:ascii="Times New Roman" w:hAnsi="Times New Roman" w:eastAsia="仿宋" w:cs="Times New Roman"/>
                <w:color w:val="auto"/>
                <w:spacing w:val="0"/>
                <w:kern w:val="0"/>
                <w:sz w:val="24"/>
                <w:szCs w:val="24"/>
                <w:highlight w:val="none"/>
                <w:lang w:eastAsia="zh-CN"/>
              </w:rPr>
              <w:t>④施工期间要规范人为施工和机械施工的方式，精确细致，不能对占地红线以外的植被造成破坏。</w:t>
            </w:r>
          </w:p>
          <w:p w14:paraId="472DD77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eastAsia="zh-CN"/>
              </w:rPr>
            </w:pPr>
            <w:r>
              <w:rPr>
                <w:rFonts w:hint="default" w:ascii="Times New Roman" w:hAnsi="Times New Roman" w:eastAsia="仿宋" w:cs="Times New Roman"/>
                <w:color w:val="auto"/>
                <w:spacing w:val="0"/>
                <w:kern w:val="0"/>
                <w:sz w:val="24"/>
                <w:szCs w:val="24"/>
                <w:highlight w:val="none"/>
                <w:lang w:eastAsia="zh-CN"/>
              </w:rPr>
              <w:t>⑤建设单位要做好项目区的</w:t>
            </w:r>
            <w:r>
              <w:rPr>
                <w:rFonts w:hint="eastAsia" w:cs="Times New Roman"/>
                <w:color w:val="auto"/>
                <w:spacing w:val="0"/>
                <w:kern w:val="0"/>
                <w:sz w:val="24"/>
                <w:szCs w:val="24"/>
                <w:highlight w:val="none"/>
                <w:lang w:eastAsia="zh-CN"/>
              </w:rPr>
              <w:t>森林草原防灭火</w:t>
            </w:r>
            <w:r>
              <w:rPr>
                <w:rFonts w:hint="default" w:ascii="Times New Roman" w:hAnsi="Times New Roman" w:eastAsia="仿宋" w:cs="Times New Roman"/>
                <w:color w:val="auto"/>
                <w:spacing w:val="0"/>
                <w:kern w:val="0"/>
                <w:sz w:val="24"/>
                <w:szCs w:val="24"/>
                <w:highlight w:val="none"/>
                <w:lang w:eastAsia="zh-CN"/>
              </w:rPr>
              <w:t>工作，重点加强项目施工期间的野外火源管理，落实</w:t>
            </w:r>
            <w:r>
              <w:rPr>
                <w:rFonts w:hint="eastAsia" w:cs="Times New Roman"/>
                <w:color w:val="auto"/>
                <w:spacing w:val="0"/>
                <w:kern w:val="0"/>
                <w:sz w:val="24"/>
                <w:szCs w:val="24"/>
                <w:highlight w:val="none"/>
                <w:lang w:eastAsia="zh-CN"/>
              </w:rPr>
              <w:t>森林草原防灭火</w:t>
            </w:r>
            <w:r>
              <w:rPr>
                <w:rFonts w:hint="default" w:ascii="Times New Roman" w:hAnsi="Times New Roman" w:eastAsia="仿宋" w:cs="Times New Roman"/>
                <w:color w:val="auto"/>
                <w:spacing w:val="0"/>
                <w:kern w:val="0"/>
                <w:sz w:val="24"/>
                <w:szCs w:val="24"/>
                <w:highlight w:val="none"/>
                <w:lang w:eastAsia="zh-CN"/>
              </w:rPr>
              <w:t>管护人员和措施。</w:t>
            </w:r>
          </w:p>
          <w:p w14:paraId="56DE87D4">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lang w:val="en-US" w:eastAsia="zh-CN"/>
              </w:rPr>
              <w:t>2、</w:t>
            </w:r>
            <w:r>
              <w:rPr>
                <w:rFonts w:hint="default"/>
                <w:color w:val="auto"/>
                <w:highlight w:val="none"/>
              </w:rPr>
              <w:t>动物影响减缓措施</w:t>
            </w:r>
          </w:p>
          <w:p w14:paraId="43B6C86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评价区内的陆生脊椎动物主要以林地、耕地和草地作为栖息地。为保护好野生动物的栖息环境，减少施工建设对野生动物的影响，主要从以下几个方面进行保护：</w:t>
            </w:r>
          </w:p>
          <w:p w14:paraId="4DDA2BB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① 在施工中尽量减少对动物栖息地生境的破坏，特别是对树木的砍伐；</w:t>
            </w:r>
          </w:p>
          <w:p w14:paraId="0A4014C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② 施工中尽可能地减少放炮，以减少对动物的惊吓；</w:t>
            </w:r>
          </w:p>
          <w:p w14:paraId="43B16B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③ 加强对施工器材的管理，杜绝让炸药、雷管等爆破器材流失于施工人员或当地群众中，用于私自制造狩猎工具和捕杀野生动物；</w:t>
            </w:r>
          </w:p>
          <w:p w14:paraId="3F7B500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④ 加强施工人员对野生动物和生态环境的保护意识教育，在施工中遇到的幼兽或受伤的兽类，应交给林业局的专业人员，不得擅自处理；</w:t>
            </w:r>
          </w:p>
          <w:p w14:paraId="1F6B546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⑤ 施工中要有保护动物的专门规定，在施工区内设置保护动物的警示牌，并安排专门人员负责项目区施工中的动物保护的监督和管理工作。</w:t>
            </w:r>
          </w:p>
          <w:p w14:paraId="5C456B9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针对评价区重点保护野生动物，采取以下保护措施：</w:t>
            </w:r>
          </w:p>
          <w:p w14:paraId="2E1EEC2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① 严禁施工人员的猎捕；</w:t>
            </w:r>
          </w:p>
          <w:p w14:paraId="62C62CC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② 严格管理废水、废气及生活污水的排放，加强施工监理和生态监测。</w:t>
            </w:r>
          </w:p>
          <w:p w14:paraId="5D44D5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③ 加强施工管理，严禁施工人员猎杀、破坏鸟巢；</w:t>
            </w:r>
          </w:p>
          <w:p w14:paraId="58AD850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④ 施工区夜间停止施工，减少噪声、施工灯光影响；</w:t>
            </w:r>
          </w:p>
          <w:p w14:paraId="0F70B2A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⑤ 施工迹地及时恢复，营造栖息生境；</w:t>
            </w:r>
          </w:p>
          <w:p w14:paraId="400F68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⑥ 在鸟类繁殖期，施工期间遇见鸟卵、未离巢的幼鸟和受伤的鸟类及时报区域野生动物管理部门进行救护。</w:t>
            </w:r>
          </w:p>
          <w:p w14:paraId="4E004F5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⑦ 在施工过程中，若发现受伤的野生保护动物，应立即上报相关部门并采取积极的救助措施。</w:t>
            </w:r>
          </w:p>
          <w:p w14:paraId="149AB95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除了采取以上保护措施外，还要重点加强有关野生动物法律法规宣传工作，在主要的施工区和施工人员的生活区设立野生动物</w:t>
            </w:r>
            <w:r>
              <w:rPr>
                <w:rFonts w:hint="eastAsia" w:cs="Times New Roman"/>
                <w:color w:val="auto"/>
                <w:spacing w:val="0"/>
                <w:kern w:val="0"/>
                <w:sz w:val="24"/>
                <w:szCs w:val="24"/>
                <w:highlight w:val="none"/>
                <w:lang w:eastAsia="zh-CN"/>
              </w:rPr>
              <w:t>保护</w:t>
            </w:r>
            <w:r>
              <w:rPr>
                <w:rFonts w:hint="default" w:ascii="Times New Roman" w:hAnsi="Times New Roman" w:eastAsia="仿宋" w:cs="Times New Roman"/>
                <w:color w:val="auto"/>
                <w:spacing w:val="0"/>
                <w:kern w:val="0"/>
                <w:sz w:val="24"/>
                <w:szCs w:val="24"/>
                <w:highlight w:val="none"/>
              </w:rPr>
              <w:t>宣传栏，对重点保护动物做重点标示及说明，包括动物图片、保护级别、保护意义，法律责任等。</w:t>
            </w:r>
          </w:p>
          <w:p w14:paraId="34AC6BC9">
            <w:pPr>
              <w:keepNext w:val="0"/>
              <w:keepLines w:val="0"/>
              <w:suppressLineNumbers w:val="0"/>
              <w:bidi w:val="0"/>
              <w:spacing w:before="0" w:beforeAutospacing="0" w:after="0" w:afterAutospacing="0"/>
              <w:ind w:left="0" w:leftChars="0" w:right="0" w:firstLine="0" w:firstLineChars="0"/>
              <w:rPr>
                <w:rFonts w:hint="default"/>
                <w:b/>
                <w:bCs/>
                <w:color w:val="auto"/>
                <w:highlight w:val="none"/>
                <w:lang w:val="en-US" w:eastAsia="zh-CN"/>
              </w:rPr>
            </w:pPr>
            <w:r>
              <w:rPr>
                <w:rFonts w:hint="default"/>
                <w:b/>
                <w:bCs/>
                <w:color w:val="auto"/>
                <w:highlight w:val="none"/>
                <w:lang w:val="en-US" w:eastAsia="zh-CN"/>
              </w:rPr>
              <w:t>5.1.2 植被恢复方案</w:t>
            </w:r>
          </w:p>
          <w:p w14:paraId="158590BD">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根据《迤车镇中寨村委会竹子箐光伏项目</w:t>
            </w:r>
            <w:r>
              <w:rPr>
                <w:rFonts w:hint="eastAsia"/>
                <w:color w:val="auto"/>
                <w:highlight w:val="none"/>
                <w:lang w:val="en-US" w:eastAsia="zh-CN"/>
              </w:rPr>
              <w:t>（</w:t>
            </w:r>
            <w:r>
              <w:rPr>
                <w:rFonts w:hint="default"/>
                <w:color w:val="auto"/>
                <w:highlight w:val="none"/>
                <w:lang w:val="en-US" w:eastAsia="zh-CN"/>
              </w:rPr>
              <w:t>复合型光伏发电项目</w:t>
            </w:r>
            <w:r>
              <w:rPr>
                <w:rFonts w:hint="eastAsia"/>
                <w:color w:val="auto"/>
                <w:highlight w:val="none"/>
                <w:lang w:val="en-US" w:eastAsia="zh-CN"/>
              </w:rPr>
              <w:t>）</w:t>
            </w:r>
            <w:r>
              <w:rPr>
                <w:rFonts w:hint="default"/>
                <w:color w:val="auto"/>
                <w:highlight w:val="none"/>
                <w:lang w:val="en-US" w:eastAsia="zh-CN"/>
              </w:rPr>
              <w:t>使用林草地植被保护方案》（2025年1</w:t>
            </w:r>
            <w:r>
              <w:rPr>
                <w:rFonts w:hint="eastAsia"/>
                <w:color w:val="auto"/>
                <w:highlight w:val="none"/>
                <w:lang w:val="en-US" w:eastAsia="zh-CN"/>
              </w:rPr>
              <w:t>1</w:t>
            </w:r>
            <w:r>
              <w:rPr>
                <w:rFonts w:hint="default"/>
                <w:color w:val="auto"/>
                <w:highlight w:val="none"/>
                <w:lang w:val="en-US" w:eastAsia="zh-CN"/>
              </w:rPr>
              <w:t>月云南绘山绘水林业规划设计有限公司编制），本项目植被恢复方案如下。</w:t>
            </w:r>
          </w:p>
          <w:p w14:paraId="27B38BCB">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1、植被保护修复技术模式</w:t>
            </w:r>
          </w:p>
          <w:p w14:paraId="32DC3109">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①</w:t>
            </w:r>
            <w:r>
              <w:rPr>
                <w:rFonts w:hint="default"/>
                <w:color w:val="auto"/>
                <w:highlight w:val="none"/>
                <w:lang w:val="en-US" w:eastAsia="zh-CN"/>
              </w:rPr>
              <w:t>人工促进恢复技术（多年生黑麦草、弯叶画眉草、白三叶、红三叶、无芒雀麦、金丝桃、木春菊恢复技术）</w:t>
            </w:r>
          </w:p>
          <w:p w14:paraId="04ED879A">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人工促进恢复技术主要选择以多年生黑麦草、弯叶画眉草、白三叶、红三叶、无芒雀麦草种子混合撒播与木春菊苗木栽植并与原有灌草植被混交的方式进行植被保护，所涉及的地块为项目光伏组件阵列区内的其他草地，土壤类型以黄红壤为主。技术模式为人工促进恢复技术。其林草地植被保护技术措施设计为：</w:t>
            </w:r>
          </w:p>
          <w:p w14:paraId="53346877">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1）光伏组件阵列板下方：在光伏组件阵列板下方地块，进行人工松土的方式进行整地。松土方式以块状进行，松土选择的块状地块要求表土层裸露的小班地块，松土过程中，若遇地块内原生灌木要避让，地块内部分原生草本覆盖度较高的地方也要避让，遇障碍物或巨石、深沟可进行适当调整，松土后每亩撒施15kg复合肥作为基肥。松土厚度为15-20cm 为宜，松土要求精细、表土细碎，地面相对平整，并清除松土后的新生杂草，石块等杂物，若遇到部分地块坡度≥25° 沿等高线进行条状整地，并在地块周边做好截排水沟，防止雨季雨水冲刷地块上已整理好的表土层土壤和草种。该地块主要选择多年生黑麦草、红三叶、弯叶画眉草、白三叶、无芒雀麦草种子混合配置并与原有灌草植被混交的方式进行植被保护。根据项目地块分区按每亩4kg草种〔（20%多年生黑麦草（0.8kg）+20%红三叶（0.8kg）+20%弯叶画眉草（0.8kg）+20%白三叶（0.8kg）+20%无芒雀麦（0.8kg）〕+10kg 钙镁磷肥（拌种用肥），用拌种机拌匀后，直接采用人工撒播方式进行，撒播时间为2027年5月至7月（主体工程竣工之后）。</w:t>
            </w:r>
          </w:p>
          <w:p w14:paraId="4D2C34F9">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2）光伏组件阵列前后间隙：在光伏组件阵列前后间隙地块进行人工松土和打塘的方式进行整地，松土（整地）的原则主要是以地块内灌木覆盖度低于30%或草本覆盖度低于50%的其他草地地块。灌木覆盖度高于30%或草</w:t>
            </w:r>
            <w:r>
              <w:rPr>
                <w:rFonts w:hint="eastAsia"/>
                <w:color w:val="auto"/>
                <w:highlight w:val="none"/>
                <w:lang w:val="en-US" w:eastAsia="zh-CN"/>
              </w:rPr>
              <w:t>本覆</w:t>
            </w:r>
            <w:r>
              <w:rPr>
                <w:rFonts w:hint="default"/>
                <w:color w:val="auto"/>
                <w:highlight w:val="none"/>
                <w:lang w:val="en-US" w:eastAsia="zh-CN"/>
              </w:rPr>
              <w:t>盖度高于50%和草本覆盖度高于50%的其他草地地块不宜松土。松土和打塘方式以块状进行，松土选择的块状地块要求表土层裸露的小班地块，松土和打塘过程中，若遇地块内原生灌木要避让，地块内部分原生草本覆盖度较高的地方也要避让，遇障碍物或巨石、深沟可进行适当调整，松土后每亩撒施 15kg 复合肥。松土厚度为 20cm 为宜，松土要求精细、表土细碎，地面相对平整，并清除松土后的新生杂草，石块等杂物，若遇到部分地块坡度≥25° 沿等高线进行条状整地，并在地块周边做好截排水沟，防止雨季雨水冲刷地块上已整理好的表土层土壤和草种。打塘的规格为 40cm×40cm×40cm，该地块主要选择无芒雀麦、多年生黑麦草、红三叶、白三叶、金丝桃五种灌草种子和木春菊苗木混合配置并与原有灌草植被混交的方式进行植被恢复。根据项目地块分区按每亩播种4kg草种子〔20%无芒雀麦（0.8kg）+20%多年生黑麦草（0.8kg）+20%红三叶（0.8kg）+20%白三叶（0.8kg）+20%金丝桃（0.8kg）+木春菊（334株）〕+10kg钙镁磷肥（拌种用肥），种子用拌种机拌匀后，直接采用人工撒播方式进行，苗木以人工栽植的方式进行，撒播时间为2027年5月至7月，种植时间为2027年5月（主体工程竣工之后）。</w:t>
            </w:r>
          </w:p>
          <w:p w14:paraId="4F7A19DF">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根据光伏组件阵列板下方地块与光伏组件阵列前后间隙地块面积比例为0.67:0.33，根据项目区划小班是以植被保护技术模式为单元统一计算其用量，故在本项目文本中原生植被保护技术模式以区划小班来计算其种子、苗木和肥料用量，具体为：每亩用量按0.67×〔（20%多年生黑麦草（0.8kg）+20%红三叶（0.8kg）+20%弯叶画眉草（0.8kg）+20%白三叶（0.8kg）+20%无芒雀麦（0.8kg）〕+0.33×〔20%无芒雀麦（0.8kg）+20%多年生黑麦草（0.8kg）+20%红三叶（0.8kg）+20%白三叶（0.8kg）+20%金丝桃（0.8kg）+木春菊（334 株）〕+10kg 钙镁磷肥（拌种用肥）〕计算种子、苗木和肥料用量。</w:t>
            </w:r>
          </w:p>
          <w:p w14:paraId="3AD0117E">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3）补植、补播：补植采用人工补植的方式对苗木枯萎死亡的区域进行补植，补播采用人工撒播的方式，补播时根据每个区划小班面积，用多少拌匀多少即可。当天搅拌的种子必须当天播完，储存时间不能超过12个小时。补播时间为2028年5-7月（主体工程竣工后）。连续补植补播两年（2028年、2029年），补植补播用量按初植初播量的 20%进行补植补播，补植补播时间选择在雨季（5-7月）进行。补植补播方式方法和初植初播一致。</w:t>
            </w:r>
          </w:p>
          <w:p w14:paraId="43E627E2">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（4）合理追肥：根据本项目的实际情况和选择的灌草类型及配置方式（和原有灌草植被混交），选择追施3次的复合肥，按每亩10kg/次追施，追肥时间选择在补植补播60天后的雨后进行，采用人工撒施的方式。</w:t>
            </w:r>
          </w:p>
          <w:p w14:paraId="15B09E37">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（5）管养、管护：管养按 3 年计算，管养工日按每年每 100 亩 40 个工日计算。管养主要内容包括：浇水、补植补播、人工巡护等内容。管养 3 年后开始项目管护，管护与项目整体运营同时进行，后期管护费由项目建设单位在项目整体运营费具体列支，管护时间直至运营期结束，交还原林草地权属所有者。</w:t>
            </w:r>
          </w:p>
          <w:p w14:paraId="562CE081">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②</w:t>
            </w:r>
            <w:r>
              <w:rPr>
                <w:rFonts w:hint="default"/>
                <w:color w:val="auto"/>
                <w:highlight w:val="none"/>
                <w:lang w:val="en-US" w:eastAsia="zh-CN"/>
              </w:rPr>
              <w:t>景观提升技术（雪松、三角梅、木春菊、多年生黑麦草、红三叶、白三叶、无芒雀麦绿化种植技术）</w:t>
            </w:r>
          </w:p>
          <w:p w14:paraId="657C9306">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雪松、三角梅、木春菊、多年生黑麦草、红三叶、白三叶、无芒雀麦绿化种植地块为永久性用地景观提升区域（检修道路两侧及升压站四周）。本项种植技术分两步走，具体为：</w:t>
            </w:r>
          </w:p>
          <w:p w14:paraId="436C08B4">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（1）雪松、三角梅、木春菊栽植：雪松在检修道路两侧及升压站四周按照株距5米（间隔5m栽植1株），开挖栽植穴，栽植穴规格为100cm×100cm×100cm。三角梅、木春菊在雪松间隔中间按照株距 1 米（间隔 1 米一株），开挖栽植穴，栽植穴规格为40cm×40cm×40cm，开挖方式以机械开挖为主。机械开挖种植穴时，须垂直下挖，上口下底相等，符合规格要求；种植穴定点放线位置必须准确，定点时应标明中心点位置，开挖时若遇障碍物或巨石、深沟等，可进行适当调整。同时在开挖栽植穴作业时捡尽穴内根系和石块，并将表土回填到穴内，以保证植苗后根系舒展。开挖栽植穴时间为苗木种植前1～2个月进行。栽植雪松、三角梅和木春菊前必须踏实穴底土层，雪松每株施入0.03kg复合肥做底肥，三角梅、木春菊每株0.01kg复合肥做底肥。而后将带土球的种苗置入种植穴，填土踏实；栽植过程中要求做到横平竖直、整齐美观，种植的树木应保持直立、不得倾斜，并使所种植苗木与道路和升压站边界保持平行、美观。然后在雪松栽植好后需采取三角桩支撑，支撑材料选择木棍，支撑杆直径大于3cm，长度大于1.5m，支撑材料可在当时市场购买。支撑方法：三根支撑杆底部斜插入树冠外围下方、移栽坑外围的土壤中，与地面成 60°左右。支撑杆和移栽树木在同一平面，与支撑杆呈60°插入土壤中，并在出露端用粗绳、铁丝等与主支撑杆绑扎紧。支撑杆插入土壤中 15cm 以上。三脚架底部应牢固支持在地面，支柱时应使3根主支撑杆受力均匀，特别是避风向的一面。三根支撑杆与苗木固定处先以布包裹树干，防止对树的伤害。然后再用粗绳、铁丝等将3根支撑杆和树干一起捆紧，捆紧后以主支撑杆露出5cm左右为宜。栽植时间为2027年5-7月。合理追肥，追肥时间在次年的雨季，乔木（雪松）每株每年追施复合肥0.03kg，灌木（三角梅、木春菊）每株每年追施复合肥0.01kg。追肥采用环状追肥。管养费按3年计算，后期管护与项目整体运营同时进行，后期管护费由项目建设单位在项目整体运营费具体列支。管养工日按每年每亩1个工日计算。管养工作主要内容包括：浇水、补植、扶苗、培土、人工巡护及保护等内容。</w:t>
            </w:r>
          </w:p>
          <w:p w14:paraId="59FAA0E1">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2）多年生黑麦草、红三叶、白三叶、无芒雀麦混合撒播：在植树区域外（雪松和三角梅、木春菊株间）剩余面积混播多年生黑麦草、红三叶、白三叶、无芒雀麦草种。撒播前需要先整地，整地沿道路和升压站四周，以乔木栽植穴大小的为宽度标准整地（整地宽度 100cm）采用条状整地，整地方式以机耕、人挖等方式对地面进行全垦，并清理石砾（块），深度 20cm 以上，要求精细整地表土细碎，地面平整，并清除翻耕后的新生杂草。每亩按 4kg 种子〔30%多年生黑麦草（1.2kg）+30%无芒雀麦（1.2kg）+20%白三叶（0.8kg）+20%红三叶（0.8kg）〕+10kg 钙镁磷肥（拌种用肥）。</w:t>
            </w:r>
          </w:p>
          <w:p w14:paraId="37EF63E3">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撒播时间为2027年5-7月（主体工程竣工后），播种前先将种子按照</w:t>
            </w:r>
            <w:r>
              <w:rPr>
                <w:rFonts w:hint="eastAsia"/>
                <w:color w:val="auto"/>
                <w:highlight w:val="none"/>
                <w:lang w:val="en-US" w:eastAsia="zh-CN"/>
              </w:rPr>
              <w:t>，</w:t>
            </w:r>
            <w:r>
              <w:rPr>
                <w:rFonts w:hint="default"/>
                <w:color w:val="auto"/>
                <w:highlight w:val="none"/>
                <w:lang w:val="en-US" w:eastAsia="zh-CN"/>
              </w:rPr>
              <w:t>设计比例混合好，然后加入钙镁磷肥，用拌种机拌匀后播种（当天搅拌的种子必须当天播完，储存时间不能超过12个小时）。播种采用人工撒播。种子撒播完成后通常都要轻轻镇压，并覆盖。覆盖采用种植土覆盖，种植土覆盖厚度为1cm，将撒播的种子</w:t>
            </w:r>
            <w:r>
              <w:rPr>
                <w:rFonts w:hint="eastAsia"/>
                <w:color w:val="auto"/>
                <w:highlight w:val="none"/>
                <w:lang w:val="en-US" w:eastAsia="zh-CN"/>
              </w:rPr>
              <w:t>完全</w:t>
            </w:r>
            <w:r>
              <w:rPr>
                <w:rFonts w:hint="default"/>
                <w:color w:val="auto"/>
                <w:highlight w:val="none"/>
                <w:lang w:val="en-US" w:eastAsia="zh-CN"/>
              </w:rPr>
              <w:t>均匀覆盖。</w:t>
            </w:r>
          </w:p>
          <w:p w14:paraId="4F904C4F">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种植土采用撒施的方式。覆盖好后再用钉耙轻轻抓一道。连续补播两年（2028年、2029年），补播用量按初播量的20%进行补播，补播时间选择在雨季（5-7月）进行。补播方式方法和初播一致。合理追肥，选择追施2次的复合肥，按每亩10kg/次追施，追肥时间选择在补播60天后的雨后进行，采用人工撒施的方式。管养费按3年计算，后期管护与项目整体运营同时进行，后期管护费由项目建设单位在项目整体运营费具体列支，</w:t>
            </w:r>
            <w:r>
              <w:rPr>
                <w:rFonts w:hint="eastAsia"/>
                <w:color w:val="auto"/>
                <w:highlight w:val="none"/>
                <w:lang w:val="en-US" w:eastAsia="zh-CN"/>
              </w:rPr>
              <w:t>不再</w:t>
            </w:r>
            <w:r>
              <w:rPr>
                <w:rFonts w:hint="default"/>
                <w:color w:val="auto"/>
                <w:highlight w:val="none"/>
                <w:lang w:val="en-US" w:eastAsia="zh-CN"/>
              </w:rPr>
              <w:t>单独计算。管养工作内容主要包括：浇水、补播、追肥、人工巡护及保护等内容。</w:t>
            </w:r>
          </w:p>
          <w:p w14:paraId="7C336549">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特别说明：由于本项目施工过程中</w:t>
            </w:r>
            <w:r>
              <w:rPr>
                <w:rFonts w:hint="eastAsia"/>
                <w:color w:val="auto"/>
                <w:highlight w:val="none"/>
                <w:lang w:val="en-US" w:eastAsia="zh-CN"/>
              </w:rPr>
              <w:t>涉及</w:t>
            </w:r>
            <w:r>
              <w:rPr>
                <w:rFonts w:hint="default"/>
                <w:color w:val="auto"/>
                <w:highlight w:val="none"/>
                <w:lang w:val="en-US" w:eastAsia="zh-CN"/>
              </w:rPr>
              <w:t>部分边坡、陡坎等因素，为防止在施工工程中二次开挖造成不必要的破坏，在实施工程中，结合现地，因地制宜实施恢复工作。</w:t>
            </w:r>
          </w:p>
          <w:p w14:paraId="516DBEED">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分区恢复植被技术</w:t>
            </w:r>
          </w:p>
          <w:p w14:paraId="792291A0">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①</w:t>
            </w:r>
            <w:r>
              <w:rPr>
                <w:rFonts w:hint="default"/>
                <w:color w:val="auto"/>
                <w:highlight w:val="none"/>
                <w:lang w:val="en-US" w:eastAsia="zh-CN"/>
              </w:rPr>
              <w:t>光伏组件阵列区域恢复技术</w:t>
            </w:r>
          </w:p>
          <w:p w14:paraId="00F62F88">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草地地块，地类均为其他草地，面积188.7417hm</w:t>
            </w:r>
            <w:r>
              <w:rPr>
                <w:rFonts w:hint="default"/>
                <w:color w:val="auto"/>
                <w:highlight w:val="none"/>
                <w:vertAlign w:val="superscript"/>
                <w:lang w:val="en-US" w:eastAsia="zh-CN"/>
              </w:rPr>
              <w:t>2</w:t>
            </w:r>
            <w:r>
              <w:rPr>
                <w:rFonts w:hint="default"/>
                <w:color w:val="auto"/>
                <w:highlight w:val="none"/>
                <w:lang w:val="en-US" w:eastAsia="zh-CN"/>
              </w:rPr>
              <w:t>，主要采用人工促进恢复技术模式，结合地块的实际情况，适当松土，然后撒播草种、灌木种子进行人工促进恢复。</w:t>
            </w:r>
          </w:p>
          <w:p w14:paraId="67D5C761">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在光伏组件阵列区下方地块混播多年生黑麦草、红三叶、弯叶画眉草、白三叶、无芒雀麦，每亩播种4kg〔（20%多年生黑麦草（0.8kg）+20%红三叶（0.8kg）+20%弯叶画眉草（0.8kg）+20%白三叶（0.8kg）+20%无芒雀麦（0.8kg）〕；光伏组件阵列前后间隙地块混播无芒雀麦、多年生黑麦草、红三叶、白三叶、金丝桃灌草种混播和种植木春菊，每亩播种4kg〔20%无芒雀麦（0.8kg）+20%多年生黑麦草（0.8kg）+20%红三叶（0.8kg）+20%白三叶（0.8kg）+20%金丝桃（0.8kg）〕+木春菊（334株）。光伏组件阵列下方地块面积与光伏组件阵列前后间隙面积比例为0.67:0.33。</w:t>
            </w:r>
          </w:p>
          <w:p w14:paraId="579EC721">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②</w:t>
            </w:r>
            <w:r>
              <w:rPr>
                <w:rFonts w:hint="default"/>
                <w:color w:val="auto"/>
                <w:highlight w:val="none"/>
                <w:lang w:val="en-US" w:eastAsia="zh-CN"/>
              </w:rPr>
              <w:t>永久用地景观提升区域恢复技术</w:t>
            </w:r>
          </w:p>
          <w:p w14:paraId="6AB7AFC9">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项目永久性用地景观提升区域为检修道路两旁，景观改造提升总长度为24500m。永久性使用林地景观改造绿化设计主要以乔灌草结合的方式进行植被恢复技术，选择栽植雪松、三角梅、木春菊和混播多年生黑麦草、红三叶、白三叶、无芒雀麦。先栽植雪松、三角梅、木春菊，然后再在雪松、三角梅、木春菊株间撒播多年生黑麦草、红三叶、白三叶、无芒雀麦。</w:t>
            </w:r>
          </w:p>
          <w:p w14:paraId="51AFA745">
            <w:pPr>
              <w:keepNext w:val="0"/>
              <w:keepLines w:val="0"/>
              <w:suppressLineNumbers w:val="0"/>
              <w:bidi w:val="0"/>
              <w:spacing w:before="0" w:beforeAutospacing="0" w:after="0" w:afterAutospacing="0"/>
              <w:ind w:left="0" w:leftChars="0" w:right="0" w:firstLine="0" w:firstLineChars="0"/>
              <w:rPr>
                <w:rFonts w:hint="default"/>
                <w:b/>
                <w:bCs/>
                <w:color w:val="auto"/>
                <w:highlight w:val="none"/>
              </w:rPr>
            </w:pPr>
            <w:r>
              <w:rPr>
                <w:rFonts w:hint="eastAsia"/>
                <w:b/>
                <w:bCs/>
                <w:color w:val="auto"/>
                <w:highlight w:val="none"/>
                <w:lang w:val="en-US" w:eastAsia="zh-CN"/>
              </w:rPr>
              <w:t xml:space="preserve">5.1.3 </w:t>
            </w:r>
            <w:r>
              <w:rPr>
                <w:rFonts w:hint="default"/>
                <w:b/>
                <w:bCs/>
                <w:color w:val="auto"/>
                <w:highlight w:val="none"/>
              </w:rPr>
              <w:t>水土保持措施</w:t>
            </w:r>
          </w:p>
          <w:p w14:paraId="4202F3B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zh-CN"/>
              </w:rPr>
            </w:pPr>
            <w:r>
              <w:rPr>
                <w:rFonts w:hint="default" w:ascii="Times New Roman" w:hAnsi="Times New Roman" w:eastAsia="仿宋" w:cs="Times New Roman"/>
                <w:color w:val="auto"/>
                <w:spacing w:val="0"/>
                <w:kern w:val="0"/>
                <w:sz w:val="24"/>
                <w:szCs w:val="24"/>
                <w:highlight w:val="none"/>
              </w:rPr>
              <w:t>根据本项目水土保持方案，本工程的水土保持措施</w:t>
            </w:r>
            <w:r>
              <w:rPr>
                <w:rFonts w:hint="default" w:ascii="Times New Roman" w:hAnsi="Times New Roman" w:eastAsia="仿宋" w:cs="Times New Roman"/>
                <w:color w:val="auto"/>
                <w:spacing w:val="0"/>
                <w:kern w:val="0"/>
                <w:sz w:val="24"/>
                <w:szCs w:val="24"/>
                <w:highlight w:val="none"/>
                <w:lang w:val="en-US" w:eastAsia="zh-CN"/>
              </w:rPr>
              <w:t>主要为工程措施、植物措施和临时措施。</w:t>
            </w:r>
            <w:r>
              <w:rPr>
                <w:rFonts w:hint="default" w:ascii="Times New Roman" w:hAnsi="Times New Roman" w:eastAsia="仿宋" w:cs="Times New Roman"/>
                <w:color w:val="auto"/>
                <w:spacing w:val="0"/>
                <w:kern w:val="0"/>
                <w:sz w:val="24"/>
                <w:szCs w:val="24"/>
                <w:highlight w:val="none"/>
              </w:rPr>
              <w:t>主要</w:t>
            </w:r>
            <w:r>
              <w:rPr>
                <w:rFonts w:hint="default" w:ascii="Times New Roman" w:hAnsi="Times New Roman" w:eastAsia="仿宋" w:cs="Times New Roman"/>
                <w:color w:val="auto"/>
                <w:spacing w:val="0"/>
                <w:kern w:val="0"/>
                <w:sz w:val="24"/>
                <w:szCs w:val="24"/>
                <w:highlight w:val="none"/>
                <w:lang w:val="en-US" w:eastAsia="zh-CN"/>
              </w:rPr>
              <w:t>包括</w:t>
            </w:r>
            <w:r>
              <w:rPr>
                <w:rFonts w:hint="default" w:ascii="Times New Roman" w:hAnsi="Times New Roman" w:eastAsia="仿宋" w:cs="Times New Roman"/>
                <w:color w:val="auto"/>
                <w:spacing w:val="0"/>
                <w:kern w:val="0"/>
                <w:sz w:val="24"/>
                <w:szCs w:val="24"/>
                <w:highlight w:val="none"/>
              </w:rPr>
              <w:t>主体工程已列</w:t>
            </w:r>
            <w:r>
              <w:rPr>
                <w:rFonts w:hint="default" w:ascii="Times New Roman" w:hAnsi="Times New Roman" w:eastAsia="仿宋" w:cs="Times New Roman"/>
                <w:color w:val="auto"/>
                <w:spacing w:val="0"/>
                <w:kern w:val="0"/>
                <w:sz w:val="24"/>
                <w:szCs w:val="24"/>
                <w:highlight w:val="none"/>
                <w:lang w:val="en-US" w:eastAsia="zh-CN"/>
              </w:rPr>
              <w:t>的</w:t>
            </w:r>
            <w:r>
              <w:rPr>
                <w:rFonts w:hint="default" w:ascii="Times New Roman" w:hAnsi="Times New Roman" w:eastAsia="仿宋" w:cs="Times New Roman"/>
                <w:color w:val="auto"/>
                <w:spacing w:val="0"/>
                <w:kern w:val="0"/>
                <w:sz w:val="24"/>
                <w:szCs w:val="24"/>
                <w:highlight w:val="none"/>
              </w:rPr>
              <w:t>谷坊、雨水管网、排水沟等工程措施</w:t>
            </w:r>
            <w:r>
              <w:rPr>
                <w:rFonts w:hint="default" w:ascii="Times New Roman" w:hAnsi="Times New Roman" w:eastAsia="仿宋" w:cs="Times New Roman"/>
                <w:color w:val="auto"/>
                <w:spacing w:val="0"/>
                <w:kern w:val="0"/>
                <w:sz w:val="24"/>
                <w:szCs w:val="24"/>
                <w:highlight w:val="none"/>
                <w:lang w:val="en-US" w:eastAsia="zh-CN"/>
              </w:rPr>
              <w:t>及</w:t>
            </w:r>
            <w:r>
              <w:rPr>
                <w:rFonts w:hint="default" w:ascii="Times New Roman" w:hAnsi="Times New Roman" w:eastAsia="仿宋" w:cs="Times New Roman"/>
                <w:color w:val="auto"/>
                <w:spacing w:val="0"/>
                <w:kern w:val="0"/>
                <w:sz w:val="24"/>
                <w:szCs w:val="24"/>
                <w:highlight w:val="none"/>
              </w:rPr>
              <w:t>方案新增表土剥离回覆、复耕、沉沙池等工程措施，撒草绿化、爬藤种植等植物措施，密目网苫盖、临时排水沟等临时措施，覆盖光伏场区、升压站区、道路工程区、集电线路区等区域，形成综合水土保持体系</w:t>
            </w:r>
            <w:r>
              <w:rPr>
                <w:rFonts w:hint="default" w:ascii="Times New Roman" w:hAnsi="Times New Roman" w:eastAsia="仿宋" w:cs="Times New Roman"/>
                <w:color w:val="auto"/>
                <w:spacing w:val="0"/>
                <w:kern w:val="0"/>
                <w:sz w:val="24"/>
                <w:szCs w:val="24"/>
                <w:highlight w:val="none"/>
                <w:lang w:eastAsia="zh-CN"/>
              </w:rPr>
              <w:t>。</w:t>
            </w:r>
            <w:r>
              <w:rPr>
                <w:rFonts w:hint="default" w:ascii="Times New Roman" w:hAnsi="Times New Roman" w:eastAsia="仿宋" w:cs="Times New Roman"/>
                <w:color w:val="auto"/>
                <w:spacing w:val="0"/>
                <w:kern w:val="0"/>
                <w:sz w:val="24"/>
                <w:szCs w:val="24"/>
                <w:highlight w:val="none"/>
                <w:lang w:val="en-US" w:eastAsia="zh-CN"/>
              </w:rPr>
              <w:t>环评要求采取植物措施时，尽量选用本地物种。</w:t>
            </w:r>
          </w:p>
          <w:p w14:paraId="5E04076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color w:val="auto"/>
                <w:spacing w:val="0"/>
                <w:kern w:val="0"/>
                <w:sz w:val="24"/>
                <w:szCs w:val="24"/>
                <w:highlight w:val="none"/>
              </w:rPr>
            </w:pPr>
            <w:r>
              <w:rPr>
                <w:rFonts w:hint="eastAsia" w:cs="Times New Roman"/>
                <w:b/>
                <w:color w:val="auto"/>
                <w:spacing w:val="0"/>
                <w:kern w:val="0"/>
                <w:sz w:val="24"/>
                <w:szCs w:val="24"/>
                <w:highlight w:val="none"/>
                <w:lang w:val="en-US" w:eastAsia="zh-CN"/>
              </w:rPr>
              <w:t>5.1.</w:t>
            </w:r>
            <w:r>
              <w:rPr>
                <w:rFonts w:hint="default" w:ascii="Times New Roman" w:hAnsi="Times New Roman" w:eastAsia="仿宋" w:cs="Times New Roman"/>
                <w:b/>
                <w:color w:val="auto"/>
                <w:spacing w:val="0"/>
                <w:kern w:val="0"/>
                <w:sz w:val="24"/>
                <w:szCs w:val="24"/>
                <w:highlight w:val="none"/>
                <w:lang w:val="en-US" w:eastAsia="zh-CN"/>
              </w:rPr>
              <w:t>4</w:t>
            </w:r>
            <w:r>
              <w:rPr>
                <w:rFonts w:hint="eastAsia" w:cs="Times New Roman"/>
                <w:b/>
                <w:color w:val="auto"/>
                <w:spacing w:val="0"/>
                <w:kern w:val="0"/>
                <w:sz w:val="24"/>
                <w:szCs w:val="24"/>
                <w:highlight w:val="none"/>
                <w:lang w:val="en-US" w:eastAsia="zh-CN"/>
              </w:rPr>
              <w:t xml:space="preserve"> </w:t>
            </w:r>
            <w:r>
              <w:rPr>
                <w:rFonts w:hint="default" w:ascii="Times New Roman" w:hAnsi="Times New Roman" w:eastAsia="仿宋" w:cs="Times New Roman"/>
                <w:b/>
                <w:color w:val="auto"/>
                <w:spacing w:val="0"/>
                <w:kern w:val="0"/>
                <w:sz w:val="24"/>
                <w:szCs w:val="24"/>
                <w:highlight w:val="none"/>
              </w:rPr>
              <w:t>水环境影响保护措施</w:t>
            </w:r>
          </w:p>
          <w:p w14:paraId="244FF0E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b w:val="0"/>
                <w:bCs/>
                <w:color w:val="auto"/>
                <w:spacing w:val="0"/>
                <w:kern w:val="0"/>
                <w:sz w:val="24"/>
                <w:szCs w:val="24"/>
                <w:highlight w:val="none"/>
              </w:rPr>
            </w:pPr>
            <w:r>
              <w:rPr>
                <w:rFonts w:hint="default" w:ascii="Times New Roman" w:hAnsi="Times New Roman" w:eastAsia="仿宋" w:cs="Times New Roman"/>
                <w:b w:val="0"/>
                <w:bCs/>
                <w:color w:val="auto"/>
                <w:spacing w:val="0"/>
                <w:kern w:val="0"/>
                <w:sz w:val="24"/>
                <w:szCs w:val="24"/>
                <w:highlight w:val="none"/>
              </w:rPr>
              <w:t>（1）混凝土拌和系统废水处理措施</w:t>
            </w:r>
          </w:p>
          <w:p w14:paraId="218215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①废水指标</w:t>
            </w:r>
          </w:p>
          <w:p w14:paraId="3A806EE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本项目混凝土全部采用自拌混凝土，排放方式为间歇式，废水产生量为9.0m</w:t>
            </w:r>
            <w:r>
              <w:rPr>
                <w:rFonts w:hint="default" w:ascii="Times New Roman" w:hAnsi="Times New Roman" w:eastAsia="仿宋" w:cs="Times New Roman"/>
                <w:color w:val="auto"/>
                <w:spacing w:val="0"/>
                <w:kern w:val="0"/>
                <w:sz w:val="24"/>
                <w:szCs w:val="24"/>
                <w:highlight w:val="none"/>
                <w:vertAlign w:val="superscript"/>
              </w:rPr>
              <w:t>3</w:t>
            </w:r>
            <w:r>
              <w:rPr>
                <w:rFonts w:hint="default" w:ascii="Times New Roman" w:hAnsi="Times New Roman" w:eastAsia="仿宋" w:cs="Times New Roman"/>
                <w:color w:val="auto"/>
                <w:spacing w:val="0"/>
                <w:kern w:val="0"/>
                <w:sz w:val="24"/>
                <w:szCs w:val="24"/>
                <w:highlight w:val="none"/>
              </w:rPr>
              <w:t>/d，混凝土拌</w:t>
            </w:r>
            <w:r>
              <w:rPr>
                <w:rFonts w:hint="default" w:ascii="Times New Roman" w:hAnsi="Times New Roman" w:eastAsia="仿宋" w:cs="Times New Roman"/>
                <w:color w:val="auto"/>
                <w:spacing w:val="0"/>
                <w:kern w:val="0"/>
                <w:sz w:val="24"/>
                <w:szCs w:val="24"/>
                <w:highlight w:val="none"/>
                <w:lang w:val="en-US" w:eastAsia="zh-CN"/>
              </w:rPr>
              <w:t>和</w:t>
            </w:r>
            <w:r>
              <w:rPr>
                <w:rFonts w:hint="default" w:ascii="Times New Roman" w:hAnsi="Times New Roman" w:eastAsia="仿宋" w:cs="Times New Roman"/>
                <w:color w:val="auto"/>
                <w:spacing w:val="0"/>
                <w:kern w:val="0"/>
                <w:sz w:val="24"/>
                <w:szCs w:val="24"/>
                <w:highlight w:val="none"/>
              </w:rPr>
              <w:t>系统废水产生量共9m³/d，废水pH值约11，悬浮物浓度约为5000mg/L。</w:t>
            </w:r>
          </w:p>
          <w:p w14:paraId="618BCDC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②处理目标</w:t>
            </w:r>
          </w:p>
          <w:p w14:paraId="0C3EABA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处理后废水SS浓度控制在100mg/L以下，pH值控制在6~9，循环用于混凝土搅拌、设备冲洗等综合利用，不外排。</w:t>
            </w:r>
          </w:p>
          <w:p w14:paraId="09EB05A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③处理工艺</w:t>
            </w:r>
          </w:p>
          <w:p w14:paraId="5E4103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根据混凝土拌和系统冲洗废水产生量少，间断且短时间排放的特点，选择平流矩形沉淀池法</w:t>
            </w:r>
            <w:r>
              <w:rPr>
                <w:rFonts w:hint="default" w:ascii="Times New Roman" w:hAnsi="Times New Roman" w:eastAsia="仿宋" w:cs="Times New Roman"/>
                <w:color w:val="auto"/>
                <w:spacing w:val="0"/>
                <w:kern w:val="0"/>
                <w:sz w:val="24"/>
                <w:szCs w:val="24"/>
                <w:highlight w:val="none"/>
                <w:lang w:val="en-US" w:eastAsia="zh-CN"/>
              </w:rPr>
              <w:t>处理</w:t>
            </w:r>
            <w:r>
              <w:rPr>
                <w:rFonts w:hint="default" w:ascii="Times New Roman" w:hAnsi="Times New Roman" w:eastAsia="仿宋" w:cs="Times New Roman"/>
                <w:color w:val="auto"/>
                <w:spacing w:val="0"/>
                <w:kern w:val="0"/>
                <w:sz w:val="24"/>
                <w:szCs w:val="24"/>
                <w:highlight w:val="none"/>
              </w:rPr>
              <w:t>。每台班末的冲洗废水排入池内，静置沉淀到下一班末回用于混凝土搅拌。沉淀池的出水端设置为活动式，便于清运和调节水位。</w:t>
            </w:r>
          </w:p>
          <w:p w14:paraId="763E5A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④推荐方案流程设计</w:t>
            </w:r>
          </w:p>
          <w:p w14:paraId="2641A65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 xml:space="preserve">迤车镇中寨村委会竹子箐光伏项目（复合型光伏发电项目）混凝土拌和系统冲洗废水处理流程见图 </w:t>
            </w:r>
            <w:r>
              <w:rPr>
                <w:rFonts w:hint="eastAsia" w:cs="Times New Roman"/>
                <w:color w:val="auto"/>
                <w:spacing w:val="0"/>
                <w:kern w:val="0"/>
                <w:sz w:val="24"/>
                <w:szCs w:val="24"/>
                <w:highlight w:val="none"/>
                <w:lang w:val="en-US" w:eastAsia="zh-CN"/>
              </w:rPr>
              <w:t>5.1-1</w:t>
            </w:r>
            <w:r>
              <w:rPr>
                <w:rFonts w:hint="default" w:ascii="Times New Roman" w:hAnsi="Times New Roman" w:eastAsia="仿宋" w:cs="Times New Roman"/>
                <w:color w:val="auto"/>
                <w:spacing w:val="0"/>
                <w:kern w:val="0"/>
                <w:sz w:val="24"/>
                <w:szCs w:val="24"/>
                <w:highlight w:val="none"/>
              </w:rPr>
              <w:t>。</w:t>
            </w:r>
          </w:p>
          <w:p w14:paraId="2696D2FA">
            <w:pPr>
              <w:keepNext w:val="0"/>
              <w:keepLines w:val="0"/>
              <w:pageBreakBefore w:val="0"/>
              <w:widowControl w:val="0"/>
              <w:suppressLineNumbers w:val="0"/>
              <w:kinsoku/>
              <w:wordWrap/>
              <w:overflowPunct/>
              <w:topLinePunct w:val="0"/>
              <w:autoSpaceDE/>
              <w:autoSpaceDN/>
              <w:bidi w:val="0"/>
              <w:adjustRightInd/>
              <w:snapToGrid/>
              <w:spacing w:before="2" w:beforeLines="0" w:beforeAutospacing="0" w:after="0" w:afterLines="0" w:afterAutospacing="0" w:line="324" w:lineRule="auto"/>
              <w:ind w:left="0" w:right="0" w:firstLine="0" w:firstLineChars="0"/>
              <w:jc w:val="center"/>
              <w:textAlignment w:val="auto"/>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sz w:val="24"/>
                <w:szCs w:val="24"/>
                <w:highlight w:val="none"/>
              </w:rPr>
              <w:drawing>
                <wp:inline distT="0" distB="0" distL="114300" distR="114300">
                  <wp:extent cx="5011420" cy="1042670"/>
                  <wp:effectExtent l="0" t="0" r="17780" b="5080"/>
                  <wp:docPr id="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
                          <pic:cNvPicPr>
                            <a:picLocks noChangeAspect="1"/>
                          </pic:cNvPicPr>
                        </pic:nvPicPr>
                        <pic:blipFill>
                          <a:blip r:embed="rId55"/>
                          <a:stretch>
                            <a:fillRect/>
                          </a:stretch>
                        </pic:blipFill>
                        <pic:spPr>
                          <a:xfrm>
                            <a:off x="0" y="0"/>
                            <a:ext cx="5011420" cy="1042670"/>
                          </a:xfrm>
                          <a:prstGeom prst="rect">
                            <a:avLst/>
                          </a:prstGeom>
                          <a:noFill/>
                          <a:ln>
                            <a:noFill/>
                          </a:ln>
                        </pic:spPr>
                      </pic:pic>
                    </a:graphicData>
                  </a:graphic>
                </wp:inline>
              </w:drawing>
            </w:r>
          </w:p>
          <w:p w14:paraId="53B7C909">
            <w:pPr>
              <w:keepNext w:val="0"/>
              <w:keepLines w:val="0"/>
              <w:suppressLineNumbers w:val="0"/>
              <w:spacing w:before="78" w:beforeLines="0" w:beforeAutospacing="0" w:after="0" w:afterLines="0" w:afterAutospacing="0" w:line="359" w:lineRule="auto"/>
              <w:ind w:left="0" w:right="34"/>
              <w:jc w:val="center"/>
              <w:rPr>
                <w:rFonts w:hint="default" w:ascii="Times New Roman" w:hAnsi="Times New Roman" w:eastAsia="仿宋" w:cs="Times New Roman"/>
                <w:b/>
                <w:bCs/>
                <w:color w:val="auto"/>
                <w:spacing w:val="0"/>
                <w:w w:val="90"/>
                <w:kern w:val="0"/>
                <w:sz w:val="21"/>
                <w:szCs w:val="21"/>
                <w:highlight w:val="none"/>
              </w:rPr>
            </w:pPr>
            <w:r>
              <w:rPr>
                <w:rFonts w:hint="default" w:ascii="Times New Roman" w:hAnsi="Times New Roman" w:eastAsia="仿宋" w:cs="Times New Roman"/>
                <w:b/>
                <w:bCs/>
                <w:color w:val="auto"/>
                <w:spacing w:val="0"/>
                <w:sz w:val="21"/>
                <w:szCs w:val="21"/>
                <w:highlight w:val="none"/>
              </w:rPr>
              <w:t>图 5</w:t>
            </w:r>
            <w:r>
              <w:rPr>
                <w:rFonts w:hint="eastAsia" w:cs="Times New Roman"/>
                <w:b/>
                <w:bCs/>
                <w:color w:val="auto"/>
                <w:spacing w:val="0"/>
                <w:sz w:val="21"/>
                <w:szCs w:val="21"/>
                <w:highlight w:val="none"/>
                <w:lang w:val="en-US" w:eastAsia="zh-CN"/>
              </w:rPr>
              <w:t>.1</w:t>
            </w:r>
            <w:r>
              <w:rPr>
                <w:rFonts w:hint="default" w:ascii="Times New Roman" w:hAnsi="Times New Roman" w:eastAsia="仿宋" w:cs="Times New Roman"/>
                <w:b/>
                <w:bCs/>
                <w:color w:val="auto"/>
                <w:spacing w:val="0"/>
                <w:sz w:val="21"/>
                <w:szCs w:val="21"/>
                <w:highlight w:val="none"/>
              </w:rPr>
              <w:t>-1</w:t>
            </w:r>
            <w:r>
              <w:rPr>
                <w:rFonts w:hint="default" w:ascii="Times New Roman" w:hAnsi="Times New Roman" w:eastAsia="仿宋" w:cs="Times New Roman"/>
                <w:b/>
                <w:bCs/>
                <w:color w:val="auto"/>
                <w:spacing w:val="0"/>
                <w:sz w:val="21"/>
                <w:szCs w:val="21"/>
                <w:highlight w:val="none"/>
                <w:lang w:val="en-US" w:eastAsia="zh-CN"/>
              </w:rPr>
              <w:t xml:space="preserve"> </w:t>
            </w:r>
            <w:r>
              <w:rPr>
                <w:rFonts w:hint="default" w:ascii="Times New Roman" w:hAnsi="Times New Roman" w:eastAsia="仿宋" w:cs="Times New Roman"/>
                <w:b/>
                <w:bCs/>
                <w:color w:val="auto"/>
                <w:spacing w:val="0"/>
                <w:w w:val="90"/>
                <w:kern w:val="0"/>
                <w:sz w:val="21"/>
                <w:szCs w:val="21"/>
                <w:highlight w:val="none"/>
              </w:rPr>
              <w:t>项目混凝土拌和系统废水处理工艺流程图</w:t>
            </w:r>
          </w:p>
          <w:p w14:paraId="29C9573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每台班末的混凝土拌和系统冲洗废水，排放进入沉淀池，静置沉淀到下一台班末，沉淀时间在6h以上，处理后的废水自流入蓄水池，循环用于混凝土拌和，而不外排。根据废水处理效果， 必要时投加絮凝剂；根据混凝土拌和对水质pH的要求，确定是否需要投加酸加以中和。池的出水端设置为活动式，便于清运和调节水位。在沉淀池污泥沉淀到一定程度则换备用沉淀池。原沉淀池的污泥进行自然干化，干化后用于场区回填。单个混凝土拌和系统设置平流沉淀池的大小4.0m×2.0m×1.0m，蓄水池容积为9m³。项目区根据施工阶段混凝土拌和系统布设情况，合理设置1处混凝土拌和系统清洗场地，小型移动式混凝土拌</w:t>
            </w:r>
            <w:r>
              <w:rPr>
                <w:rFonts w:hint="default" w:ascii="Times New Roman" w:hAnsi="Times New Roman" w:eastAsia="仿宋" w:cs="Times New Roman"/>
                <w:color w:val="auto"/>
                <w:spacing w:val="0"/>
                <w:kern w:val="0"/>
                <w:sz w:val="24"/>
                <w:szCs w:val="24"/>
                <w:highlight w:val="none"/>
                <w:lang w:val="en-US" w:eastAsia="zh-CN"/>
              </w:rPr>
              <w:t>和</w:t>
            </w:r>
            <w:r>
              <w:rPr>
                <w:rFonts w:hint="default" w:ascii="Times New Roman" w:hAnsi="Times New Roman" w:eastAsia="仿宋" w:cs="Times New Roman"/>
                <w:color w:val="auto"/>
                <w:spacing w:val="0"/>
                <w:kern w:val="0"/>
                <w:sz w:val="24"/>
                <w:szCs w:val="24"/>
                <w:highlight w:val="none"/>
              </w:rPr>
              <w:t>系统集中在该处进行冲洗，每个场地设置1座平流沉淀池和1座蓄水池。</w:t>
            </w:r>
          </w:p>
          <w:p w14:paraId="0E42FE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⑤混凝土拌和系统冲洗废水循环利用的可行性</w:t>
            </w:r>
          </w:p>
          <w:p w14:paraId="0A4A7E7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 xml:space="preserve">本工程混凝土拌和系统冲洗废水产生量仅为 </w:t>
            </w:r>
            <w:r>
              <w:rPr>
                <w:rFonts w:hint="default" w:ascii="Times New Roman" w:hAnsi="Times New Roman" w:eastAsia="仿宋" w:cs="Times New Roman"/>
                <w:color w:val="auto"/>
                <w:spacing w:val="0"/>
                <w:kern w:val="0"/>
                <w:sz w:val="24"/>
                <w:szCs w:val="24"/>
                <w:highlight w:val="none"/>
                <w:lang w:val="en-US" w:eastAsia="zh-CN"/>
              </w:rPr>
              <w:t>1</w:t>
            </w:r>
            <w:r>
              <w:rPr>
                <w:rFonts w:hint="default" w:ascii="Times New Roman" w:hAnsi="Times New Roman" w:eastAsia="仿宋" w:cs="Times New Roman"/>
                <w:color w:val="auto"/>
                <w:spacing w:val="0"/>
                <w:kern w:val="0"/>
                <w:sz w:val="24"/>
                <w:szCs w:val="24"/>
                <w:highlight w:val="none"/>
              </w:rPr>
              <w:t>m³/d，废水量很小，系统需水量远远大于冲洗废水量；废水经过处理后，主要污染物 SS 浓度≤70mg，利用水泵从蓄水池抽取废水与新鲜水混合，完全满足混凝土拌和或场地冲洗的水质要求。混凝土拌和系统冲洗废水循环利用、实现零排放是可行的。</w:t>
            </w:r>
          </w:p>
          <w:p w14:paraId="180F647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b w:val="0"/>
                <w:bCs/>
                <w:color w:val="auto"/>
                <w:spacing w:val="0"/>
                <w:kern w:val="0"/>
                <w:sz w:val="24"/>
                <w:szCs w:val="24"/>
                <w:highlight w:val="none"/>
              </w:rPr>
            </w:pPr>
            <w:r>
              <w:rPr>
                <w:rFonts w:hint="default" w:ascii="Times New Roman" w:hAnsi="Times New Roman" w:eastAsia="仿宋" w:cs="Times New Roman"/>
                <w:b w:val="0"/>
                <w:bCs/>
                <w:color w:val="auto"/>
                <w:spacing w:val="0"/>
                <w:kern w:val="0"/>
                <w:sz w:val="24"/>
                <w:szCs w:val="24"/>
                <w:highlight w:val="none"/>
              </w:rPr>
              <w:t>（2）生活污水处理措施</w:t>
            </w:r>
          </w:p>
          <w:p w14:paraId="05A47A6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lang w:val="en-US" w:eastAsia="zh-CN"/>
              </w:rPr>
              <w:t>项目光伏阵列位于上区，但周边居民点较多，生活污水尽量依托租用的民房卫生设施。不能依托的</w:t>
            </w:r>
            <w:r>
              <w:rPr>
                <w:rFonts w:hint="default" w:ascii="Times New Roman" w:hAnsi="Times New Roman" w:eastAsia="仿宋" w:cs="Times New Roman"/>
                <w:color w:val="auto"/>
                <w:spacing w:val="0"/>
                <w:sz w:val="24"/>
                <w:szCs w:val="24"/>
                <w:highlight w:val="none"/>
              </w:rPr>
              <w:t>，设置</w:t>
            </w:r>
            <w:r>
              <w:rPr>
                <w:rFonts w:hint="default" w:ascii="Times New Roman" w:hAnsi="Times New Roman" w:eastAsia="仿宋" w:cs="Times New Roman"/>
                <w:color w:val="auto"/>
                <w:spacing w:val="0"/>
                <w:sz w:val="24"/>
                <w:szCs w:val="24"/>
                <w:highlight w:val="none"/>
                <w:lang w:val="en-US" w:eastAsia="zh-CN"/>
              </w:rPr>
              <w:t>小型</w:t>
            </w:r>
            <w:r>
              <w:rPr>
                <w:rFonts w:hint="default" w:ascii="Times New Roman" w:hAnsi="Times New Roman" w:eastAsia="仿宋" w:cs="Times New Roman"/>
                <w:color w:val="auto"/>
                <w:spacing w:val="0"/>
                <w:sz w:val="24"/>
                <w:szCs w:val="24"/>
                <w:highlight w:val="none"/>
              </w:rPr>
              <w:t>移动式环保公厕，公厕只考虑干粪池，以便减少生活污水产生量，同时，配置吸粪车对公厕进行清理，建议委托周边居民定期清掏做农肥使用。</w:t>
            </w:r>
          </w:p>
          <w:p w14:paraId="6656789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（3）其他生产废水处理设施</w:t>
            </w:r>
          </w:p>
          <w:p w14:paraId="569C179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施工开挖的泥浆水、</w:t>
            </w:r>
            <w:r>
              <w:rPr>
                <w:rFonts w:hint="default" w:ascii="Times New Roman" w:hAnsi="Times New Roman" w:eastAsia="仿宋" w:cs="Times New Roman"/>
                <w:color w:val="auto"/>
                <w:spacing w:val="0"/>
                <w:sz w:val="24"/>
                <w:szCs w:val="24"/>
                <w:highlight w:val="none"/>
                <w:lang w:val="en-US" w:eastAsia="zh-CN"/>
              </w:rPr>
              <w:t>雨季地表径流</w:t>
            </w:r>
            <w:r>
              <w:rPr>
                <w:rFonts w:hint="default" w:ascii="Times New Roman" w:hAnsi="Times New Roman" w:eastAsia="仿宋" w:cs="Times New Roman"/>
                <w:color w:val="auto"/>
                <w:spacing w:val="0"/>
                <w:sz w:val="24"/>
                <w:szCs w:val="24"/>
                <w:highlight w:val="none"/>
              </w:rPr>
              <w:t>、机械设备运转的洗涤水根据现场施工实际情况</w:t>
            </w:r>
            <w:r>
              <w:rPr>
                <w:rFonts w:hint="eastAsia"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布置</w:t>
            </w:r>
            <w:r>
              <w:rPr>
                <w:rFonts w:hint="default" w:ascii="Times New Roman" w:hAnsi="Times New Roman" w:eastAsia="仿宋" w:cs="Times New Roman"/>
                <w:color w:val="auto"/>
                <w:spacing w:val="0"/>
                <w:sz w:val="24"/>
                <w:szCs w:val="24"/>
                <w:highlight w:val="none"/>
                <w:lang w:val="en-US" w:eastAsia="zh-CN"/>
              </w:rPr>
              <w:t>临时</w:t>
            </w:r>
            <w:r>
              <w:rPr>
                <w:rFonts w:hint="default" w:ascii="Times New Roman" w:hAnsi="Times New Roman" w:eastAsia="仿宋" w:cs="Times New Roman"/>
                <w:color w:val="auto"/>
                <w:spacing w:val="0"/>
                <w:sz w:val="24"/>
                <w:szCs w:val="24"/>
                <w:highlight w:val="none"/>
              </w:rPr>
              <w:t>沉淀池</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对泥浆水和冲洗水等收集处理后回用，不外排。</w:t>
            </w:r>
          </w:p>
          <w:p w14:paraId="707405E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（4）其他管理措施</w:t>
            </w:r>
          </w:p>
          <w:p w14:paraId="06E2FE2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①施工过程中，必须严格按照有关设计及规范规定。施工过程中产生的表土不乱堆乱倒，做到文明施工，避免将泥渣直接排入地表水体中。</w:t>
            </w:r>
          </w:p>
          <w:p w14:paraId="3E6E90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②合理安排工期，避免在雨天进行土方作业。</w:t>
            </w:r>
          </w:p>
          <w:p w14:paraId="6EA54C0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③确保排水设施和沉淀设施连续、通畅，发现堵塞或损坏，应当立即疏通或修复。</w:t>
            </w:r>
          </w:p>
          <w:p w14:paraId="1A6CD5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④项目应加强管理，做好机械的日常维护保养，杜绝跑、冒、滴、漏现象。</w:t>
            </w:r>
          </w:p>
          <w:p w14:paraId="30492A6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⑤施工场地材料堆场四周设置挡墙，防止散料被雨水冲刷流失到小河中；施工材料中如化学建材等不得堆放在地表水体附近，并加设土工布围挡，防止被雨水冲刷进入小河。</w:t>
            </w:r>
          </w:p>
          <w:p w14:paraId="2D7540F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⑥施工场地散落的物料要及时清扫，物料堆放要采取防雨水冲刷和淋溶措施，以免被冲入河道，污染水体。</w:t>
            </w:r>
          </w:p>
          <w:p w14:paraId="3019022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⑦加强施工期环境监理，因工程施工导致短期内污染物增幅较大，影响到水质监测断面水质达标的，需积极调整施工时间，将项目施工对水质影响降到最低。</w:t>
            </w:r>
          </w:p>
          <w:p w14:paraId="10E703E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color w:val="auto"/>
                <w:spacing w:val="0"/>
                <w:kern w:val="0"/>
                <w:sz w:val="24"/>
                <w:szCs w:val="24"/>
                <w:highlight w:val="none"/>
              </w:rPr>
            </w:pPr>
            <w:r>
              <w:rPr>
                <w:rFonts w:hint="eastAsia" w:cs="Times New Roman"/>
                <w:b/>
                <w:color w:val="auto"/>
                <w:spacing w:val="0"/>
                <w:kern w:val="0"/>
                <w:sz w:val="24"/>
                <w:szCs w:val="24"/>
                <w:highlight w:val="none"/>
                <w:lang w:val="en-US" w:eastAsia="zh-CN"/>
              </w:rPr>
              <w:t xml:space="preserve">5.1.5 </w:t>
            </w:r>
            <w:r>
              <w:rPr>
                <w:rFonts w:hint="default" w:ascii="Times New Roman" w:hAnsi="Times New Roman" w:eastAsia="仿宋" w:cs="Times New Roman"/>
                <w:b/>
                <w:color w:val="auto"/>
                <w:spacing w:val="0"/>
                <w:kern w:val="0"/>
                <w:sz w:val="24"/>
                <w:szCs w:val="24"/>
                <w:highlight w:val="none"/>
              </w:rPr>
              <w:t>大气环境影响保护措施</w:t>
            </w:r>
          </w:p>
          <w:p w14:paraId="093CF7A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（1）扬尘防治措施</w:t>
            </w:r>
          </w:p>
          <w:p w14:paraId="51F76B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为减少施工扬尘对空气环境的影响，采取如下防治措施：</w:t>
            </w:r>
          </w:p>
          <w:p w14:paraId="6CA567B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①施工场地定期洒水，防止浮尘产生，在大风时加大洒水量及洒水次数。</w:t>
            </w:r>
          </w:p>
          <w:p w14:paraId="4BC402E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②施工场地内运输通道及时清扫、洒水，减少汽车行驶扬尘。</w:t>
            </w:r>
          </w:p>
          <w:p w14:paraId="379C36F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③运输车辆进入施工场地低速行驶或限速行驶，减少扬尘量。</w:t>
            </w:r>
          </w:p>
          <w:p w14:paraId="6320290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④灰渣、水泥等易起尘原料，运输时应采用密闭式槽车运输。</w:t>
            </w:r>
          </w:p>
          <w:p w14:paraId="69C6289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⑤起尘原材料覆盖堆放。</w:t>
            </w:r>
          </w:p>
          <w:p w14:paraId="4C7EF6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⑥所有来往施工场地的多尘物料均应用帆布遮盖。</w:t>
            </w:r>
          </w:p>
          <w:p w14:paraId="50B909E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⑦针对距离居民点</w:t>
            </w:r>
            <w:r>
              <w:rPr>
                <w:rFonts w:hint="default" w:ascii="Times New Roman" w:hAnsi="Times New Roman" w:eastAsia="仿宋" w:cs="Times New Roman"/>
                <w:color w:val="auto"/>
                <w:spacing w:val="0"/>
                <w:kern w:val="0"/>
                <w:sz w:val="24"/>
                <w:szCs w:val="24"/>
                <w:highlight w:val="none"/>
                <w:lang w:val="en-US" w:eastAsia="zh-CN"/>
              </w:rPr>
              <w:t>较</w:t>
            </w:r>
            <w:r>
              <w:rPr>
                <w:rFonts w:hint="default" w:ascii="Times New Roman" w:hAnsi="Times New Roman" w:eastAsia="仿宋" w:cs="Times New Roman"/>
                <w:color w:val="auto"/>
                <w:spacing w:val="0"/>
                <w:kern w:val="0"/>
                <w:sz w:val="24"/>
                <w:szCs w:val="24"/>
                <w:highlight w:val="none"/>
              </w:rPr>
              <w:t>近的</w:t>
            </w:r>
            <w:r>
              <w:rPr>
                <w:rFonts w:hint="default" w:ascii="Times New Roman" w:hAnsi="Times New Roman" w:eastAsia="仿宋" w:cs="Times New Roman"/>
                <w:color w:val="auto"/>
                <w:spacing w:val="0"/>
                <w:kern w:val="0"/>
                <w:sz w:val="24"/>
                <w:szCs w:val="24"/>
                <w:highlight w:val="none"/>
                <w:lang w:val="en-US" w:eastAsia="zh-CN"/>
              </w:rPr>
              <w:t>施工场地材料对唱</w:t>
            </w:r>
            <w:r>
              <w:rPr>
                <w:rFonts w:hint="default" w:ascii="Times New Roman" w:hAnsi="Times New Roman" w:eastAsia="仿宋" w:cs="Times New Roman"/>
                <w:color w:val="auto"/>
                <w:spacing w:val="0"/>
                <w:kern w:val="0"/>
                <w:sz w:val="24"/>
                <w:szCs w:val="24"/>
                <w:highlight w:val="none"/>
              </w:rPr>
              <w:t>，须用帆布覆盖堆放，进行定期洒水，运输车辆进入居民点附近时应限速行驶，减少扬尘量。</w:t>
            </w:r>
          </w:p>
          <w:p w14:paraId="3F88E65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（2）汽车尾气防治措施</w:t>
            </w:r>
          </w:p>
          <w:p w14:paraId="57C3AC8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①选择优质环保的工程设备和燃油，加强对施工机械、车辆的维修保养，禁止以柴油为燃料的施工机械超负荷工作，减少燃油废气的排放；</w:t>
            </w:r>
          </w:p>
          <w:p w14:paraId="38FD877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②施工单位必须使用污染物排放符合国家标准的运输车辆，加强车辆的保养，使车辆处于良好的运行状态，严禁使用报废车辆以减少施工车辆汽车尾气对周围环境的影响。</w:t>
            </w:r>
          </w:p>
          <w:p w14:paraId="6FDF458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color w:val="auto"/>
                <w:spacing w:val="0"/>
                <w:kern w:val="0"/>
                <w:sz w:val="24"/>
                <w:szCs w:val="24"/>
                <w:highlight w:val="none"/>
              </w:rPr>
            </w:pPr>
            <w:r>
              <w:rPr>
                <w:rFonts w:hint="eastAsia" w:cs="Times New Roman"/>
                <w:b/>
                <w:color w:val="auto"/>
                <w:spacing w:val="0"/>
                <w:kern w:val="0"/>
                <w:sz w:val="24"/>
                <w:szCs w:val="24"/>
                <w:highlight w:val="none"/>
                <w:lang w:val="en-US" w:eastAsia="zh-CN"/>
              </w:rPr>
              <w:t>5.1.</w:t>
            </w:r>
            <w:r>
              <w:rPr>
                <w:rFonts w:hint="default" w:ascii="Times New Roman" w:hAnsi="Times New Roman" w:eastAsia="仿宋" w:cs="Times New Roman"/>
                <w:b/>
                <w:color w:val="auto"/>
                <w:spacing w:val="0"/>
                <w:kern w:val="0"/>
                <w:sz w:val="24"/>
                <w:szCs w:val="24"/>
                <w:highlight w:val="none"/>
                <w:lang w:val="en-US" w:eastAsia="zh-CN"/>
              </w:rPr>
              <w:t>6</w:t>
            </w:r>
            <w:r>
              <w:rPr>
                <w:rFonts w:hint="eastAsia" w:cs="Times New Roman"/>
                <w:b/>
                <w:color w:val="auto"/>
                <w:spacing w:val="0"/>
                <w:kern w:val="0"/>
                <w:sz w:val="24"/>
                <w:szCs w:val="24"/>
                <w:highlight w:val="none"/>
                <w:lang w:val="en-US" w:eastAsia="zh-CN"/>
              </w:rPr>
              <w:t xml:space="preserve"> </w:t>
            </w:r>
            <w:r>
              <w:rPr>
                <w:rFonts w:hint="default" w:ascii="Times New Roman" w:hAnsi="Times New Roman" w:eastAsia="仿宋" w:cs="Times New Roman"/>
                <w:b/>
                <w:color w:val="auto"/>
                <w:spacing w:val="0"/>
                <w:kern w:val="0"/>
                <w:sz w:val="24"/>
                <w:szCs w:val="24"/>
                <w:highlight w:val="none"/>
              </w:rPr>
              <w:t>声环境影响保护措施</w:t>
            </w:r>
          </w:p>
          <w:p w14:paraId="7937AAE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本工程为农光互补工程，各保护目标仅在其附近施工点施工期间会受到施工噪声影响，每个工程点的施工时间较短，随着施工点的移动其噪声对周围保护目标的影响将</w:t>
            </w:r>
            <w:r>
              <w:rPr>
                <w:rFonts w:hint="default" w:ascii="Times New Roman" w:hAnsi="Times New Roman" w:eastAsia="仿宋" w:cs="Times New Roman"/>
                <w:color w:val="auto"/>
                <w:spacing w:val="0"/>
                <w:kern w:val="0"/>
                <w:sz w:val="24"/>
                <w:szCs w:val="24"/>
                <w:highlight w:val="none"/>
                <w:lang w:eastAsia="zh-CN"/>
              </w:rPr>
              <w:t>随之</w:t>
            </w:r>
            <w:r>
              <w:rPr>
                <w:rFonts w:hint="default" w:ascii="Times New Roman" w:hAnsi="Times New Roman" w:eastAsia="仿宋" w:cs="Times New Roman"/>
                <w:color w:val="auto"/>
                <w:spacing w:val="0"/>
                <w:kern w:val="0"/>
                <w:sz w:val="24"/>
                <w:szCs w:val="24"/>
                <w:highlight w:val="none"/>
              </w:rPr>
              <w:t>消失。为进一步加强保护周边敏感点声环境质量，项目仍应采取以下施工噪声防治措施：</w:t>
            </w:r>
          </w:p>
          <w:p w14:paraId="21D8D99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①分段施工，施工单元合理安排施工进度，加强施工管理，尽量缩短施工时间；合理安排施工时间，禁止夜间施工。</w:t>
            </w:r>
          </w:p>
          <w:p w14:paraId="53E678D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②合理调整高噪声设备的使用时间</w:t>
            </w:r>
            <w:r>
              <w:rPr>
                <w:rFonts w:hint="eastAsia" w:cs="Times New Roman"/>
                <w:color w:val="auto"/>
                <w:spacing w:val="0"/>
                <w:kern w:val="0"/>
                <w:sz w:val="24"/>
                <w:szCs w:val="24"/>
                <w:highlight w:val="none"/>
                <w:lang w:eastAsia="zh-CN"/>
              </w:rPr>
              <w:t>，对</w:t>
            </w:r>
            <w:r>
              <w:rPr>
                <w:rFonts w:hint="default" w:ascii="Times New Roman" w:hAnsi="Times New Roman" w:eastAsia="仿宋" w:cs="Times New Roman"/>
                <w:color w:val="auto"/>
                <w:spacing w:val="0"/>
                <w:kern w:val="0"/>
                <w:sz w:val="24"/>
                <w:szCs w:val="24"/>
                <w:highlight w:val="none"/>
              </w:rPr>
              <w:t>高噪声设备进行分散式布设，并严禁同时运行，减少噪声叠加影响。</w:t>
            </w:r>
          </w:p>
          <w:p w14:paraId="6903FAE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③合理安排施工场地的布置，对</w:t>
            </w:r>
            <w:r>
              <w:rPr>
                <w:rFonts w:hint="eastAsia" w:cs="Times New Roman"/>
                <w:color w:val="auto"/>
                <w:spacing w:val="0"/>
                <w:kern w:val="0"/>
                <w:sz w:val="24"/>
                <w:szCs w:val="24"/>
                <w:highlight w:val="none"/>
                <w:lang w:eastAsia="zh-CN"/>
              </w:rPr>
              <w:t>产生</w:t>
            </w:r>
            <w:r>
              <w:rPr>
                <w:rFonts w:hint="default" w:ascii="Times New Roman" w:hAnsi="Times New Roman" w:eastAsia="仿宋" w:cs="Times New Roman"/>
                <w:color w:val="auto"/>
                <w:spacing w:val="0"/>
                <w:kern w:val="0"/>
                <w:sz w:val="24"/>
                <w:szCs w:val="24"/>
                <w:highlight w:val="none"/>
              </w:rPr>
              <w:t>噪声较大的施工机械布置在远离敏感目标的一侧，增加施工机械噪声的衰减距离。禁止在居民点周边设置施工机械，并选用人工施工或低噪声施工方式。</w:t>
            </w:r>
          </w:p>
          <w:p w14:paraId="2B2CA03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④优化运输车辆进出施工场地路径，尽量避免在敏感目标附近逗留，途经敏感目标附近时禁止鸣笛。限制大型载重车的车速，尤其进入乡村道路等声区时应限速。</w:t>
            </w:r>
          </w:p>
          <w:p w14:paraId="58DDF1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⑤考虑</w:t>
            </w:r>
            <w:r>
              <w:rPr>
                <w:rFonts w:hint="default" w:ascii="Times New Roman" w:hAnsi="Times New Roman" w:eastAsia="仿宋" w:cs="Times New Roman"/>
                <w:color w:val="auto"/>
                <w:spacing w:val="0"/>
                <w:kern w:val="0"/>
                <w:sz w:val="24"/>
                <w:szCs w:val="24"/>
                <w:highlight w:val="none"/>
                <w:lang w:val="en-US" w:eastAsia="zh-CN"/>
              </w:rPr>
              <w:t>周家沟</w:t>
            </w:r>
            <w:r>
              <w:rPr>
                <w:rFonts w:hint="default" w:ascii="Times New Roman" w:hAnsi="Times New Roman" w:eastAsia="仿宋" w:cs="Times New Roman"/>
                <w:color w:val="auto"/>
                <w:spacing w:val="0"/>
                <w:kern w:val="0"/>
                <w:sz w:val="24"/>
                <w:szCs w:val="24"/>
                <w:highlight w:val="none"/>
              </w:rPr>
              <w:t>居民点距离项目区较近，故施工期间在靠近以上居民点一侧设置</w:t>
            </w:r>
            <w:r>
              <w:rPr>
                <w:rFonts w:hint="default" w:ascii="Times New Roman" w:hAnsi="Times New Roman" w:eastAsia="仿宋" w:cs="Times New Roman"/>
                <w:color w:val="auto"/>
                <w:spacing w:val="0"/>
                <w:kern w:val="0"/>
                <w:sz w:val="24"/>
                <w:szCs w:val="24"/>
                <w:highlight w:val="none"/>
                <w:lang w:val="en-US" w:eastAsia="zh-CN"/>
              </w:rPr>
              <w:t>1.8m高声</w:t>
            </w:r>
            <w:r>
              <w:rPr>
                <w:rFonts w:hint="default" w:ascii="Times New Roman" w:hAnsi="Times New Roman" w:eastAsia="仿宋" w:cs="Times New Roman"/>
                <w:color w:val="auto"/>
                <w:spacing w:val="0"/>
                <w:kern w:val="0"/>
                <w:sz w:val="24"/>
                <w:szCs w:val="24"/>
                <w:highlight w:val="none"/>
              </w:rPr>
              <w:t>屏障，禁止在居民点附近设置施工设施。建设单位需与距离光伏施工区较近的这些居民点提前沟通，在村民外出劳动时方可进行施工。</w:t>
            </w:r>
          </w:p>
          <w:p w14:paraId="5627DA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⑥项目施工场地噪声除采取以上减噪措施以外，还应对受施工干扰的村民在作业前予以通知，并随时向他们汇报施工进度及施工中对降低噪声采取的措施。</w:t>
            </w:r>
          </w:p>
          <w:p w14:paraId="3A2A7E6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color w:val="auto"/>
                <w:spacing w:val="0"/>
                <w:kern w:val="0"/>
                <w:sz w:val="24"/>
                <w:szCs w:val="24"/>
                <w:highlight w:val="none"/>
              </w:rPr>
            </w:pPr>
            <w:r>
              <w:rPr>
                <w:rFonts w:hint="eastAsia" w:cs="Times New Roman"/>
                <w:b/>
                <w:color w:val="auto"/>
                <w:spacing w:val="0"/>
                <w:kern w:val="0"/>
                <w:sz w:val="24"/>
                <w:szCs w:val="24"/>
                <w:highlight w:val="none"/>
                <w:lang w:val="en-US" w:eastAsia="zh-CN"/>
              </w:rPr>
              <w:t xml:space="preserve">5.1.7 </w:t>
            </w:r>
            <w:r>
              <w:rPr>
                <w:rFonts w:hint="default" w:ascii="Times New Roman" w:hAnsi="Times New Roman" w:eastAsia="仿宋" w:cs="Times New Roman"/>
                <w:b/>
                <w:color w:val="auto"/>
                <w:spacing w:val="0"/>
                <w:kern w:val="0"/>
                <w:sz w:val="24"/>
                <w:szCs w:val="24"/>
                <w:highlight w:val="none"/>
              </w:rPr>
              <w:t>固体废物影响保护措施</w:t>
            </w:r>
          </w:p>
          <w:p w14:paraId="7616791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（1）建筑垃圾：施工阶段建筑垃圾产生量为</w:t>
            </w:r>
            <w:r>
              <w:rPr>
                <w:rFonts w:hint="default" w:ascii="Times New Roman" w:hAnsi="Times New Roman" w:eastAsia="仿宋" w:cs="Times New Roman"/>
                <w:color w:val="auto"/>
                <w:spacing w:val="0"/>
                <w:kern w:val="0"/>
                <w:sz w:val="24"/>
                <w:szCs w:val="24"/>
                <w:highlight w:val="none"/>
                <w:lang w:val="en-US" w:eastAsia="zh-CN"/>
              </w:rPr>
              <w:t>20</w:t>
            </w:r>
            <w:r>
              <w:rPr>
                <w:rFonts w:hint="default" w:ascii="Times New Roman" w:hAnsi="Times New Roman" w:eastAsia="仿宋" w:cs="Times New Roman"/>
                <w:color w:val="auto"/>
                <w:spacing w:val="0"/>
                <w:kern w:val="0"/>
                <w:sz w:val="24"/>
                <w:szCs w:val="24"/>
                <w:highlight w:val="none"/>
              </w:rPr>
              <w:t>t，主要是各种砂石碎料、钢筋头等，应集中处理，分类回收再利用；不能回收利用的，由建设单位运送到指定的建筑垃圾处理点进行处理。</w:t>
            </w:r>
          </w:p>
          <w:p w14:paraId="73E51D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（2）生活垃圾：施工人员产生的生活垃圾约</w:t>
            </w:r>
            <w:r>
              <w:rPr>
                <w:rFonts w:hint="default" w:ascii="Times New Roman" w:hAnsi="Times New Roman" w:eastAsia="仿宋" w:cs="Times New Roman"/>
                <w:color w:val="auto"/>
                <w:spacing w:val="0"/>
                <w:kern w:val="0"/>
                <w:sz w:val="24"/>
                <w:szCs w:val="24"/>
                <w:highlight w:val="none"/>
                <w:lang w:val="en-US" w:eastAsia="zh-CN"/>
              </w:rPr>
              <w:t>75</w:t>
            </w:r>
            <w:r>
              <w:rPr>
                <w:rFonts w:hint="default" w:ascii="Times New Roman" w:hAnsi="Times New Roman" w:eastAsia="仿宋" w:cs="Times New Roman"/>
                <w:color w:val="auto"/>
                <w:spacing w:val="0"/>
                <w:kern w:val="0"/>
                <w:sz w:val="24"/>
                <w:szCs w:val="24"/>
                <w:highlight w:val="none"/>
              </w:rPr>
              <w:t>kg/d，</w:t>
            </w:r>
            <w:r>
              <w:rPr>
                <w:rFonts w:hint="default" w:ascii="Times New Roman" w:hAnsi="Times New Roman" w:eastAsia="仿宋" w:cs="Times New Roman"/>
                <w:color w:val="auto"/>
                <w:spacing w:val="0"/>
                <w:kern w:val="0"/>
                <w:sz w:val="24"/>
                <w:szCs w:val="24"/>
                <w:highlight w:val="none"/>
                <w:lang w:val="en-US" w:eastAsia="zh-CN"/>
              </w:rPr>
              <w:t>但施工场地较分散，通过设置移动式</w:t>
            </w:r>
            <w:r>
              <w:rPr>
                <w:rFonts w:hint="default" w:ascii="Times New Roman" w:hAnsi="Times New Roman" w:eastAsia="仿宋" w:cs="Times New Roman"/>
                <w:color w:val="auto"/>
                <w:spacing w:val="0"/>
                <w:kern w:val="0"/>
                <w:sz w:val="24"/>
                <w:szCs w:val="24"/>
                <w:highlight w:val="none"/>
              </w:rPr>
              <w:t>垃圾桶</w:t>
            </w:r>
            <w:r>
              <w:rPr>
                <w:rFonts w:hint="default" w:ascii="Times New Roman" w:hAnsi="Times New Roman" w:eastAsia="仿宋" w:cs="Times New Roman"/>
                <w:color w:val="auto"/>
                <w:spacing w:val="0"/>
                <w:kern w:val="0"/>
                <w:sz w:val="24"/>
                <w:szCs w:val="24"/>
                <w:highlight w:val="none"/>
                <w:lang w:val="en-US" w:eastAsia="zh-CN"/>
              </w:rPr>
              <w:t>收集</w:t>
            </w:r>
            <w:r>
              <w:rPr>
                <w:rFonts w:hint="default" w:ascii="Times New Roman" w:hAnsi="Times New Roman" w:eastAsia="仿宋" w:cs="Times New Roman"/>
                <w:color w:val="auto"/>
                <w:spacing w:val="0"/>
                <w:kern w:val="0"/>
                <w:sz w:val="24"/>
                <w:szCs w:val="24"/>
                <w:highlight w:val="none"/>
              </w:rPr>
              <w:t>，全部收集后运送至当地政府指定的垃圾处置场处置。</w:t>
            </w:r>
          </w:p>
          <w:p w14:paraId="5663132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3）土石方：项目土石方在区域内合理调配，由于本工程的开挖和填筑工程量都较小，土石方沿线就地平衡，本项目土石方挖填平衡，不涉及弃方。施工期严格按照水保方案要求，防治水土流失。本项目应在开挖土石方前，做好表土储存工作，待施工完成后，将暂存的表土回用于道路两侧及站区周边绿化。表土单独堆放，周边砌袋装土临时挡墙，表土堆表面采用彩条布临时防护，周围根据地形设置简易排水沟，及时进行表土回填，减少堆放时间。</w:t>
            </w:r>
          </w:p>
          <w:p w14:paraId="12F79F9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rPr>
            </w:pPr>
            <w:r>
              <w:rPr>
                <w:rFonts w:hint="default" w:ascii="Times New Roman" w:hAnsi="Times New Roman" w:eastAsia="仿宋" w:cs="Times New Roman"/>
                <w:color w:val="auto"/>
                <w:spacing w:val="0"/>
                <w:kern w:val="0"/>
                <w:sz w:val="24"/>
                <w:szCs w:val="24"/>
                <w:highlight w:val="none"/>
              </w:rPr>
              <w:t>（4）废弃材料：不合格光伏板及废弃包装材料（包装木箱）设置临时仓库统一收集，联系再生资源回收企业上门回收处理，不属于危险废物。施工场区内不进行机械检修，故无危险废物产生。</w:t>
            </w:r>
          </w:p>
          <w:p w14:paraId="4FB151F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0" w:firstLineChars="0"/>
              <w:textAlignment w:val="auto"/>
              <w:rPr>
                <w:rFonts w:hint="default" w:ascii="Times New Roman" w:hAnsi="Times New Roman" w:eastAsia="仿宋" w:cs="Times New Roman"/>
                <w:b/>
                <w:color w:val="auto"/>
                <w:spacing w:val="0"/>
                <w:kern w:val="0"/>
                <w:sz w:val="24"/>
                <w:szCs w:val="24"/>
                <w:highlight w:val="none"/>
                <w:lang w:val="en-US" w:eastAsia="zh-CN"/>
              </w:rPr>
            </w:pPr>
            <w:r>
              <w:rPr>
                <w:rFonts w:hint="eastAsia" w:cs="Times New Roman"/>
                <w:b/>
                <w:color w:val="auto"/>
                <w:spacing w:val="0"/>
                <w:kern w:val="0"/>
                <w:sz w:val="24"/>
                <w:szCs w:val="24"/>
                <w:highlight w:val="none"/>
                <w:lang w:val="en-US" w:eastAsia="zh-CN"/>
              </w:rPr>
              <w:t xml:space="preserve">5.1.8 </w:t>
            </w:r>
            <w:r>
              <w:rPr>
                <w:rFonts w:hint="default" w:ascii="Times New Roman" w:hAnsi="Times New Roman" w:eastAsia="仿宋" w:cs="Times New Roman"/>
                <w:b/>
                <w:color w:val="auto"/>
                <w:spacing w:val="0"/>
                <w:kern w:val="0"/>
                <w:sz w:val="24"/>
                <w:szCs w:val="24"/>
                <w:highlight w:val="none"/>
                <w:lang w:val="en-US" w:eastAsia="zh-CN"/>
              </w:rPr>
              <w:t>施工期生态保护红线保护措施</w:t>
            </w:r>
          </w:p>
          <w:p w14:paraId="480CCF2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（1）在醒目地方设立警示牌，</w:t>
            </w:r>
            <w:r>
              <w:rPr>
                <w:rFonts w:hint="default" w:ascii="Times New Roman" w:hAnsi="Times New Roman" w:eastAsia="仿宋" w:cs="Times New Roman"/>
                <w:color w:val="auto"/>
                <w:spacing w:val="0"/>
                <w:kern w:val="0"/>
                <w:sz w:val="24"/>
                <w:szCs w:val="24"/>
                <w:highlight w:val="none"/>
                <w:lang w:val="en-US" w:eastAsia="zh-CN"/>
              </w:rPr>
              <w:t>严禁占用</w:t>
            </w:r>
            <w:r>
              <w:rPr>
                <w:rFonts w:hint="default" w:ascii="Times New Roman" w:hAnsi="Times New Roman" w:eastAsia="仿宋" w:cs="Times New Roman"/>
                <w:color w:val="auto"/>
                <w:spacing w:val="0"/>
                <w:kern w:val="0"/>
                <w:sz w:val="24"/>
                <w:szCs w:val="24"/>
                <w:highlight w:val="none"/>
                <w:lang w:val="en-US" w:eastAsia="en-US"/>
              </w:rPr>
              <w:t>征地红线范围外的土地。对靠近生态保护红线的区域，施工扰动范围应退后5m，禁止贴线开发行为。</w:t>
            </w:r>
          </w:p>
          <w:p w14:paraId="2E73645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（2）禁止任何施工人员、施工机械进入生态保护红线区域。禁止生态保护红线区域内发生一切人为活动。</w:t>
            </w:r>
          </w:p>
          <w:p w14:paraId="1BDDCD7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（3）增强施工人员的保护意识，严禁捕猎野生动物。施工人员必须遵守《中华人民共和国野生动物保护法》。</w:t>
            </w:r>
          </w:p>
          <w:p w14:paraId="271F9F2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（4）野生鸟类和兽类大多是晨昏外出觅食，正午休息。为了减少工程施工噪声对野生动物的惊扰，应做好施工方式和时间的计划，并力求避免在晨昏和正午施工。</w:t>
            </w:r>
          </w:p>
          <w:p w14:paraId="032A587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（5）在施工期间，施工人员应严格遵守《中华人民共和国野生植物保护条例》和《中华人民共和国水土保持法》，严禁乱砍滥伐。</w:t>
            </w:r>
          </w:p>
          <w:p w14:paraId="0A9196C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6）施工单位应制定行之有效的污染防治和水土流失防治方案，采取有效措施保护好周围景物、水体、林草植被、野生动植物资源、地形地貌和生态保护红线的资源，确保建设项目与周围景观和环境相协调，不得就地取材、乱倒渣土、乱扔垃圾。</w:t>
            </w:r>
          </w:p>
          <w:p w14:paraId="27AB8EF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textAlignment w:val="auto"/>
              <w:rPr>
                <w:rFonts w:hint="default" w:ascii="Times New Roman" w:hAnsi="Times New Roman" w:eastAsia="仿宋" w:cs="Times New Roman"/>
                <w:color w:val="auto"/>
                <w:spacing w:val="0"/>
                <w:kern w:val="0"/>
                <w:sz w:val="24"/>
                <w:szCs w:val="24"/>
                <w:highlight w:val="none"/>
                <w:lang w:val="en-US" w:eastAsia="en-US"/>
              </w:rPr>
            </w:pPr>
            <w:r>
              <w:rPr>
                <w:rFonts w:hint="default" w:ascii="Times New Roman" w:hAnsi="Times New Roman" w:eastAsia="仿宋" w:cs="Times New Roman"/>
                <w:color w:val="auto"/>
                <w:spacing w:val="0"/>
                <w:kern w:val="0"/>
                <w:sz w:val="24"/>
                <w:szCs w:val="24"/>
                <w:highlight w:val="none"/>
                <w:lang w:val="en-US" w:eastAsia="en-US"/>
              </w:rPr>
              <w:t>（7）施工过程中需加强监管，严禁施工人员野外用火，防范森林火灾。</w:t>
            </w:r>
          </w:p>
          <w:p w14:paraId="3090D6FC">
            <w:pPr>
              <w:keepNext w:val="0"/>
              <w:keepLines w:val="0"/>
              <w:suppressLineNumbers w:val="0"/>
              <w:adjustRightInd w:val="0"/>
              <w:snapToGrid w:val="0"/>
              <w:spacing w:before="0" w:beforeAutospacing="0" w:after="0" w:afterAutospacing="0"/>
              <w:ind w:left="0" w:right="0" w:firstLine="0" w:firstLineChars="0"/>
              <w:rPr>
                <w:rFonts w:hint="default"/>
                <w:bCs/>
                <w:color w:val="auto"/>
                <w:szCs w:val="21"/>
                <w:highlight w:val="none"/>
              </w:rPr>
            </w:pPr>
            <w:r>
              <w:rPr>
                <w:rFonts w:hint="eastAsia"/>
                <w:bCs/>
                <w:color w:val="auto"/>
                <w:szCs w:val="21"/>
                <w:highlight w:val="none"/>
              </w:rPr>
              <w:t>5.1.</w:t>
            </w:r>
            <w:r>
              <w:rPr>
                <w:rFonts w:hint="eastAsia"/>
                <w:bCs/>
                <w:color w:val="auto"/>
                <w:szCs w:val="21"/>
                <w:highlight w:val="none"/>
                <w:lang w:val="en-US" w:eastAsia="zh-CN"/>
              </w:rPr>
              <w:t>9</w:t>
            </w:r>
            <w:r>
              <w:rPr>
                <w:rFonts w:hint="eastAsia"/>
                <w:bCs/>
                <w:color w:val="auto"/>
                <w:szCs w:val="21"/>
                <w:highlight w:val="none"/>
              </w:rPr>
              <w:t>环境监测及管理计划</w:t>
            </w:r>
          </w:p>
          <w:p w14:paraId="7C026162">
            <w:pPr>
              <w:keepNext w:val="0"/>
              <w:keepLines w:val="0"/>
              <w:suppressLineNumbers w:val="0"/>
              <w:adjustRightInd w:val="0"/>
              <w:snapToGrid w:val="0"/>
              <w:spacing w:before="0" w:beforeAutospacing="0" w:after="0" w:afterAutospacing="0"/>
              <w:ind w:left="0" w:right="0" w:firstLine="0" w:firstLineChars="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1、环境管理计划</w:t>
            </w:r>
          </w:p>
          <w:p w14:paraId="025EDFEC">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（1）前期阶段</w:t>
            </w:r>
          </w:p>
          <w:p w14:paraId="0CC102D5">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前期工作中，项目建设单位应有专人负责工程的环境保护工作，设置专门的环境保护管理机构，其人员至少1人，主要负责项目建设期的环境保护管理工作，其主要职责为：</w:t>
            </w:r>
          </w:p>
          <w:p w14:paraId="63964B4B">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①协助本项目的环境管理。</w:t>
            </w:r>
          </w:p>
          <w:p w14:paraId="17D369A3">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②督促和落实环保工程设计与实施。</w:t>
            </w:r>
          </w:p>
          <w:p w14:paraId="24883DE6">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③在承包合同中落实环保条款，配合环保部门监理，提供施工中环保执行信息。</w:t>
            </w:r>
          </w:p>
          <w:p w14:paraId="19BB766D">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④与环保监测单位签订环境监测委托合同，检查环境监测计划的实施，并将监测报告与执行情况上报建设单位及</w:t>
            </w:r>
            <w:r>
              <w:rPr>
                <w:rFonts w:hint="eastAsia" w:ascii="Times New Roman" w:hAnsi="Times New Roman" w:cs="Times New Roman"/>
                <w:bCs/>
                <w:color w:val="auto"/>
                <w:szCs w:val="21"/>
                <w:highlight w:val="none"/>
                <w:lang w:val="en-US" w:eastAsia="zh-CN"/>
              </w:rPr>
              <w:t>曲靖</w:t>
            </w:r>
            <w:r>
              <w:rPr>
                <w:rFonts w:hint="default" w:ascii="Times New Roman" w:hAnsi="Times New Roman" w:cs="Times New Roman"/>
                <w:bCs/>
                <w:color w:val="auto"/>
                <w:szCs w:val="21"/>
                <w:highlight w:val="none"/>
              </w:rPr>
              <w:t>市生态环境局。</w:t>
            </w:r>
          </w:p>
          <w:p w14:paraId="47BAED38">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⑤负责受影响公众的环保投诉。</w:t>
            </w:r>
          </w:p>
          <w:p w14:paraId="692B4AF8">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⑥积极配合、支持地方环保主管部门的工作，并接受其监督与检查。</w:t>
            </w:r>
          </w:p>
          <w:p w14:paraId="3CE7ECD4">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（2）施工期</w:t>
            </w:r>
          </w:p>
          <w:p w14:paraId="2875479A">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①工程施工</w:t>
            </w:r>
            <w:r>
              <w:rPr>
                <w:rFonts w:hint="eastAsia" w:cs="Times New Roman"/>
                <w:bCs/>
                <w:color w:val="auto"/>
                <w:szCs w:val="21"/>
                <w:highlight w:val="none"/>
                <w:lang w:eastAsia="zh-CN"/>
              </w:rPr>
              <w:t>期间</w:t>
            </w:r>
            <w:r>
              <w:rPr>
                <w:rFonts w:hint="default" w:ascii="Times New Roman" w:hAnsi="Times New Roman" w:cs="Times New Roman"/>
                <w:bCs/>
                <w:color w:val="auto"/>
                <w:szCs w:val="21"/>
                <w:highlight w:val="none"/>
              </w:rPr>
              <w:t>应严格实行招投标制和合同制，将工程的环境保护要求、环境保护设施建设、需达到的预期效果列入招标文件和合同中，明确相关的责任和要求。</w:t>
            </w:r>
          </w:p>
          <w:p w14:paraId="36489678">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②施工期建设单位应设1～2人专职人员，负责工程施工期的环境管理与监督，监督施工单位搞好工程的水土保持，植被恢复、施工噪声和施工扬尘防治等工作。</w:t>
            </w:r>
          </w:p>
          <w:p w14:paraId="19C143ED">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③项目应依法对施工内容、时间</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相关信息进行公示。</w:t>
            </w:r>
          </w:p>
          <w:p w14:paraId="265795C5">
            <w:pPr>
              <w:keepNext w:val="0"/>
              <w:keepLines w:val="0"/>
              <w:suppressLineNumbers w:val="0"/>
              <w:adjustRightInd w:val="0"/>
              <w:snapToGrid w:val="0"/>
              <w:spacing w:before="0" w:beforeAutospacing="0" w:after="0" w:afterAutospacing="0"/>
              <w:ind w:left="0" w:right="0" w:firstLine="0" w:firstLineChars="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5.1.</w:t>
            </w:r>
            <w:r>
              <w:rPr>
                <w:rFonts w:hint="eastAsia" w:cs="Times New Roman"/>
                <w:bCs/>
                <w:color w:val="auto"/>
                <w:szCs w:val="21"/>
                <w:highlight w:val="none"/>
                <w:lang w:val="en-US" w:eastAsia="zh-CN"/>
              </w:rPr>
              <w:t>10</w:t>
            </w:r>
            <w:r>
              <w:rPr>
                <w:rFonts w:hint="default" w:ascii="Times New Roman" w:hAnsi="Times New Roman" w:cs="Times New Roman"/>
                <w:bCs/>
                <w:color w:val="auto"/>
                <w:szCs w:val="21"/>
                <w:highlight w:val="none"/>
              </w:rPr>
              <w:t>施工期环境监理计划</w:t>
            </w:r>
          </w:p>
          <w:p w14:paraId="091962AA">
            <w:pPr>
              <w:keepNext w:val="0"/>
              <w:keepLines w:val="0"/>
              <w:suppressLineNumbers w:val="0"/>
              <w:adjustRightInd w:val="0"/>
              <w:snapToGrid w:val="0"/>
              <w:spacing w:before="0" w:beforeAutospacing="0" w:after="0" w:afterAutospacing="0"/>
              <w:ind w:left="0" w:right="0" w:firstLine="48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按照工程建设管理要求，项目业主必须对每个建设工程委托有资质的施工监理机构。施工监理机构必须配备相应的环境监理工程师。其主要负责监理方的建筑工程活动及其他相关活动。本项目施工期间环境监理计划详见下表：</w:t>
            </w:r>
          </w:p>
          <w:p w14:paraId="2DEABACC">
            <w:pPr>
              <w:keepNext w:val="0"/>
              <w:keepLines w:val="0"/>
              <w:suppressLineNumbers w:val="0"/>
              <w:adjustRightInd w:val="0"/>
              <w:snapToGrid w:val="0"/>
              <w:spacing w:before="0" w:beforeAutospacing="0" w:after="0" w:afterAutospacing="0"/>
              <w:ind w:left="0" w:right="0" w:firstLine="48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表</w:t>
            </w:r>
            <w:r>
              <w:rPr>
                <w:rFonts w:hint="eastAsia" w:cs="Times New Roman"/>
                <w:bCs/>
                <w:color w:val="auto"/>
                <w:szCs w:val="21"/>
                <w:highlight w:val="none"/>
                <w:lang w:val="en-US" w:eastAsia="zh-CN"/>
              </w:rPr>
              <w:t>5.1-1</w:t>
            </w:r>
            <w:r>
              <w:rPr>
                <w:rFonts w:hint="default" w:ascii="Times New Roman" w:hAnsi="Times New Roman" w:cs="Times New Roman"/>
                <w:bCs/>
                <w:color w:val="auto"/>
                <w:szCs w:val="21"/>
                <w:highlight w:val="none"/>
              </w:rPr>
              <w:t xml:space="preserve">  施工期监理计划一览表</w:t>
            </w:r>
          </w:p>
          <w:tbl>
            <w:tblPr>
              <w:tblStyle w:val="10"/>
              <w:tblW w:w="0" w:type="auto"/>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710"/>
              <w:gridCol w:w="7501"/>
            </w:tblGrid>
            <w:tr w14:paraId="0A61FE1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0" w:type="dxa"/>
                  <w:tcBorders>
                    <w:tl2br w:val="nil"/>
                    <w:tr2bl w:val="nil"/>
                  </w:tcBorders>
                  <w:vAlign w:val="center"/>
                </w:tcPr>
                <w:p w14:paraId="210CEFF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监理内容</w:t>
                  </w:r>
                </w:p>
              </w:tc>
              <w:tc>
                <w:tcPr>
                  <w:tcW w:w="7501" w:type="dxa"/>
                  <w:tcBorders>
                    <w:tl2br w:val="nil"/>
                    <w:tr2bl w:val="nil"/>
                  </w:tcBorders>
                  <w:vAlign w:val="center"/>
                </w:tcPr>
                <w:p w14:paraId="085D9D2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监理要求</w:t>
                  </w:r>
                </w:p>
              </w:tc>
            </w:tr>
            <w:tr w14:paraId="6C58A37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71" w:hRule="atLeast"/>
              </w:trPr>
              <w:tc>
                <w:tcPr>
                  <w:tcW w:w="710" w:type="dxa"/>
                  <w:tcBorders>
                    <w:tl2br w:val="nil"/>
                    <w:tr2bl w:val="nil"/>
                  </w:tcBorders>
                  <w:vAlign w:val="center"/>
                </w:tcPr>
                <w:p w14:paraId="6C5E736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施工扬尘</w:t>
                  </w:r>
                </w:p>
              </w:tc>
              <w:tc>
                <w:tcPr>
                  <w:tcW w:w="7501" w:type="dxa"/>
                  <w:vMerge w:val="restart"/>
                  <w:tcBorders>
                    <w:tl2br w:val="nil"/>
                    <w:tr2bl w:val="nil"/>
                  </w:tcBorders>
                  <w:vAlign w:val="center"/>
                </w:tcPr>
                <w:p w14:paraId="7E7F1514">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施工过程中及时喷水抑尘；对需要回填的土方及石子、砂子等进行定期洒水或网布遮盖抑尘；对易产尘的材料，实行轻卸慢放；施工场地采取洒水降尘、临时覆盖等措施防尘。</w:t>
                  </w:r>
                </w:p>
              </w:tc>
            </w:tr>
            <w:tr w14:paraId="0663EFD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13" w:hRule="atLeast"/>
              </w:trPr>
              <w:tc>
                <w:tcPr>
                  <w:tcW w:w="710" w:type="dxa"/>
                  <w:tcBorders>
                    <w:tl2br w:val="nil"/>
                    <w:tr2bl w:val="nil"/>
                  </w:tcBorders>
                  <w:vAlign w:val="center"/>
                </w:tcPr>
                <w:p w14:paraId="1F83E82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施工废水</w:t>
                  </w:r>
                </w:p>
              </w:tc>
              <w:tc>
                <w:tcPr>
                  <w:tcW w:w="7501" w:type="dxa"/>
                  <w:vMerge w:val="restart"/>
                  <w:tcBorders>
                    <w:tl2br w:val="nil"/>
                    <w:tr2bl w:val="nil"/>
                  </w:tcBorders>
                  <w:vAlign w:val="center"/>
                </w:tcPr>
                <w:p w14:paraId="226E8EA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废水设置沉淀池，经沉淀处理后回用于施工或洒水降尘；项目施工场地附近拟设旱厕一座，粪尿污水进入旱厕，旱厕定期清掏，全部用于周边农用地及灌木施肥，不外排；设置临时截排水沟及沉淀池处理雨天地表径流，地表径流沉淀后排入周边沟渠。</w:t>
                  </w:r>
                </w:p>
              </w:tc>
            </w:tr>
            <w:tr w14:paraId="4B7954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002" w:hRule="atLeast"/>
              </w:trPr>
              <w:tc>
                <w:tcPr>
                  <w:tcW w:w="710" w:type="dxa"/>
                  <w:tcBorders>
                    <w:tl2br w:val="nil"/>
                    <w:tr2bl w:val="nil"/>
                  </w:tcBorders>
                  <w:vAlign w:val="center"/>
                </w:tcPr>
                <w:p w14:paraId="42F3F98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施工噪声</w:t>
                  </w:r>
                </w:p>
              </w:tc>
              <w:tc>
                <w:tcPr>
                  <w:tcW w:w="7501" w:type="dxa"/>
                  <w:vMerge w:val="restart"/>
                  <w:tcBorders>
                    <w:tl2br w:val="nil"/>
                    <w:tr2bl w:val="nil"/>
                  </w:tcBorders>
                  <w:vAlign w:val="center"/>
                </w:tcPr>
                <w:p w14:paraId="24B83FE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使用的主要机械设备为低噪声机械设备，同时在施工过程中施工单位应设专人对设备进行定期保养和维护，并负责对现场工作人员进行培训，严格按操作规范使用各类机械，合理安排施工时间，禁止夜间施工。在光伏方阵施工点距离小冲居民点25m时改为人工施工，不得使用高噪声施工设备，同时合理安排施工时间，禁止夜间施工。</w:t>
                  </w:r>
                </w:p>
              </w:tc>
            </w:tr>
            <w:tr w14:paraId="2998750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81" w:hRule="atLeast"/>
              </w:trPr>
              <w:tc>
                <w:tcPr>
                  <w:tcW w:w="710" w:type="dxa"/>
                  <w:tcBorders>
                    <w:tl2br w:val="nil"/>
                    <w:tr2bl w:val="nil"/>
                  </w:tcBorders>
                  <w:vAlign w:val="center"/>
                </w:tcPr>
                <w:p w14:paraId="08A8673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固体废弃物</w:t>
                  </w:r>
                </w:p>
              </w:tc>
              <w:tc>
                <w:tcPr>
                  <w:tcW w:w="7501" w:type="dxa"/>
                  <w:vMerge w:val="restart"/>
                  <w:tcBorders>
                    <w:tl2br w:val="nil"/>
                    <w:tr2bl w:val="nil"/>
                  </w:tcBorders>
                  <w:vAlign w:val="center"/>
                </w:tcPr>
                <w:p w14:paraId="3F8D44E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期间剥离表土在工程施工结束后用于植被恢复覆土，在土石方平衡中，无弃渣；建筑垃圾在可再生利用部分回收后，不可回收利用的委托有资质单位处置；施工人员生活垃圾委托环卫部门清运处理；旱厕定期委托周围农户定期清掏。</w:t>
                  </w:r>
                </w:p>
              </w:tc>
            </w:tr>
            <w:tr w14:paraId="0D3087D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47" w:hRule="atLeast"/>
              </w:trPr>
              <w:tc>
                <w:tcPr>
                  <w:tcW w:w="710" w:type="dxa"/>
                  <w:tcBorders>
                    <w:tl2br w:val="nil"/>
                    <w:tr2bl w:val="nil"/>
                  </w:tcBorders>
                  <w:vAlign w:val="center"/>
                </w:tcPr>
                <w:p w14:paraId="58CD9E9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施工期生态保护</w:t>
                  </w:r>
                </w:p>
              </w:tc>
              <w:tc>
                <w:tcPr>
                  <w:tcW w:w="7501" w:type="dxa"/>
                  <w:vMerge w:val="restart"/>
                  <w:tcBorders>
                    <w:tl2br w:val="nil"/>
                    <w:tr2bl w:val="nil"/>
                  </w:tcBorders>
                  <w:vAlign w:val="center"/>
                </w:tcPr>
                <w:p w14:paraId="634946D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及时恢复临时占地使用功能，及时覆土绿化，绿化结束后，应定期进行抚育管理，合理安排施工程序，易造成水土流失的工程尽量避开雨季。施工结束后应尽快做好清理恢复工作。管线施工后采取人工植树种草的措施，加快植被的恢复进程。</w:t>
                  </w:r>
                </w:p>
              </w:tc>
            </w:tr>
            <w:tr w14:paraId="606D357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9" w:hRule="atLeast"/>
              </w:trPr>
              <w:tc>
                <w:tcPr>
                  <w:tcW w:w="710" w:type="dxa"/>
                  <w:tcBorders>
                    <w:tl2br w:val="nil"/>
                    <w:tr2bl w:val="nil"/>
                  </w:tcBorders>
                  <w:vAlign w:val="center"/>
                </w:tcPr>
                <w:p w14:paraId="19D8311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w:t>
                  </w:r>
                </w:p>
              </w:tc>
              <w:tc>
                <w:tcPr>
                  <w:tcW w:w="7501" w:type="dxa"/>
                  <w:tcBorders>
                    <w:tl2br w:val="nil"/>
                    <w:tr2bl w:val="nil"/>
                  </w:tcBorders>
                  <w:vAlign w:val="center"/>
                </w:tcPr>
                <w:p w14:paraId="15E07EC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材料堆场的选址符合环保要求；运输过程无泼洒。所需砂、石、渣料选择通过环保部门审批的料场提供；禁止向河流、渠道、水沟、水库排放粪便、施工人员的生活污水，倾倒施工固体废弃物和生活垃圾及清洗工具等。</w:t>
                  </w:r>
                </w:p>
              </w:tc>
            </w:tr>
          </w:tbl>
          <w:p w14:paraId="23E9A787">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5.1.1</w:t>
            </w:r>
            <w:r>
              <w:rPr>
                <w:rFonts w:hint="eastAsia"/>
                <w:color w:val="auto"/>
                <w:highlight w:val="none"/>
                <w:lang w:val="en-US" w:eastAsia="zh-CN"/>
              </w:rPr>
              <w:t>1</w:t>
            </w:r>
            <w:r>
              <w:rPr>
                <w:rFonts w:hint="eastAsia"/>
                <w:color w:val="auto"/>
                <w:highlight w:val="none"/>
              </w:rPr>
              <w:t xml:space="preserve"> </w:t>
            </w:r>
            <w:r>
              <w:rPr>
                <w:rFonts w:hint="default"/>
                <w:color w:val="auto"/>
                <w:highlight w:val="none"/>
              </w:rPr>
              <w:t>环境监测计划</w:t>
            </w:r>
          </w:p>
          <w:p w14:paraId="55CC9ED6">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（1）大气和声环境质量监测</w:t>
            </w:r>
          </w:p>
          <w:p w14:paraId="25F66BCF">
            <w:pPr>
              <w:keepNext w:val="0"/>
              <w:keepLines w:val="0"/>
              <w:suppressLineNumbers w:val="0"/>
              <w:spacing w:before="0" w:beforeAutospacing="0" w:after="0" w:afterAutospacing="0"/>
              <w:ind w:left="0" w:right="0" w:firstLine="480"/>
              <w:rPr>
                <w:rFonts w:hint="default"/>
                <w:color w:val="auto"/>
                <w:highlight w:val="none"/>
              </w:rPr>
            </w:pPr>
            <w:r>
              <w:rPr>
                <w:rFonts w:hint="default"/>
                <w:color w:val="auto"/>
                <w:highlight w:val="none"/>
              </w:rPr>
              <w:t>为了解工程建设对敏感点环境空气和声环境的影响，结合工程施工总布置及敏感点分布，选取距离项目区较近的</w:t>
            </w:r>
            <w:r>
              <w:rPr>
                <w:rFonts w:hint="eastAsia"/>
                <w:color w:val="auto"/>
                <w:highlight w:val="none"/>
                <w:lang w:val="en-US" w:eastAsia="zh-CN"/>
              </w:rPr>
              <w:t>几</w:t>
            </w:r>
            <w:r>
              <w:rPr>
                <w:rFonts w:hint="default"/>
                <w:color w:val="auto"/>
                <w:highlight w:val="none"/>
              </w:rPr>
              <w:t>个</w:t>
            </w:r>
            <w:r>
              <w:rPr>
                <w:rFonts w:hint="eastAsia"/>
                <w:color w:val="auto"/>
                <w:highlight w:val="none"/>
                <w:lang w:val="en-US" w:eastAsia="zh-CN"/>
              </w:rPr>
              <w:t>环境敏感点作为</w:t>
            </w:r>
            <w:r>
              <w:rPr>
                <w:rFonts w:hint="default"/>
                <w:color w:val="auto"/>
                <w:highlight w:val="none"/>
              </w:rPr>
              <w:t>监测点，详见表</w:t>
            </w:r>
            <w:r>
              <w:rPr>
                <w:rFonts w:hint="eastAsia"/>
                <w:color w:val="auto"/>
                <w:highlight w:val="none"/>
              </w:rPr>
              <w:t>5.1-2</w:t>
            </w:r>
            <w:r>
              <w:rPr>
                <w:rFonts w:hint="default"/>
                <w:color w:val="auto"/>
                <w:highlight w:val="none"/>
              </w:rPr>
              <w:t>。</w:t>
            </w:r>
          </w:p>
          <w:p w14:paraId="7992A589">
            <w:pPr>
              <w:keepNext w:val="0"/>
              <w:keepLines w:val="0"/>
              <w:suppressLineNumbers w:val="0"/>
              <w:spacing w:before="0" w:beforeAutospacing="0" w:after="0" w:afterAutospacing="0"/>
              <w:ind w:left="0" w:right="0" w:firstLine="480"/>
              <w:jc w:val="center"/>
              <w:rPr>
                <w:rFonts w:hint="default"/>
                <w:color w:val="auto"/>
                <w:highlight w:val="none"/>
              </w:rPr>
            </w:pPr>
            <w:r>
              <w:rPr>
                <w:rFonts w:hint="eastAsia"/>
                <w:color w:val="auto"/>
                <w:highlight w:val="none"/>
              </w:rPr>
              <w:t>表</w:t>
            </w:r>
            <w:r>
              <w:rPr>
                <w:rFonts w:hint="eastAsia"/>
                <w:color w:val="auto"/>
                <w:highlight w:val="none"/>
                <w:lang w:val="en-US" w:eastAsia="zh-CN"/>
              </w:rPr>
              <w:t>5.1-2</w:t>
            </w:r>
            <w:r>
              <w:rPr>
                <w:rFonts w:hint="eastAsia"/>
                <w:color w:val="auto"/>
                <w:highlight w:val="none"/>
              </w:rPr>
              <w:t xml:space="preserve">  施工区环境空气和声环境监测一览表</w:t>
            </w:r>
          </w:p>
          <w:tbl>
            <w:tblPr>
              <w:tblStyle w:val="10"/>
              <w:tblW w:w="8209" w:type="dxa"/>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108" w:type="dxa"/>
                <w:bottom w:w="0" w:type="dxa"/>
                <w:right w:w="108" w:type="dxa"/>
              </w:tblCellMar>
            </w:tblPr>
            <w:tblGrid>
              <w:gridCol w:w="1853"/>
              <w:gridCol w:w="1849"/>
              <w:gridCol w:w="1598"/>
              <w:gridCol w:w="2909"/>
            </w:tblGrid>
            <w:tr w14:paraId="6B3E160F">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495" w:hRule="atLeast"/>
                <w:jc w:val="center"/>
              </w:trPr>
              <w:tc>
                <w:tcPr>
                  <w:tcW w:w="1128" w:type="pct"/>
                  <w:tcBorders>
                    <w:tl2br w:val="nil"/>
                    <w:tr2bl w:val="nil"/>
                  </w:tcBorders>
                  <w:vAlign w:val="center"/>
                </w:tcPr>
                <w:p w14:paraId="09E56199">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监测对象</w:t>
                  </w:r>
                </w:p>
              </w:tc>
              <w:tc>
                <w:tcPr>
                  <w:tcW w:w="1126" w:type="pct"/>
                  <w:tcBorders>
                    <w:tl2br w:val="nil"/>
                    <w:tr2bl w:val="nil"/>
                  </w:tcBorders>
                  <w:vAlign w:val="center"/>
                </w:tcPr>
                <w:p w14:paraId="3FDDE28E">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监测点</w:t>
                  </w:r>
                </w:p>
              </w:tc>
              <w:tc>
                <w:tcPr>
                  <w:tcW w:w="973" w:type="pct"/>
                  <w:tcBorders>
                    <w:tl2br w:val="nil"/>
                    <w:tr2bl w:val="nil"/>
                  </w:tcBorders>
                  <w:vAlign w:val="center"/>
                </w:tcPr>
                <w:p w14:paraId="3E492F5D">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监测参数</w:t>
                  </w:r>
                </w:p>
              </w:tc>
              <w:tc>
                <w:tcPr>
                  <w:tcW w:w="1771" w:type="pct"/>
                  <w:tcBorders>
                    <w:tl2br w:val="nil"/>
                    <w:tr2bl w:val="nil"/>
                  </w:tcBorders>
                  <w:vAlign w:val="center"/>
                </w:tcPr>
                <w:p w14:paraId="18AACB18">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监测时间及频次</w:t>
                  </w:r>
                </w:p>
              </w:tc>
            </w:tr>
            <w:tr w14:paraId="09393FEF">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698" w:hRule="atLeast"/>
                <w:jc w:val="center"/>
              </w:trPr>
              <w:tc>
                <w:tcPr>
                  <w:tcW w:w="1128" w:type="pct"/>
                  <w:tcBorders>
                    <w:tl2br w:val="nil"/>
                    <w:tr2bl w:val="nil"/>
                  </w:tcBorders>
                  <w:vAlign w:val="center"/>
                </w:tcPr>
                <w:p w14:paraId="47E11C15">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环境空气</w:t>
                  </w:r>
                </w:p>
              </w:tc>
              <w:tc>
                <w:tcPr>
                  <w:tcW w:w="1126" w:type="pct"/>
                  <w:vMerge w:val="restart"/>
                  <w:tcBorders>
                    <w:tl2br w:val="nil"/>
                    <w:tr2bl w:val="nil"/>
                  </w:tcBorders>
                  <w:vAlign w:val="center"/>
                </w:tcPr>
                <w:p w14:paraId="61AC8A5B">
                  <w:pPr>
                    <w:keepNext w:val="0"/>
                    <w:keepLines w:val="0"/>
                    <w:suppressLineNumbers w:val="0"/>
                    <w:spacing w:before="0" w:beforeAutospacing="0" w:after="0" w:afterAutospacing="0" w:line="240" w:lineRule="auto"/>
                    <w:ind w:left="0" w:right="0" w:firstLine="0" w:firstLineChars="0"/>
                    <w:jc w:val="center"/>
                    <w:rPr>
                      <w:rFonts w:hint="default" w:eastAsia="仿宋"/>
                      <w:color w:val="auto"/>
                      <w:sz w:val="21"/>
                      <w:szCs w:val="21"/>
                      <w:highlight w:val="none"/>
                      <w:lang w:val="en-US" w:eastAsia="zh-CN"/>
                    </w:rPr>
                  </w:pPr>
                  <w:r>
                    <w:rPr>
                      <w:rFonts w:hint="eastAsia"/>
                      <w:color w:val="auto"/>
                      <w:sz w:val="21"/>
                      <w:szCs w:val="21"/>
                      <w:highlight w:val="none"/>
                      <w:lang w:val="en-US" w:eastAsia="zh-CN"/>
                    </w:rPr>
                    <w:t>大丫口居民点、唐家村居民点、大箐湾子居民点、义庄散户、山王庙居民点、堰边沟居民点、周家沟居民点</w:t>
                  </w:r>
                </w:p>
              </w:tc>
              <w:tc>
                <w:tcPr>
                  <w:tcW w:w="973" w:type="pct"/>
                  <w:tcBorders>
                    <w:tl2br w:val="nil"/>
                    <w:tr2bl w:val="nil"/>
                  </w:tcBorders>
                  <w:vAlign w:val="center"/>
                </w:tcPr>
                <w:p w14:paraId="5794D0D9">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TSP</w:t>
                  </w:r>
                </w:p>
              </w:tc>
              <w:tc>
                <w:tcPr>
                  <w:tcW w:w="1771" w:type="pct"/>
                  <w:tcBorders>
                    <w:tl2br w:val="nil"/>
                    <w:tr2bl w:val="nil"/>
                  </w:tcBorders>
                  <w:vAlign w:val="center"/>
                </w:tcPr>
                <w:p w14:paraId="031CF6EB">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监测时间为施工期高峰期监测</w:t>
                  </w:r>
                  <w:r>
                    <w:rPr>
                      <w:rFonts w:hint="default"/>
                      <w:color w:val="auto"/>
                      <w:sz w:val="21"/>
                      <w:szCs w:val="21"/>
                      <w:highlight w:val="none"/>
                    </w:rPr>
                    <w:t>1</w:t>
                  </w:r>
                  <w:r>
                    <w:rPr>
                      <w:rFonts w:hint="eastAsia"/>
                      <w:color w:val="auto"/>
                      <w:sz w:val="21"/>
                      <w:szCs w:val="21"/>
                      <w:highlight w:val="none"/>
                    </w:rPr>
                    <w:t>次，每次</w:t>
                  </w:r>
                  <w:r>
                    <w:rPr>
                      <w:rFonts w:hint="default"/>
                      <w:color w:val="auto"/>
                      <w:sz w:val="21"/>
                      <w:szCs w:val="21"/>
                      <w:highlight w:val="none"/>
                    </w:rPr>
                    <w:t>3</w:t>
                  </w:r>
                  <w:r>
                    <w:rPr>
                      <w:rFonts w:hint="eastAsia"/>
                      <w:color w:val="auto"/>
                      <w:sz w:val="21"/>
                      <w:szCs w:val="21"/>
                      <w:highlight w:val="none"/>
                    </w:rPr>
                    <w:t>天连续有效数据</w:t>
                  </w:r>
                </w:p>
              </w:tc>
            </w:tr>
            <w:tr w14:paraId="56DF4E7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1166" w:hRule="atLeast"/>
                <w:jc w:val="center"/>
              </w:trPr>
              <w:tc>
                <w:tcPr>
                  <w:tcW w:w="1128" w:type="pct"/>
                  <w:tcBorders>
                    <w:tl2br w:val="nil"/>
                    <w:tr2bl w:val="nil"/>
                  </w:tcBorders>
                  <w:vAlign w:val="center"/>
                </w:tcPr>
                <w:p w14:paraId="74566DE5">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声环境</w:t>
                  </w:r>
                </w:p>
              </w:tc>
              <w:tc>
                <w:tcPr>
                  <w:tcW w:w="1126" w:type="pct"/>
                  <w:vMerge w:val="continue"/>
                  <w:tcBorders>
                    <w:tl2br w:val="nil"/>
                    <w:tr2bl w:val="nil"/>
                  </w:tcBorders>
                  <w:vAlign w:val="center"/>
                </w:tcPr>
                <w:p w14:paraId="32C2D242">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p>
              </w:tc>
              <w:tc>
                <w:tcPr>
                  <w:tcW w:w="973" w:type="pct"/>
                  <w:tcBorders>
                    <w:tl2br w:val="nil"/>
                    <w:tr2bl w:val="nil"/>
                  </w:tcBorders>
                  <w:vAlign w:val="center"/>
                </w:tcPr>
                <w:p w14:paraId="77090411">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 xml:space="preserve">等效连续 </w:t>
                  </w:r>
                  <w:r>
                    <w:rPr>
                      <w:rFonts w:hint="default"/>
                      <w:color w:val="auto"/>
                      <w:sz w:val="21"/>
                      <w:szCs w:val="21"/>
                      <w:highlight w:val="none"/>
                    </w:rPr>
                    <w:t xml:space="preserve">A </w:t>
                  </w:r>
                  <w:r>
                    <w:rPr>
                      <w:rFonts w:hint="eastAsia"/>
                      <w:color w:val="auto"/>
                      <w:sz w:val="21"/>
                      <w:szCs w:val="21"/>
                      <w:highlight w:val="none"/>
                    </w:rPr>
                    <w:t>声级</w:t>
                  </w:r>
                </w:p>
              </w:tc>
              <w:tc>
                <w:tcPr>
                  <w:tcW w:w="1771" w:type="pct"/>
                  <w:tcBorders>
                    <w:tl2br w:val="nil"/>
                    <w:tr2bl w:val="nil"/>
                  </w:tcBorders>
                  <w:vAlign w:val="center"/>
                </w:tcPr>
                <w:p w14:paraId="2FEDF511">
                  <w:pPr>
                    <w:keepNext w:val="0"/>
                    <w:keepLines w:val="0"/>
                    <w:suppressLineNumbers w:val="0"/>
                    <w:spacing w:before="0" w:beforeAutospacing="0" w:after="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监测时间为施工期高峰期监测</w:t>
                  </w:r>
                  <w:r>
                    <w:rPr>
                      <w:rFonts w:hint="default"/>
                      <w:color w:val="auto"/>
                      <w:sz w:val="21"/>
                      <w:szCs w:val="21"/>
                      <w:highlight w:val="none"/>
                    </w:rPr>
                    <w:t>1</w:t>
                  </w:r>
                  <w:r>
                    <w:rPr>
                      <w:rFonts w:hint="eastAsia"/>
                      <w:color w:val="auto"/>
                      <w:sz w:val="21"/>
                      <w:szCs w:val="21"/>
                      <w:highlight w:val="none"/>
                    </w:rPr>
                    <w:t>次，声环境每次连续</w:t>
                  </w:r>
                  <w:r>
                    <w:rPr>
                      <w:rFonts w:hint="default"/>
                      <w:color w:val="auto"/>
                      <w:sz w:val="21"/>
                      <w:szCs w:val="21"/>
                      <w:highlight w:val="none"/>
                    </w:rPr>
                    <w:t>2</w:t>
                  </w:r>
                  <w:r>
                    <w:rPr>
                      <w:rFonts w:hint="eastAsia"/>
                      <w:color w:val="auto"/>
                      <w:sz w:val="21"/>
                      <w:szCs w:val="21"/>
                      <w:highlight w:val="none"/>
                    </w:rPr>
                    <w:t>天，分别监测昼间和夜间。</w:t>
                  </w:r>
                </w:p>
              </w:tc>
            </w:tr>
          </w:tbl>
          <w:p w14:paraId="4FD1008B">
            <w:pPr>
              <w:keepNext w:val="0"/>
              <w:keepLines w:val="0"/>
              <w:suppressLineNumbers w:val="0"/>
              <w:spacing w:before="0" w:beforeAutospacing="0" w:after="0" w:afterAutospacing="0"/>
              <w:ind w:left="0" w:right="0" w:firstLine="0" w:firstLineChars="0"/>
              <w:rPr>
                <w:rFonts w:hint="default"/>
                <w:color w:val="auto"/>
                <w:highlight w:val="none"/>
              </w:rPr>
            </w:pPr>
            <w:r>
              <w:rPr>
                <w:rFonts w:hint="eastAsia"/>
                <w:color w:val="auto"/>
                <w:highlight w:val="none"/>
              </w:rPr>
              <w:t>5.1.1</w:t>
            </w:r>
            <w:r>
              <w:rPr>
                <w:rFonts w:hint="eastAsia"/>
                <w:color w:val="auto"/>
                <w:highlight w:val="none"/>
                <w:lang w:val="en-US" w:eastAsia="zh-CN"/>
              </w:rPr>
              <w:t>2</w:t>
            </w:r>
            <w:r>
              <w:rPr>
                <w:rFonts w:hint="eastAsia"/>
                <w:color w:val="auto"/>
                <w:highlight w:val="none"/>
              </w:rPr>
              <w:t xml:space="preserve"> </w:t>
            </w:r>
            <w:r>
              <w:rPr>
                <w:rFonts w:hint="default"/>
                <w:color w:val="auto"/>
                <w:highlight w:val="none"/>
              </w:rPr>
              <w:t>措施的合理性分析</w:t>
            </w:r>
          </w:p>
          <w:p w14:paraId="147C9158">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rPr>
            </w:pPr>
            <w:r>
              <w:rPr>
                <w:rFonts w:hint="default"/>
                <w:color w:val="auto"/>
                <w:highlight w:val="none"/>
              </w:rPr>
              <w:t>本项目目前所采取的措施均是技术先进、经济合理，便于实施、能够稳定运行，且长期有效可行的措施，在已有项目的运行中，运行较稳定。生态保护和修复效果，只要严格落实报告中提出的环境保护措施，其保护和修复效果是可以达到的。</w:t>
            </w:r>
          </w:p>
          <w:p w14:paraId="7A933BB1">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rPr>
            </w:pPr>
          </w:p>
          <w:p w14:paraId="5B0D4A4E">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rPr>
            </w:pPr>
          </w:p>
          <w:p w14:paraId="47DEA0D0">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rPr>
            </w:pPr>
          </w:p>
          <w:p w14:paraId="0156B324">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rPr>
            </w:pPr>
          </w:p>
          <w:p w14:paraId="43B56AA7">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rPr>
            </w:pPr>
          </w:p>
          <w:p w14:paraId="177A47F6">
            <w:pPr>
              <w:keepNext w:val="0"/>
              <w:keepLines w:val="0"/>
              <w:suppressLineNumbers w:val="0"/>
              <w:snapToGrid w:val="0"/>
              <w:spacing w:before="0" w:beforeAutospacing="0" w:after="0" w:afterAutospacing="0" w:line="360" w:lineRule="auto"/>
              <w:ind w:left="0" w:right="0" w:firstLine="480" w:firstLineChars="200"/>
              <w:rPr>
                <w:rFonts w:hint="default"/>
                <w:color w:val="auto"/>
                <w:highlight w:val="none"/>
                <w:lang w:eastAsia="zh-CN"/>
              </w:rPr>
            </w:pPr>
          </w:p>
        </w:tc>
      </w:tr>
      <w:tr w14:paraId="3F8B70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7" w:type="pct"/>
            <w:noWrap w:val="0"/>
            <w:tcMar>
              <w:left w:w="28" w:type="dxa"/>
              <w:right w:w="28" w:type="dxa"/>
            </w:tcMar>
            <w:vAlign w:val="center"/>
          </w:tcPr>
          <w:p w14:paraId="1AC5AB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bCs/>
                <w:color w:val="auto"/>
                <w:spacing w:val="10"/>
                <w:sz w:val="24"/>
                <w:szCs w:val="24"/>
                <w:highlight w:val="none"/>
              </w:rPr>
            </w:pPr>
            <w:r>
              <w:rPr>
                <w:rFonts w:hint="default" w:ascii="Times New Roman" w:hAnsi="Times New Roman" w:eastAsia="仿宋" w:cs="Times New Roman"/>
                <w:bCs/>
                <w:color w:val="auto"/>
                <w:spacing w:val="10"/>
                <w:sz w:val="24"/>
                <w:szCs w:val="24"/>
                <w:highlight w:val="none"/>
              </w:rPr>
              <w:t>运营期生态环境保护措施</w:t>
            </w:r>
          </w:p>
        </w:tc>
        <w:tc>
          <w:tcPr>
            <w:tcW w:w="4622" w:type="pct"/>
            <w:noWrap w:val="0"/>
            <w:vAlign w:val="top"/>
          </w:tcPr>
          <w:p w14:paraId="2DD804D9">
            <w:pPr>
              <w:keepNext w:val="0"/>
              <w:keepLines w:val="0"/>
              <w:suppressLineNumbers w:val="0"/>
              <w:adjustRightInd w:val="0"/>
              <w:snapToGrid w:val="0"/>
              <w:spacing w:before="0" w:beforeAutospacing="0" w:after="0" w:afterAutospacing="0"/>
              <w:ind w:left="0" w:right="0" w:firstLine="0" w:firstLineChars="0"/>
              <w:rPr>
                <w:rFonts w:hint="default"/>
                <w:bCs/>
                <w:color w:val="auto"/>
                <w:szCs w:val="21"/>
                <w:highlight w:val="none"/>
              </w:rPr>
            </w:pPr>
            <w:r>
              <w:rPr>
                <w:rFonts w:hint="default"/>
                <w:b/>
                <w:color w:val="auto"/>
                <w:szCs w:val="21"/>
                <w:highlight w:val="none"/>
              </w:rPr>
              <w:t>5.2营运期污染影响控制措施</w:t>
            </w:r>
          </w:p>
          <w:p w14:paraId="36A998A4">
            <w:pPr>
              <w:keepNext w:val="0"/>
              <w:keepLines w:val="0"/>
              <w:suppressLineNumbers w:val="0"/>
              <w:snapToGrid w:val="0"/>
              <w:spacing w:before="0" w:beforeAutospacing="0" w:after="0" w:afterAutospacing="0" w:line="360" w:lineRule="auto"/>
              <w:ind w:left="0" w:leftChars="0" w:right="0" w:firstLine="0" w:firstLineChars="0"/>
              <w:rPr>
                <w:rFonts w:hint="default" w:ascii="Times New Roman" w:hAnsi="Times New Roman" w:eastAsia="仿宋" w:cs="Times New Roman"/>
                <w:b/>
                <w:bCs w:val="0"/>
                <w:color w:val="auto"/>
                <w:sz w:val="24"/>
                <w:szCs w:val="24"/>
                <w:highlight w:val="none"/>
              </w:rPr>
            </w:pPr>
            <w:r>
              <w:rPr>
                <w:rFonts w:hint="eastAsia" w:cs="Times New Roman"/>
                <w:b/>
                <w:bCs w:val="0"/>
                <w:color w:val="auto"/>
                <w:sz w:val="24"/>
                <w:szCs w:val="24"/>
                <w:highlight w:val="none"/>
                <w:lang w:val="en-US" w:eastAsia="zh-CN"/>
              </w:rPr>
              <w:t>5.2.1营运期</w:t>
            </w:r>
            <w:r>
              <w:rPr>
                <w:rFonts w:hint="default" w:ascii="Times New Roman" w:hAnsi="Times New Roman" w:eastAsia="仿宋" w:cs="Times New Roman"/>
                <w:b/>
                <w:bCs w:val="0"/>
                <w:color w:val="auto"/>
                <w:sz w:val="24"/>
                <w:szCs w:val="24"/>
                <w:highlight w:val="none"/>
              </w:rPr>
              <w:t>生态环境保护措施</w:t>
            </w:r>
          </w:p>
          <w:p w14:paraId="08B416B3">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①本项目运营阶段，禁止违法开垦项目区外的土地，禁止破坏项目区范围外的植被。</w:t>
            </w:r>
          </w:p>
          <w:p w14:paraId="0EA7EBBE">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②保护当地的野生动物，禁止人为捕杀；禁止引入外来入侵物种。</w:t>
            </w:r>
          </w:p>
          <w:p w14:paraId="35E16B4C">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③光伏周围建设好截排水沟，空闲地多种植本地树种，减少区域水土流失。</w:t>
            </w:r>
          </w:p>
          <w:p w14:paraId="7C026FD9">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④建设单位要做好项目区的</w:t>
            </w:r>
            <w:r>
              <w:rPr>
                <w:rFonts w:hint="eastAsia" w:cs="Times New Roman"/>
                <w:color w:val="auto"/>
                <w:sz w:val="24"/>
                <w:szCs w:val="24"/>
                <w:highlight w:val="none"/>
                <w:lang w:val="en-US" w:eastAsia="zh-CN"/>
              </w:rPr>
              <w:t>森林草原防灭火</w:t>
            </w:r>
            <w:r>
              <w:rPr>
                <w:rFonts w:hint="default" w:ascii="Times New Roman" w:hAnsi="Times New Roman" w:eastAsia="仿宋" w:cs="Times New Roman"/>
                <w:color w:val="auto"/>
                <w:sz w:val="24"/>
                <w:szCs w:val="24"/>
                <w:highlight w:val="none"/>
                <w:lang w:val="en-US" w:eastAsia="zh-CN"/>
              </w:rPr>
              <w:t>工作，重点加强项目运营、检修期间的野外火源管理，落实</w:t>
            </w:r>
            <w:r>
              <w:rPr>
                <w:rFonts w:hint="eastAsia" w:cs="Times New Roman"/>
                <w:color w:val="auto"/>
                <w:sz w:val="24"/>
                <w:szCs w:val="24"/>
                <w:highlight w:val="none"/>
                <w:lang w:val="en-US" w:eastAsia="zh-CN"/>
              </w:rPr>
              <w:t>森林草原防灭火</w:t>
            </w:r>
            <w:r>
              <w:rPr>
                <w:rFonts w:hint="default" w:ascii="Times New Roman" w:hAnsi="Times New Roman" w:eastAsia="仿宋" w:cs="Times New Roman"/>
                <w:color w:val="auto"/>
                <w:sz w:val="24"/>
                <w:szCs w:val="24"/>
                <w:highlight w:val="none"/>
                <w:lang w:val="en-US" w:eastAsia="zh-CN"/>
              </w:rPr>
              <w:t>管护人员和措施。</w:t>
            </w:r>
          </w:p>
          <w:p w14:paraId="652CB36F">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⑤在满足正常运营的同时，须保证电池组件阵列下方不得改变林草地用途，不得裸露地表、硬化或作其他用途。</w:t>
            </w:r>
          </w:p>
          <w:p w14:paraId="53199303">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⑥在满足光伏电站正常建设运营的同时，尽可能减少对散生木的采伐。</w:t>
            </w:r>
          </w:p>
          <w:p w14:paraId="2CA0DEFB">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lang w:val="en-US" w:eastAsia="zh-CN"/>
              </w:rPr>
            </w:pPr>
            <w:r>
              <w:rPr>
                <w:rFonts w:hint="eastAsia" w:cs="Times New Roman"/>
                <w:b/>
                <w:bCs/>
                <w:color w:val="auto"/>
                <w:szCs w:val="22"/>
                <w:highlight w:val="none"/>
                <w:lang w:val="en-US" w:eastAsia="zh-CN"/>
              </w:rPr>
              <w:t>5.2.2营运期大气污染防治措施</w:t>
            </w:r>
          </w:p>
          <w:p w14:paraId="562ED72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w:t>
            </w:r>
            <w:r>
              <w:rPr>
                <w:rFonts w:hint="default" w:ascii="Times New Roman" w:hAnsi="Times New Roman" w:eastAsia="仿宋" w:cs="Times New Roman"/>
                <w:color w:val="auto"/>
                <w:szCs w:val="21"/>
                <w:highlight w:val="none"/>
              </w:rPr>
              <w:t>升压站食堂应设置油烟净化器，油烟废气经集气罩收集进入油烟净化器处理后</w:t>
            </w:r>
            <w:r>
              <w:rPr>
                <w:rFonts w:hint="default" w:ascii="Times New Roman" w:hAnsi="Times New Roman" w:eastAsia="仿宋" w:cs="Times New Roman"/>
                <w:color w:val="auto"/>
                <w:szCs w:val="21"/>
                <w:highlight w:val="none"/>
                <w:lang w:val="en-US" w:eastAsia="zh-CN"/>
              </w:rPr>
              <w:t>外</w:t>
            </w:r>
            <w:r>
              <w:rPr>
                <w:rFonts w:hint="default" w:ascii="Times New Roman" w:hAnsi="Times New Roman" w:eastAsia="仿宋" w:cs="Times New Roman"/>
                <w:color w:val="auto"/>
                <w:szCs w:val="21"/>
                <w:highlight w:val="none"/>
              </w:rPr>
              <w:t>排。</w:t>
            </w:r>
          </w:p>
          <w:p w14:paraId="5E5057D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（2）场内道路两旁栽种行道树，阻挡道路扬尘，设置标志提醒车辆减速慢行，</w:t>
            </w:r>
            <w:r>
              <w:rPr>
                <w:rFonts w:hint="default" w:ascii="Times New Roman" w:hAnsi="Times New Roman" w:eastAsia="仿宋" w:cs="Times New Roman"/>
                <w:color w:val="auto"/>
                <w:szCs w:val="22"/>
                <w:highlight w:val="none"/>
                <w:lang w:eastAsia="zh-CN"/>
              </w:rPr>
              <w:t>减少</w:t>
            </w:r>
            <w:r>
              <w:rPr>
                <w:rFonts w:hint="default" w:ascii="Times New Roman" w:hAnsi="Times New Roman" w:eastAsia="仿宋" w:cs="Times New Roman"/>
                <w:color w:val="auto"/>
                <w:szCs w:val="22"/>
                <w:highlight w:val="none"/>
              </w:rPr>
              <w:t>道路扬尘、车辆尾气对周围大气环境的影响。</w:t>
            </w:r>
          </w:p>
          <w:p w14:paraId="7CD6E780">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rPr>
            </w:pPr>
            <w:r>
              <w:rPr>
                <w:rFonts w:hint="eastAsia" w:cs="Times New Roman"/>
                <w:b/>
                <w:bCs/>
                <w:color w:val="auto"/>
                <w:szCs w:val="22"/>
                <w:highlight w:val="none"/>
                <w:lang w:val="en-US" w:eastAsia="zh-CN"/>
              </w:rPr>
              <w:t>5.2.3营运期水污染防治措施</w:t>
            </w:r>
          </w:p>
          <w:p w14:paraId="63FF8C0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（1）升压站内实行雨污分流</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rPr>
              <w:t>厨房废水经1座</w:t>
            </w:r>
            <w:r>
              <w:rPr>
                <w:rFonts w:hint="default" w:ascii="Times New Roman" w:hAnsi="Times New Roman" w:eastAsia="仿宋" w:cs="Times New Roman"/>
                <w:color w:val="auto"/>
                <w:szCs w:val="22"/>
                <w:highlight w:val="none"/>
                <w:lang w:val="en-US" w:eastAsia="zh-CN"/>
              </w:rPr>
              <w:t>0.5</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隔油池处理，再与</w:t>
            </w:r>
            <w:r>
              <w:rPr>
                <w:rFonts w:hint="default" w:ascii="Times New Roman" w:hAnsi="Times New Roman" w:eastAsia="仿宋" w:cs="Times New Roman"/>
                <w:color w:val="auto"/>
                <w:szCs w:val="22"/>
                <w:highlight w:val="none"/>
                <w:lang w:eastAsia="zh-CN"/>
              </w:rPr>
              <w:t>其他生活</w:t>
            </w:r>
            <w:r>
              <w:rPr>
                <w:rFonts w:hint="default" w:ascii="Times New Roman" w:hAnsi="Times New Roman" w:eastAsia="仿宋" w:cs="Times New Roman"/>
                <w:color w:val="auto"/>
                <w:szCs w:val="22"/>
                <w:highlight w:val="none"/>
              </w:rPr>
              <w:t>污水经1座</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化粪池预处理后，进入</w:t>
            </w:r>
            <w:r>
              <w:rPr>
                <w:rFonts w:hint="default" w:ascii="Times New Roman" w:hAnsi="Times New Roman" w:eastAsia="仿宋" w:cs="Times New Roman"/>
                <w:color w:val="auto"/>
                <w:szCs w:val="22"/>
                <w:highlight w:val="none"/>
                <w:lang w:val="en-US" w:eastAsia="zh-CN"/>
              </w:rPr>
              <w:t>1</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/d的一体化污水处理设施处理达到《城市污水再生利用城市杂用水水质》（GB/T18920-2020）中绿化标准后回用于升压站绿化，雨天暂存于1座</w:t>
            </w:r>
            <w:r>
              <w:rPr>
                <w:rFonts w:hint="default" w:ascii="Times New Roman" w:hAnsi="Times New Roman" w:eastAsia="仿宋" w:cs="Times New Roman"/>
                <w:color w:val="auto"/>
                <w:szCs w:val="22"/>
                <w:highlight w:val="none"/>
                <w:lang w:val="en-US" w:eastAsia="zh-CN"/>
              </w:rPr>
              <w:t>8</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的回用水暂存池内，不外排。</w:t>
            </w:r>
          </w:p>
          <w:p w14:paraId="3BECFC9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（2）光伏板清洗水</w:t>
            </w:r>
            <w:r>
              <w:rPr>
                <w:rFonts w:hint="default" w:ascii="Times New Roman" w:hAnsi="Times New Roman" w:eastAsia="仿宋" w:cs="Times New Roman"/>
                <w:color w:val="auto"/>
                <w:szCs w:val="22"/>
                <w:highlight w:val="none"/>
                <w:lang w:val="en-US" w:eastAsia="zh-CN"/>
              </w:rPr>
              <w:t>流淌至</w:t>
            </w:r>
            <w:r>
              <w:rPr>
                <w:rFonts w:hint="default" w:ascii="Times New Roman" w:hAnsi="Times New Roman" w:eastAsia="仿宋" w:cs="Times New Roman"/>
                <w:bCs/>
                <w:color w:val="auto"/>
                <w:kern w:val="0"/>
                <w:szCs w:val="21"/>
                <w:highlight w:val="none"/>
              </w:rPr>
              <w:t>光伏板区底层</w:t>
            </w:r>
            <w:r>
              <w:rPr>
                <w:rFonts w:hint="default" w:ascii="Times New Roman" w:hAnsi="Times New Roman" w:eastAsia="仿宋" w:cs="Times New Roman"/>
                <w:bCs/>
                <w:color w:val="auto"/>
                <w:kern w:val="0"/>
                <w:szCs w:val="21"/>
                <w:highlight w:val="none"/>
                <w:lang w:val="en-US" w:eastAsia="zh-CN"/>
              </w:rPr>
              <w:t>被农作物吸收</w:t>
            </w:r>
            <w:r>
              <w:rPr>
                <w:rFonts w:hint="default" w:ascii="Times New Roman" w:hAnsi="Times New Roman" w:eastAsia="仿宋" w:cs="Times New Roman"/>
                <w:color w:val="auto"/>
                <w:szCs w:val="22"/>
                <w:highlight w:val="none"/>
              </w:rPr>
              <w:t>，不外排。</w:t>
            </w:r>
          </w:p>
          <w:p w14:paraId="4A4FB7A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（3）应定期对化粪池、隔油池进行清掏；定期检修一体化污水处理设施，建立污水处理设施管理制度，以保障污水处理设施的处理效果。</w:t>
            </w:r>
          </w:p>
          <w:p w14:paraId="6239F75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zCs w:val="22"/>
                <w:highlight w:val="none"/>
              </w:rPr>
              <w:t>（4）</w:t>
            </w:r>
            <w:r>
              <w:rPr>
                <w:rFonts w:hint="default" w:ascii="Times New Roman" w:hAnsi="Times New Roman" w:eastAsia="仿宋" w:cs="Times New Roman"/>
                <w:bCs/>
                <w:color w:val="auto"/>
                <w:szCs w:val="22"/>
                <w:highlight w:val="none"/>
              </w:rPr>
              <w:t>禁止向地表水排放任何废水，定期巡逻检查，加强监管及宣传教育。</w:t>
            </w:r>
          </w:p>
          <w:p w14:paraId="4A237A9F">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lang w:val="en-US" w:eastAsia="zh-CN"/>
              </w:rPr>
            </w:pPr>
            <w:r>
              <w:rPr>
                <w:rFonts w:hint="eastAsia" w:cs="Times New Roman"/>
                <w:b/>
                <w:bCs/>
                <w:color w:val="auto"/>
                <w:szCs w:val="22"/>
                <w:highlight w:val="none"/>
                <w:lang w:val="en-US" w:eastAsia="zh-CN"/>
              </w:rPr>
              <w:t>5.2.4 营运期</w:t>
            </w:r>
            <w:r>
              <w:rPr>
                <w:rFonts w:hint="default" w:ascii="Times New Roman" w:hAnsi="Times New Roman" w:eastAsia="仿宋" w:cs="Times New Roman"/>
                <w:b/>
                <w:bCs/>
                <w:color w:val="auto"/>
                <w:szCs w:val="22"/>
                <w:highlight w:val="none"/>
              </w:rPr>
              <w:t>噪声</w:t>
            </w:r>
            <w:r>
              <w:rPr>
                <w:rFonts w:hint="eastAsia" w:cs="Times New Roman"/>
                <w:b/>
                <w:bCs/>
                <w:color w:val="auto"/>
                <w:szCs w:val="22"/>
                <w:highlight w:val="none"/>
                <w:lang w:val="en-US" w:eastAsia="zh-CN"/>
              </w:rPr>
              <w:t>污染防治措施</w:t>
            </w:r>
          </w:p>
          <w:p w14:paraId="5810C6A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（1）选用低噪声设备，从声源处降低噪声强度。</w:t>
            </w:r>
          </w:p>
          <w:p w14:paraId="6588B02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（2）升压站平面布置</w:t>
            </w:r>
            <w:r>
              <w:rPr>
                <w:rFonts w:hint="default" w:ascii="Times New Roman" w:hAnsi="Times New Roman" w:eastAsia="仿宋" w:cs="Times New Roman"/>
                <w:color w:val="auto"/>
                <w:szCs w:val="22"/>
                <w:highlight w:val="none"/>
                <w:lang w:val="en-US" w:eastAsia="zh-CN"/>
              </w:rPr>
              <w:t>合理</w:t>
            </w:r>
            <w:r>
              <w:rPr>
                <w:rFonts w:hint="default" w:ascii="Times New Roman" w:hAnsi="Times New Roman" w:eastAsia="仿宋" w:cs="Times New Roman"/>
                <w:color w:val="auto"/>
                <w:szCs w:val="22"/>
                <w:highlight w:val="none"/>
              </w:rPr>
              <w:t>，在噪声传播途径上，采取措施加以控制，尽可能将高噪声设备设置在密闭房间内。</w:t>
            </w:r>
          </w:p>
          <w:p w14:paraId="593504E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（3）种植一定数量的阔叶乔木，以起到吸收</w:t>
            </w:r>
            <w:r>
              <w:rPr>
                <w:rFonts w:hint="default" w:ascii="Times New Roman" w:hAnsi="Times New Roman" w:eastAsia="仿宋" w:cs="Times New Roman"/>
                <w:color w:val="auto"/>
                <w:szCs w:val="22"/>
                <w:highlight w:val="none"/>
                <w:lang w:val="en-US" w:eastAsia="zh-CN"/>
              </w:rPr>
              <w:t>站</w:t>
            </w:r>
            <w:r>
              <w:rPr>
                <w:rFonts w:hint="default" w:ascii="Times New Roman" w:hAnsi="Times New Roman" w:eastAsia="仿宋" w:cs="Times New Roman"/>
                <w:color w:val="auto"/>
                <w:szCs w:val="22"/>
                <w:highlight w:val="none"/>
              </w:rPr>
              <w:t>内部</w:t>
            </w:r>
            <w:r>
              <w:rPr>
                <w:rFonts w:hint="default" w:ascii="Times New Roman" w:hAnsi="Times New Roman" w:eastAsia="仿宋" w:cs="Times New Roman"/>
                <w:color w:val="auto"/>
                <w:szCs w:val="22"/>
                <w:highlight w:val="none"/>
                <w:lang w:eastAsia="zh-CN"/>
              </w:rPr>
              <w:t>噪声</w:t>
            </w:r>
            <w:r>
              <w:rPr>
                <w:rFonts w:hint="default" w:ascii="Times New Roman" w:hAnsi="Times New Roman" w:eastAsia="仿宋" w:cs="Times New Roman"/>
                <w:color w:val="auto"/>
                <w:szCs w:val="22"/>
                <w:highlight w:val="none"/>
              </w:rPr>
              <w:t>的传播，减少对环境的影响。</w:t>
            </w:r>
          </w:p>
          <w:p w14:paraId="26CA117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（4）加强升压站运营管理。加强设备维护，确保设备处于良好的运转状态，杜绝因设备不正常运转时产生的高噪声现象。</w:t>
            </w:r>
          </w:p>
          <w:p w14:paraId="3B3E9DD1">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lang w:val="en-US"/>
              </w:rPr>
            </w:pPr>
            <w:r>
              <w:rPr>
                <w:rFonts w:hint="eastAsia" w:cs="Times New Roman"/>
                <w:b/>
                <w:bCs/>
                <w:color w:val="auto"/>
                <w:szCs w:val="22"/>
                <w:highlight w:val="none"/>
                <w:lang w:val="en-US" w:eastAsia="zh-CN"/>
              </w:rPr>
              <w:t>5.2.5 营运期固体废物污染防治措施</w:t>
            </w:r>
          </w:p>
          <w:p w14:paraId="7F22A6A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b/>
                <w:color w:val="auto"/>
                <w:szCs w:val="22"/>
                <w:highlight w:val="none"/>
              </w:rPr>
            </w:pPr>
            <w:r>
              <w:rPr>
                <w:rFonts w:hint="default" w:ascii="Times New Roman" w:hAnsi="Times New Roman" w:eastAsia="仿宋" w:cs="Times New Roman"/>
                <w:color w:val="auto"/>
                <w:szCs w:val="22"/>
                <w:highlight w:val="none"/>
              </w:rPr>
              <w:t>（1）生活垃圾：统一收集后运至</w:t>
            </w:r>
            <w:r>
              <w:rPr>
                <w:rFonts w:hint="default" w:ascii="Times New Roman" w:hAnsi="Times New Roman" w:eastAsia="仿宋" w:cs="Times New Roman"/>
                <w:color w:val="auto"/>
                <w:szCs w:val="22"/>
                <w:highlight w:val="none"/>
                <w:lang w:val="en-US" w:eastAsia="zh-CN"/>
              </w:rPr>
              <w:t>当地</w:t>
            </w:r>
            <w:r>
              <w:rPr>
                <w:rFonts w:hint="default" w:ascii="Times New Roman" w:hAnsi="Times New Roman" w:eastAsia="仿宋" w:cs="Times New Roman"/>
                <w:color w:val="auto"/>
                <w:szCs w:val="22"/>
                <w:highlight w:val="none"/>
              </w:rPr>
              <w:t>生活垃圾处置点集中处置。</w:t>
            </w:r>
          </w:p>
          <w:p w14:paraId="0E90662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Cs w:val="22"/>
                <w:highlight w:val="none"/>
              </w:rPr>
              <w:t>（2）废光伏板：</w:t>
            </w:r>
            <w:r>
              <w:rPr>
                <w:rFonts w:hint="default" w:ascii="Times New Roman" w:hAnsi="Times New Roman" w:eastAsia="仿宋" w:cs="Times New Roman"/>
                <w:color w:val="auto"/>
                <w:sz w:val="24"/>
                <w:szCs w:val="24"/>
                <w:highlight w:val="none"/>
                <w:lang w:val="en-US" w:eastAsia="zh-CN"/>
              </w:rPr>
              <w:t>破损电池板由材料供应商直接更换并带走处置，站内工作人员不擅自进行处理，不在厂区暂存。</w:t>
            </w:r>
          </w:p>
          <w:p w14:paraId="12CDB04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rPr>
              <w:t>）检修废油：采用废油桶收集后在危废暂存间暂存，定期</w:t>
            </w:r>
            <w:r>
              <w:rPr>
                <w:rFonts w:hint="eastAsia" w:cs="Times New Roman"/>
                <w:color w:val="auto"/>
                <w:szCs w:val="22"/>
                <w:highlight w:val="none"/>
                <w:lang w:eastAsia="zh-CN"/>
              </w:rPr>
              <w:t>交由</w:t>
            </w:r>
            <w:r>
              <w:rPr>
                <w:rFonts w:hint="default" w:ascii="Times New Roman" w:hAnsi="Times New Roman" w:eastAsia="仿宋" w:cs="Times New Roman"/>
                <w:color w:val="auto"/>
                <w:szCs w:val="22"/>
                <w:highlight w:val="none"/>
              </w:rPr>
              <w:t>资质单位处置。危废暂存间设计满足《危险废物贮存污染控制标准》（GB18597-2023）的要求。</w:t>
            </w:r>
          </w:p>
          <w:p w14:paraId="14E0988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4</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老化变压器油</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委托有</w:t>
            </w:r>
            <w:r>
              <w:rPr>
                <w:rFonts w:hint="default" w:ascii="Times New Roman" w:hAnsi="Times New Roman" w:eastAsia="仿宋" w:cs="Times New Roman"/>
                <w:color w:val="auto"/>
                <w:szCs w:val="22"/>
                <w:highlight w:val="none"/>
              </w:rPr>
              <w:t>资质单位处置</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更换后带离项目区，不在项目内暂存。</w:t>
            </w:r>
          </w:p>
          <w:p w14:paraId="5E6834A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5</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bCs/>
                <w:color w:val="auto"/>
                <w:szCs w:val="22"/>
                <w:highlight w:val="none"/>
              </w:rPr>
              <w:t>废</w:t>
            </w:r>
            <w:r>
              <w:rPr>
                <w:rFonts w:hint="default" w:ascii="Times New Roman" w:hAnsi="Times New Roman" w:eastAsia="仿宋" w:cs="Times New Roman"/>
                <w:bCs/>
                <w:color w:val="auto"/>
                <w:szCs w:val="22"/>
                <w:highlight w:val="none"/>
                <w:lang w:val="en-US" w:eastAsia="zh-CN"/>
              </w:rPr>
              <w:t>铅酸电</w:t>
            </w:r>
            <w:r>
              <w:rPr>
                <w:rFonts w:hint="default" w:ascii="Times New Roman" w:hAnsi="Times New Roman" w:eastAsia="仿宋" w:cs="Times New Roman"/>
                <w:bCs/>
                <w:color w:val="auto"/>
                <w:szCs w:val="22"/>
                <w:highlight w:val="none"/>
              </w:rPr>
              <w:t>池更换后分区暂存于升压站内危废暂存间，委托有资质单位清运处</w:t>
            </w:r>
            <w:r>
              <w:rPr>
                <w:rFonts w:hint="default" w:ascii="Times New Roman" w:hAnsi="Times New Roman" w:eastAsia="仿宋" w:cs="Times New Roman"/>
                <w:color w:val="auto"/>
                <w:szCs w:val="22"/>
                <w:highlight w:val="none"/>
              </w:rPr>
              <w:t>置。</w:t>
            </w:r>
          </w:p>
          <w:p w14:paraId="685D9F1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lang w:val="en-US" w:eastAsia="zh-CN"/>
              </w:rPr>
              <w:t>（6）化粪池污泥委托环卫部门定期处置。</w:t>
            </w:r>
          </w:p>
          <w:p w14:paraId="1B360186">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rPr>
            </w:pPr>
            <w:r>
              <w:rPr>
                <w:rFonts w:hint="eastAsia" w:cs="Times New Roman"/>
                <w:b/>
                <w:bCs/>
                <w:color w:val="auto"/>
                <w:szCs w:val="22"/>
                <w:highlight w:val="none"/>
                <w:lang w:val="en-US" w:eastAsia="zh-CN"/>
              </w:rPr>
              <w:t xml:space="preserve">5.2.6 </w:t>
            </w:r>
            <w:r>
              <w:rPr>
                <w:rFonts w:hint="default" w:ascii="Times New Roman" w:hAnsi="Times New Roman" w:eastAsia="仿宋" w:cs="Times New Roman"/>
                <w:b/>
                <w:bCs/>
                <w:color w:val="auto"/>
                <w:szCs w:val="22"/>
                <w:highlight w:val="none"/>
              </w:rPr>
              <w:t>生态保护红线保护措施</w:t>
            </w:r>
          </w:p>
          <w:p w14:paraId="24B0A6D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运营期间日常维护光伏阵列区的相关工作人员，不得进入生态保护红线区内，禁止在生态保护红线区域内从事一切人为活动，禁止乱扔垃圾。</w:t>
            </w:r>
          </w:p>
          <w:p w14:paraId="79162C89">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color w:val="auto"/>
                <w:szCs w:val="22"/>
                <w:highlight w:val="none"/>
              </w:rPr>
            </w:pPr>
            <w:r>
              <w:rPr>
                <w:rFonts w:hint="eastAsia" w:cs="Times New Roman"/>
                <w:b/>
                <w:color w:val="auto"/>
                <w:szCs w:val="22"/>
                <w:highlight w:val="none"/>
                <w:lang w:val="en-US" w:eastAsia="zh-CN"/>
              </w:rPr>
              <w:t xml:space="preserve">5.2.7 </w:t>
            </w:r>
            <w:r>
              <w:rPr>
                <w:rFonts w:hint="eastAsia" w:cs="Times New Roman"/>
                <w:b/>
                <w:color w:val="auto"/>
                <w:szCs w:val="22"/>
                <w:highlight w:val="none"/>
                <w:lang w:eastAsia="zh-CN"/>
              </w:rPr>
              <w:t>环境风险防控</w:t>
            </w:r>
            <w:r>
              <w:rPr>
                <w:rFonts w:hint="default" w:ascii="Times New Roman" w:hAnsi="Times New Roman" w:eastAsia="仿宋" w:cs="Times New Roman"/>
                <w:b/>
                <w:color w:val="auto"/>
                <w:szCs w:val="22"/>
                <w:highlight w:val="none"/>
              </w:rPr>
              <w:t>措施</w:t>
            </w:r>
          </w:p>
          <w:p w14:paraId="59D3847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选用合格的电气设备、严格按操作规定进行操作、高电压处设置警示牌或围栏、配置灭火器等措施。各类电气设备、电缆等应确保正确安装，运行过程中定期检修，出现破损及时更换，确保设备设施运行安全。严格落实防火规定，人员进入光伏电站检修结束后，应及时清理现场，防止遗留火种。</w:t>
            </w:r>
          </w:p>
          <w:p w14:paraId="024C440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w:t>
            </w:r>
            <w:r>
              <w:rPr>
                <w:rFonts w:hint="default" w:ascii="Times New Roman" w:hAnsi="Times New Roman" w:eastAsia="仿宋" w:cs="Times New Roman"/>
                <w:color w:val="auto"/>
                <w:szCs w:val="22"/>
                <w:highlight w:val="none"/>
                <w:lang w:val="en-US" w:eastAsia="zh-CN"/>
              </w:rPr>
              <w:t>升压站的</w:t>
            </w:r>
            <w:r>
              <w:rPr>
                <w:rFonts w:hint="default" w:ascii="Times New Roman" w:hAnsi="Times New Roman" w:eastAsia="仿宋" w:cs="Times New Roman"/>
                <w:color w:val="auto"/>
                <w:szCs w:val="22"/>
                <w:highlight w:val="none"/>
              </w:rPr>
              <w:t>变压器</w:t>
            </w:r>
            <w:r>
              <w:rPr>
                <w:rFonts w:hint="default" w:ascii="Times New Roman" w:hAnsi="Times New Roman" w:eastAsia="仿宋" w:cs="Times New Roman"/>
                <w:color w:val="auto"/>
                <w:szCs w:val="22"/>
                <w:highlight w:val="none"/>
                <w:lang w:val="en-US" w:eastAsia="zh-CN"/>
              </w:rPr>
              <w:t>下分别</w:t>
            </w:r>
            <w:r>
              <w:rPr>
                <w:rFonts w:hint="default" w:ascii="Times New Roman" w:hAnsi="Times New Roman" w:eastAsia="仿宋" w:cs="Times New Roman"/>
                <w:color w:val="auto"/>
                <w:szCs w:val="22"/>
                <w:highlight w:val="none"/>
              </w:rPr>
              <w:t>设有集油坑，</w:t>
            </w:r>
            <w:r>
              <w:rPr>
                <w:rFonts w:hint="default" w:ascii="Times New Roman" w:hAnsi="Times New Roman" w:eastAsia="仿宋" w:cs="Times New Roman"/>
                <w:color w:val="auto"/>
                <w:szCs w:val="22"/>
                <w:highlight w:val="none"/>
                <w:lang w:val="en-US" w:eastAsia="zh-CN"/>
              </w:rPr>
              <w:t>变压器油发生漏事故时泄</w:t>
            </w:r>
            <w:r>
              <w:rPr>
                <w:rFonts w:hint="default" w:ascii="Times New Roman" w:hAnsi="Times New Roman" w:eastAsia="仿宋" w:cs="Times New Roman"/>
                <w:color w:val="auto"/>
                <w:szCs w:val="22"/>
                <w:highlight w:val="none"/>
              </w:rPr>
              <w:t>通过管道排入事故油池；</w:t>
            </w:r>
            <w:r>
              <w:rPr>
                <w:rFonts w:hint="default" w:ascii="Times New Roman" w:hAnsi="Times New Roman" w:eastAsia="仿宋" w:cs="Times New Roman"/>
                <w:color w:val="auto"/>
                <w:szCs w:val="22"/>
                <w:highlight w:val="none"/>
                <w:lang w:val="en-US" w:eastAsia="zh-CN"/>
              </w:rPr>
              <w:t>项目事故油池容积85m</w:t>
            </w:r>
            <w:r>
              <w:rPr>
                <w:rFonts w:hint="default" w:ascii="Times New Roman" w:hAnsi="Times New Roman" w:eastAsia="仿宋" w:cs="Times New Roman"/>
                <w:color w:val="auto"/>
                <w:szCs w:val="22"/>
                <w:highlight w:val="none"/>
                <w:vertAlign w:val="superscript"/>
                <w:lang w:val="en-US" w:eastAsia="zh-CN"/>
              </w:rPr>
              <w:t>3</w:t>
            </w:r>
            <w:r>
              <w:rPr>
                <w:rFonts w:hint="default" w:ascii="Times New Roman" w:hAnsi="Times New Roman" w:eastAsia="仿宋" w:cs="Times New Roman"/>
                <w:color w:val="auto"/>
                <w:szCs w:val="22"/>
                <w:highlight w:val="none"/>
                <w:lang w:val="en-US" w:eastAsia="zh-CN"/>
              </w:rPr>
              <w:t>，满足《火力发电厂与变电站设计防火标准》GB 50229-2019；</w:t>
            </w:r>
            <w:r>
              <w:rPr>
                <w:rFonts w:hint="default" w:ascii="Times New Roman" w:hAnsi="Times New Roman" w:eastAsia="仿宋" w:cs="Times New Roman"/>
                <w:color w:val="auto"/>
                <w:szCs w:val="22"/>
                <w:highlight w:val="none"/>
              </w:rPr>
              <w:t>每个箱变旁设1座箱变事故油池，共计</w:t>
            </w:r>
            <w:r>
              <w:rPr>
                <w:rFonts w:hint="default" w:ascii="Times New Roman" w:hAnsi="Times New Roman" w:eastAsia="仿宋" w:cs="Times New Roman"/>
                <w:color w:val="auto"/>
                <w:szCs w:val="22"/>
                <w:highlight w:val="none"/>
                <w:lang w:val="en-US" w:eastAsia="zh-CN"/>
              </w:rPr>
              <w:t>52</w:t>
            </w:r>
            <w:r>
              <w:rPr>
                <w:rFonts w:hint="default" w:ascii="Times New Roman" w:hAnsi="Times New Roman" w:eastAsia="仿宋" w:cs="Times New Roman"/>
                <w:color w:val="auto"/>
                <w:szCs w:val="22"/>
                <w:highlight w:val="none"/>
              </w:rPr>
              <w:t>座，容积均为</w:t>
            </w:r>
            <w:r>
              <w:rPr>
                <w:rFonts w:hint="default" w:ascii="Times New Roman" w:hAnsi="Times New Roman" w:eastAsia="仿宋" w:cs="Times New Roman"/>
                <w:color w:val="auto"/>
                <w:szCs w:val="22"/>
                <w:highlight w:val="none"/>
                <w:lang w:val="en-US" w:eastAsia="zh-CN"/>
              </w:rPr>
              <w:t>2</w:t>
            </w:r>
            <w:r>
              <w:rPr>
                <w:rFonts w:hint="default" w:ascii="Times New Roman" w:hAnsi="Times New Roman" w:eastAsia="仿宋" w:cs="Times New Roman"/>
                <w:color w:val="auto"/>
                <w:szCs w:val="22"/>
                <w:highlight w:val="none"/>
              </w:rPr>
              <w:t>m</w:t>
            </w:r>
            <w:r>
              <w:rPr>
                <w:rFonts w:hint="default" w:ascii="Times New Roman" w:hAnsi="Times New Roman" w:eastAsia="仿宋" w:cs="Times New Roman"/>
                <w:color w:val="auto"/>
                <w:szCs w:val="22"/>
                <w:highlight w:val="none"/>
                <w:vertAlign w:val="superscript"/>
              </w:rPr>
              <w:t>3</w:t>
            </w:r>
            <w:r>
              <w:rPr>
                <w:rFonts w:hint="default" w:ascii="Times New Roman" w:hAnsi="Times New Roman" w:eastAsia="仿宋" w:cs="Times New Roman"/>
                <w:color w:val="auto"/>
                <w:szCs w:val="22"/>
                <w:highlight w:val="none"/>
              </w:rPr>
              <w:t>。主变压器事故油池、集油坑及箱式变压器事故油池采取防渗措施，</w:t>
            </w:r>
            <w:r>
              <w:rPr>
                <w:rFonts w:hint="default" w:ascii="Times New Roman" w:hAnsi="Times New Roman" w:eastAsia="仿宋" w:cs="Times New Roman"/>
                <w:bCs/>
                <w:color w:val="auto"/>
                <w:szCs w:val="22"/>
                <w:highlight w:val="none"/>
              </w:rPr>
              <w:t>防渗技术要求为：</w:t>
            </w:r>
            <w:r>
              <w:rPr>
                <w:rFonts w:hint="default" w:ascii="Times New Roman" w:hAnsi="Times New Roman" w:eastAsia="仿宋" w:cs="Times New Roman"/>
                <w:color w:val="auto"/>
                <w:szCs w:val="22"/>
                <w:highlight w:val="none"/>
              </w:rPr>
              <w:t>防渗层为至少1m厚黏土层（渗透系数不大于10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7</w:t>
            </w:r>
            <w:r>
              <w:rPr>
                <w:rFonts w:hint="default" w:ascii="Times New Roman" w:hAnsi="Times New Roman" w:eastAsia="仿宋" w:cs="Times New Roman"/>
                <w:color w:val="auto"/>
                <w:szCs w:val="22"/>
                <w:highlight w:val="none"/>
              </w:rPr>
              <w:t>cm/s），或至少2mm厚高密度聚乙烯膜等人工防渗材料（渗透系数不大于10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10</w:t>
            </w:r>
            <w:r>
              <w:rPr>
                <w:rFonts w:hint="default" w:ascii="Times New Roman" w:hAnsi="Times New Roman" w:eastAsia="仿宋" w:cs="Times New Roman"/>
                <w:color w:val="auto"/>
                <w:szCs w:val="22"/>
                <w:highlight w:val="none"/>
              </w:rPr>
              <w:t>cm/s）。工程施工</w:t>
            </w:r>
            <w:r>
              <w:rPr>
                <w:rFonts w:hint="eastAsia" w:cs="Times New Roman"/>
                <w:color w:val="auto"/>
                <w:szCs w:val="22"/>
                <w:highlight w:val="none"/>
                <w:lang w:eastAsia="zh-CN"/>
              </w:rPr>
              <w:t>期间</w:t>
            </w:r>
            <w:r>
              <w:rPr>
                <w:rFonts w:hint="default" w:ascii="Times New Roman" w:hAnsi="Times New Roman" w:eastAsia="仿宋" w:cs="Times New Roman"/>
                <w:color w:val="auto"/>
                <w:szCs w:val="22"/>
                <w:highlight w:val="none"/>
              </w:rPr>
              <w:t>加强工程监理和环境监理，提高防渗工程质量，做好照片、录像以及相关文字说明等存档资料。</w:t>
            </w:r>
          </w:p>
          <w:p w14:paraId="1855339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rPr>
              <w:t>）严格按照《危险废物贮存污染控制标准》（GB18597-2023）的相关要求，</w:t>
            </w:r>
            <w:r>
              <w:rPr>
                <w:rFonts w:hint="default" w:ascii="Times New Roman" w:hAnsi="Times New Roman" w:eastAsia="仿宋" w:cs="Times New Roman"/>
                <w:color w:val="auto"/>
                <w:szCs w:val="22"/>
                <w:highlight w:val="none"/>
                <w:lang w:val="en-US" w:eastAsia="zh-CN"/>
              </w:rPr>
              <w:t>建设</w:t>
            </w:r>
            <w:r>
              <w:rPr>
                <w:rFonts w:hint="default" w:ascii="Times New Roman" w:hAnsi="Times New Roman" w:eastAsia="仿宋" w:cs="Times New Roman"/>
                <w:color w:val="auto"/>
                <w:szCs w:val="22"/>
                <w:highlight w:val="none"/>
              </w:rPr>
              <w:t>危废暂存间，用于各类危废的分区暂存。执行危废转移联单制度。具体包括：</w:t>
            </w:r>
          </w:p>
          <w:p w14:paraId="48EEE51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①贮存设施应根据危险废物的形态、物理化学性质、包装形式和污染物迁移途径，采取必要的防风、防晒、防雨、防漏、防渗、防腐以及其他环境污染防治措施；</w:t>
            </w:r>
          </w:p>
          <w:p w14:paraId="6B28008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②贮存设施或贮存分区内地面、墙面</w:t>
            </w:r>
            <w:r>
              <w:rPr>
                <w:rFonts w:hint="default" w:ascii="Times New Roman" w:hAnsi="Times New Roman" w:eastAsia="仿宋" w:cs="Times New Roman"/>
                <w:color w:val="auto"/>
                <w:szCs w:val="22"/>
                <w:highlight w:val="none"/>
                <w:lang w:eastAsia="zh-CN"/>
              </w:rPr>
              <w:t>裙角</w:t>
            </w:r>
            <w:r>
              <w:rPr>
                <w:rFonts w:hint="default" w:ascii="Times New Roman" w:hAnsi="Times New Roman" w:eastAsia="仿宋" w:cs="Times New Roman"/>
                <w:color w:val="auto"/>
                <w:szCs w:val="22"/>
                <w:highlight w:val="none"/>
              </w:rPr>
              <w:t>、堵截泄漏的围堰、接触危险废物的隔板和墙体等应采用坚固的材料建造，表面无裂缝；</w:t>
            </w:r>
          </w:p>
          <w:p w14:paraId="2B513D3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③危废暂存间地面和裙脚应采取表面防渗措施，可采用抗渗混凝土、高密度聚乙烯膜、钠基膨润土防水毯或其他防渗性能等效的材料；防渗层为至少1m厚黏土层（渗透系数不大于10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7</w:t>
            </w:r>
            <w:r>
              <w:rPr>
                <w:rFonts w:hint="default" w:ascii="Times New Roman" w:hAnsi="Times New Roman" w:eastAsia="仿宋" w:cs="Times New Roman"/>
                <w:color w:val="auto"/>
                <w:szCs w:val="22"/>
                <w:highlight w:val="none"/>
              </w:rPr>
              <w:t>cm/s），或至少2mm厚高密度聚乙烯膜等人工防渗材料（渗透系数不大于10</w:t>
            </w:r>
            <w:r>
              <w:rPr>
                <w:rFonts w:hint="default" w:ascii="Times New Roman" w:hAnsi="Times New Roman" w:eastAsia="仿宋" w:cs="Times New Roman"/>
                <w:color w:val="auto"/>
                <w:szCs w:val="22"/>
                <w:highlight w:val="none"/>
                <w:vertAlign w:val="superscript"/>
                <w:lang w:val="en-US" w:eastAsia="zh-CN"/>
              </w:rPr>
              <w:t>-</w:t>
            </w:r>
            <w:r>
              <w:rPr>
                <w:rFonts w:hint="default" w:ascii="Times New Roman" w:hAnsi="Times New Roman" w:eastAsia="仿宋" w:cs="Times New Roman"/>
                <w:color w:val="auto"/>
                <w:szCs w:val="22"/>
                <w:highlight w:val="none"/>
                <w:vertAlign w:val="superscript"/>
              </w:rPr>
              <w:t>10</w:t>
            </w:r>
            <w:r>
              <w:rPr>
                <w:rFonts w:hint="default" w:ascii="Times New Roman" w:hAnsi="Times New Roman" w:eastAsia="仿宋" w:cs="Times New Roman"/>
                <w:color w:val="auto"/>
                <w:szCs w:val="22"/>
                <w:highlight w:val="none"/>
              </w:rPr>
              <w:t>cm/s）；</w:t>
            </w:r>
          </w:p>
          <w:p w14:paraId="52ECB68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④贮存库内不同贮存分区之间应采取隔离措施。隔离措施可根据危险废物特性采用过道、隔板或隔墙等方式；</w:t>
            </w:r>
          </w:p>
          <w:p w14:paraId="6E1948C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⑤在贮存库内通过贮存分区方式贮存危险废物的，应具有液体泄漏堵截设施，堵截设施最小容积不应低于对应贮存区域最大液态废物容器容积或液态废物总储</w:t>
            </w:r>
            <w:r>
              <w:rPr>
                <w:rFonts w:hint="default" w:ascii="Times New Roman" w:hAnsi="Times New Roman" w:eastAsia="仿宋" w:cs="Times New Roman"/>
                <w:color w:val="auto"/>
                <w:szCs w:val="22"/>
                <w:highlight w:val="none"/>
                <w:lang w:eastAsia="zh-CN"/>
              </w:rPr>
              <w:t>量的</w:t>
            </w:r>
            <w:r>
              <w:rPr>
                <w:rFonts w:hint="default" w:ascii="Times New Roman" w:hAnsi="Times New Roman" w:eastAsia="仿宋" w:cs="Times New Roman"/>
                <w:color w:val="auto"/>
                <w:szCs w:val="22"/>
                <w:highlight w:val="none"/>
              </w:rPr>
              <w:t>1/10（二者取较大者）；用于贮存可能产生渗滤液的危险废物的贮存库或贮存分区应设计渗滤液收集设施，收集设施容积应满足渗滤液的收集要求。</w:t>
            </w:r>
          </w:p>
          <w:p w14:paraId="4FFA7F52">
            <w:pPr>
              <w:keepNext w:val="0"/>
              <w:keepLines w:val="0"/>
              <w:suppressLineNumbers w:val="0"/>
              <w:adjustRightInd w:val="0"/>
              <w:snapToGrid w:val="0"/>
              <w:spacing w:before="0" w:beforeAutospacing="0" w:after="0" w:afterAutospacing="0"/>
              <w:ind w:left="0" w:right="0" w:firstLine="480"/>
              <w:rPr>
                <w:rFonts w:hint="default"/>
                <w:bCs/>
                <w:color w:val="auto"/>
                <w:szCs w:val="21"/>
                <w:highlight w:val="none"/>
              </w:rPr>
            </w:pPr>
            <w:r>
              <w:rPr>
                <w:rFonts w:hint="eastAsia"/>
                <w:bCs/>
                <w:color w:val="auto"/>
                <w:szCs w:val="21"/>
                <w:highlight w:val="none"/>
                <w:lang w:val="en-US" w:eastAsia="zh-CN"/>
              </w:rPr>
              <w:t>⑥</w:t>
            </w:r>
            <w:r>
              <w:rPr>
                <w:rFonts w:hint="eastAsia"/>
                <w:bCs/>
                <w:color w:val="auto"/>
                <w:szCs w:val="21"/>
                <w:highlight w:val="none"/>
              </w:rPr>
              <w:t>实施分区防渗，</w:t>
            </w:r>
            <w:r>
              <w:rPr>
                <w:rFonts w:hint="eastAsia"/>
                <w:bCs/>
                <w:color w:val="auto"/>
                <w:szCs w:val="21"/>
                <w:highlight w:val="none"/>
                <w:lang w:eastAsia="zh-CN"/>
              </w:rPr>
              <w:t>危险废物贮存库</w:t>
            </w:r>
            <w:r>
              <w:rPr>
                <w:rFonts w:hint="eastAsia"/>
                <w:bCs/>
                <w:color w:val="auto"/>
                <w:szCs w:val="21"/>
                <w:highlight w:val="none"/>
              </w:rPr>
              <w:t>须进行防渗处理，按《危险废物贮存污染控制标准》（GB18597–2023）进行建设，防渗技术要求为：至少2mm厚高密度聚乙烯膜等人工防渗材料（渗透系数不大于10</w:t>
            </w:r>
            <w:r>
              <w:rPr>
                <w:rFonts w:hint="eastAsia"/>
                <w:bCs/>
                <w:color w:val="auto"/>
                <w:szCs w:val="21"/>
                <w:highlight w:val="none"/>
                <w:vertAlign w:val="superscript"/>
                <w:lang w:val="en-US" w:eastAsia="zh-CN"/>
              </w:rPr>
              <w:t>-10</w:t>
            </w:r>
            <w:r>
              <w:rPr>
                <w:rFonts w:hint="eastAsia"/>
                <w:bCs/>
                <w:color w:val="auto"/>
                <w:szCs w:val="21"/>
                <w:highlight w:val="none"/>
              </w:rPr>
              <w:t>cm/s），或其他防渗性能等效的材料；事故油池</w:t>
            </w:r>
            <w:r>
              <w:rPr>
                <w:rFonts w:hint="eastAsia"/>
                <w:bCs/>
                <w:color w:val="auto"/>
                <w:szCs w:val="21"/>
                <w:highlight w:val="none"/>
                <w:lang w:val="en-US" w:eastAsia="zh-CN"/>
              </w:rPr>
              <w:t>按《环境影响评价技术导则 地下水环境》（HJ610-2011）防渗要求：等效黏土防渗层Mb≥6.0m，K≤1.0×10-7cm/s。</w:t>
            </w:r>
            <w:r>
              <w:rPr>
                <w:rFonts w:hint="eastAsia"/>
                <w:bCs/>
                <w:color w:val="auto"/>
                <w:szCs w:val="21"/>
                <w:highlight w:val="none"/>
              </w:rPr>
              <w:t>升压站占地区域内综合楼、仓库及道路进行简单防渗，采取一般地面水泥硬化。</w:t>
            </w:r>
          </w:p>
          <w:p w14:paraId="247C4D59">
            <w:pPr>
              <w:keepNext w:val="0"/>
              <w:keepLines w:val="0"/>
              <w:suppressLineNumbers w:val="0"/>
              <w:adjustRightInd w:val="0"/>
              <w:snapToGrid w:val="0"/>
              <w:spacing w:before="0" w:beforeAutospacing="0" w:after="0" w:afterAutospacing="0"/>
              <w:ind w:left="0" w:right="0" w:firstLine="480"/>
              <w:rPr>
                <w:rFonts w:hint="default"/>
                <w:bCs/>
                <w:color w:val="auto"/>
                <w:szCs w:val="21"/>
                <w:highlight w:val="none"/>
              </w:rPr>
            </w:pPr>
            <w:r>
              <w:rPr>
                <w:rFonts w:hint="eastAsia"/>
                <w:bCs/>
                <w:color w:val="auto"/>
                <w:szCs w:val="21"/>
                <w:highlight w:val="none"/>
                <w:lang w:val="en-US" w:eastAsia="zh-CN"/>
              </w:rPr>
              <w:t>⑦</w:t>
            </w:r>
            <w:r>
              <w:rPr>
                <w:rFonts w:hint="default"/>
                <w:bCs/>
                <w:color w:val="auto"/>
                <w:szCs w:val="21"/>
                <w:highlight w:val="none"/>
              </w:rPr>
              <w:t>项目固体废物的处理严格遵守《中华人民共和国固体废物污染环境防治法》、《危险废物贮存污染控制标准》（GB18597-20</w:t>
            </w:r>
            <w:r>
              <w:rPr>
                <w:rFonts w:hint="eastAsia"/>
                <w:bCs/>
                <w:color w:val="auto"/>
                <w:szCs w:val="21"/>
                <w:highlight w:val="none"/>
              </w:rPr>
              <w:t>23</w:t>
            </w:r>
            <w:r>
              <w:rPr>
                <w:rFonts w:hint="default"/>
                <w:bCs/>
                <w:color w:val="auto"/>
                <w:szCs w:val="21"/>
                <w:highlight w:val="none"/>
              </w:rPr>
              <w:t>）的有关规定，不对周围环境造成危害</w:t>
            </w:r>
          </w:p>
          <w:p w14:paraId="4E039F57">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rPr>
            </w:pPr>
            <w:r>
              <w:rPr>
                <w:rFonts w:hint="eastAsia" w:cs="Times New Roman"/>
                <w:b/>
                <w:bCs/>
                <w:color w:val="auto"/>
                <w:szCs w:val="22"/>
                <w:highlight w:val="none"/>
                <w:lang w:val="en-US" w:eastAsia="zh-CN"/>
              </w:rPr>
              <w:t xml:space="preserve">5.2.8 </w:t>
            </w:r>
            <w:r>
              <w:rPr>
                <w:rFonts w:hint="default" w:ascii="Times New Roman" w:hAnsi="Times New Roman" w:eastAsia="仿宋" w:cs="Times New Roman"/>
                <w:b/>
                <w:bCs/>
                <w:color w:val="auto"/>
                <w:szCs w:val="22"/>
                <w:highlight w:val="none"/>
              </w:rPr>
              <w:t>电磁环境保护措施</w:t>
            </w:r>
          </w:p>
          <w:p w14:paraId="162CEC4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（1）升压站内电气设备应采取集中布置方式，在设计中应按有关规程采</w:t>
            </w:r>
            <w:r>
              <w:rPr>
                <w:rFonts w:hint="default" w:ascii="Times New Roman" w:hAnsi="Times New Roman" w:eastAsia="仿宋" w:cs="Times New Roman"/>
                <w:color w:val="auto"/>
                <w:szCs w:val="22"/>
                <w:highlight w:val="none"/>
                <w:lang w:eastAsia="zh-CN"/>
              </w:rPr>
              <w:t>取一</w:t>
            </w:r>
            <w:r>
              <w:rPr>
                <w:rFonts w:hint="default" w:ascii="Times New Roman" w:hAnsi="Times New Roman" w:eastAsia="仿宋" w:cs="Times New Roman"/>
                <w:color w:val="auto"/>
                <w:szCs w:val="22"/>
                <w:highlight w:val="none"/>
              </w:rPr>
              <w:t>系列的控制过电压、电磁感应场强水平的措施，如保证导体和电气设备之间的电气安全距离，选用具有低辐射、抗干扰能力的设备，设置防雷接地保护装置，选用带屏蔽层的电缆、屏蔽层接地等</w:t>
            </w:r>
            <w:r>
              <w:rPr>
                <w:rFonts w:hint="eastAsia" w:cs="Times New Roman"/>
                <w:color w:val="auto"/>
                <w:szCs w:val="22"/>
                <w:highlight w:val="none"/>
                <w:lang w:eastAsia="zh-CN"/>
              </w:rPr>
              <w:t>，</w:t>
            </w:r>
            <w:r>
              <w:rPr>
                <w:rFonts w:hint="default" w:ascii="Times New Roman" w:hAnsi="Times New Roman" w:eastAsia="仿宋" w:cs="Times New Roman"/>
                <w:color w:val="auto"/>
                <w:szCs w:val="22"/>
                <w:highlight w:val="none"/>
              </w:rPr>
              <w:t>可以有效地降低电磁环境影响。</w:t>
            </w:r>
          </w:p>
          <w:p w14:paraId="6CE39EB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合理选用各种电气设备及金属配件（如保护环、垫片、接头等），以减少高电位梯度点引起的放电；使用合理、优良的绝缘子来减少绝缘子的表面放电，尽量使用能改善绝缘子表面或沿绝缘子串电压分布的保护装置。</w:t>
            </w:r>
          </w:p>
          <w:p w14:paraId="16E180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（3）对大功率的电磁振荡设备采取必要的屏蔽，密封机箱的孔、口、门缝的连接处；控制箱、断路器端子箱、设备的放油阀门及分接开关尽量布置在较低场强区，以便于运行和检修人员接近。</w:t>
            </w:r>
          </w:p>
          <w:p w14:paraId="1A3E6CE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（4）在危险区域设立相应的警示标志，并做好警示宣传工作，醒目位置设置安全警示图文标志。</w:t>
            </w:r>
          </w:p>
          <w:p w14:paraId="336877E5">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eastAsia="仿宋" w:cs="Times New Roman"/>
                <w:b/>
                <w:bCs/>
                <w:color w:val="auto"/>
                <w:szCs w:val="22"/>
                <w:highlight w:val="none"/>
              </w:rPr>
            </w:pPr>
            <w:r>
              <w:rPr>
                <w:rFonts w:hint="eastAsia" w:cs="Times New Roman"/>
                <w:b/>
                <w:bCs/>
                <w:color w:val="auto"/>
                <w:szCs w:val="22"/>
                <w:highlight w:val="none"/>
                <w:lang w:val="en-US" w:eastAsia="zh-CN"/>
              </w:rPr>
              <w:t xml:space="preserve">5.2.9 </w:t>
            </w:r>
            <w:r>
              <w:rPr>
                <w:rFonts w:hint="default" w:ascii="Times New Roman" w:hAnsi="Times New Roman" w:eastAsia="仿宋" w:cs="Times New Roman"/>
                <w:b/>
                <w:bCs/>
                <w:color w:val="auto"/>
                <w:szCs w:val="22"/>
                <w:highlight w:val="none"/>
              </w:rPr>
              <w:t>服务期满后的环境保护措施</w:t>
            </w:r>
          </w:p>
          <w:p w14:paraId="0495EA8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项目服务期结束后，建设单位将对项目光伏设备、升压站进行拆除。拆除过程中产生的废旧太阳能电池板集中收集，委托光伏电池板生产厂家进行回收处置。拆除过程中产生的建筑垃圾分类处置，如钢材、塑料等可回收部分集中收集后，出售给废品回收商；不可回收部分集中收集后，清运至</w:t>
            </w:r>
            <w:r>
              <w:rPr>
                <w:rFonts w:hint="default" w:ascii="Times New Roman" w:hAnsi="Times New Roman" w:eastAsia="仿宋" w:cs="Times New Roman"/>
                <w:color w:val="auto"/>
                <w:szCs w:val="22"/>
                <w:highlight w:val="none"/>
                <w:lang w:val="en-US" w:eastAsia="zh-CN"/>
              </w:rPr>
              <w:t>城建</w:t>
            </w:r>
            <w:r>
              <w:rPr>
                <w:rFonts w:hint="default" w:ascii="Times New Roman" w:hAnsi="Times New Roman" w:eastAsia="仿宋" w:cs="Times New Roman"/>
                <w:color w:val="auto"/>
                <w:szCs w:val="22"/>
                <w:highlight w:val="none"/>
              </w:rPr>
              <w:t>部门指定地点倾倒和填埋。拆除过程中产生的危险废物严格按照《危险废物贮存污染控制标准》（GB18597-2023）进行管理，做好转运台账记录。</w:t>
            </w:r>
          </w:p>
          <w:p w14:paraId="20C37950">
            <w:pPr>
              <w:keepNext w:val="0"/>
              <w:keepLines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Cs w:val="22"/>
                <w:highlight w:val="none"/>
              </w:rPr>
              <w:t>（2）项目服务期满、光伏组件设备拆除完毕后，应编制植被恢复方案，做好植被恢复措施。</w:t>
            </w:r>
          </w:p>
        </w:tc>
      </w:tr>
      <w:tr w14:paraId="7BEAA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7" w:type="pct"/>
            <w:noWrap w:val="0"/>
            <w:vAlign w:val="center"/>
          </w:tcPr>
          <w:p w14:paraId="6D861D1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4"/>
                <w:szCs w:val="24"/>
                <w:highlight w:val="none"/>
              </w:rPr>
            </w:pPr>
            <w:r>
              <w:rPr>
                <w:rFonts w:hint="default" w:ascii="Times New Roman" w:hAnsi="Times New Roman" w:eastAsia="仿宋" w:cs="Times New Roman"/>
                <w:bCs/>
                <w:color w:val="auto"/>
                <w:sz w:val="24"/>
                <w:szCs w:val="24"/>
                <w:highlight w:val="none"/>
              </w:rPr>
              <w:t>其他</w:t>
            </w:r>
          </w:p>
        </w:tc>
        <w:tc>
          <w:tcPr>
            <w:tcW w:w="4622" w:type="pct"/>
            <w:noWrap w:val="0"/>
            <w:vAlign w:val="center"/>
          </w:tcPr>
          <w:p w14:paraId="109E6844">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leftChars="0" w:right="0" w:firstLine="0" w:firstLineChars="0"/>
              <w:jc w:val="both"/>
              <w:textAlignment w:val="auto"/>
              <w:rPr>
                <w:rFonts w:hint="default" w:ascii="Times New Roman" w:hAnsi="Times New Roman" w:eastAsia="仿宋"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 xml:space="preserve">5.3 </w:t>
            </w:r>
            <w:r>
              <w:rPr>
                <w:rFonts w:hint="default" w:ascii="Times New Roman" w:hAnsi="Times New Roman" w:eastAsia="仿宋" w:cs="Times New Roman"/>
                <w:b/>
                <w:bCs/>
                <w:color w:val="auto"/>
                <w:sz w:val="24"/>
                <w:szCs w:val="24"/>
                <w:highlight w:val="none"/>
                <w:lang w:val="en-US" w:eastAsia="zh-CN"/>
              </w:rPr>
              <w:t>环境管理和环境监测</w:t>
            </w:r>
          </w:p>
          <w:p w14:paraId="1B856D4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（1）环境管理</w:t>
            </w:r>
          </w:p>
          <w:p w14:paraId="29654FFB">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工程建设单位应组建工程环境保护管理机构，建立环境管理制度，保障环保资金的投入，全面领导整个工程施工过程的环境保护工作，认真落实本工程的各项环境保护措施、环境监测计划，保障工程建设和运营符合环保要求。</w:t>
            </w:r>
          </w:p>
          <w:p w14:paraId="1D90FE8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建设单位应组织开展施工期的环境监理工作，将环境监理纳入工程监理一并实施，环境监理内容不限于环评报告和环评批复要求的内容，还包括可研和初设环保篇章</w:t>
            </w:r>
            <w:r>
              <w:rPr>
                <w:rFonts w:hint="eastAsia" w:cs="Times New Roman"/>
                <w:color w:val="auto"/>
                <w:sz w:val="24"/>
                <w:szCs w:val="24"/>
                <w:highlight w:val="none"/>
                <w:lang w:val="en-US" w:eastAsia="zh-CN"/>
              </w:rPr>
              <w:t>等</w:t>
            </w:r>
            <w:r>
              <w:rPr>
                <w:rFonts w:hint="default" w:ascii="Times New Roman" w:hAnsi="Times New Roman" w:eastAsia="仿宋" w:cs="Times New Roman"/>
                <w:color w:val="auto"/>
                <w:sz w:val="24"/>
                <w:szCs w:val="24"/>
                <w:highlight w:val="none"/>
                <w:lang w:val="en-US" w:eastAsia="zh-CN"/>
              </w:rPr>
              <w:t>的环保措施内容，以减少施工期对周围生态环境的影响。</w:t>
            </w:r>
          </w:p>
          <w:p w14:paraId="26B95823">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（2）环境监测</w:t>
            </w:r>
          </w:p>
          <w:p w14:paraId="1A0225CA">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2"/>
                <w:highlight w:val="none"/>
                <w:lang w:val="en-US" w:eastAsia="zh-CN"/>
              </w:rPr>
              <w:t>根据</w:t>
            </w:r>
            <w:r>
              <w:rPr>
                <w:rFonts w:hint="default" w:ascii="Times New Roman" w:hAnsi="Times New Roman" w:eastAsia="仿宋" w:cs="Times New Roman"/>
                <w:color w:val="auto"/>
                <w:sz w:val="24"/>
                <w:szCs w:val="22"/>
                <w:highlight w:val="none"/>
              </w:rPr>
              <w:t>《排污单位自行监测技术指南 总则》（HJ819-2017），排污单位应当在投入生产或使用并产生实际排污行为之前完成自行监测方案的编制，可根据自身条件和能力，利用自有人员、场所和设备自行监测；也可委托其他有资质的检（监）测机构代其开展自行监测。排污单位应做好与监测相关的数据记录，按照规定进行保存，并依据相关法规向社会公开监测结果。</w:t>
            </w:r>
            <w:r>
              <w:rPr>
                <w:rFonts w:hint="default" w:ascii="Times New Roman" w:hAnsi="Times New Roman" w:eastAsia="仿宋" w:cs="Times New Roman"/>
                <w:color w:val="auto"/>
                <w:sz w:val="24"/>
                <w:szCs w:val="24"/>
                <w:highlight w:val="none"/>
                <w:lang w:val="en-US" w:eastAsia="zh-CN"/>
              </w:rPr>
              <w:t>环境监测计划，详见下表。</w:t>
            </w:r>
          </w:p>
          <w:p w14:paraId="45800DE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240" w:lineRule="auto"/>
              <w:ind w:left="0" w:right="0"/>
              <w:jc w:val="center"/>
              <w:textAlignment w:val="auto"/>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5.3-1</w:t>
            </w:r>
            <w:r>
              <w:rPr>
                <w:rFonts w:hint="default" w:ascii="Times New Roman" w:hAnsi="Times New Roman" w:eastAsia="仿宋" w:cs="Times New Roman"/>
                <w:b/>
                <w:bCs/>
                <w:color w:val="auto"/>
                <w:sz w:val="21"/>
                <w:szCs w:val="21"/>
                <w:highlight w:val="none"/>
                <w:lang w:val="en-US" w:eastAsia="zh-CN"/>
              </w:rPr>
              <w:t xml:space="preserve">  环境监测计划表</w:t>
            </w:r>
          </w:p>
          <w:tbl>
            <w:tblPr>
              <w:tblStyle w:val="10"/>
              <w:tblW w:w="498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430"/>
              <w:gridCol w:w="577"/>
              <w:gridCol w:w="2255"/>
              <w:gridCol w:w="2053"/>
              <w:gridCol w:w="2066"/>
              <w:gridCol w:w="1056"/>
            </w:tblGrid>
            <w:tr w14:paraId="649805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jc w:val="center"/>
              </w:trPr>
              <w:tc>
                <w:tcPr>
                  <w:tcW w:w="254" w:type="pct"/>
                  <w:noWrap w:val="0"/>
                  <w:vAlign w:val="center"/>
                </w:tcPr>
                <w:p w14:paraId="1368FAF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时期</w:t>
                  </w:r>
                </w:p>
              </w:tc>
              <w:tc>
                <w:tcPr>
                  <w:tcW w:w="341" w:type="pct"/>
                  <w:noWrap w:val="0"/>
                  <w:vAlign w:val="center"/>
                </w:tcPr>
                <w:p w14:paraId="12BE175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监测要素</w:t>
                  </w:r>
                </w:p>
              </w:tc>
              <w:tc>
                <w:tcPr>
                  <w:tcW w:w="1336" w:type="pct"/>
                  <w:noWrap w:val="0"/>
                  <w:vAlign w:val="center"/>
                </w:tcPr>
                <w:p w14:paraId="476D90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监测地点</w:t>
                  </w:r>
                </w:p>
              </w:tc>
              <w:tc>
                <w:tcPr>
                  <w:tcW w:w="1216" w:type="pct"/>
                  <w:noWrap w:val="0"/>
                  <w:vAlign w:val="center"/>
                </w:tcPr>
                <w:p w14:paraId="26D5347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监测因子</w:t>
                  </w:r>
                </w:p>
              </w:tc>
              <w:tc>
                <w:tcPr>
                  <w:tcW w:w="1224" w:type="pct"/>
                  <w:noWrap w:val="0"/>
                  <w:vAlign w:val="center"/>
                </w:tcPr>
                <w:p w14:paraId="2FCAE0D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监测频率</w:t>
                  </w:r>
                </w:p>
              </w:tc>
              <w:tc>
                <w:tcPr>
                  <w:tcW w:w="625" w:type="pct"/>
                  <w:noWrap w:val="0"/>
                  <w:vAlign w:val="center"/>
                </w:tcPr>
                <w:p w14:paraId="27D1A4A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监测</w:t>
                  </w:r>
                </w:p>
                <w:p w14:paraId="0602D32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方法</w:t>
                  </w:r>
                </w:p>
              </w:tc>
            </w:tr>
            <w:tr w14:paraId="4ABCC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542" w:hRule="atLeast"/>
                <w:jc w:val="center"/>
              </w:trPr>
              <w:tc>
                <w:tcPr>
                  <w:tcW w:w="254" w:type="pct"/>
                  <w:vMerge w:val="restart"/>
                  <w:noWrap w:val="0"/>
                  <w:vAlign w:val="center"/>
                </w:tcPr>
                <w:p w14:paraId="5194837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运行期</w:t>
                  </w:r>
                  <w:r>
                    <w:rPr>
                      <w:rFonts w:hint="default" w:ascii="Times New Roman" w:hAnsi="Times New Roman" w:eastAsia="仿宋" w:cs="Times New Roman"/>
                      <w:color w:val="auto"/>
                      <w:sz w:val="21"/>
                      <w:szCs w:val="21"/>
                      <w:highlight w:val="none"/>
                      <w:lang w:val="en-US" w:eastAsia="zh-CN"/>
                    </w:rPr>
                    <w:t>及竣工环保验收阶段</w:t>
                  </w:r>
                </w:p>
              </w:tc>
              <w:tc>
                <w:tcPr>
                  <w:tcW w:w="341" w:type="pct"/>
                  <w:vMerge w:val="restart"/>
                  <w:noWrap w:val="0"/>
                  <w:vAlign w:val="center"/>
                </w:tcPr>
                <w:p w14:paraId="7E4FBD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废水</w:t>
                  </w:r>
                </w:p>
              </w:tc>
              <w:tc>
                <w:tcPr>
                  <w:tcW w:w="1336" w:type="pct"/>
                  <w:vMerge w:val="restart"/>
                  <w:noWrap w:val="0"/>
                  <w:vAlign w:val="center"/>
                </w:tcPr>
                <w:p w14:paraId="172B41A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一体化污水处理设施进出水口</w:t>
                  </w:r>
                </w:p>
              </w:tc>
              <w:tc>
                <w:tcPr>
                  <w:tcW w:w="1216" w:type="pct"/>
                  <w:vMerge w:val="restart"/>
                  <w:noWrap w:val="0"/>
                  <w:vAlign w:val="center"/>
                </w:tcPr>
                <w:p w14:paraId="3FA2794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pH、色度、</w:t>
                  </w:r>
                  <w:r>
                    <w:rPr>
                      <w:rFonts w:hint="default" w:ascii="Times New Roman" w:hAnsi="Times New Roman" w:eastAsia="仿宋" w:cs="Times New Roman"/>
                      <w:color w:val="auto"/>
                      <w:sz w:val="21"/>
                      <w:szCs w:val="21"/>
                      <w:highlight w:val="none"/>
                      <w:lang w:val="en-US" w:eastAsia="zh-CN"/>
                    </w:rPr>
                    <w:t>动植物油</w:t>
                  </w:r>
                  <w:r>
                    <w:rPr>
                      <w:rFonts w:hint="default" w:ascii="Times New Roman" w:hAnsi="Times New Roman" w:eastAsia="仿宋" w:cs="Times New Roman"/>
                      <w:color w:val="auto"/>
                      <w:sz w:val="21"/>
                      <w:szCs w:val="21"/>
                      <w:highlight w:val="none"/>
                    </w:rPr>
                    <w:t>、溶解性总固体、BOD</w:t>
                  </w:r>
                  <w:r>
                    <w:rPr>
                      <w:rFonts w:hint="default" w:ascii="Times New Roman" w:hAnsi="Times New Roman" w:eastAsia="仿宋" w:cs="Times New Roman"/>
                      <w:color w:val="auto"/>
                      <w:sz w:val="21"/>
                      <w:szCs w:val="21"/>
                      <w:highlight w:val="none"/>
                      <w:vertAlign w:val="subscript"/>
                    </w:rPr>
                    <w:t>5</w:t>
                  </w:r>
                  <w:r>
                    <w:rPr>
                      <w:rFonts w:hint="default" w:ascii="Times New Roman" w:hAnsi="Times New Roman" w:eastAsia="仿宋" w:cs="Times New Roman"/>
                      <w:color w:val="auto"/>
                      <w:sz w:val="21"/>
                      <w:szCs w:val="21"/>
                      <w:highlight w:val="none"/>
                    </w:rPr>
                    <w:t>、氨氮、阴离子表面活性剂、总氯</w:t>
                  </w:r>
                </w:p>
              </w:tc>
              <w:tc>
                <w:tcPr>
                  <w:tcW w:w="1224" w:type="pct"/>
                  <w:noWrap w:val="0"/>
                  <w:vAlign w:val="center"/>
                </w:tcPr>
                <w:p w14:paraId="2AEE22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验收阶段：监测1次，非连续采样3个；</w:t>
                  </w:r>
                </w:p>
              </w:tc>
              <w:tc>
                <w:tcPr>
                  <w:tcW w:w="625" w:type="pct"/>
                  <w:vMerge w:val="restart"/>
                  <w:noWrap w:val="0"/>
                  <w:vAlign w:val="center"/>
                </w:tcPr>
                <w:p w14:paraId="4705D19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eastAsia="zh-CN"/>
                    </w:rPr>
                    <w:t>按照</w:t>
                  </w:r>
                  <w:r>
                    <w:rPr>
                      <w:rFonts w:hint="default" w:ascii="Times New Roman" w:hAnsi="Times New Roman" w:eastAsia="仿宋" w:cs="Times New Roman"/>
                      <w:color w:val="auto"/>
                      <w:sz w:val="21"/>
                      <w:szCs w:val="21"/>
                      <w:highlight w:val="none"/>
                    </w:rPr>
                    <w:t>国家标准进行监测</w:t>
                  </w:r>
                </w:p>
              </w:tc>
            </w:tr>
            <w:tr w14:paraId="070B19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542" w:hRule="atLeast"/>
                <w:jc w:val="center"/>
              </w:trPr>
              <w:tc>
                <w:tcPr>
                  <w:tcW w:w="254" w:type="pct"/>
                  <w:vMerge w:val="continue"/>
                  <w:noWrap w:val="0"/>
                  <w:vAlign w:val="center"/>
                </w:tcPr>
                <w:p w14:paraId="27A71AE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341" w:type="pct"/>
                  <w:vMerge w:val="continue"/>
                  <w:noWrap w:val="0"/>
                  <w:vAlign w:val="center"/>
                </w:tcPr>
                <w:p w14:paraId="31CB144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336" w:type="pct"/>
                  <w:vMerge w:val="continue"/>
                  <w:noWrap w:val="0"/>
                  <w:vAlign w:val="center"/>
                </w:tcPr>
                <w:p w14:paraId="03078DB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216" w:type="pct"/>
                  <w:vMerge w:val="continue"/>
                  <w:noWrap w:val="0"/>
                  <w:vAlign w:val="center"/>
                </w:tcPr>
                <w:p w14:paraId="1D090D2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224" w:type="pct"/>
                  <w:noWrap w:val="0"/>
                  <w:vAlign w:val="center"/>
                </w:tcPr>
                <w:p w14:paraId="774F100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运营期：1次/a，非连续采样3个</w:t>
                  </w:r>
                </w:p>
              </w:tc>
              <w:tc>
                <w:tcPr>
                  <w:tcW w:w="625" w:type="pct"/>
                  <w:vMerge w:val="continue"/>
                  <w:noWrap w:val="0"/>
                  <w:vAlign w:val="center"/>
                </w:tcPr>
                <w:p w14:paraId="0173AD3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p>
              </w:tc>
            </w:tr>
            <w:tr w14:paraId="2D210A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0" w:hRule="atLeast"/>
                <w:jc w:val="center"/>
              </w:trPr>
              <w:tc>
                <w:tcPr>
                  <w:tcW w:w="254" w:type="pct"/>
                  <w:vMerge w:val="continue"/>
                  <w:noWrap w:val="0"/>
                  <w:vAlign w:val="center"/>
                </w:tcPr>
                <w:p w14:paraId="043459A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341" w:type="pct"/>
                  <w:vMerge w:val="restart"/>
                  <w:noWrap w:val="0"/>
                  <w:vAlign w:val="center"/>
                </w:tcPr>
                <w:p w14:paraId="28F8F19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噪声</w:t>
                  </w:r>
                </w:p>
              </w:tc>
              <w:tc>
                <w:tcPr>
                  <w:tcW w:w="1336" w:type="pct"/>
                  <w:vMerge w:val="restart"/>
                  <w:noWrap w:val="0"/>
                  <w:vAlign w:val="center"/>
                </w:tcPr>
                <w:p w14:paraId="268AFFD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升压站东、南、西、北厂界</w:t>
                  </w:r>
                </w:p>
              </w:tc>
              <w:tc>
                <w:tcPr>
                  <w:tcW w:w="1216" w:type="pct"/>
                  <w:vMerge w:val="restart"/>
                  <w:noWrap w:val="0"/>
                  <w:vAlign w:val="center"/>
                </w:tcPr>
                <w:p w14:paraId="1D84BA7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Leq</w:t>
                  </w:r>
                </w:p>
              </w:tc>
              <w:tc>
                <w:tcPr>
                  <w:tcW w:w="1224" w:type="pct"/>
                  <w:noWrap w:val="0"/>
                  <w:vAlign w:val="center"/>
                </w:tcPr>
                <w:p w14:paraId="5D349F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color w:val="auto"/>
                      <w:sz w:val="21"/>
                      <w:szCs w:val="21"/>
                      <w:highlight w:val="none"/>
                      <w:lang w:val="en-US" w:eastAsia="zh-CN"/>
                    </w:rPr>
                    <w:t>验收阶段：监测2天，每天昼夜各1次</w:t>
                  </w:r>
                </w:p>
              </w:tc>
              <w:tc>
                <w:tcPr>
                  <w:tcW w:w="625" w:type="pct"/>
                  <w:vMerge w:val="continue"/>
                  <w:noWrap w:val="0"/>
                  <w:vAlign w:val="center"/>
                </w:tcPr>
                <w:p w14:paraId="731DD4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5F33EC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0" w:hRule="atLeast"/>
                <w:jc w:val="center"/>
              </w:trPr>
              <w:tc>
                <w:tcPr>
                  <w:tcW w:w="254" w:type="pct"/>
                  <w:vMerge w:val="continue"/>
                  <w:noWrap w:val="0"/>
                  <w:vAlign w:val="center"/>
                </w:tcPr>
                <w:p w14:paraId="74B69FC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341" w:type="pct"/>
                  <w:vMerge w:val="continue"/>
                  <w:noWrap w:val="0"/>
                  <w:vAlign w:val="center"/>
                </w:tcPr>
                <w:p w14:paraId="063B882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336" w:type="pct"/>
                  <w:vMerge w:val="continue"/>
                  <w:noWrap w:val="0"/>
                  <w:vAlign w:val="center"/>
                </w:tcPr>
                <w:p w14:paraId="1AB39E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216" w:type="pct"/>
                  <w:vMerge w:val="continue"/>
                  <w:noWrap w:val="0"/>
                  <w:vAlign w:val="center"/>
                </w:tcPr>
                <w:p w14:paraId="4925261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highlight w:val="none"/>
                    </w:rPr>
                  </w:pPr>
                </w:p>
              </w:tc>
              <w:tc>
                <w:tcPr>
                  <w:tcW w:w="1224" w:type="pct"/>
                  <w:noWrap w:val="0"/>
                  <w:vAlign w:val="center"/>
                </w:tcPr>
                <w:p w14:paraId="12FEDA7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运营期：1天/半年，每天昼夜各1次</w:t>
                  </w:r>
                </w:p>
              </w:tc>
              <w:tc>
                <w:tcPr>
                  <w:tcW w:w="625" w:type="pct"/>
                  <w:vMerge w:val="continue"/>
                  <w:noWrap w:val="0"/>
                  <w:vAlign w:val="center"/>
                </w:tcPr>
                <w:p w14:paraId="2696BF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5F96E4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80" w:hRule="atLeast"/>
                <w:jc w:val="center"/>
              </w:trPr>
              <w:tc>
                <w:tcPr>
                  <w:tcW w:w="254" w:type="pct"/>
                  <w:vMerge w:val="continue"/>
                  <w:noWrap w:val="0"/>
                  <w:vAlign w:val="center"/>
                </w:tcPr>
                <w:p w14:paraId="196EF7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341" w:type="pct"/>
                  <w:vMerge w:val="restart"/>
                  <w:noWrap w:val="0"/>
                  <w:vAlign w:val="center"/>
                </w:tcPr>
                <w:p w14:paraId="7C6EB4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电磁环境</w:t>
                  </w:r>
                </w:p>
              </w:tc>
              <w:tc>
                <w:tcPr>
                  <w:tcW w:w="1336" w:type="pct"/>
                  <w:vMerge w:val="restart"/>
                  <w:noWrap w:val="0"/>
                  <w:vAlign w:val="center"/>
                </w:tcPr>
                <w:p w14:paraId="49B7519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b w:val="0"/>
                      <w:bCs w:val="0"/>
                      <w:color w:val="auto"/>
                      <w:sz w:val="21"/>
                      <w:szCs w:val="21"/>
                      <w:highlight w:val="none"/>
                      <w:lang w:val="en-US" w:eastAsia="zh-CN"/>
                    </w:rPr>
                  </w:pPr>
                  <w:r>
                    <w:rPr>
                      <w:rFonts w:hint="default" w:ascii="Times New Roman" w:hAnsi="Times New Roman" w:eastAsia="仿宋" w:cs="Times New Roman"/>
                      <w:b w:val="0"/>
                      <w:bCs w:val="0"/>
                      <w:color w:val="auto"/>
                      <w:sz w:val="21"/>
                      <w:szCs w:val="21"/>
                      <w:highlight w:val="none"/>
                      <w:lang w:val="en-US" w:eastAsia="zh-CN"/>
                    </w:rPr>
                    <w:t>升压站厂界四周，围墙外5m。</w:t>
                  </w:r>
                </w:p>
                <w:p w14:paraId="69471F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val="0"/>
                      <w:bCs w:val="0"/>
                      <w:color w:val="auto"/>
                      <w:sz w:val="21"/>
                      <w:szCs w:val="21"/>
                      <w:highlight w:val="none"/>
                      <w:lang w:val="en-US" w:eastAsia="zh-CN"/>
                    </w:rPr>
                    <w:t>工频电场、工频磁感应强度最大值处间隔5m布设监测断面至50m处</w:t>
                  </w:r>
                </w:p>
              </w:tc>
              <w:tc>
                <w:tcPr>
                  <w:tcW w:w="1216" w:type="pct"/>
                  <w:vMerge w:val="restart"/>
                  <w:noWrap w:val="0"/>
                  <w:vAlign w:val="center"/>
                </w:tcPr>
                <w:p w14:paraId="7B89C76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工频电场</w:t>
                  </w:r>
                </w:p>
                <w:p w14:paraId="46C8714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工频磁场</w:t>
                  </w:r>
                </w:p>
              </w:tc>
              <w:tc>
                <w:tcPr>
                  <w:tcW w:w="1224" w:type="pct"/>
                  <w:noWrap w:val="0"/>
                  <w:vAlign w:val="center"/>
                </w:tcPr>
                <w:p w14:paraId="3076ED3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验收阶段：监测1次</w:t>
                  </w:r>
                </w:p>
              </w:tc>
              <w:tc>
                <w:tcPr>
                  <w:tcW w:w="625" w:type="pct"/>
                  <w:vMerge w:val="continue"/>
                  <w:noWrap w:val="0"/>
                  <w:vAlign w:val="center"/>
                </w:tcPr>
                <w:p w14:paraId="7B68071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r w14:paraId="782B6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80" w:hRule="atLeast"/>
                <w:jc w:val="center"/>
              </w:trPr>
              <w:tc>
                <w:tcPr>
                  <w:tcW w:w="254" w:type="pct"/>
                  <w:vMerge w:val="continue"/>
                  <w:noWrap w:val="0"/>
                  <w:vAlign w:val="center"/>
                </w:tcPr>
                <w:p w14:paraId="4654705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341" w:type="pct"/>
                  <w:vMerge w:val="continue"/>
                  <w:noWrap w:val="0"/>
                  <w:vAlign w:val="center"/>
                </w:tcPr>
                <w:p w14:paraId="1DD242B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36" w:type="pct"/>
                  <w:vMerge w:val="continue"/>
                  <w:noWrap w:val="0"/>
                  <w:vAlign w:val="center"/>
                </w:tcPr>
                <w:p w14:paraId="651F7FC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216" w:type="pct"/>
                  <w:vMerge w:val="continue"/>
                  <w:noWrap w:val="0"/>
                  <w:vAlign w:val="center"/>
                </w:tcPr>
                <w:p w14:paraId="0E05A4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224" w:type="pct"/>
                  <w:noWrap w:val="0"/>
                  <w:vAlign w:val="center"/>
                </w:tcPr>
                <w:p w14:paraId="13476C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运营期：</w:t>
                  </w:r>
                  <w:r>
                    <w:rPr>
                      <w:rFonts w:hint="default" w:ascii="Times New Roman" w:hAnsi="Times New Roman" w:eastAsia="仿宋" w:cs="Times New Roman"/>
                      <w:color w:val="auto"/>
                      <w:sz w:val="21"/>
                      <w:szCs w:val="21"/>
                      <w:highlight w:val="none"/>
                    </w:rPr>
                    <w:t>针对工程变化或投诉情况进行监测</w:t>
                  </w:r>
                </w:p>
              </w:tc>
              <w:tc>
                <w:tcPr>
                  <w:tcW w:w="625" w:type="pct"/>
                  <w:vMerge w:val="continue"/>
                  <w:noWrap w:val="0"/>
                  <w:vAlign w:val="center"/>
                </w:tcPr>
                <w:p w14:paraId="23EA897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r>
          </w:tbl>
          <w:p w14:paraId="5BA2B183">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jc w:val="both"/>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2、运营期满后环境保护措施</w:t>
            </w:r>
          </w:p>
          <w:p w14:paraId="4301E9C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①拆除硬化检修道路基础，对场地进行恢复，植被恢复物种以本地种为主，并考虑与建设前的物种类别相协调。</w:t>
            </w:r>
          </w:p>
          <w:p w14:paraId="67172B3A">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②拆除光伏方阵区支架、箱变等混凝土基础后，场地应进行恢复，覆土厚度30cm，并将光伏阵列区侵蚀沟和低洼区域填土、平整</w:t>
            </w:r>
            <w:r>
              <w:rPr>
                <w:rFonts w:hint="eastAsia" w:cs="Times New Roman"/>
                <w:color w:val="auto"/>
                <w:sz w:val="24"/>
                <w:szCs w:val="24"/>
                <w:highlight w:val="none"/>
                <w:lang w:val="en-US" w:eastAsia="zh-CN"/>
              </w:rPr>
              <w:t>，对</w:t>
            </w:r>
            <w:r>
              <w:rPr>
                <w:rFonts w:hint="default" w:ascii="Times New Roman" w:hAnsi="Times New Roman" w:eastAsia="仿宋" w:cs="Times New Roman"/>
                <w:color w:val="auto"/>
                <w:sz w:val="24"/>
                <w:szCs w:val="24"/>
                <w:highlight w:val="none"/>
                <w:lang w:val="en-US" w:eastAsia="zh-CN"/>
              </w:rPr>
              <w:t>恢复后的场地进行洒水和压实，以固结地表，防止产生扬尘和对土壤的风蚀，进行植被恢复，对于少量不能进行植被恢复的区域，进行平整压实，以减轻水土流失。光伏电站在服务期满后，要严格采取固废处置及生态恢复的环保措施，确保无遗留环保问题。</w:t>
            </w:r>
          </w:p>
          <w:p w14:paraId="6B7E84ED">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③服务期满后及时联系厂家对废旧光伏组件、逆变器、箱变等进行回收利用。</w:t>
            </w:r>
          </w:p>
          <w:p w14:paraId="71B988C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④光伏组件设备拆除完毕后，应做好植被恢复措施，物种选择因地制宜，选择当地物种。</w:t>
            </w:r>
          </w:p>
        </w:tc>
      </w:tr>
      <w:tr w14:paraId="1D078E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77" w:type="pct"/>
            <w:noWrap w:val="0"/>
            <w:vAlign w:val="center"/>
          </w:tcPr>
          <w:p w14:paraId="377098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仿宋" w:cs="Times New Roman"/>
                <w:bCs/>
                <w:color w:val="auto"/>
                <w:spacing w:val="10"/>
                <w:sz w:val="24"/>
                <w:szCs w:val="24"/>
                <w:highlight w:val="none"/>
              </w:rPr>
            </w:pPr>
            <w:r>
              <w:rPr>
                <w:rFonts w:hint="default" w:ascii="Times New Roman" w:hAnsi="Times New Roman" w:eastAsia="仿宋" w:cs="Times New Roman"/>
                <w:bCs/>
                <w:color w:val="auto"/>
                <w:sz w:val="24"/>
                <w:szCs w:val="24"/>
                <w:highlight w:val="none"/>
              </w:rPr>
              <w:t>环保投资</w:t>
            </w:r>
          </w:p>
        </w:tc>
        <w:tc>
          <w:tcPr>
            <w:tcW w:w="4622" w:type="pct"/>
            <w:noWrap w:val="0"/>
            <w:vAlign w:val="top"/>
          </w:tcPr>
          <w:p w14:paraId="1855F5BB">
            <w:pPr>
              <w:keepNext w:val="0"/>
              <w:keepLines w:val="0"/>
              <w:suppressLineNumbers w:val="0"/>
              <w:snapToGrid w:val="0"/>
              <w:spacing w:before="0" w:beforeAutospacing="0" w:after="0" w:afterAutospacing="0" w:line="360" w:lineRule="auto"/>
              <w:ind w:left="0" w:right="0" w:firstLine="520" w:firstLineChars="200"/>
              <w:rPr>
                <w:rFonts w:hint="default" w:ascii="Times New Roman" w:hAnsi="Times New Roman" w:eastAsia="仿宋" w:cs="Times New Roman"/>
                <w:bCs/>
                <w:color w:val="auto"/>
                <w:spacing w:val="10"/>
                <w:sz w:val="24"/>
                <w:szCs w:val="24"/>
                <w:highlight w:val="none"/>
              </w:rPr>
            </w:pPr>
            <w:r>
              <w:rPr>
                <w:rFonts w:hint="default" w:ascii="Times New Roman" w:hAnsi="Times New Roman" w:eastAsia="仿宋" w:cs="Times New Roman"/>
                <w:bCs/>
                <w:color w:val="auto"/>
                <w:spacing w:val="10"/>
                <w:sz w:val="24"/>
                <w:szCs w:val="24"/>
                <w:highlight w:val="none"/>
              </w:rPr>
              <w:t>本项目总投资为</w:t>
            </w:r>
            <w:r>
              <w:rPr>
                <w:rFonts w:hint="eastAsia" w:cs="Times New Roman"/>
                <w:bCs/>
                <w:color w:val="auto"/>
                <w:spacing w:val="10"/>
                <w:sz w:val="24"/>
                <w:szCs w:val="24"/>
                <w:highlight w:val="none"/>
                <w:lang w:val="en-US" w:eastAsia="zh-CN"/>
              </w:rPr>
              <w:t>61795</w:t>
            </w:r>
            <w:r>
              <w:rPr>
                <w:rFonts w:hint="default" w:ascii="Times New Roman" w:hAnsi="Times New Roman" w:eastAsia="仿宋" w:cs="Times New Roman"/>
                <w:bCs/>
                <w:color w:val="auto"/>
                <w:spacing w:val="10"/>
                <w:sz w:val="24"/>
                <w:szCs w:val="24"/>
                <w:highlight w:val="none"/>
              </w:rPr>
              <w:t>万元，其中环保投资为</w:t>
            </w:r>
            <w:r>
              <w:rPr>
                <w:rFonts w:hint="default" w:ascii="Times New Roman" w:hAnsi="Times New Roman" w:eastAsia="仿宋" w:cs="Times New Roman"/>
                <w:bCs/>
                <w:color w:val="auto"/>
                <w:spacing w:val="10"/>
                <w:sz w:val="24"/>
                <w:szCs w:val="24"/>
                <w:highlight w:val="none"/>
                <w:lang w:val="en-US" w:eastAsia="zh-CN"/>
              </w:rPr>
              <w:t>222.5</w:t>
            </w:r>
            <w:r>
              <w:rPr>
                <w:rFonts w:hint="default" w:ascii="Times New Roman" w:hAnsi="Times New Roman" w:eastAsia="仿宋" w:cs="Times New Roman"/>
                <w:bCs/>
                <w:color w:val="auto"/>
                <w:spacing w:val="10"/>
                <w:sz w:val="24"/>
                <w:szCs w:val="24"/>
                <w:highlight w:val="none"/>
              </w:rPr>
              <w:t>万元，约占总投资的</w:t>
            </w:r>
            <w:r>
              <w:rPr>
                <w:rFonts w:hint="eastAsia" w:cs="Times New Roman"/>
                <w:bCs/>
                <w:color w:val="auto"/>
                <w:spacing w:val="10"/>
                <w:sz w:val="24"/>
                <w:szCs w:val="24"/>
                <w:highlight w:val="none"/>
                <w:lang w:val="en-US" w:eastAsia="zh-CN"/>
              </w:rPr>
              <w:t>0.36</w:t>
            </w:r>
            <w:r>
              <w:rPr>
                <w:rFonts w:hint="default" w:ascii="Times New Roman" w:hAnsi="Times New Roman" w:eastAsia="仿宋" w:cs="Times New Roman"/>
                <w:bCs/>
                <w:color w:val="auto"/>
                <w:spacing w:val="10"/>
                <w:sz w:val="24"/>
                <w:szCs w:val="24"/>
                <w:highlight w:val="none"/>
              </w:rPr>
              <w:t>%</w:t>
            </w:r>
            <w:r>
              <w:rPr>
                <w:rFonts w:hint="default" w:ascii="Times New Roman" w:hAnsi="Times New Roman" w:eastAsia="仿宋" w:cs="Times New Roman"/>
                <w:bCs/>
                <w:color w:val="auto"/>
                <w:spacing w:val="10"/>
                <w:sz w:val="24"/>
                <w:szCs w:val="24"/>
                <w:highlight w:val="none"/>
                <w:lang w:eastAsia="zh-CN"/>
              </w:rPr>
              <w:t>，</w:t>
            </w:r>
            <w:r>
              <w:rPr>
                <w:rFonts w:hint="default" w:ascii="Times New Roman" w:hAnsi="Times New Roman" w:eastAsia="仿宋" w:cs="Times New Roman"/>
                <w:color w:val="auto"/>
                <w:sz w:val="24"/>
                <w:szCs w:val="24"/>
                <w:highlight w:val="none"/>
                <w:lang w:eastAsia="zh-CN"/>
              </w:rPr>
              <w:t>项目环保投资见</w:t>
            </w:r>
            <w:r>
              <w:rPr>
                <w:rFonts w:hint="default" w:ascii="Times New Roman" w:hAnsi="Times New Roman" w:eastAsia="仿宋" w:cs="Times New Roman"/>
                <w:color w:val="auto"/>
                <w:sz w:val="24"/>
                <w:szCs w:val="24"/>
                <w:highlight w:val="none"/>
                <w:lang w:val="en-US" w:eastAsia="zh-CN"/>
              </w:rPr>
              <w:t>下</w:t>
            </w:r>
            <w:r>
              <w:rPr>
                <w:rFonts w:hint="default" w:ascii="Times New Roman" w:hAnsi="Times New Roman" w:eastAsia="仿宋" w:cs="Times New Roman"/>
                <w:bCs/>
                <w:color w:val="auto"/>
                <w:spacing w:val="10"/>
                <w:sz w:val="24"/>
                <w:szCs w:val="24"/>
                <w:highlight w:val="none"/>
              </w:rPr>
              <w:t>表。</w:t>
            </w:r>
          </w:p>
          <w:p w14:paraId="2A1DC645">
            <w:pPr>
              <w:keepNext w:val="0"/>
              <w:keepLines w:val="0"/>
              <w:pageBreakBefore w:val="0"/>
              <w:widowControl w:val="0"/>
              <w:suppressLineNumbers w:val="0"/>
              <w:kinsoku/>
              <w:wordWrap/>
              <w:overflowPunct/>
              <w:topLinePunct w:val="0"/>
              <w:autoSpaceDE/>
              <w:autoSpaceDN/>
              <w:bidi w:val="0"/>
              <w:adjustRightInd/>
              <w:snapToGrid w:val="0"/>
              <w:spacing w:before="157" w:beforeLines="50" w:beforeAutospacing="0" w:after="0" w:afterAutospacing="0"/>
              <w:ind w:left="0" w:right="0"/>
              <w:jc w:val="center"/>
              <w:textAlignment w:val="auto"/>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表5-</w:t>
            </w:r>
            <w:r>
              <w:rPr>
                <w:rFonts w:hint="default" w:ascii="Times New Roman" w:hAnsi="Times New Roman" w:eastAsia="仿宋" w:cs="Times New Roman"/>
                <w:b/>
                <w:color w:val="auto"/>
                <w:sz w:val="21"/>
                <w:szCs w:val="21"/>
                <w:highlight w:val="none"/>
                <w:lang w:val="en-US" w:eastAsia="zh-CN"/>
              </w:rPr>
              <w:t xml:space="preserve">2 </w:t>
            </w:r>
            <w:r>
              <w:rPr>
                <w:rFonts w:hint="default" w:ascii="Times New Roman" w:hAnsi="Times New Roman" w:eastAsia="仿宋" w:cs="Times New Roman"/>
                <w:b/>
                <w:color w:val="auto"/>
                <w:sz w:val="21"/>
                <w:szCs w:val="21"/>
                <w:highlight w:val="none"/>
              </w:rPr>
              <w:t xml:space="preserve"> 项目环保投资一览表   单位：万元</w:t>
            </w:r>
          </w:p>
          <w:tbl>
            <w:tblPr>
              <w:tblStyle w:val="11"/>
              <w:tblW w:w="48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718"/>
              <w:gridCol w:w="3159"/>
              <w:gridCol w:w="963"/>
              <w:gridCol w:w="1043"/>
              <w:gridCol w:w="775"/>
              <w:gridCol w:w="763"/>
            </w:tblGrid>
            <w:tr w14:paraId="6A42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Align w:val="center"/>
                </w:tcPr>
                <w:p w14:paraId="6997C6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阶段</w:t>
                  </w:r>
                </w:p>
              </w:tc>
              <w:tc>
                <w:tcPr>
                  <w:tcW w:w="732" w:type="dxa"/>
                  <w:vAlign w:val="center"/>
                </w:tcPr>
                <w:p w14:paraId="554858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类别</w:t>
                  </w:r>
                </w:p>
              </w:tc>
              <w:tc>
                <w:tcPr>
                  <w:tcW w:w="3222" w:type="dxa"/>
                  <w:vAlign w:val="center"/>
                </w:tcPr>
                <w:p w14:paraId="2CDA9E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环境治理措施</w:t>
                  </w:r>
                </w:p>
              </w:tc>
              <w:tc>
                <w:tcPr>
                  <w:tcW w:w="982" w:type="dxa"/>
                  <w:vAlign w:val="center"/>
                </w:tcPr>
                <w:p w14:paraId="729EAB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数量</w:t>
                  </w:r>
                </w:p>
              </w:tc>
              <w:tc>
                <w:tcPr>
                  <w:tcW w:w="1064" w:type="dxa"/>
                  <w:vAlign w:val="center"/>
                </w:tcPr>
                <w:p w14:paraId="4A2EA5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规模</w:t>
                  </w:r>
                </w:p>
              </w:tc>
              <w:tc>
                <w:tcPr>
                  <w:tcW w:w="791" w:type="dxa"/>
                  <w:vAlign w:val="center"/>
                </w:tcPr>
                <w:p w14:paraId="6FDF32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投资/万元</w:t>
                  </w:r>
                </w:p>
              </w:tc>
              <w:tc>
                <w:tcPr>
                  <w:tcW w:w="778" w:type="dxa"/>
                  <w:vAlign w:val="center"/>
                </w:tcPr>
                <w:p w14:paraId="09B7EA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bCs w:val="0"/>
                      <w:color w:val="auto"/>
                      <w:spacing w:val="10"/>
                      <w:sz w:val="21"/>
                      <w:szCs w:val="21"/>
                      <w:highlight w:val="none"/>
                      <w:vertAlign w:val="baseline"/>
                      <w:lang w:val="en-US" w:eastAsia="zh-CN"/>
                    </w:rPr>
                  </w:pPr>
                  <w:r>
                    <w:rPr>
                      <w:rFonts w:hint="default" w:ascii="Times New Roman" w:hAnsi="Times New Roman" w:eastAsia="仿宋" w:cs="Times New Roman"/>
                      <w:b/>
                      <w:bCs w:val="0"/>
                      <w:color w:val="auto"/>
                      <w:spacing w:val="10"/>
                      <w:sz w:val="21"/>
                      <w:szCs w:val="21"/>
                      <w:highlight w:val="none"/>
                      <w:vertAlign w:val="baseline"/>
                      <w:lang w:val="en-US" w:eastAsia="zh-CN"/>
                    </w:rPr>
                    <w:t>备注</w:t>
                  </w:r>
                </w:p>
              </w:tc>
            </w:tr>
            <w:tr w14:paraId="57DB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restart"/>
                  <w:vAlign w:val="center"/>
                </w:tcPr>
                <w:p w14:paraId="2E9C2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施工期</w:t>
                  </w:r>
                </w:p>
              </w:tc>
              <w:tc>
                <w:tcPr>
                  <w:tcW w:w="732" w:type="dxa"/>
                  <w:vMerge w:val="restart"/>
                  <w:vAlign w:val="center"/>
                </w:tcPr>
                <w:p w14:paraId="58B8F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废气</w:t>
                  </w:r>
                </w:p>
              </w:tc>
              <w:tc>
                <w:tcPr>
                  <w:tcW w:w="3222" w:type="dxa"/>
                  <w:vAlign w:val="center"/>
                </w:tcPr>
                <w:p w14:paraId="40EB7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20" w:leftChars="-50" w:right="-120" w:rightChars="-5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bCs/>
                      <w:color w:val="auto"/>
                      <w:spacing w:val="10"/>
                      <w:sz w:val="21"/>
                      <w:szCs w:val="21"/>
                      <w:highlight w:val="none"/>
                      <w:vertAlign w:val="baseline"/>
                    </w:rPr>
                    <w:t>临时</w:t>
                  </w:r>
                  <w:r>
                    <w:rPr>
                      <w:rFonts w:hint="default" w:ascii="Times New Roman" w:hAnsi="Times New Roman" w:eastAsia="仿宋" w:cs="Times New Roman"/>
                      <w:bCs/>
                      <w:color w:val="auto"/>
                      <w:spacing w:val="10"/>
                      <w:sz w:val="21"/>
                      <w:szCs w:val="21"/>
                      <w:highlight w:val="none"/>
                      <w:vertAlign w:val="baseline"/>
                      <w:lang w:val="en-US" w:eastAsia="zh-CN"/>
                    </w:rPr>
                    <w:t>表土堆</w:t>
                  </w:r>
                  <w:r>
                    <w:rPr>
                      <w:rFonts w:hint="default" w:ascii="Times New Roman" w:hAnsi="Times New Roman" w:eastAsia="仿宋" w:cs="Times New Roman"/>
                      <w:bCs/>
                      <w:color w:val="auto"/>
                      <w:spacing w:val="10"/>
                      <w:sz w:val="21"/>
                      <w:szCs w:val="21"/>
                      <w:highlight w:val="none"/>
                      <w:vertAlign w:val="baseline"/>
                    </w:rPr>
                    <w:t>场、料场遮盖、拦挡</w:t>
                  </w:r>
                </w:p>
              </w:tc>
              <w:tc>
                <w:tcPr>
                  <w:tcW w:w="982" w:type="dxa"/>
                  <w:vAlign w:val="center"/>
                </w:tcPr>
                <w:p w14:paraId="2BBB9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650F6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66B4D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10</w:t>
                  </w:r>
                </w:p>
              </w:tc>
              <w:tc>
                <w:tcPr>
                  <w:tcW w:w="778" w:type="dxa"/>
                  <w:vAlign w:val="center"/>
                </w:tcPr>
                <w:p w14:paraId="14383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4AE2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1053D1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continue"/>
                  <w:vAlign w:val="center"/>
                </w:tcPr>
                <w:p w14:paraId="73D51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3222" w:type="dxa"/>
                  <w:vAlign w:val="center"/>
                </w:tcPr>
                <w:p w14:paraId="0EB333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洒水降尘</w:t>
                  </w:r>
                </w:p>
              </w:tc>
              <w:tc>
                <w:tcPr>
                  <w:tcW w:w="982" w:type="dxa"/>
                  <w:vAlign w:val="center"/>
                </w:tcPr>
                <w:p w14:paraId="2FA78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6AD93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5BBCD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12</w:t>
                  </w:r>
                </w:p>
              </w:tc>
              <w:tc>
                <w:tcPr>
                  <w:tcW w:w="778" w:type="dxa"/>
                  <w:vAlign w:val="center"/>
                </w:tcPr>
                <w:p w14:paraId="1C87D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7852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1E685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continue"/>
                  <w:vAlign w:val="center"/>
                </w:tcPr>
                <w:p w14:paraId="1309CA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3222" w:type="dxa"/>
                  <w:vAlign w:val="center"/>
                </w:tcPr>
                <w:p w14:paraId="38F17A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施工场地运输车辆加盖篷布</w:t>
                  </w:r>
                </w:p>
              </w:tc>
              <w:tc>
                <w:tcPr>
                  <w:tcW w:w="982" w:type="dxa"/>
                  <w:vAlign w:val="center"/>
                </w:tcPr>
                <w:p w14:paraId="7F136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448B9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7BBDA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0.5</w:t>
                  </w:r>
                </w:p>
              </w:tc>
              <w:tc>
                <w:tcPr>
                  <w:tcW w:w="778" w:type="dxa"/>
                  <w:vAlign w:val="center"/>
                </w:tcPr>
                <w:p w14:paraId="71633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4D6A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0395F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restart"/>
                  <w:vAlign w:val="center"/>
                </w:tcPr>
                <w:p w14:paraId="420D30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废水</w:t>
                  </w:r>
                </w:p>
              </w:tc>
              <w:tc>
                <w:tcPr>
                  <w:tcW w:w="3222" w:type="dxa"/>
                  <w:vAlign w:val="center"/>
                </w:tcPr>
                <w:p w14:paraId="78EDF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排水沟末端设置地表径流沉砂池</w:t>
                  </w:r>
                </w:p>
              </w:tc>
              <w:tc>
                <w:tcPr>
                  <w:tcW w:w="982" w:type="dxa"/>
                  <w:vAlign w:val="center"/>
                </w:tcPr>
                <w:p w14:paraId="3DEB37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30座</w:t>
                  </w:r>
                </w:p>
              </w:tc>
              <w:tc>
                <w:tcPr>
                  <w:tcW w:w="1064" w:type="dxa"/>
                  <w:vAlign w:val="center"/>
                </w:tcPr>
                <w:p w14:paraId="3309F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单个容积2.5m</w:t>
                  </w:r>
                  <w:r>
                    <w:rPr>
                      <w:rFonts w:hint="default" w:ascii="Times New Roman" w:hAnsi="Times New Roman" w:eastAsia="仿宋" w:cs="Times New Roman"/>
                      <w:bCs/>
                      <w:color w:val="auto"/>
                      <w:spacing w:val="10"/>
                      <w:sz w:val="21"/>
                      <w:szCs w:val="21"/>
                      <w:highlight w:val="none"/>
                      <w:vertAlign w:val="superscript"/>
                      <w:lang w:val="en-US" w:eastAsia="zh-CN"/>
                    </w:rPr>
                    <w:t>3</w:t>
                  </w:r>
                </w:p>
              </w:tc>
              <w:tc>
                <w:tcPr>
                  <w:tcW w:w="791" w:type="dxa"/>
                  <w:vAlign w:val="center"/>
                </w:tcPr>
                <w:p w14:paraId="2F48FF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15</w:t>
                  </w:r>
                </w:p>
              </w:tc>
              <w:tc>
                <w:tcPr>
                  <w:tcW w:w="778" w:type="dxa"/>
                  <w:vAlign w:val="center"/>
                </w:tcPr>
                <w:p w14:paraId="55C7AC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7143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2" w:type="dxa"/>
                  <w:vMerge w:val="continue"/>
                  <w:vAlign w:val="center"/>
                </w:tcPr>
                <w:p w14:paraId="00A0FA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continue"/>
                  <w:vAlign w:val="center"/>
                </w:tcPr>
                <w:p w14:paraId="0B497A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33063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沿道路截排水沟</w:t>
                  </w:r>
                </w:p>
              </w:tc>
              <w:tc>
                <w:tcPr>
                  <w:tcW w:w="982" w:type="dxa"/>
                  <w:vAlign w:val="center"/>
                </w:tcPr>
                <w:p w14:paraId="25E0E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10800m</w:t>
                  </w:r>
                </w:p>
              </w:tc>
              <w:tc>
                <w:tcPr>
                  <w:tcW w:w="1064" w:type="dxa"/>
                  <w:vAlign w:val="center"/>
                </w:tcPr>
                <w:p w14:paraId="5FC095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03D60F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70</w:t>
                  </w:r>
                </w:p>
              </w:tc>
              <w:tc>
                <w:tcPr>
                  <w:tcW w:w="778" w:type="dxa"/>
                  <w:vAlign w:val="center"/>
                </w:tcPr>
                <w:p w14:paraId="32E74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6E9A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096AF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continue"/>
                  <w:vAlign w:val="center"/>
                </w:tcPr>
                <w:p w14:paraId="14870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1E424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施工废水沉淀池</w:t>
                  </w:r>
                </w:p>
              </w:tc>
              <w:tc>
                <w:tcPr>
                  <w:tcW w:w="982" w:type="dxa"/>
                  <w:vAlign w:val="center"/>
                </w:tcPr>
                <w:p w14:paraId="386AA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6座</w:t>
                  </w:r>
                </w:p>
              </w:tc>
              <w:tc>
                <w:tcPr>
                  <w:tcW w:w="1064" w:type="dxa"/>
                  <w:vAlign w:val="center"/>
                </w:tcPr>
                <w:p w14:paraId="5E5FC1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容积为2m</w:t>
                  </w:r>
                  <w:r>
                    <w:rPr>
                      <w:rFonts w:hint="default" w:ascii="Times New Roman" w:hAnsi="Times New Roman" w:eastAsia="仿宋" w:cs="Times New Roman"/>
                      <w:bCs/>
                      <w:color w:val="auto"/>
                      <w:spacing w:val="10"/>
                      <w:sz w:val="21"/>
                      <w:szCs w:val="21"/>
                      <w:highlight w:val="none"/>
                      <w:vertAlign w:val="superscript"/>
                      <w:lang w:val="en-US" w:eastAsia="zh-CN"/>
                    </w:rPr>
                    <w:t>3</w:t>
                  </w:r>
                </w:p>
              </w:tc>
              <w:tc>
                <w:tcPr>
                  <w:tcW w:w="791" w:type="dxa"/>
                  <w:vAlign w:val="center"/>
                </w:tcPr>
                <w:p w14:paraId="3D05C2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2.5</w:t>
                  </w:r>
                </w:p>
              </w:tc>
              <w:tc>
                <w:tcPr>
                  <w:tcW w:w="778" w:type="dxa"/>
                  <w:vAlign w:val="center"/>
                </w:tcPr>
                <w:p w14:paraId="55142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4C7D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53DD4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Align w:val="center"/>
                </w:tcPr>
                <w:p w14:paraId="19B6D3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噪声</w:t>
                  </w:r>
                </w:p>
              </w:tc>
              <w:tc>
                <w:tcPr>
                  <w:tcW w:w="3222" w:type="dxa"/>
                  <w:vAlign w:val="center"/>
                </w:tcPr>
                <w:p w14:paraId="01047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移动声屏障、交通警示牌</w:t>
                  </w:r>
                </w:p>
              </w:tc>
              <w:tc>
                <w:tcPr>
                  <w:tcW w:w="982" w:type="dxa"/>
                  <w:vAlign w:val="center"/>
                </w:tcPr>
                <w:p w14:paraId="59CEB0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3ECF3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189EC9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12</w:t>
                  </w:r>
                </w:p>
              </w:tc>
              <w:tc>
                <w:tcPr>
                  <w:tcW w:w="778" w:type="dxa"/>
                  <w:vAlign w:val="center"/>
                </w:tcPr>
                <w:p w14:paraId="4BF20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77F9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59DD9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restart"/>
                  <w:vAlign w:val="center"/>
                </w:tcPr>
                <w:p w14:paraId="26CFA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固废</w:t>
                  </w:r>
                </w:p>
              </w:tc>
              <w:tc>
                <w:tcPr>
                  <w:tcW w:w="3222" w:type="dxa"/>
                  <w:vAlign w:val="center"/>
                </w:tcPr>
                <w:p w14:paraId="2B636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建筑垃圾及时清运</w:t>
                  </w:r>
                </w:p>
              </w:tc>
              <w:tc>
                <w:tcPr>
                  <w:tcW w:w="982" w:type="dxa"/>
                  <w:vAlign w:val="center"/>
                </w:tcPr>
                <w:p w14:paraId="62E46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429DE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3ACF7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78" w:type="dxa"/>
                  <w:vAlign w:val="center"/>
                </w:tcPr>
                <w:p w14:paraId="7FA4E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纳入主体投资</w:t>
                  </w:r>
                </w:p>
              </w:tc>
            </w:tr>
            <w:tr w14:paraId="5265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391846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Merge w:val="continue"/>
                  <w:vAlign w:val="center"/>
                </w:tcPr>
                <w:p w14:paraId="68EF6D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7918A1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生活垃圾日常管理、清运</w:t>
                  </w:r>
                </w:p>
              </w:tc>
              <w:tc>
                <w:tcPr>
                  <w:tcW w:w="982" w:type="dxa"/>
                  <w:vAlign w:val="center"/>
                </w:tcPr>
                <w:p w14:paraId="68CBF5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1064" w:type="dxa"/>
                  <w:vAlign w:val="center"/>
                </w:tcPr>
                <w:p w14:paraId="07670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91" w:type="dxa"/>
                  <w:vAlign w:val="center"/>
                </w:tcPr>
                <w:p w14:paraId="4997F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4.5</w:t>
                  </w:r>
                </w:p>
              </w:tc>
              <w:tc>
                <w:tcPr>
                  <w:tcW w:w="778" w:type="dxa"/>
                  <w:vAlign w:val="center"/>
                </w:tcPr>
                <w:p w14:paraId="6168D9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0436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724227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Align w:val="center"/>
                </w:tcPr>
                <w:p w14:paraId="23293C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生态</w:t>
                  </w:r>
                </w:p>
              </w:tc>
              <w:tc>
                <w:tcPr>
                  <w:tcW w:w="3222" w:type="dxa"/>
                  <w:vAlign w:val="center"/>
                </w:tcPr>
                <w:p w14:paraId="3A7A6C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动植物保护及植被恢复措施</w:t>
                  </w:r>
                </w:p>
              </w:tc>
              <w:tc>
                <w:tcPr>
                  <w:tcW w:w="982" w:type="dxa"/>
                  <w:vAlign w:val="center"/>
                </w:tcPr>
                <w:p w14:paraId="6795EF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7778C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45427A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40</w:t>
                  </w:r>
                </w:p>
              </w:tc>
              <w:tc>
                <w:tcPr>
                  <w:tcW w:w="778" w:type="dxa"/>
                  <w:vAlign w:val="center"/>
                </w:tcPr>
                <w:p w14:paraId="667770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7602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561F6F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732" w:type="dxa"/>
                  <w:vAlign w:val="center"/>
                </w:tcPr>
                <w:p w14:paraId="7FB51F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其他</w:t>
                  </w:r>
                </w:p>
              </w:tc>
              <w:tc>
                <w:tcPr>
                  <w:tcW w:w="3222" w:type="dxa"/>
                  <w:vAlign w:val="center"/>
                </w:tcPr>
                <w:p w14:paraId="0B3DA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施工期间环境监理工作</w:t>
                  </w:r>
                </w:p>
              </w:tc>
              <w:tc>
                <w:tcPr>
                  <w:tcW w:w="982" w:type="dxa"/>
                  <w:vAlign w:val="center"/>
                </w:tcPr>
                <w:p w14:paraId="0A9A29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4B87CE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6D825C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12</w:t>
                  </w:r>
                </w:p>
              </w:tc>
              <w:tc>
                <w:tcPr>
                  <w:tcW w:w="778" w:type="dxa"/>
                  <w:vAlign w:val="center"/>
                </w:tcPr>
                <w:p w14:paraId="239782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46D2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restart"/>
                  <w:vAlign w:val="center"/>
                </w:tcPr>
                <w:p w14:paraId="1845B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r>
                    <w:rPr>
                      <w:rFonts w:hint="default" w:ascii="Times New Roman" w:hAnsi="Times New Roman" w:eastAsia="仿宋" w:cs="Times New Roman"/>
                      <w:bCs/>
                      <w:color w:val="auto"/>
                      <w:spacing w:val="10"/>
                      <w:sz w:val="21"/>
                      <w:szCs w:val="21"/>
                      <w:highlight w:val="none"/>
                      <w:vertAlign w:val="baseline"/>
                      <w:lang w:val="en-US" w:eastAsia="zh-CN"/>
                    </w:rPr>
                    <w:t>运营期</w:t>
                  </w:r>
                </w:p>
              </w:tc>
              <w:tc>
                <w:tcPr>
                  <w:tcW w:w="732" w:type="dxa"/>
                  <w:vMerge w:val="restart"/>
                  <w:vAlign w:val="center"/>
                </w:tcPr>
                <w:p w14:paraId="1A5D50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废水</w:t>
                  </w:r>
                </w:p>
              </w:tc>
              <w:tc>
                <w:tcPr>
                  <w:tcW w:w="3222" w:type="dxa"/>
                  <w:vAlign w:val="center"/>
                </w:tcPr>
                <w:p w14:paraId="687B5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升压站一体化污水处理设备</w:t>
                  </w:r>
                </w:p>
              </w:tc>
              <w:tc>
                <w:tcPr>
                  <w:tcW w:w="982" w:type="dxa"/>
                  <w:vAlign w:val="center"/>
                </w:tcPr>
                <w:p w14:paraId="5E2FB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1套</w:t>
                  </w:r>
                </w:p>
              </w:tc>
              <w:tc>
                <w:tcPr>
                  <w:tcW w:w="1064" w:type="dxa"/>
                  <w:vAlign w:val="center"/>
                </w:tcPr>
                <w:p w14:paraId="6A9C1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rPr>
                  </w:pPr>
                  <w:r>
                    <w:rPr>
                      <w:rFonts w:hint="default" w:ascii="Times New Roman" w:hAnsi="Times New Roman" w:eastAsia="仿宋" w:cs="Times New Roman"/>
                      <w:bCs/>
                      <w:color w:val="auto"/>
                      <w:spacing w:val="10"/>
                      <w:sz w:val="21"/>
                      <w:szCs w:val="21"/>
                      <w:highlight w:val="none"/>
                      <w:vertAlign w:val="baseline"/>
                      <w:lang w:val="en-US" w:eastAsia="zh-CN"/>
                    </w:rPr>
                    <w:t>1m</w:t>
                  </w:r>
                  <w:r>
                    <w:rPr>
                      <w:rFonts w:hint="default" w:ascii="Times New Roman" w:hAnsi="Times New Roman" w:eastAsia="仿宋" w:cs="Times New Roman"/>
                      <w:bCs/>
                      <w:color w:val="auto"/>
                      <w:spacing w:val="10"/>
                      <w:sz w:val="21"/>
                      <w:szCs w:val="21"/>
                      <w:highlight w:val="none"/>
                      <w:vertAlign w:val="superscript"/>
                      <w:lang w:val="en-US" w:eastAsia="zh-CN"/>
                    </w:rPr>
                    <w:t>3</w:t>
                  </w:r>
                  <w:r>
                    <w:rPr>
                      <w:rFonts w:hint="default" w:ascii="Times New Roman" w:hAnsi="Times New Roman" w:eastAsia="仿宋" w:cs="Times New Roman"/>
                      <w:bCs/>
                      <w:color w:val="auto"/>
                      <w:spacing w:val="10"/>
                      <w:sz w:val="21"/>
                      <w:szCs w:val="21"/>
                      <w:highlight w:val="none"/>
                      <w:vertAlign w:val="baseline"/>
                      <w:lang w:val="en-US" w:eastAsia="zh-CN"/>
                    </w:rPr>
                    <w:t>/d</w:t>
                  </w:r>
                </w:p>
              </w:tc>
              <w:tc>
                <w:tcPr>
                  <w:tcW w:w="791" w:type="dxa"/>
                  <w:vAlign w:val="center"/>
                </w:tcPr>
                <w:p w14:paraId="734ED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5</w:t>
                  </w:r>
                </w:p>
              </w:tc>
              <w:tc>
                <w:tcPr>
                  <w:tcW w:w="778" w:type="dxa"/>
                  <w:vAlign w:val="center"/>
                </w:tcPr>
                <w:p w14:paraId="7D33A8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0E21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17099A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32" w:type="dxa"/>
                  <w:vMerge w:val="continue"/>
                  <w:vAlign w:val="center"/>
                </w:tcPr>
                <w:p w14:paraId="1EACC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5274D9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食堂隔油池</w:t>
                  </w:r>
                </w:p>
              </w:tc>
              <w:tc>
                <w:tcPr>
                  <w:tcW w:w="982" w:type="dxa"/>
                  <w:vAlign w:val="center"/>
                </w:tcPr>
                <w:p w14:paraId="2652C9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1个</w:t>
                  </w:r>
                </w:p>
              </w:tc>
              <w:tc>
                <w:tcPr>
                  <w:tcW w:w="1064" w:type="dxa"/>
                  <w:vAlign w:val="center"/>
                </w:tcPr>
                <w:p w14:paraId="5D827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0.5m</w:t>
                  </w:r>
                  <w:r>
                    <w:rPr>
                      <w:rFonts w:hint="default" w:ascii="Times New Roman" w:hAnsi="Times New Roman" w:eastAsia="仿宋" w:cs="Times New Roman"/>
                      <w:bCs/>
                      <w:color w:val="auto"/>
                      <w:spacing w:val="10"/>
                      <w:sz w:val="21"/>
                      <w:szCs w:val="21"/>
                      <w:highlight w:val="none"/>
                      <w:vertAlign w:val="superscript"/>
                      <w:lang w:val="en-US" w:eastAsia="zh-CN"/>
                    </w:rPr>
                    <w:t>3</w:t>
                  </w:r>
                </w:p>
              </w:tc>
              <w:tc>
                <w:tcPr>
                  <w:tcW w:w="791" w:type="dxa"/>
                  <w:vAlign w:val="center"/>
                </w:tcPr>
                <w:p w14:paraId="666C19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0.5</w:t>
                  </w:r>
                </w:p>
              </w:tc>
              <w:tc>
                <w:tcPr>
                  <w:tcW w:w="778" w:type="dxa"/>
                  <w:vAlign w:val="center"/>
                </w:tcPr>
                <w:p w14:paraId="6E666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21B3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25E3F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32" w:type="dxa"/>
                  <w:vMerge w:val="continue"/>
                  <w:vAlign w:val="center"/>
                </w:tcPr>
                <w:p w14:paraId="4BEB0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42125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化粪池</w:t>
                  </w:r>
                </w:p>
              </w:tc>
              <w:tc>
                <w:tcPr>
                  <w:tcW w:w="982" w:type="dxa"/>
                  <w:vAlign w:val="center"/>
                </w:tcPr>
                <w:p w14:paraId="0E4B3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1个</w:t>
                  </w:r>
                </w:p>
              </w:tc>
              <w:tc>
                <w:tcPr>
                  <w:tcW w:w="1064" w:type="dxa"/>
                  <w:vAlign w:val="center"/>
                </w:tcPr>
                <w:p w14:paraId="59ACAB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3m</w:t>
                  </w:r>
                  <w:r>
                    <w:rPr>
                      <w:rFonts w:hint="default" w:ascii="Times New Roman" w:hAnsi="Times New Roman" w:eastAsia="仿宋" w:cs="Times New Roman"/>
                      <w:bCs/>
                      <w:color w:val="auto"/>
                      <w:spacing w:val="10"/>
                      <w:sz w:val="21"/>
                      <w:szCs w:val="21"/>
                      <w:highlight w:val="none"/>
                      <w:vertAlign w:val="superscript"/>
                      <w:lang w:val="en-US" w:eastAsia="zh-CN"/>
                    </w:rPr>
                    <w:t>3</w:t>
                  </w:r>
                </w:p>
              </w:tc>
              <w:tc>
                <w:tcPr>
                  <w:tcW w:w="791" w:type="dxa"/>
                  <w:vAlign w:val="center"/>
                </w:tcPr>
                <w:p w14:paraId="1A126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2</w:t>
                  </w:r>
                </w:p>
              </w:tc>
              <w:tc>
                <w:tcPr>
                  <w:tcW w:w="778" w:type="dxa"/>
                  <w:vAlign w:val="center"/>
                </w:tcPr>
                <w:p w14:paraId="4B1A25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2373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14345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32" w:type="dxa"/>
                  <w:vAlign w:val="center"/>
                </w:tcPr>
                <w:p w14:paraId="32DFF6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废气</w:t>
                  </w:r>
                </w:p>
              </w:tc>
              <w:tc>
                <w:tcPr>
                  <w:tcW w:w="3222" w:type="dxa"/>
                  <w:vAlign w:val="center"/>
                </w:tcPr>
                <w:p w14:paraId="4F218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抽油烟机</w:t>
                  </w:r>
                </w:p>
              </w:tc>
              <w:tc>
                <w:tcPr>
                  <w:tcW w:w="982" w:type="dxa"/>
                  <w:vAlign w:val="center"/>
                </w:tcPr>
                <w:p w14:paraId="4C5254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1个</w:t>
                  </w:r>
                </w:p>
              </w:tc>
              <w:tc>
                <w:tcPr>
                  <w:tcW w:w="1064" w:type="dxa"/>
                  <w:vAlign w:val="center"/>
                </w:tcPr>
                <w:p w14:paraId="537145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91" w:type="dxa"/>
                  <w:vAlign w:val="center"/>
                </w:tcPr>
                <w:p w14:paraId="4266E2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0.3</w:t>
                  </w:r>
                </w:p>
              </w:tc>
              <w:tc>
                <w:tcPr>
                  <w:tcW w:w="778" w:type="dxa"/>
                  <w:vAlign w:val="center"/>
                </w:tcPr>
                <w:p w14:paraId="2A40C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64AD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04F376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32" w:type="dxa"/>
                  <w:shd w:val="clear" w:color="auto" w:fill="auto"/>
                  <w:vAlign w:val="center"/>
                </w:tcPr>
                <w:p w14:paraId="28702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噪声</w:t>
                  </w:r>
                </w:p>
              </w:tc>
              <w:tc>
                <w:tcPr>
                  <w:tcW w:w="3222" w:type="dxa"/>
                  <w:shd w:val="clear" w:color="auto" w:fill="auto"/>
                  <w:vAlign w:val="center"/>
                </w:tcPr>
                <w:p w14:paraId="6BD6D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设备安装采用避振减噪措施</w:t>
                  </w:r>
                </w:p>
              </w:tc>
              <w:tc>
                <w:tcPr>
                  <w:tcW w:w="982" w:type="dxa"/>
                  <w:shd w:val="clear" w:color="auto" w:fill="auto"/>
                  <w:vAlign w:val="center"/>
                </w:tcPr>
                <w:p w14:paraId="34E9DF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shd w:val="clear" w:color="auto" w:fill="auto"/>
                  <w:vAlign w:val="center"/>
                </w:tcPr>
                <w:p w14:paraId="42F5CC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shd w:val="clear" w:color="auto" w:fill="auto"/>
                  <w:vAlign w:val="center"/>
                </w:tcPr>
                <w:p w14:paraId="46001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8</w:t>
                  </w:r>
                </w:p>
              </w:tc>
              <w:tc>
                <w:tcPr>
                  <w:tcW w:w="778" w:type="dxa"/>
                  <w:shd w:val="clear" w:color="auto" w:fill="auto"/>
                  <w:vAlign w:val="center"/>
                </w:tcPr>
                <w:p w14:paraId="575ECD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2690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4C318C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32" w:type="dxa"/>
                  <w:vMerge w:val="restart"/>
                  <w:vAlign w:val="center"/>
                </w:tcPr>
                <w:p w14:paraId="42EF5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固废</w:t>
                  </w:r>
                </w:p>
              </w:tc>
              <w:tc>
                <w:tcPr>
                  <w:tcW w:w="3222" w:type="dxa"/>
                  <w:vAlign w:val="center"/>
                </w:tcPr>
                <w:p w14:paraId="5BDC302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color w:val="auto"/>
                      <w:sz w:val="21"/>
                      <w:szCs w:val="21"/>
                      <w:highlight w:val="none"/>
                    </w:rPr>
                    <w:t>生活垃圾收集桶</w:t>
                  </w:r>
                </w:p>
              </w:tc>
              <w:tc>
                <w:tcPr>
                  <w:tcW w:w="982" w:type="dxa"/>
                  <w:vAlign w:val="center"/>
                </w:tcPr>
                <w:p w14:paraId="455D7B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若干</w:t>
                  </w:r>
                </w:p>
              </w:tc>
              <w:tc>
                <w:tcPr>
                  <w:tcW w:w="1064" w:type="dxa"/>
                  <w:vAlign w:val="center"/>
                </w:tcPr>
                <w:p w14:paraId="14B03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23C80C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0.2</w:t>
                  </w:r>
                </w:p>
              </w:tc>
              <w:tc>
                <w:tcPr>
                  <w:tcW w:w="778" w:type="dxa"/>
                  <w:vAlign w:val="center"/>
                </w:tcPr>
                <w:p w14:paraId="11C8CE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2DEB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2E8C3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732" w:type="dxa"/>
                  <w:vMerge w:val="continue"/>
                  <w:vAlign w:val="center"/>
                </w:tcPr>
                <w:p w14:paraId="244DD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3222" w:type="dxa"/>
                  <w:vAlign w:val="center"/>
                </w:tcPr>
                <w:p w14:paraId="603D6F6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color w:val="auto"/>
                      <w:sz w:val="21"/>
                      <w:szCs w:val="21"/>
                      <w:highlight w:val="none"/>
                    </w:rPr>
                    <w:t>危废暂存间</w:t>
                  </w:r>
                  <w:r>
                    <w:rPr>
                      <w:rFonts w:hint="default" w:ascii="Times New Roman" w:hAnsi="Times New Roman" w:eastAsia="仿宋" w:cs="Times New Roman"/>
                      <w:color w:val="auto"/>
                      <w:sz w:val="21"/>
                      <w:szCs w:val="21"/>
                      <w:highlight w:val="none"/>
                      <w:lang w:val="en-US" w:eastAsia="zh-CN"/>
                    </w:rPr>
                    <w:t>及</w:t>
                  </w:r>
                  <w:r>
                    <w:rPr>
                      <w:rFonts w:hint="default" w:ascii="Times New Roman" w:hAnsi="Times New Roman" w:eastAsia="仿宋" w:cs="Times New Roman"/>
                      <w:color w:val="auto"/>
                      <w:sz w:val="21"/>
                      <w:szCs w:val="21"/>
                      <w:highlight w:val="none"/>
                    </w:rPr>
                    <w:t>防渗措施</w:t>
                  </w:r>
                </w:p>
              </w:tc>
              <w:tc>
                <w:tcPr>
                  <w:tcW w:w="982" w:type="dxa"/>
                  <w:vAlign w:val="center"/>
                </w:tcPr>
                <w:p w14:paraId="2533A4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1间</w:t>
                  </w:r>
                </w:p>
              </w:tc>
              <w:tc>
                <w:tcPr>
                  <w:tcW w:w="1064" w:type="dxa"/>
                  <w:vAlign w:val="center"/>
                </w:tcPr>
                <w:p w14:paraId="265E2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color w:val="auto"/>
                      <w:sz w:val="21"/>
                      <w:szCs w:val="21"/>
                      <w:highlight w:val="none"/>
                      <w:lang w:val="en-US" w:eastAsia="zh-CN"/>
                    </w:rPr>
                    <w:t>30</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2</w:t>
                  </w:r>
                </w:p>
              </w:tc>
              <w:tc>
                <w:tcPr>
                  <w:tcW w:w="791" w:type="dxa"/>
                  <w:vAlign w:val="center"/>
                </w:tcPr>
                <w:p w14:paraId="45D6DC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8</w:t>
                  </w:r>
                </w:p>
              </w:tc>
              <w:tc>
                <w:tcPr>
                  <w:tcW w:w="778" w:type="dxa"/>
                  <w:vAlign w:val="center"/>
                </w:tcPr>
                <w:p w14:paraId="1E2604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097E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385B77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p>
              </w:tc>
              <w:tc>
                <w:tcPr>
                  <w:tcW w:w="732" w:type="dxa"/>
                  <w:vMerge w:val="restart"/>
                  <w:vAlign w:val="center"/>
                </w:tcPr>
                <w:p w14:paraId="02BD9D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环境风险</w:t>
                  </w:r>
                </w:p>
              </w:tc>
              <w:tc>
                <w:tcPr>
                  <w:tcW w:w="3222" w:type="dxa"/>
                  <w:vAlign w:val="center"/>
                </w:tcPr>
                <w:p w14:paraId="568CC74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color w:val="auto"/>
                      <w:sz w:val="21"/>
                      <w:szCs w:val="21"/>
                      <w:highlight w:val="none"/>
                    </w:rPr>
                    <w:t>升压站事故油池</w:t>
                  </w:r>
                  <w:r>
                    <w:rPr>
                      <w:rFonts w:hint="default" w:ascii="Times New Roman" w:hAnsi="Times New Roman" w:eastAsia="仿宋" w:cs="Times New Roman"/>
                      <w:color w:val="auto"/>
                      <w:sz w:val="21"/>
                      <w:szCs w:val="21"/>
                      <w:highlight w:val="none"/>
                      <w:lang w:val="en-US" w:eastAsia="zh-CN"/>
                    </w:rPr>
                    <w:t>及</w:t>
                  </w:r>
                  <w:r>
                    <w:rPr>
                      <w:rFonts w:hint="default" w:ascii="Times New Roman" w:hAnsi="Times New Roman" w:eastAsia="仿宋" w:cs="Times New Roman"/>
                      <w:color w:val="auto"/>
                      <w:sz w:val="21"/>
                      <w:szCs w:val="21"/>
                      <w:highlight w:val="none"/>
                    </w:rPr>
                    <w:t>防渗措施</w:t>
                  </w:r>
                </w:p>
              </w:tc>
              <w:tc>
                <w:tcPr>
                  <w:tcW w:w="982" w:type="dxa"/>
                  <w:vAlign w:val="center"/>
                </w:tcPr>
                <w:p w14:paraId="1EB48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1座</w:t>
                  </w:r>
                </w:p>
              </w:tc>
              <w:tc>
                <w:tcPr>
                  <w:tcW w:w="1064" w:type="dxa"/>
                  <w:vAlign w:val="center"/>
                </w:tcPr>
                <w:p w14:paraId="4504B9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r>
                    <w:rPr>
                      <w:rFonts w:hint="default" w:ascii="Times New Roman" w:hAnsi="Times New Roman" w:eastAsia="仿宋" w:cs="Times New Roman"/>
                      <w:bCs/>
                      <w:color w:val="auto"/>
                      <w:spacing w:val="10"/>
                      <w:sz w:val="21"/>
                      <w:szCs w:val="21"/>
                      <w:highlight w:val="none"/>
                      <w:vertAlign w:val="baseline"/>
                      <w:lang w:val="en-US" w:eastAsia="zh-CN"/>
                    </w:rPr>
                    <w:t>容积为</w:t>
                  </w:r>
                  <w:r>
                    <w:rPr>
                      <w:rFonts w:hint="default" w:ascii="Times New Roman" w:hAnsi="Times New Roman" w:eastAsia="仿宋" w:cs="Times New Roman"/>
                      <w:color w:val="auto"/>
                      <w:sz w:val="21"/>
                      <w:szCs w:val="21"/>
                      <w:highlight w:val="none"/>
                      <w:lang w:val="en-US" w:eastAsia="zh-CN"/>
                    </w:rPr>
                    <w:t>85</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p>
              </w:tc>
              <w:tc>
                <w:tcPr>
                  <w:tcW w:w="791" w:type="dxa"/>
                  <w:vAlign w:val="center"/>
                </w:tcPr>
                <w:p w14:paraId="4778F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78" w:type="dxa"/>
                  <w:vAlign w:val="center"/>
                </w:tcPr>
                <w:p w14:paraId="4A384E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纳入主体投资</w:t>
                  </w:r>
                </w:p>
              </w:tc>
            </w:tr>
            <w:tr w14:paraId="1FA0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2993E0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732" w:type="dxa"/>
                  <w:vMerge w:val="continue"/>
                  <w:vAlign w:val="center"/>
                </w:tcPr>
                <w:p w14:paraId="06A8E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3222" w:type="dxa"/>
                  <w:vAlign w:val="center"/>
                </w:tcPr>
                <w:p w14:paraId="74E330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color w:val="auto"/>
                      <w:sz w:val="21"/>
                      <w:szCs w:val="21"/>
                      <w:highlight w:val="none"/>
                    </w:rPr>
                    <w:t>箱变集油池</w:t>
                  </w:r>
                  <w:r>
                    <w:rPr>
                      <w:rFonts w:hint="default" w:ascii="Times New Roman" w:hAnsi="Times New Roman" w:eastAsia="仿宋" w:cs="Times New Roman"/>
                      <w:color w:val="auto"/>
                      <w:sz w:val="21"/>
                      <w:szCs w:val="21"/>
                      <w:highlight w:val="none"/>
                      <w:lang w:val="en-US" w:eastAsia="zh-CN"/>
                    </w:rPr>
                    <w:t>及</w:t>
                  </w:r>
                  <w:r>
                    <w:rPr>
                      <w:rFonts w:hint="default" w:ascii="Times New Roman" w:hAnsi="Times New Roman" w:eastAsia="仿宋" w:cs="Times New Roman"/>
                      <w:color w:val="auto"/>
                      <w:sz w:val="21"/>
                      <w:szCs w:val="21"/>
                      <w:highlight w:val="none"/>
                    </w:rPr>
                    <w:t>防渗措施</w:t>
                  </w:r>
                </w:p>
              </w:tc>
              <w:tc>
                <w:tcPr>
                  <w:tcW w:w="982" w:type="dxa"/>
                  <w:vAlign w:val="center"/>
                </w:tcPr>
                <w:p w14:paraId="0F7B99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color w:val="auto"/>
                      <w:sz w:val="21"/>
                      <w:szCs w:val="21"/>
                      <w:highlight w:val="none"/>
                      <w:lang w:val="en-US" w:eastAsia="zh-CN"/>
                    </w:rPr>
                    <w:t>52</w:t>
                  </w:r>
                  <w:r>
                    <w:rPr>
                      <w:rFonts w:hint="default" w:ascii="Times New Roman" w:hAnsi="Times New Roman" w:eastAsia="仿宋" w:cs="Times New Roman"/>
                      <w:color w:val="auto"/>
                      <w:sz w:val="21"/>
                      <w:szCs w:val="21"/>
                      <w:highlight w:val="none"/>
                    </w:rPr>
                    <w:t>个</w:t>
                  </w:r>
                </w:p>
              </w:tc>
              <w:tc>
                <w:tcPr>
                  <w:tcW w:w="1064" w:type="dxa"/>
                  <w:vAlign w:val="center"/>
                </w:tcPr>
                <w:p w14:paraId="68366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color w:val="auto"/>
                      <w:sz w:val="21"/>
                      <w:szCs w:val="21"/>
                      <w:highlight w:val="none"/>
                    </w:rPr>
                    <w:t>单个容积</w:t>
                  </w:r>
                  <w:r>
                    <w:rPr>
                      <w:rFonts w:hint="default" w:ascii="Times New Roman" w:hAnsi="Times New Roman" w:eastAsia="仿宋" w:cs="Times New Roman"/>
                      <w:color w:val="auto"/>
                      <w:sz w:val="21"/>
                      <w:szCs w:val="21"/>
                      <w:highlight w:val="none"/>
                      <w:lang w:val="en-US" w:eastAsia="zh-CN"/>
                    </w:rPr>
                    <w:t>2</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p>
              </w:tc>
              <w:tc>
                <w:tcPr>
                  <w:tcW w:w="791" w:type="dxa"/>
                  <w:vAlign w:val="center"/>
                </w:tcPr>
                <w:p w14:paraId="6C6E6A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778" w:type="dxa"/>
                  <w:vAlign w:val="center"/>
                </w:tcPr>
                <w:p w14:paraId="27355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纳入主体投资</w:t>
                  </w:r>
                </w:p>
              </w:tc>
            </w:tr>
            <w:tr w14:paraId="7F26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565B5D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p>
              </w:tc>
              <w:tc>
                <w:tcPr>
                  <w:tcW w:w="732" w:type="dxa"/>
                  <w:vMerge w:val="restart"/>
                  <w:vAlign w:val="center"/>
                </w:tcPr>
                <w:p w14:paraId="4E6B1D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其他</w:t>
                  </w:r>
                </w:p>
              </w:tc>
              <w:tc>
                <w:tcPr>
                  <w:tcW w:w="3222" w:type="dxa"/>
                  <w:vAlign w:val="center"/>
                </w:tcPr>
                <w:p w14:paraId="221559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管理宣传</w:t>
                  </w:r>
                </w:p>
              </w:tc>
              <w:tc>
                <w:tcPr>
                  <w:tcW w:w="982" w:type="dxa"/>
                  <w:vAlign w:val="center"/>
                </w:tcPr>
                <w:p w14:paraId="07D7C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p>
              </w:tc>
              <w:tc>
                <w:tcPr>
                  <w:tcW w:w="1064" w:type="dxa"/>
                  <w:vAlign w:val="center"/>
                </w:tcPr>
                <w:p w14:paraId="2F428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p>
              </w:tc>
              <w:tc>
                <w:tcPr>
                  <w:tcW w:w="791" w:type="dxa"/>
                  <w:vAlign w:val="center"/>
                </w:tcPr>
                <w:p w14:paraId="26C1A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3</w:t>
                  </w:r>
                </w:p>
              </w:tc>
              <w:tc>
                <w:tcPr>
                  <w:tcW w:w="778" w:type="dxa"/>
                  <w:vAlign w:val="center"/>
                </w:tcPr>
                <w:p w14:paraId="165AC7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2C20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4E60E1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p>
              </w:tc>
              <w:tc>
                <w:tcPr>
                  <w:tcW w:w="732" w:type="dxa"/>
                  <w:vMerge w:val="continue"/>
                  <w:vAlign w:val="center"/>
                </w:tcPr>
                <w:p w14:paraId="2CD80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shd w:val="clear" w:color="auto" w:fill="auto"/>
                  <w:vAlign w:val="center"/>
                </w:tcPr>
                <w:p w14:paraId="6DE7C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竣工环境保护验收</w:t>
                  </w:r>
                </w:p>
              </w:tc>
              <w:tc>
                <w:tcPr>
                  <w:tcW w:w="982" w:type="dxa"/>
                  <w:shd w:val="clear" w:color="auto" w:fill="auto"/>
                  <w:vAlign w:val="center"/>
                </w:tcPr>
                <w:p w14:paraId="6A1522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shd w:val="clear" w:color="auto" w:fill="auto"/>
                  <w:vAlign w:val="center"/>
                </w:tcPr>
                <w:p w14:paraId="65B1C5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shd w:val="clear" w:color="auto" w:fill="auto"/>
                  <w:vAlign w:val="center"/>
                </w:tcPr>
                <w:p w14:paraId="2E620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6</w:t>
                  </w:r>
                </w:p>
              </w:tc>
              <w:tc>
                <w:tcPr>
                  <w:tcW w:w="778" w:type="dxa"/>
                  <w:vAlign w:val="center"/>
                </w:tcPr>
                <w:p w14:paraId="121D57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39EB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2EEFF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p>
              </w:tc>
              <w:tc>
                <w:tcPr>
                  <w:tcW w:w="732" w:type="dxa"/>
                  <w:vMerge w:val="continue"/>
                  <w:vAlign w:val="center"/>
                </w:tcPr>
                <w:p w14:paraId="033B7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7C238D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环境风险</w:t>
                  </w:r>
                  <w:r>
                    <w:rPr>
                      <w:rFonts w:hint="eastAsia" w:cs="Times New Roman"/>
                      <w:bCs/>
                      <w:color w:val="auto"/>
                      <w:spacing w:val="10"/>
                      <w:sz w:val="21"/>
                      <w:szCs w:val="21"/>
                      <w:highlight w:val="none"/>
                      <w:vertAlign w:val="baseline"/>
                      <w:lang w:val="en-US" w:eastAsia="zh-CN"/>
                    </w:rPr>
                    <w:t>应急</w:t>
                  </w:r>
                  <w:r>
                    <w:rPr>
                      <w:rFonts w:hint="default" w:ascii="Times New Roman" w:hAnsi="Times New Roman" w:eastAsia="仿宋" w:cs="Times New Roman"/>
                      <w:bCs/>
                      <w:color w:val="auto"/>
                      <w:spacing w:val="10"/>
                      <w:sz w:val="21"/>
                      <w:szCs w:val="21"/>
                      <w:highlight w:val="none"/>
                      <w:vertAlign w:val="baseline"/>
                      <w:lang w:val="en-US" w:eastAsia="zh-CN"/>
                    </w:rPr>
                    <w:t>预案</w:t>
                  </w:r>
                </w:p>
              </w:tc>
              <w:tc>
                <w:tcPr>
                  <w:tcW w:w="982" w:type="dxa"/>
                  <w:shd w:val="clear" w:color="auto" w:fill="auto"/>
                  <w:vAlign w:val="center"/>
                </w:tcPr>
                <w:p w14:paraId="7C64C8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shd w:val="clear" w:color="auto" w:fill="auto"/>
                  <w:vAlign w:val="center"/>
                </w:tcPr>
                <w:p w14:paraId="3BEF8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kern w:val="2"/>
                      <w:sz w:val="21"/>
                      <w:szCs w:val="21"/>
                      <w:highlight w:val="none"/>
                      <w:vertAlign w:val="baseline"/>
                      <w:lang w:val="en-US" w:eastAsia="zh-CN" w:bidi="ar-SA"/>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586480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5</w:t>
                  </w:r>
                </w:p>
              </w:tc>
              <w:tc>
                <w:tcPr>
                  <w:tcW w:w="778" w:type="dxa"/>
                  <w:vAlign w:val="center"/>
                </w:tcPr>
                <w:p w14:paraId="727C9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r w14:paraId="2204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 w:type="dxa"/>
                  <w:vMerge w:val="continue"/>
                  <w:vAlign w:val="center"/>
                </w:tcPr>
                <w:p w14:paraId="790CF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eastAsia="zh-CN"/>
                    </w:rPr>
                  </w:pPr>
                </w:p>
              </w:tc>
              <w:tc>
                <w:tcPr>
                  <w:tcW w:w="732" w:type="dxa"/>
                  <w:vMerge w:val="continue"/>
                  <w:vAlign w:val="center"/>
                </w:tcPr>
                <w:p w14:paraId="0AFCE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c>
                <w:tcPr>
                  <w:tcW w:w="3222" w:type="dxa"/>
                  <w:vAlign w:val="center"/>
                </w:tcPr>
                <w:p w14:paraId="14B940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环境监测</w:t>
                  </w:r>
                </w:p>
              </w:tc>
              <w:tc>
                <w:tcPr>
                  <w:tcW w:w="982" w:type="dxa"/>
                  <w:vAlign w:val="center"/>
                </w:tcPr>
                <w:p w14:paraId="7D382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39C85A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09672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6</w:t>
                  </w:r>
                </w:p>
              </w:tc>
              <w:tc>
                <w:tcPr>
                  <w:tcW w:w="778" w:type="dxa"/>
                  <w:vAlign w:val="center"/>
                </w:tcPr>
                <w:p w14:paraId="72A10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竣工后第一年</w:t>
                  </w:r>
                </w:p>
              </w:tc>
            </w:tr>
            <w:tr w14:paraId="6B4A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46" w:type="dxa"/>
                  <w:gridSpan w:val="3"/>
                  <w:vAlign w:val="center"/>
                </w:tcPr>
                <w:p w14:paraId="592F36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rPr>
                  </w:pPr>
                  <w:r>
                    <w:rPr>
                      <w:rFonts w:hint="default" w:ascii="Times New Roman" w:hAnsi="Times New Roman" w:eastAsia="仿宋" w:cs="Times New Roman"/>
                      <w:bCs/>
                      <w:color w:val="auto"/>
                      <w:spacing w:val="10"/>
                      <w:sz w:val="21"/>
                      <w:szCs w:val="21"/>
                      <w:highlight w:val="none"/>
                      <w:vertAlign w:val="baseline"/>
                      <w:lang w:val="en-US" w:eastAsia="zh-CN"/>
                    </w:rPr>
                    <w:t>总计</w:t>
                  </w:r>
                </w:p>
              </w:tc>
              <w:tc>
                <w:tcPr>
                  <w:tcW w:w="982" w:type="dxa"/>
                  <w:vAlign w:val="center"/>
                </w:tcPr>
                <w:p w14:paraId="4F51A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1064" w:type="dxa"/>
                  <w:vAlign w:val="center"/>
                </w:tcPr>
                <w:p w14:paraId="1D49A3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w:t>
                  </w:r>
                </w:p>
              </w:tc>
              <w:tc>
                <w:tcPr>
                  <w:tcW w:w="791" w:type="dxa"/>
                  <w:vAlign w:val="center"/>
                </w:tcPr>
                <w:p w14:paraId="3F3CD9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r>
                    <w:rPr>
                      <w:rFonts w:hint="default" w:ascii="Times New Roman" w:hAnsi="Times New Roman" w:eastAsia="仿宋" w:cs="Times New Roman"/>
                      <w:bCs/>
                      <w:color w:val="auto"/>
                      <w:spacing w:val="10"/>
                      <w:sz w:val="21"/>
                      <w:szCs w:val="21"/>
                      <w:highlight w:val="none"/>
                      <w:vertAlign w:val="baseline"/>
                      <w:lang w:val="en-US" w:eastAsia="zh-CN"/>
                    </w:rPr>
                    <w:t>222.5</w:t>
                  </w:r>
                </w:p>
              </w:tc>
              <w:tc>
                <w:tcPr>
                  <w:tcW w:w="778" w:type="dxa"/>
                  <w:vAlign w:val="center"/>
                </w:tcPr>
                <w:p w14:paraId="6A0A8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Cs/>
                      <w:color w:val="auto"/>
                      <w:spacing w:val="10"/>
                      <w:sz w:val="21"/>
                      <w:szCs w:val="21"/>
                      <w:highlight w:val="none"/>
                      <w:vertAlign w:val="baseline"/>
                      <w:lang w:val="en-US" w:eastAsia="zh-CN"/>
                    </w:rPr>
                  </w:pPr>
                </w:p>
              </w:tc>
            </w:tr>
          </w:tbl>
          <w:p w14:paraId="788F0975">
            <w:pPr>
              <w:keepNext w:val="0"/>
              <w:keepLines w:val="0"/>
              <w:suppressLineNumbers w:val="0"/>
              <w:snapToGrid w:val="0"/>
              <w:spacing w:before="0" w:beforeAutospacing="0" w:after="0" w:afterAutospacing="0" w:line="360" w:lineRule="auto"/>
              <w:ind w:left="0" w:right="0"/>
              <w:jc w:val="both"/>
              <w:rPr>
                <w:rFonts w:hint="default" w:ascii="Times New Roman" w:hAnsi="Times New Roman" w:eastAsia="仿宋" w:cs="Times New Roman"/>
                <w:bCs/>
                <w:color w:val="auto"/>
                <w:spacing w:val="10"/>
                <w:sz w:val="24"/>
                <w:szCs w:val="24"/>
                <w:highlight w:val="none"/>
              </w:rPr>
            </w:pPr>
          </w:p>
        </w:tc>
      </w:tr>
    </w:tbl>
    <w:p w14:paraId="628A4903">
      <w:pPr>
        <w:rPr>
          <w:rFonts w:hint="default" w:ascii="Times New Roman" w:hAnsi="Times New Roman" w:eastAsia="仿宋" w:cs="Times New Roman"/>
          <w:color w:val="auto"/>
          <w:highlight w:val="none"/>
        </w:r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14:paraId="218C92EC">
      <w:pPr>
        <w:jc w:val="center"/>
        <w:outlineLvl w:val="0"/>
        <w:rPr>
          <w:rFonts w:hint="default" w:ascii="Times New Roman" w:hAnsi="Times New Roman" w:eastAsia="仿宋" w:cs="Times New Roman"/>
          <w:snapToGrid w:val="0"/>
          <w:color w:val="auto"/>
          <w:sz w:val="30"/>
          <w:szCs w:val="30"/>
          <w:highlight w:val="none"/>
        </w:rPr>
      </w:pPr>
      <w:bookmarkStart w:id="18" w:name="_Toc21442"/>
      <w:r>
        <w:rPr>
          <w:rFonts w:hint="default" w:ascii="Times New Roman" w:hAnsi="Times New Roman" w:eastAsia="仿宋" w:cs="Times New Roman"/>
          <w:snapToGrid w:val="0"/>
          <w:color w:val="auto"/>
          <w:sz w:val="30"/>
          <w:szCs w:val="30"/>
          <w:highlight w:val="none"/>
        </w:rPr>
        <w:t>六、生态环境保护措施监督检查清单</w:t>
      </w:r>
      <w:bookmarkEnd w:id="18"/>
    </w:p>
    <w:tbl>
      <w:tblPr>
        <w:tblStyle w:val="10"/>
        <w:tblW w:w="52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6345"/>
        <w:gridCol w:w="1429"/>
        <w:gridCol w:w="4527"/>
        <w:gridCol w:w="1219"/>
      </w:tblGrid>
      <w:tr w14:paraId="1A307C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vMerge w:val="restart"/>
            <w:tcBorders>
              <w:tl2br w:val="single" w:color="auto" w:sz="4" w:space="0"/>
            </w:tcBorders>
            <w:noWrap w:val="0"/>
            <w:vAlign w:val="center"/>
          </w:tcPr>
          <w:p w14:paraId="72BBDB90">
            <w:pPr>
              <w:keepNext w:val="0"/>
              <w:keepLines w:val="0"/>
              <w:pageBreakBefore w:val="0"/>
              <w:widowControl/>
              <w:suppressLineNumbers w:val="0"/>
              <w:kinsoku/>
              <w:wordWrap/>
              <w:overflowPunct/>
              <w:topLinePunct w:val="0"/>
              <w:autoSpaceDE/>
              <w:autoSpaceDN/>
              <w:bidi w:val="0"/>
              <w:adjustRightInd w:val="0"/>
              <w:snapToGrid w:val="0"/>
              <w:spacing w:before="72" w:beforeLines="30" w:beforeAutospacing="0" w:after="0" w:afterAutospacing="0" w:line="240" w:lineRule="auto"/>
              <w:ind w:left="0" w:right="0" w:firstLine="0" w:firstLineChars="0"/>
              <w:jc w:val="right"/>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内容</w:t>
            </w:r>
          </w:p>
          <w:p w14:paraId="27E79B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要素</w:t>
            </w:r>
          </w:p>
        </w:tc>
        <w:tc>
          <w:tcPr>
            <w:tcW w:w="2612" w:type="pct"/>
            <w:gridSpan w:val="2"/>
            <w:noWrap w:val="0"/>
            <w:vAlign w:val="center"/>
          </w:tcPr>
          <w:p w14:paraId="20FA7E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施工期</w:t>
            </w:r>
          </w:p>
        </w:tc>
        <w:tc>
          <w:tcPr>
            <w:tcW w:w="1930" w:type="pct"/>
            <w:gridSpan w:val="2"/>
            <w:noWrap w:val="0"/>
            <w:vAlign w:val="center"/>
          </w:tcPr>
          <w:p w14:paraId="1E0F3B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运营期</w:t>
            </w:r>
          </w:p>
        </w:tc>
      </w:tr>
      <w:tr w14:paraId="35C8D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vMerge w:val="continue"/>
            <w:noWrap w:val="0"/>
            <w:vAlign w:val="center"/>
          </w:tcPr>
          <w:p w14:paraId="5D77D1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p>
        </w:tc>
        <w:tc>
          <w:tcPr>
            <w:tcW w:w="2131" w:type="pct"/>
            <w:noWrap w:val="0"/>
            <w:vAlign w:val="center"/>
          </w:tcPr>
          <w:p w14:paraId="17B0E1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环境保护措施</w:t>
            </w:r>
          </w:p>
        </w:tc>
        <w:tc>
          <w:tcPr>
            <w:tcW w:w="480" w:type="pct"/>
            <w:noWrap w:val="0"/>
            <w:vAlign w:val="center"/>
          </w:tcPr>
          <w:p w14:paraId="15D9D0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验收要求</w:t>
            </w:r>
          </w:p>
        </w:tc>
        <w:tc>
          <w:tcPr>
            <w:tcW w:w="1520" w:type="pct"/>
            <w:noWrap w:val="0"/>
            <w:vAlign w:val="center"/>
          </w:tcPr>
          <w:p w14:paraId="6C3F05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环境保护措施</w:t>
            </w:r>
          </w:p>
        </w:tc>
        <w:tc>
          <w:tcPr>
            <w:tcW w:w="409" w:type="pct"/>
            <w:noWrap w:val="0"/>
            <w:vAlign w:val="center"/>
          </w:tcPr>
          <w:p w14:paraId="1B7D4B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验收要求</w:t>
            </w:r>
          </w:p>
        </w:tc>
      </w:tr>
      <w:tr w14:paraId="7F8B2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4F8C9B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陆生生态</w:t>
            </w:r>
          </w:p>
        </w:tc>
        <w:tc>
          <w:tcPr>
            <w:tcW w:w="2131" w:type="pct"/>
            <w:noWrap w:val="0"/>
            <w:vAlign w:val="center"/>
          </w:tcPr>
          <w:p w14:paraId="48C7E0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（1）植物与植被保护措施</w:t>
            </w:r>
          </w:p>
          <w:p w14:paraId="2DB27B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施工过程中，为保护工程区内的生态环境，应进行精密设计，尽量少占用土地，减少施工工期和施工范围，以减轻施工对周围自然植被、地形地貌等环境的影响。具体采取以下生态保护措施：</w:t>
            </w:r>
          </w:p>
          <w:p w14:paraId="5453FA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①施工期各类施工临时占地、施工机械停放区域等工程占地应保证在征地红线范围内进行，禁止超计划占用土地和破坏植被，禁止施工人员违法砍伐树木，禁止到非施工区活动，减少地表扰动；优化施工道路设计，尽量收缩边坡，优化线形，少占土地，场内外道路，除利用的乡村道路，其他新建道路应根据项目运行后的使用功能合理制定恢复措施，场内道路禁止水泥硬化。</w:t>
            </w:r>
          </w:p>
          <w:p w14:paraId="2890CA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②加强施工管理和环境宣传教育，对施工人员进行环境教育及有关法律法规的宣传教育及培训，增强施工人员的环保意识和野生动植物保护意识。大力宣传《</w:t>
            </w:r>
            <w:r>
              <w:rPr>
                <w:rFonts w:hint="eastAsia" w:cs="Times New Roman"/>
                <w:color w:val="auto"/>
                <w:sz w:val="24"/>
                <w:szCs w:val="24"/>
                <w:highlight w:val="none"/>
                <w:lang w:eastAsia="zh-CN"/>
              </w:rPr>
              <w:t>中华人民共和国森林法</w:t>
            </w:r>
            <w:r>
              <w:rPr>
                <w:rFonts w:hint="default" w:ascii="Times New Roman" w:hAnsi="Times New Roman" w:eastAsia="仿宋" w:cs="Times New Roman"/>
                <w:color w:val="auto"/>
                <w:sz w:val="24"/>
                <w:szCs w:val="24"/>
                <w:highlight w:val="none"/>
                <w:lang w:eastAsia="zh-CN"/>
              </w:rPr>
              <w:t>》《</w:t>
            </w:r>
            <w:r>
              <w:rPr>
                <w:rFonts w:hint="eastAsia" w:cs="Times New Roman"/>
                <w:color w:val="auto"/>
                <w:sz w:val="24"/>
                <w:szCs w:val="24"/>
                <w:highlight w:val="none"/>
                <w:lang w:eastAsia="zh-CN"/>
              </w:rPr>
              <w:t>中华人民共和国野生动物保护法</w:t>
            </w:r>
            <w:r>
              <w:rPr>
                <w:rFonts w:hint="default" w:ascii="Times New Roman" w:hAnsi="Times New Roman" w:eastAsia="仿宋" w:cs="Times New Roman"/>
                <w:color w:val="auto"/>
                <w:sz w:val="24"/>
                <w:szCs w:val="24"/>
                <w:highlight w:val="none"/>
                <w:lang w:eastAsia="zh-CN"/>
              </w:rPr>
              <w:t>》《森林防火条例》等相关法律法规，使其在工程建设期自觉保护区域的野生动植物。</w:t>
            </w:r>
          </w:p>
          <w:p w14:paraId="7BF38D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③施工场地平整期间地表植被及其附着土壤剥离并妥善管理，待施工结束后用于临时占地的植被恢复，</w:t>
            </w:r>
            <w:r>
              <w:rPr>
                <w:rFonts w:hint="default" w:ascii="Times New Roman" w:hAnsi="Times New Roman" w:eastAsia="仿宋" w:cs="Times New Roman"/>
                <w:color w:val="auto"/>
                <w:sz w:val="24"/>
                <w:szCs w:val="24"/>
                <w:highlight w:val="none"/>
                <w:lang w:val="en-US" w:eastAsia="zh-CN"/>
              </w:rPr>
              <w:t>物种选择以当地物种为主</w:t>
            </w:r>
            <w:r>
              <w:rPr>
                <w:rFonts w:hint="default" w:ascii="Times New Roman" w:hAnsi="Times New Roman" w:eastAsia="仿宋" w:cs="Times New Roman"/>
                <w:color w:val="auto"/>
                <w:sz w:val="24"/>
                <w:szCs w:val="24"/>
                <w:highlight w:val="none"/>
                <w:lang w:eastAsia="zh-CN"/>
              </w:rPr>
              <w:t>。施工结束后必须对临时占地进行恢复，应选择乡土树种及适合当地环境的植物。</w:t>
            </w:r>
          </w:p>
          <w:p w14:paraId="6BB8D8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④施工期间要规范人为施工和机械施工的方式，精确细致，不能对占地红线以外的植被造成破坏。</w:t>
            </w:r>
          </w:p>
          <w:p w14:paraId="7BE77C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⑤建设单位要做好项目区的</w:t>
            </w:r>
            <w:r>
              <w:rPr>
                <w:rFonts w:hint="eastAsia" w:cs="Times New Roman"/>
                <w:color w:val="auto"/>
                <w:sz w:val="24"/>
                <w:szCs w:val="24"/>
                <w:highlight w:val="none"/>
                <w:lang w:eastAsia="zh-CN"/>
              </w:rPr>
              <w:t>森林草原防灭火</w:t>
            </w:r>
            <w:r>
              <w:rPr>
                <w:rFonts w:hint="default" w:ascii="Times New Roman" w:hAnsi="Times New Roman" w:eastAsia="仿宋" w:cs="Times New Roman"/>
                <w:color w:val="auto"/>
                <w:sz w:val="24"/>
                <w:szCs w:val="24"/>
                <w:highlight w:val="none"/>
                <w:lang w:eastAsia="zh-CN"/>
              </w:rPr>
              <w:t>工作，重点加强项目施工期间的野外火源管理，落实</w:t>
            </w:r>
            <w:r>
              <w:rPr>
                <w:rFonts w:hint="eastAsia" w:cs="Times New Roman"/>
                <w:color w:val="auto"/>
                <w:sz w:val="24"/>
                <w:szCs w:val="24"/>
                <w:highlight w:val="none"/>
                <w:lang w:eastAsia="zh-CN"/>
              </w:rPr>
              <w:t>森林草原防灭火</w:t>
            </w:r>
            <w:r>
              <w:rPr>
                <w:rFonts w:hint="default" w:ascii="Times New Roman" w:hAnsi="Times New Roman" w:eastAsia="仿宋" w:cs="Times New Roman"/>
                <w:color w:val="auto"/>
                <w:sz w:val="24"/>
                <w:szCs w:val="24"/>
                <w:highlight w:val="none"/>
                <w:lang w:eastAsia="zh-CN"/>
              </w:rPr>
              <w:t>管护人员和措施。</w:t>
            </w:r>
          </w:p>
          <w:p w14:paraId="644FA6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（2）动物影响减缓措施</w:t>
            </w:r>
          </w:p>
          <w:p w14:paraId="689ACA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评价区内的动物主要以林地和草地作为栖息地。为保护好野生动物的栖息环境，减少施工建设对野生动物的影响，主要从以下几个方面进行保护：</w:t>
            </w:r>
          </w:p>
          <w:p w14:paraId="4BBE73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①在进场道路及场内道路交叉路口处，设置生态保护宣传牌，禁止在工程区域滥砍滥伐、狩猎，并将保护生态环境列入施工单位的责任书，增强施工人员保护环境、保护野生动物的意识。一定要坚持“先防护、后开工”的原则，减少对动物栖息地生境的破坏，严禁破坏占地区外的森林植被。</w:t>
            </w:r>
          </w:p>
          <w:p w14:paraId="486CAD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②施工中尽可能地减少噪声对动物的惊吓；在鸟类繁殖期（每年6-8月），应尽量减少因施工噪声所引起的干扰鸟类繁殖的情况发生。</w:t>
            </w:r>
          </w:p>
          <w:p w14:paraId="34700A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③加强对施工器材的管理，禁止狩猎和捕杀野生动物</w:t>
            </w:r>
          </w:p>
          <w:p w14:paraId="3E98AA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④施工中要有保护动物的专门规定，在施工区内设置保护动物的警示牌，并安排专门人员负责项目区施工中的动物保护的监督和管理工作。</w:t>
            </w:r>
          </w:p>
          <w:p w14:paraId="092B5E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⑤对评价区内保护野生动物的保护措施如下：</w:t>
            </w:r>
          </w:p>
          <w:p w14:paraId="3FA99C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鸟类：</w:t>
            </w:r>
          </w:p>
          <w:p w14:paraId="1BA84E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限制施工人员的活动范围，禁止其食用或者非法贸易雉鸡、麻雀、乌鸦、燕子、斑鸠等鸟类。尽快恢复施工迹地的植被。加强对鸟类主要活动区域的保护，加大对这些</w:t>
            </w:r>
            <w:r>
              <w:rPr>
                <w:rFonts w:hint="eastAsia" w:cs="Times New Roman"/>
                <w:color w:val="auto"/>
                <w:sz w:val="24"/>
                <w:szCs w:val="24"/>
                <w:highlight w:val="none"/>
                <w:lang w:eastAsia="zh-CN"/>
              </w:rPr>
              <w:t>施工</w:t>
            </w:r>
            <w:r>
              <w:rPr>
                <w:rFonts w:hint="default" w:ascii="Times New Roman" w:hAnsi="Times New Roman" w:eastAsia="仿宋" w:cs="Times New Roman"/>
                <w:color w:val="auto"/>
                <w:sz w:val="24"/>
                <w:szCs w:val="24"/>
                <w:highlight w:val="none"/>
                <w:lang w:eastAsia="zh-CN"/>
              </w:rPr>
              <w:t>人员的监管力度。</w:t>
            </w:r>
          </w:p>
          <w:p w14:paraId="716C58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施工场地及周边的林地、灌丛鸟类的种类和数量将有所减少，施工将使它们迁移到别处。在施工中要尽量减少施工对鸟类生境的破坏以及施工后及时进行植被恢复。</w:t>
            </w:r>
          </w:p>
          <w:p w14:paraId="6C160E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加强对施工人员的环境保护意识宣传，加强野生动物保护的宣传。同时，加强对施工人员的监督，禁止偷猎鸟类，禁止掏鸟蛋、端鸟窝、捡幼鸟的行为。</w:t>
            </w:r>
          </w:p>
          <w:p w14:paraId="401680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两栖类：</w:t>
            </w:r>
          </w:p>
          <w:p w14:paraId="685B1E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本次评价要求在施工中要尽可能地防止机油泄漏，对施工废物进行快速、集中处理，坚持集中和实时处理生活垃圾，以减少对环境的破坏，保护周边水体的清洁，减少环境污染对两栖爬行类的影响。</w:t>
            </w:r>
          </w:p>
          <w:p w14:paraId="753C93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啮齿类：</w:t>
            </w:r>
          </w:p>
          <w:p w14:paraId="7624A9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加强施工人员环境和自然保护教育，杜绝一切不利于兽类生存繁衍的活动，特别是破坏评价区兽类生境的活动。</w:t>
            </w:r>
          </w:p>
          <w:p w14:paraId="316EA3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（3）水土保持措施</w:t>
            </w:r>
          </w:p>
          <w:p w14:paraId="72E0D4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项目水土流失防治措施主要采用工程措施、植物措施、临时措施相结合的综合防护措施，在时间、空间上形成水土保持措施体系。项目施工期水土流失防治措施设置情况如下：</w:t>
            </w:r>
          </w:p>
          <w:p w14:paraId="260A93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①工程措施：电池阵列区、升压站进行表土清理，施工结束后进行覆土平整。</w:t>
            </w:r>
          </w:p>
          <w:p w14:paraId="46F37A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②植物措施：在电站边角地带种植灌木；场区内播撒耐旱耐荫草籽，加大绿化面积；对建筑物周围和屋面进行绿化种植。物种选择以本地物种为主。</w:t>
            </w:r>
          </w:p>
          <w:p w14:paraId="39B9B1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临时措施：主体施工过程中，特别是下雨或刮风期施工时，为防止开挖填垫后的场地水蚀和风蚀，对升压站、电池阵列区等部位布设排水、拦挡和遮盖等临时防护措施，考虑临时工程的时效性，选择有效、简单易行、易于拆除且投资小的措施。</w:t>
            </w:r>
          </w:p>
          <w:p w14:paraId="5C53FA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④管理措施：项目严格计划施工时序，妥善施工安排。道路路面定期进行洒水降尘，临时堆放的土石料和运输车辆应进行遮盖，并定期对施工生产生活区空地洒水降尘等。</w:t>
            </w:r>
          </w:p>
        </w:tc>
        <w:tc>
          <w:tcPr>
            <w:tcW w:w="480" w:type="pct"/>
            <w:noWrap w:val="0"/>
            <w:vAlign w:val="center"/>
          </w:tcPr>
          <w:p w14:paraId="5F25C1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施工期影像资料、环境监理报告；达到恢复效果、保护要求</w:t>
            </w:r>
          </w:p>
        </w:tc>
        <w:tc>
          <w:tcPr>
            <w:tcW w:w="1520" w:type="pct"/>
            <w:noWrap w:val="0"/>
            <w:vAlign w:val="center"/>
          </w:tcPr>
          <w:p w14:paraId="0573A58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①本项目运营阶段，禁止违法开垦项目区外的土地，禁止破坏项目区范围外的植被。</w:t>
            </w:r>
          </w:p>
          <w:p w14:paraId="11F5737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②保护当地的野生动物，禁止人为捕杀；禁止引入外来入侵物种。</w:t>
            </w:r>
          </w:p>
          <w:p w14:paraId="5D7B679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③光伏周围建设好截排水沟，减少区域水土流失。</w:t>
            </w:r>
          </w:p>
          <w:p w14:paraId="5F25F1B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④建设单位要做好项目区的</w:t>
            </w:r>
            <w:r>
              <w:rPr>
                <w:rFonts w:hint="eastAsia" w:cs="Times New Roman"/>
                <w:color w:val="auto"/>
                <w:sz w:val="24"/>
                <w:szCs w:val="24"/>
                <w:highlight w:val="none"/>
                <w:lang w:val="en-US" w:eastAsia="zh-CN"/>
              </w:rPr>
              <w:t>森林草原防灭火</w:t>
            </w:r>
            <w:r>
              <w:rPr>
                <w:rFonts w:hint="default" w:ascii="Times New Roman" w:hAnsi="Times New Roman" w:eastAsia="仿宋" w:cs="Times New Roman"/>
                <w:color w:val="auto"/>
                <w:sz w:val="24"/>
                <w:szCs w:val="24"/>
                <w:highlight w:val="none"/>
                <w:lang w:val="en-US" w:eastAsia="zh-CN"/>
              </w:rPr>
              <w:t>工作，重点加强项目运营、检修期间的野外火源管理，落实</w:t>
            </w:r>
            <w:r>
              <w:rPr>
                <w:rFonts w:hint="eastAsia" w:cs="Times New Roman"/>
                <w:color w:val="auto"/>
                <w:sz w:val="24"/>
                <w:szCs w:val="24"/>
                <w:highlight w:val="none"/>
                <w:lang w:val="en-US" w:eastAsia="zh-CN"/>
              </w:rPr>
              <w:t>森林草原防灭火</w:t>
            </w:r>
            <w:r>
              <w:rPr>
                <w:rFonts w:hint="default" w:ascii="Times New Roman" w:hAnsi="Times New Roman" w:eastAsia="仿宋" w:cs="Times New Roman"/>
                <w:color w:val="auto"/>
                <w:sz w:val="24"/>
                <w:szCs w:val="24"/>
                <w:highlight w:val="none"/>
                <w:lang w:val="en-US" w:eastAsia="zh-CN"/>
              </w:rPr>
              <w:t>管护人员和措施。</w:t>
            </w:r>
          </w:p>
          <w:p w14:paraId="6366F2F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⑤在满足正常运营的同时，须保证电池组件阵列下方不得改变林草地用途，不得裸露地表、硬化或作其他用途。</w:t>
            </w:r>
          </w:p>
          <w:p w14:paraId="0D91607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⑥在满足光伏电站正常建设运营的同时，尽可能减少对散生木的采伐。</w:t>
            </w:r>
          </w:p>
        </w:tc>
        <w:tc>
          <w:tcPr>
            <w:tcW w:w="409" w:type="pct"/>
            <w:noWrap w:val="0"/>
            <w:vAlign w:val="center"/>
          </w:tcPr>
          <w:p w14:paraId="32FA0A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w:t>
            </w:r>
          </w:p>
        </w:tc>
      </w:tr>
      <w:tr w14:paraId="5A2AB0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4C817BF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水生生态</w:t>
            </w:r>
          </w:p>
        </w:tc>
        <w:tc>
          <w:tcPr>
            <w:tcW w:w="2131" w:type="pct"/>
            <w:noWrap w:val="0"/>
            <w:vAlign w:val="center"/>
          </w:tcPr>
          <w:p w14:paraId="5B7929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本次评价要求在施工中要尽可能地防止机油泄漏，对施工废物进行快速、集中处理，坚持集中和实时处理生活垃圾，以减少对环境的破坏，保护周边水体的清洁，减少环境污染对</w:t>
            </w:r>
            <w:r>
              <w:rPr>
                <w:rFonts w:hint="default" w:ascii="Times New Roman" w:hAnsi="Times New Roman" w:eastAsia="仿宋" w:cs="Times New Roman"/>
                <w:color w:val="auto"/>
                <w:sz w:val="24"/>
                <w:szCs w:val="24"/>
                <w:highlight w:val="none"/>
                <w:lang w:val="en-US" w:eastAsia="zh-CN"/>
              </w:rPr>
              <w:t>河道内鱼</w:t>
            </w:r>
            <w:r>
              <w:rPr>
                <w:rFonts w:hint="default" w:ascii="Times New Roman" w:hAnsi="Times New Roman" w:eastAsia="仿宋" w:cs="Times New Roman"/>
                <w:color w:val="auto"/>
                <w:sz w:val="24"/>
                <w:szCs w:val="24"/>
                <w:highlight w:val="none"/>
                <w:lang w:eastAsia="zh-CN"/>
              </w:rPr>
              <w:t>类的影响。</w:t>
            </w:r>
          </w:p>
        </w:tc>
        <w:tc>
          <w:tcPr>
            <w:tcW w:w="480" w:type="pct"/>
            <w:noWrap w:val="0"/>
            <w:vAlign w:val="center"/>
          </w:tcPr>
          <w:p w14:paraId="0C05EC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施工期影像资料、环境监理报告</w:t>
            </w:r>
          </w:p>
        </w:tc>
        <w:tc>
          <w:tcPr>
            <w:tcW w:w="1520" w:type="pct"/>
            <w:noWrap w:val="0"/>
            <w:vAlign w:val="center"/>
          </w:tcPr>
          <w:p w14:paraId="025700A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409" w:type="pct"/>
            <w:noWrap w:val="0"/>
            <w:vAlign w:val="center"/>
          </w:tcPr>
          <w:p w14:paraId="0F961B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r>
      <w:tr w14:paraId="78B17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50E381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地表水环境</w:t>
            </w:r>
          </w:p>
        </w:tc>
        <w:tc>
          <w:tcPr>
            <w:tcW w:w="2131" w:type="pct"/>
            <w:noWrap w:val="0"/>
            <w:vAlign w:val="center"/>
          </w:tcPr>
          <w:p w14:paraId="6937F6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①施工废水：</w:t>
            </w:r>
            <w:r>
              <w:rPr>
                <w:rFonts w:hint="default" w:ascii="Times New Roman" w:hAnsi="Times New Roman" w:eastAsia="仿宋" w:cs="Times New Roman"/>
                <w:color w:val="auto"/>
                <w:sz w:val="24"/>
                <w:szCs w:val="24"/>
                <w:highlight w:val="none"/>
                <w:lang w:val="en-US" w:eastAsia="zh-CN"/>
              </w:rPr>
              <w:t>升压站各设置1个8</w:t>
            </w:r>
            <w:r>
              <w:rPr>
                <w:rFonts w:hint="default" w:ascii="Times New Roman" w:hAnsi="Times New Roman" w:eastAsia="仿宋" w:cs="Times New Roman"/>
                <w:color w:val="auto"/>
                <w:sz w:val="24"/>
                <w:szCs w:val="24"/>
                <w:highlight w:val="none"/>
              </w:rPr>
              <w:t>m</w:t>
            </w:r>
            <w:r>
              <w:rPr>
                <w:rFonts w:hint="default" w:ascii="Times New Roman" w:hAnsi="Times New Roman" w:eastAsia="仿宋" w:cs="Times New Roman"/>
                <w:color w:val="auto"/>
                <w:sz w:val="24"/>
                <w:szCs w:val="24"/>
                <w:highlight w:val="none"/>
                <w:vertAlign w:val="superscript"/>
              </w:rPr>
              <w:t>3</w:t>
            </w:r>
            <w:r>
              <w:rPr>
                <w:rFonts w:hint="default" w:ascii="Times New Roman" w:hAnsi="Times New Roman" w:eastAsia="仿宋" w:cs="Times New Roman"/>
                <w:color w:val="auto"/>
                <w:sz w:val="24"/>
                <w:szCs w:val="24"/>
                <w:highlight w:val="none"/>
              </w:rPr>
              <w:t>临时施工沉淀池</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对设备清洗废水进行沉淀处理，处理后的废水回用于洒水抑尘，不外排。施工结束后沉淀池回填处理。</w:t>
            </w:r>
          </w:p>
          <w:p w14:paraId="55BAF8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②雨季径流：本项目分别在光伏场地排水沟末端及各新建与</w:t>
            </w:r>
            <w:r>
              <w:rPr>
                <w:rFonts w:hint="default" w:ascii="Times New Roman" w:hAnsi="Times New Roman" w:eastAsia="仿宋" w:cs="Times New Roman"/>
                <w:color w:val="auto"/>
                <w:sz w:val="24"/>
                <w:szCs w:val="24"/>
                <w:highlight w:val="none"/>
                <w:lang w:val="en-US" w:eastAsia="zh-CN"/>
              </w:rPr>
              <w:t>新建</w:t>
            </w:r>
            <w:r>
              <w:rPr>
                <w:rFonts w:hint="default" w:ascii="Times New Roman" w:hAnsi="Times New Roman" w:eastAsia="仿宋" w:cs="Times New Roman"/>
                <w:color w:val="auto"/>
                <w:sz w:val="24"/>
                <w:szCs w:val="24"/>
                <w:highlight w:val="none"/>
              </w:rPr>
              <w:t>道路末端设置</w:t>
            </w:r>
            <w:r>
              <w:rPr>
                <w:rFonts w:hint="default" w:ascii="Times New Roman" w:hAnsi="Times New Roman" w:eastAsia="仿宋" w:cs="Times New Roman"/>
                <w:color w:val="auto"/>
                <w:sz w:val="24"/>
                <w:szCs w:val="24"/>
                <w:highlight w:val="none"/>
                <w:lang w:val="en-US" w:eastAsia="zh-CN"/>
              </w:rPr>
              <w:t>截排水沟及</w:t>
            </w:r>
            <w:r>
              <w:rPr>
                <w:rFonts w:hint="default" w:ascii="Times New Roman" w:hAnsi="Times New Roman" w:eastAsia="仿宋" w:cs="Times New Roman"/>
                <w:color w:val="auto"/>
                <w:sz w:val="24"/>
                <w:szCs w:val="24"/>
                <w:highlight w:val="none"/>
              </w:rPr>
              <w:t>矩形断面沉砂池，共设置</w:t>
            </w:r>
            <w:r>
              <w:rPr>
                <w:rFonts w:hint="default" w:ascii="Times New Roman" w:hAnsi="Times New Roman" w:eastAsia="仿宋" w:cs="Times New Roman"/>
                <w:color w:val="auto"/>
                <w:sz w:val="24"/>
                <w:szCs w:val="24"/>
                <w:highlight w:val="none"/>
                <w:lang w:val="en-US" w:eastAsia="zh-CN"/>
              </w:rPr>
              <w:t>30</w:t>
            </w:r>
            <w:r>
              <w:rPr>
                <w:rFonts w:hint="default" w:ascii="Times New Roman" w:hAnsi="Times New Roman" w:eastAsia="仿宋" w:cs="Times New Roman"/>
                <w:color w:val="auto"/>
                <w:sz w:val="24"/>
                <w:szCs w:val="24"/>
                <w:highlight w:val="none"/>
              </w:rPr>
              <w:t>座沉砂池，每座沉砂池容积为</w:t>
            </w:r>
            <w:r>
              <w:rPr>
                <w:rFonts w:hint="default" w:ascii="Times New Roman" w:hAnsi="Times New Roman" w:eastAsia="仿宋" w:cs="Times New Roman"/>
                <w:color w:val="auto"/>
                <w:sz w:val="24"/>
                <w:szCs w:val="24"/>
                <w:highlight w:val="none"/>
                <w:lang w:val="en-US" w:eastAsia="zh-CN"/>
              </w:rPr>
              <w:t>2.5</w:t>
            </w:r>
            <w:r>
              <w:rPr>
                <w:rFonts w:hint="default" w:ascii="Times New Roman" w:hAnsi="Times New Roman" w:eastAsia="仿宋" w:cs="Times New Roman"/>
                <w:color w:val="auto"/>
                <w:sz w:val="24"/>
                <w:szCs w:val="24"/>
                <w:highlight w:val="none"/>
              </w:rPr>
              <w:t>m</w:t>
            </w:r>
            <w:r>
              <w:rPr>
                <w:rFonts w:hint="default" w:ascii="Times New Roman" w:hAnsi="Times New Roman" w:eastAsia="仿宋" w:cs="Times New Roman"/>
                <w:color w:val="auto"/>
                <w:sz w:val="24"/>
                <w:szCs w:val="24"/>
                <w:highlight w:val="none"/>
                <w:vertAlign w:val="superscript"/>
              </w:rPr>
              <w:t>3</w:t>
            </w:r>
            <w:r>
              <w:rPr>
                <w:rFonts w:hint="default" w:ascii="Times New Roman" w:hAnsi="Times New Roman" w:eastAsia="仿宋" w:cs="Times New Roman"/>
                <w:color w:val="auto"/>
                <w:sz w:val="24"/>
                <w:szCs w:val="24"/>
                <w:highlight w:val="none"/>
              </w:rPr>
              <w:t>。地表径流经沉淀后，回用于道路洒水降尘，减轻项目施工对周围水环境的影响。</w:t>
            </w:r>
          </w:p>
          <w:p w14:paraId="36C73C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③加强管理，做好机械的日常维修保养，杜绝跑、冒、滴、漏现象。另外，雨天应对各类机械、粉状物料进行遮盖防雨。</w:t>
            </w:r>
          </w:p>
          <w:p w14:paraId="27F004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④节约用水，减少施工废水的产生，且尽量避免雨季土石方施工，暴雨期间停止地基开挖等扰动地表类的施工。禁止任何施工废水排入周边地表水。</w:t>
            </w:r>
          </w:p>
        </w:tc>
        <w:tc>
          <w:tcPr>
            <w:tcW w:w="480" w:type="pct"/>
            <w:noWrap w:val="0"/>
            <w:vAlign w:val="center"/>
          </w:tcPr>
          <w:p w14:paraId="68D7D5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废水</w:t>
            </w:r>
            <w:r>
              <w:rPr>
                <w:rFonts w:hint="default" w:ascii="Times New Roman" w:hAnsi="Times New Roman" w:eastAsia="仿宋" w:cs="Times New Roman"/>
                <w:color w:val="auto"/>
                <w:sz w:val="24"/>
                <w:szCs w:val="24"/>
                <w:highlight w:val="none"/>
              </w:rPr>
              <w:t>不外排</w:t>
            </w:r>
            <w:r>
              <w:rPr>
                <w:rFonts w:hint="default" w:ascii="Times New Roman" w:hAnsi="Times New Roman" w:eastAsia="仿宋" w:cs="Times New Roman"/>
                <w:color w:val="auto"/>
                <w:sz w:val="24"/>
                <w:szCs w:val="24"/>
                <w:highlight w:val="none"/>
                <w:lang w:eastAsia="zh-CN"/>
              </w:rPr>
              <w:t>；施工期影像资料、环境监理报告；不发生水质污染事件</w:t>
            </w:r>
          </w:p>
        </w:tc>
        <w:tc>
          <w:tcPr>
            <w:tcW w:w="1520" w:type="pct"/>
            <w:noWrap w:val="0"/>
            <w:vAlign w:val="center"/>
          </w:tcPr>
          <w:p w14:paraId="3271F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①升压站内实行雨污分流。厨房废水经1座0.5m</w:t>
            </w:r>
            <w:r>
              <w:rPr>
                <w:rFonts w:hint="default" w:ascii="Times New Roman" w:hAnsi="Times New Roman" w:eastAsia="仿宋" w:cs="Times New Roman"/>
                <w:color w:val="auto"/>
                <w:kern w:val="2"/>
                <w:sz w:val="24"/>
                <w:szCs w:val="24"/>
                <w:highlight w:val="none"/>
                <w:vertAlign w:val="superscript"/>
                <w:lang w:val="en-US" w:eastAsia="zh-CN" w:bidi="ar-SA"/>
              </w:rPr>
              <w:t>3</w:t>
            </w:r>
            <w:r>
              <w:rPr>
                <w:rFonts w:hint="default" w:ascii="Times New Roman" w:hAnsi="Times New Roman" w:eastAsia="仿宋" w:cs="Times New Roman"/>
                <w:color w:val="auto"/>
                <w:kern w:val="2"/>
                <w:sz w:val="24"/>
                <w:szCs w:val="24"/>
                <w:highlight w:val="none"/>
                <w:lang w:val="en-US" w:eastAsia="zh-CN" w:bidi="ar-SA"/>
              </w:rPr>
              <w:t>隔油池隔油后，与其他生活污水经1座3m</w:t>
            </w:r>
            <w:r>
              <w:rPr>
                <w:rFonts w:hint="default" w:ascii="Times New Roman" w:hAnsi="Times New Roman" w:eastAsia="仿宋" w:cs="Times New Roman"/>
                <w:color w:val="auto"/>
                <w:kern w:val="2"/>
                <w:sz w:val="24"/>
                <w:szCs w:val="24"/>
                <w:highlight w:val="none"/>
                <w:vertAlign w:val="superscript"/>
                <w:lang w:val="en-US" w:eastAsia="zh-CN" w:bidi="ar-SA"/>
              </w:rPr>
              <w:t>3</w:t>
            </w:r>
            <w:r>
              <w:rPr>
                <w:rFonts w:hint="default" w:ascii="Times New Roman" w:hAnsi="Times New Roman" w:eastAsia="仿宋" w:cs="Times New Roman"/>
                <w:color w:val="auto"/>
                <w:kern w:val="2"/>
                <w:sz w:val="24"/>
                <w:szCs w:val="24"/>
                <w:highlight w:val="none"/>
                <w:lang w:val="en-US" w:eastAsia="zh-CN" w:bidi="ar-SA"/>
              </w:rPr>
              <w:t>化粪池预处理后，进入1座规模1m</w:t>
            </w:r>
            <w:r>
              <w:rPr>
                <w:rFonts w:hint="default" w:ascii="Times New Roman" w:hAnsi="Times New Roman" w:eastAsia="仿宋" w:cs="Times New Roman"/>
                <w:color w:val="auto"/>
                <w:kern w:val="2"/>
                <w:sz w:val="24"/>
                <w:szCs w:val="24"/>
                <w:highlight w:val="none"/>
                <w:vertAlign w:val="superscript"/>
                <w:lang w:val="en-US" w:eastAsia="zh-CN" w:bidi="ar-SA"/>
              </w:rPr>
              <w:t>3</w:t>
            </w:r>
            <w:r>
              <w:rPr>
                <w:rFonts w:hint="default" w:ascii="Times New Roman" w:hAnsi="Times New Roman" w:eastAsia="仿宋" w:cs="Times New Roman"/>
                <w:color w:val="auto"/>
                <w:kern w:val="2"/>
                <w:sz w:val="24"/>
                <w:szCs w:val="24"/>
                <w:highlight w:val="none"/>
                <w:lang w:val="en-US" w:eastAsia="zh-CN" w:bidi="ar-SA"/>
              </w:rPr>
              <w:t>/d的一体化污水处理设施处理。尾水达到《城市污水再生利用城市杂用水水质》（GB/T18920-2020）中绿化标准后晴天全部回用于升压站绿化，雨天暂存在1个8m</w:t>
            </w:r>
            <w:r>
              <w:rPr>
                <w:rFonts w:hint="default" w:ascii="Times New Roman" w:hAnsi="Times New Roman" w:eastAsia="仿宋" w:cs="Times New Roman"/>
                <w:color w:val="auto"/>
                <w:kern w:val="2"/>
                <w:sz w:val="24"/>
                <w:szCs w:val="24"/>
                <w:highlight w:val="none"/>
                <w:vertAlign w:val="superscript"/>
                <w:lang w:val="en-US" w:eastAsia="zh-CN" w:bidi="ar-SA"/>
              </w:rPr>
              <w:t>3</w:t>
            </w:r>
            <w:r>
              <w:rPr>
                <w:rFonts w:hint="default" w:ascii="Times New Roman" w:hAnsi="Times New Roman" w:eastAsia="仿宋" w:cs="Times New Roman"/>
                <w:color w:val="auto"/>
                <w:kern w:val="2"/>
                <w:sz w:val="24"/>
                <w:szCs w:val="24"/>
                <w:highlight w:val="none"/>
                <w:lang w:val="en-US" w:eastAsia="zh-CN" w:bidi="ar-SA"/>
              </w:rPr>
              <w:t>的回用水暂存池内，不外排。</w:t>
            </w:r>
          </w:p>
          <w:p w14:paraId="1A3FC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kern w:val="2"/>
                <w:sz w:val="24"/>
                <w:szCs w:val="24"/>
                <w:highlight w:val="none"/>
                <w:lang w:val="en-US" w:eastAsia="zh-CN" w:bidi="ar-SA"/>
              </w:rPr>
              <w:t>②光伏板清洗水不含清洗剂，流淌至</w:t>
            </w:r>
            <w:r>
              <w:rPr>
                <w:rFonts w:hint="default" w:ascii="Times New Roman" w:hAnsi="Times New Roman" w:eastAsia="仿宋" w:cs="Times New Roman"/>
                <w:bCs/>
                <w:color w:val="auto"/>
                <w:kern w:val="0"/>
                <w:sz w:val="24"/>
                <w:szCs w:val="24"/>
                <w:highlight w:val="none"/>
                <w:lang w:val="en-US" w:eastAsia="zh-CN" w:bidi="ar-SA"/>
              </w:rPr>
              <w:t>光伏板区底层被农作物吸收</w:t>
            </w:r>
            <w:r>
              <w:rPr>
                <w:rFonts w:hint="default" w:ascii="Times New Roman" w:hAnsi="Times New Roman" w:eastAsia="仿宋" w:cs="Times New Roman"/>
                <w:color w:val="auto"/>
                <w:kern w:val="2"/>
                <w:sz w:val="24"/>
                <w:szCs w:val="24"/>
                <w:highlight w:val="none"/>
                <w:lang w:val="en-US" w:eastAsia="zh-CN" w:bidi="ar-SA"/>
              </w:rPr>
              <w:t>，不外排。</w:t>
            </w:r>
          </w:p>
        </w:tc>
        <w:tc>
          <w:tcPr>
            <w:tcW w:w="409" w:type="pct"/>
            <w:noWrap w:val="0"/>
            <w:vAlign w:val="center"/>
          </w:tcPr>
          <w:p w14:paraId="53FDC3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w:t>
            </w:r>
          </w:p>
        </w:tc>
      </w:tr>
      <w:tr w14:paraId="6C78B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2CA98A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地下水及土壤环境</w:t>
            </w:r>
          </w:p>
        </w:tc>
        <w:tc>
          <w:tcPr>
            <w:tcW w:w="2131" w:type="pct"/>
            <w:noWrap w:val="0"/>
            <w:vAlign w:val="center"/>
          </w:tcPr>
          <w:p w14:paraId="799A91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480" w:type="pct"/>
            <w:noWrap w:val="0"/>
            <w:vAlign w:val="center"/>
          </w:tcPr>
          <w:p w14:paraId="2742F0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1520" w:type="pct"/>
            <w:noWrap w:val="0"/>
            <w:vAlign w:val="center"/>
          </w:tcPr>
          <w:p w14:paraId="10ABB2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409" w:type="pct"/>
            <w:noWrap w:val="0"/>
            <w:vAlign w:val="center"/>
          </w:tcPr>
          <w:p w14:paraId="47FA3B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r>
      <w:tr w14:paraId="232C3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2B5F39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声环境</w:t>
            </w:r>
          </w:p>
        </w:tc>
        <w:tc>
          <w:tcPr>
            <w:tcW w:w="2131" w:type="pct"/>
            <w:noWrap w:val="0"/>
            <w:vAlign w:val="center"/>
          </w:tcPr>
          <w:p w14:paraId="3B58D8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①严禁夜间施工，优化运输时间，物料和设备运输应安排在昼间运输，避免夜间运输；</w:t>
            </w:r>
          </w:p>
          <w:p w14:paraId="745ABD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②运输车辆途经沿线居民点时注意控制车速、减速慢行，并禁止鸣笛；</w:t>
            </w:r>
          </w:p>
          <w:p w14:paraId="5874B8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③对强噪声设备进行一定的隔声及减振处理，在不影响施工情况下将噪声设备尽量不集中安排；</w:t>
            </w:r>
          </w:p>
          <w:p w14:paraId="123DB97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④项目施工的施工机械需要定期维护，减少其不正常运行产生的噪声，并针对蛙式打夯机、混凝土输送泵等高噪声设备安装减震垫，减少震动产生的噪声</w:t>
            </w:r>
            <w:r>
              <w:rPr>
                <w:rFonts w:hint="default" w:ascii="Times New Roman" w:hAnsi="Times New Roman" w:eastAsia="仿宋" w:cs="Times New Roman"/>
                <w:color w:val="auto"/>
                <w:sz w:val="24"/>
                <w:szCs w:val="24"/>
                <w:highlight w:val="none"/>
                <w:lang w:eastAsia="zh-CN"/>
              </w:rPr>
              <w:t>；</w:t>
            </w:r>
          </w:p>
          <w:p w14:paraId="1C4E862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p>
        </w:tc>
        <w:tc>
          <w:tcPr>
            <w:tcW w:w="480" w:type="pct"/>
            <w:noWrap w:val="0"/>
            <w:vAlign w:val="center"/>
          </w:tcPr>
          <w:p w14:paraId="53B51C9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施工期影像资料、环境监理报告</w:t>
            </w:r>
          </w:p>
        </w:tc>
        <w:tc>
          <w:tcPr>
            <w:tcW w:w="1520" w:type="pct"/>
            <w:noWrap w:val="0"/>
            <w:vAlign w:val="center"/>
          </w:tcPr>
          <w:p w14:paraId="00CF664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①选用低噪声设备，采取隔声、减振等措施，并加强设备维护。</w:t>
            </w:r>
          </w:p>
          <w:p w14:paraId="1AE6B7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kern w:val="2"/>
                <w:sz w:val="24"/>
                <w:szCs w:val="24"/>
                <w:highlight w:val="none"/>
                <w:lang w:val="en-US" w:eastAsia="zh-CN" w:bidi="ar-SA"/>
              </w:rPr>
              <w:t>②合理布局站区，增加对高噪声源的声屏障效果。种植一定数量的阔叶乔木，以起到吸收车间内部噪声的传播，减少对环境的影响</w:t>
            </w:r>
            <w:r>
              <w:rPr>
                <w:rFonts w:hint="default" w:ascii="Times New Roman" w:hAnsi="Times New Roman" w:eastAsia="仿宋" w:cs="Times New Roman"/>
                <w:color w:val="auto"/>
                <w:sz w:val="24"/>
                <w:szCs w:val="24"/>
                <w:highlight w:val="none"/>
                <w:lang w:val="en-US" w:eastAsia="zh-CN"/>
              </w:rPr>
              <w:t>。</w:t>
            </w:r>
          </w:p>
        </w:tc>
        <w:tc>
          <w:tcPr>
            <w:tcW w:w="409" w:type="pct"/>
            <w:noWrap w:val="0"/>
            <w:vAlign w:val="center"/>
          </w:tcPr>
          <w:p w14:paraId="5FF5B8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项目边界噪声满足《工业企业厂界环境噪声排放标准》（GB12348-2008）中1类标准</w:t>
            </w:r>
          </w:p>
        </w:tc>
      </w:tr>
      <w:tr w14:paraId="28C97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0E3913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振动</w:t>
            </w:r>
          </w:p>
        </w:tc>
        <w:tc>
          <w:tcPr>
            <w:tcW w:w="2131" w:type="pct"/>
            <w:noWrap w:val="0"/>
            <w:vAlign w:val="center"/>
          </w:tcPr>
          <w:p w14:paraId="18F4A3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480" w:type="pct"/>
            <w:noWrap w:val="0"/>
            <w:vAlign w:val="center"/>
          </w:tcPr>
          <w:p w14:paraId="14B1D0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1520" w:type="pct"/>
            <w:noWrap w:val="0"/>
            <w:vAlign w:val="center"/>
          </w:tcPr>
          <w:p w14:paraId="08BAA9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409" w:type="pct"/>
            <w:noWrap w:val="0"/>
            <w:vAlign w:val="center"/>
          </w:tcPr>
          <w:p w14:paraId="72081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r>
      <w:tr w14:paraId="5C4A3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7C0246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大气环境</w:t>
            </w:r>
          </w:p>
        </w:tc>
        <w:tc>
          <w:tcPr>
            <w:tcW w:w="2131" w:type="pct"/>
            <w:noWrap w:val="0"/>
            <w:vAlign w:val="center"/>
          </w:tcPr>
          <w:p w14:paraId="7D775EC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①光伏场区及检修道路等施工时，应结合周边居民区等保护目标的分布情况进行围挡防护。</w:t>
            </w:r>
          </w:p>
          <w:p w14:paraId="763548C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②在各作业区临近村庄居民区域，应加大洒水降尘力度；若遇大风或干燥天气，可适当增加洒水次数，最大限度减少扬尘量。</w:t>
            </w:r>
          </w:p>
          <w:p w14:paraId="4E37FD8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③粉状材料应尽量袋装密封，散状建筑材料堆放时应采取覆盖遮挡措施，必要时加盖工棚；材料堆场要避开风口并与施工道路和周围居民区保持一定的距离，以减少风起扬尘和车辆交通带起的扬尘。</w:t>
            </w:r>
          </w:p>
          <w:p w14:paraId="43C1EA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kern w:val="2"/>
                <w:sz w:val="24"/>
                <w:szCs w:val="24"/>
                <w:highlight w:val="none"/>
                <w:lang w:val="en-US" w:eastAsia="zh-CN" w:bidi="ar-SA"/>
              </w:rPr>
              <w:t>④临时表土堆存过程中应适当压实，进行遮盖，并在干燥大风天气时进行洒水降尘。</w:t>
            </w:r>
          </w:p>
        </w:tc>
        <w:tc>
          <w:tcPr>
            <w:tcW w:w="480" w:type="pct"/>
            <w:noWrap w:val="0"/>
            <w:vAlign w:val="center"/>
          </w:tcPr>
          <w:p w14:paraId="79BFDC3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施工期影像资料、环境监理报告；不发生大气污染事件</w:t>
            </w:r>
          </w:p>
        </w:tc>
        <w:tc>
          <w:tcPr>
            <w:tcW w:w="1520" w:type="pct"/>
            <w:noWrap w:val="0"/>
            <w:vAlign w:val="center"/>
          </w:tcPr>
          <w:p w14:paraId="0E8D6C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升压站食堂应设置油烟净化器，油烟废气经集气罩收集进入油烟净化器处理后，通过</w:t>
            </w:r>
            <w:r>
              <w:rPr>
                <w:rFonts w:hint="default" w:ascii="Times New Roman" w:hAnsi="Times New Roman" w:eastAsia="仿宋" w:cs="Times New Roman"/>
                <w:color w:val="auto"/>
                <w:sz w:val="24"/>
                <w:szCs w:val="24"/>
                <w:highlight w:val="none"/>
                <w:lang w:val="en-US" w:eastAsia="zh-CN"/>
              </w:rPr>
              <w:t>排气筒</w:t>
            </w:r>
            <w:r>
              <w:rPr>
                <w:rFonts w:hint="default" w:ascii="Times New Roman" w:hAnsi="Times New Roman" w:eastAsia="仿宋" w:cs="Times New Roman"/>
                <w:color w:val="auto"/>
                <w:sz w:val="24"/>
                <w:szCs w:val="24"/>
                <w:highlight w:val="none"/>
              </w:rPr>
              <w:t>排放。</w:t>
            </w:r>
          </w:p>
        </w:tc>
        <w:tc>
          <w:tcPr>
            <w:tcW w:w="409" w:type="pct"/>
            <w:noWrap w:val="0"/>
            <w:vAlign w:val="center"/>
          </w:tcPr>
          <w:p w14:paraId="10C2C7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kern w:val="0"/>
                <w:sz w:val="24"/>
                <w:szCs w:val="24"/>
                <w:highlight w:val="none"/>
                <w:lang w:val="en-US" w:eastAsia="zh-CN"/>
              </w:rPr>
              <w:t>/</w:t>
            </w:r>
          </w:p>
        </w:tc>
      </w:tr>
      <w:tr w14:paraId="73A97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4D8B6D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固体废物</w:t>
            </w:r>
          </w:p>
        </w:tc>
        <w:tc>
          <w:tcPr>
            <w:tcW w:w="2131" w:type="pct"/>
            <w:noWrap w:val="0"/>
            <w:vAlign w:val="center"/>
          </w:tcPr>
          <w:p w14:paraId="440283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①土石方：工程建设无外借方及永久弃方产生。表土堆放采取临时覆盖措施，周围建设截排水沟，施工结束后撒草绿化，土石方开挖对环境影响小。</w:t>
            </w:r>
          </w:p>
          <w:p w14:paraId="784EBB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②建筑垃圾：建筑垃圾经分类收集后，可回收利用的回收利用，不可回收利用的委托有资质单位清运至当地住建部门指定地点堆存。</w:t>
            </w:r>
          </w:p>
          <w:p w14:paraId="6CFC3B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③生活垃圾：设置移动垃圾桶，依托租用的生活办公点周边垃圾收集点统一处置。</w:t>
            </w:r>
          </w:p>
          <w:p w14:paraId="685B51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④施工过程中损坏的太阳能电池板按照《一般工业固体废物贮存和填埋污染控制标准》的要求在项目区内暂存，施工完成后委托单位处置。</w:t>
            </w:r>
          </w:p>
          <w:p w14:paraId="00745A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⑤车辆运输散体物时，必须密封、包扎、覆盖、不得沿途撒漏。</w:t>
            </w:r>
          </w:p>
        </w:tc>
        <w:tc>
          <w:tcPr>
            <w:tcW w:w="480" w:type="pct"/>
            <w:noWrap w:val="0"/>
            <w:vAlign w:val="center"/>
          </w:tcPr>
          <w:p w14:paraId="2E5957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施工期影像资料、环境监理报告、处置率</w:t>
            </w:r>
          </w:p>
          <w:p w14:paraId="2FD35F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100%</w:t>
            </w:r>
          </w:p>
        </w:tc>
        <w:tc>
          <w:tcPr>
            <w:tcW w:w="1520" w:type="pct"/>
            <w:noWrap w:val="0"/>
            <w:vAlign w:val="center"/>
          </w:tcPr>
          <w:p w14:paraId="7369723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①</w:t>
            </w:r>
            <w:r>
              <w:rPr>
                <w:rFonts w:hint="default" w:ascii="Times New Roman" w:hAnsi="Times New Roman" w:eastAsia="仿宋" w:cs="Times New Roman"/>
                <w:bCs/>
                <w:color w:val="auto"/>
                <w:kern w:val="0"/>
                <w:sz w:val="24"/>
                <w:szCs w:val="24"/>
                <w:highlight w:val="none"/>
                <w:lang w:val="en-US" w:eastAsia="zh-CN" w:bidi="ar-SA"/>
              </w:rPr>
              <w:t>废光伏板</w:t>
            </w:r>
            <w:r>
              <w:rPr>
                <w:rFonts w:hint="eastAsia" w:cs="Times New Roman"/>
                <w:bCs/>
                <w:color w:val="auto"/>
                <w:kern w:val="0"/>
                <w:sz w:val="24"/>
                <w:szCs w:val="24"/>
                <w:highlight w:val="none"/>
                <w:lang w:val="en-US" w:eastAsia="zh-CN" w:bidi="ar-SA"/>
              </w:rPr>
              <w:t>由</w:t>
            </w:r>
            <w:r>
              <w:rPr>
                <w:rFonts w:hint="default" w:ascii="Times New Roman" w:hAnsi="Times New Roman" w:eastAsia="仿宋" w:cs="Times New Roman"/>
                <w:bCs/>
                <w:color w:val="auto"/>
                <w:kern w:val="0"/>
                <w:sz w:val="24"/>
                <w:szCs w:val="24"/>
                <w:highlight w:val="none"/>
                <w:lang w:val="en-US" w:eastAsia="zh-CN" w:bidi="ar-SA"/>
              </w:rPr>
              <w:t>厂家进行更换后带走，建设单位不擅自处理，不在厂区暂存</w:t>
            </w:r>
            <w:r>
              <w:rPr>
                <w:rFonts w:hint="default" w:ascii="Times New Roman" w:hAnsi="Times New Roman" w:eastAsia="仿宋" w:cs="Times New Roman"/>
                <w:color w:val="auto"/>
                <w:kern w:val="2"/>
                <w:sz w:val="24"/>
                <w:szCs w:val="24"/>
                <w:highlight w:val="none"/>
                <w:lang w:val="en-US" w:eastAsia="zh-CN" w:bidi="ar-SA"/>
              </w:rPr>
              <w:t>；</w:t>
            </w:r>
          </w:p>
          <w:p w14:paraId="15C166D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②升压站主变压器及箱式变压器老化变压器油委托有资质单位更换，不在项目区暂存。</w:t>
            </w:r>
          </w:p>
          <w:p w14:paraId="09A3DB7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③</w:t>
            </w:r>
            <w:r>
              <w:rPr>
                <w:rFonts w:hint="default" w:ascii="Times New Roman" w:hAnsi="Times New Roman" w:eastAsia="仿宋" w:cs="Times New Roman"/>
                <w:bCs/>
                <w:color w:val="auto"/>
                <w:kern w:val="2"/>
                <w:sz w:val="24"/>
                <w:szCs w:val="24"/>
                <w:highlight w:val="none"/>
                <w:lang w:val="en-US" w:eastAsia="zh-CN" w:bidi="ar-SA"/>
              </w:rPr>
              <w:t>废铅酸电池暂存于升压站内危废间，分区存放，并委托有资质单位清运处置。</w:t>
            </w:r>
          </w:p>
          <w:p w14:paraId="20576F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④生活垃圾统一收集后运至迤车镇生活垃圾处置点集中处置。</w:t>
            </w:r>
          </w:p>
          <w:p w14:paraId="62B3F8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⑤化粪池污泥委托环卫部门定期处置。</w:t>
            </w:r>
          </w:p>
          <w:p w14:paraId="262EA7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⑥检修废油暂存于升压站危险废物暂存间，委托有资质单位清运处置。</w:t>
            </w:r>
          </w:p>
        </w:tc>
        <w:tc>
          <w:tcPr>
            <w:tcW w:w="409" w:type="pct"/>
            <w:noWrap w:val="0"/>
            <w:vAlign w:val="center"/>
          </w:tcPr>
          <w:p w14:paraId="4E0467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处置率100%。</w:t>
            </w:r>
          </w:p>
        </w:tc>
      </w:tr>
      <w:tr w14:paraId="3019F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20B955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电磁环境</w:t>
            </w:r>
          </w:p>
        </w:tc>
        <w:tc>
          <w:tcPr>
            <w:tcW w:w="2131" w:type="pct"/>
            <w:noWrap w:val="0"/>
            <w:vAlign w:val="center"/>
          </w:tcPr>
          <w:p w14:paraId="19ECFD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480" w:type="pct"/>
            <w:noWrap w:val="0"/>
            <w:vAlign w:val="center"/>
          </w:tcPr>
          <w:p w14:paraId="6EC0DB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1520" w:type="pct"/>
            <w:noWrap w:val="0"/>
            <w:vAlign w:val="center"/>
          </w:tcPr>
          <w:p w14:paraId="4D82DD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经围墙</w:t>
            </w:r>
            <w:r>
              <w:rPr>
                <w:rFonts w:hint="default" w:ascii="Times New Roman" w:hAnsi="Times New Roman" w:eastAsia="仿宋" w:cs="Times New Roman"/>
                <w:color w:val="auto"/>
                <w:sz w:val="24"/>
                <w:szCs w:val="24"/>
                <w:highlight w:val="none"/>
                <w:lang w:eastAsia="zh-CN"/>
              </w:rPr>
              <w:t>防护</w:t>
            </w:r>
            <w:r>
              <w:rPr>
                <w:rFonts w:hint="default" w:ascii="Times New Roman" w:hAnsi="Times New Roman" w:eastAsia="仿宋" w:cs="Times New Roman"/>
                <w:color w:val="auto"/>
                <w:sz w:val="24"/>
                <w:szCs w:val="24"/>
                <w:highlight w:val="none"/>
              </w:rPr>
              <w:t>、距离衰减</w:t>
            </w:r>
          </w:p>
        </w:tc>
        <w:tc>
          <w:tcPr>
            <w:tcW w:w="409" w:type="pct"/>
            <w:noWrap w:val="0"/>
            <w:vAlign w:val="center"/>
          </w:tcPr>
          <w:p w14:paraId="38440CB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《电磁环境控制限值》（GB8702-2014）要求</w:t>
            </w:r>
          </w:p>
        </w:tc>
      </w:tr>
      <w:tr w14:paraId="31F9E7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6D051A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环境风险</w:t>
            </w:r>
          </w:p>
        </w:tc>
        <w:tc>
          <w:tcPr>
            <w:tcW w:w="2131" w:type="pct"/>
            <w:noWrap w:val="0"/>
            <w:vAlign w:val="center"/>
          </w:tcPr>
          <w:p w14:paraId="5DB6FA7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w:t>
            </w:r>
          </w:p>
        </w:tc>
        <w:tc>
          <w:tcPr>
            <w:tcW w:w="480" w:type="pct"/>
            <w:noWrap w:val="0"/>
            <w:vAlign w:val="center"/>
          </w:tcPr>
          <w:p w14:paraId="2283661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c>
          <w:tcPr>
            <w:tcW w:w="1520" w:type="pct"/>
            <w:noWrap w:val="0"/>
            <w:vAlign w:val="center"/>
          </w:tcPr>
          <w:p w14:paraId="0C26E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①升压站内主变压器处设置1个地埋式事故油池，容积为85m</w:t>
            </w:r>
            <w:r>
              <w:rPr>
                <w:rFonts w:hint="default" w:ascii="Times New Roman" w:hAnsi="Times New Roman" w:eastAsia="仿宋" w:cs="Times New Roman"/>
                <w:color w:val="auto"/>
                <w:kern w:val="2"/>
                <w:sz w:val="24"/>
                <w:szCs w:val="24"/>
                <w:highlight w:val="none"/>
                <w:vertAlign w:val="superscript"/>
                <w:lang w:val="en-US" w:eastAsia="zh-CN" w:bidi="ar-SA"/>
              </w:rPr>
              <w:t>3</w:t>
            </w:r>
            <w:r>
              <w:rPr>
                <w:rFonts w:hint="default" w:ascii="Times New Roman" w:hAnsi="Times New Roman" w:eastAsia="仿宋" w:cs="Times New Roman"/>
                <w:color w:val="auto"/>
                <w:kern w:val="2"/>
                <w:sz w:val="24"/>
                <w:szCs w:val="24"/>
                <w:highlight w:val="none"/>
                <w:lang w:val="en-US" w:eastAsia="zh-CN" w:bidi="ar-SA"/>
              </w:rPr>
              <w:t>。</w:t>
            </w:r>
          </w:p>
          <w:p w14:paraId="16C28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②项目在</w:t>
            </w:r>
            <w:r>
              <w:rPr>
                <w:rFonts w:hint="default" w:ascii="Times New Roman" w:hAnsi="Times New Roman" w:eastAsia="仿宋" w:cs="Times New Roman"/>
                <w:color w:val="auto"/>
                <w:kern w:val="0"/>
                <w:sz w:val="24"/>
                <w:szCs w:val="24"/>
                <w:highlight w:val="none"/>
                <w:lang w:val="en-US" w:eastAsia="zh-CN" w:bidi="ar-SA"/>
              </w:rPr>
              <w:t>每个箱式变压器</w:t>
            </w:r>
            <w:r>
              <w:rPr>
                <w:rFonts w:hint="default" w:ascii="Times New Roman" w:hAnsi="Times New Roman" w:eastAsia="仿宋" w:cs="Times New Roman"/>
                <w:color w:val="auto"/>
                <w:kern w:val="2"/>
                <w:sz w:val="24"/>
                <w:szCs w:val="24"/>
                <w:highlight w:val="none"/>
                <w:lang w:val="en-US" w:eastAsia="zh-CN" w:bidi="ar-SA"/>
              </w:rPr>
              <w:t>旁设计1座容积</w:t>
            </w:r>
            <w:r>
              <w:rPr>
                <w:rFonts w:hint="default" w:ascii="Times New Roman" w:hAnsi="Times New Roman" w:eastAsia="仿宋" w:cs="Times New Roman"/>
                <w:color w:val="auto"/>
                <w:kern w:val="0"/>
                <w:sz w:val="24"/>
                <w:szCs w:val="24"/>
                <w:highlight w:val="none"/>
                <w:lang w:val="en-US" w:eastAsia="zh-CN" w:bidi="ar-SA"/>
              </w:rPr>
              <w:t>2m</w:t>
            </w:r>
            <w:r>
              <w:rPr>
                <w:rFonts w:hint="default" w:ascii="Times New Roman" w:hAnsi="Times New Roman" w:eastAsia="仿宋" w:cs="Times New Roman"/>
                <w:color w:val="auto"/>
                <w:kern w:val="0"/>
                <w:sz w:val="24"/>
                <w:szCs w:val="24"/>
                <w:highlight w:val="none"/>
                <w:vertAlign w:val="superscript"/>
                <w:lang w:val="en-US" w:eastAsia="zh-CN" w:bidi="ar-SA"/>
              </w:rPr>
              <w:t>3</w:t>
            </w:r>
            <w:r>
              <w:rPr>
                <w:rFonts w:hint="default" w:ascii="Times New Roman" w:hAnsi="Times New Roman" w:eastAsia="仿宋" w:cs="Times New Roman"/>
                <w:color w:val="auto"/>
                <w:kern w:val="0"/>
                <w:sz w:val="24"/>
                <w:szCs w:val="24"/>
                <w:highlight w:val="none"/>
                <w:lang w:val="en-US" w:eastAsia="zh-CN" w:bidi="ar-SA"/>
              </w:rPr>
              <w:t>事故油池</w:t>
            </w:r>
            <w:r>
              <w:rPr>
                <w:rFonts w:hint="default" w:ascii="Times New Roman" w:hAnsi="Times New Roman" w:eastAsia="仿宋" w:cs="Times New Roman"/>
                <w:color w:val="auto"/>
                <w:kern w:val="2"/>
                <w:sz w:val="24"/>
                <w:szCs w:val="24"/>
                <w:highlight w:val="none"/>
                <w:lang w:val="en-US" w:eastAsia="zh-CN" w:bidi="ar-SA"/>
              </w:rPr>
              <w:t>，满足最大事故排油量的要求。</w:t>
            </w:r>
          </w:p>
          <w:p w14:paraId="7928B4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③事故油池及危废暂存间按照《危险废物贮存污染控制标准》（GB18597-2023）要求建设，进行基础防渗处理，防渗层为至少1m厚黏土层（渗透系数不大于10</w:t>
            </w:r>
            <w:r>
              <w:rPr>
                <w:rFonts w:hint="default" w:ascii="Times New Roman" w:hAnsi="Times New Roman" w:eastAsia="仿宋" w:cs="Times New Roman"/>
                <w:color w:val="auto"/>
                <w:kern w:val="2"/>
                <w:sz w:val="24"/>
                <w:szCs w:val="24"/>
                <w:highlight w:val="none"/>
                <w:vertAlign w:val="superscript"/>
                <w:lang w:val="en-US" w:eastAsia="zh-CN" w:bidi="ar-SA"/>
              </w:rPr>
              <w:t>-7</w:t>
            </w:r>
            <w:r>
              <w:rPr>
                <w:rFonts w:hint="default" w:ascii="Times New Roman" w:hAnsi="Times New Roman" w:eastAsia="仿宋" w:cs="Times New Roman"/>
                <w:color w:val="auto"/>
                <w:kern w:val="2"/>
                <w:sz w:val="24"/>
                <w:szCs w:val="24"/>
                <w:highlight w:val="none"/>
                <w:lang w:val="en-US" w:eastAsia="zh-CN" w:bidi="ar-SA"/>
              </w:rPr>
              <w:t>cm/s），或至少2mm厚高密度聚乙烯膜等人工防渗材料（渗透系数不大于10</w:t>
            </w:r>
            <w:r>
              <w:rPr>
                <w:rFonts w:hint="default" w:ascii="Times New Roman" w:hAnsi="Times New Roman" w:eastAsia="仿宋" w:cs="Times New Roman"/>
                <w:color w:val="auto"/>
                <w:kern w:val="2"/>
                <w:sz w:val="24"/>
                <w:szCs w:val="24"/>
                <w:highlight w:val="none"/>
                <w:vertAlign w:val="superscript"/>
                <w:lang w:val="en-US" w:eastAsia="zh-CN" w:bidi="ar-SA"/>
              </w:rPr>
              <w:t>-10</w:t>
            </w:r>
            <w:r>
              <w:rPr>
                <w:rFonts w:hint="default" w:ascii="Times New Roman" w:hAnsi="Times New Roman" w:eastAsia="仿宋" w:cs="Times New Roman"/>
                <w:color w:val="auto"/>
                <w:kern w:val="2"/>
                <w:sz w:val="24"/>
                <w:szCs w:val="24"/>
                <w:highlight w:val="none"/>
                <w:lang w:val="en-US" w:eastAsia="zh-CN" w:bidi="ar-SA"/>
              </w:rPr>
              <w:t>cm/s），或其他防渗性能等效的材料。施工期加强工程监理和环境监理，提高防渗工程质量，做好照片、录像以及相关文字说明等存档资料。</w:t>
            </w:r>
          </w:p>
          <w:p w14:paraId="6DCB7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⑤设置1个30m</w:t>
            </w:r>
            <w:r>
              <w:rPr>
                <w:rFonts w:hint="default" w:ascii="Times New Roman" w:hAnsi="Times New Roman" w:eastAsia="仿宋" w:cs="Times New Roman"/>
                <w:color w:val="auto"/>
                <w:kern w:val="2"/>
                <w:sz w:val="24"/>
                <w:szCs w:val="24"/>
                <w:highlight w:val="none"/>
                <w:vertAlign w:val="superscript"/>
                <w:lang w:val="en-US" w:eastAsia="zh-CN" w:bidi="ar-SA"/>
              </w:rPr>
              <w:t>2</w:t>
            </w:r>
            <w:r>
              <w:rPr>
                <w:rFonts w:hint="default" w:ascii="Times New Roman" w:hAnsi="Times New Roman" w:eastAsia="仿宋" w:cs="Times New Roman"/>
                <w:color w:val="auto"/>
                <w:kern w:val="2"/>
                <w:sz w:val="24"/>
                <w:szCs w:val="24"/>
                <w:highlight w:val="none"/>
                <w:lang w:val="en-US" w:eastAsia="zh-CN" w:bidi="ar-SA"/>
              </w:rPr>
              <w:t>危险废物暂存间，用于存放日常产生的危险废物。</w:t>
            </w:r>
          </w:p>
        </w:tc>
        <w:tc>
          <w:tcPr>
            <w:tcW w:w="409" w:type="pct"/>
            <w:noWrap w:val="0"/>
            <w:vAlign w:val="center"/>
          </w:tcPr>
          <w:p w14:paraId="4820FE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事故情况下，变压器泄漏绝缘油妥</w:t>
            </w:r>
          </w:p>
          <w:p w14:paraId="671938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善收集不外泄。</w:t>
            </w:r>
          </w:p>
        </w:tc>
      </w:tr>
      <w:tr w14:paraId="39E4F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193BBF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环境监测</w:t>
            </w:r>
          </w:p>
        </w:tc>
        <w:tc>
          <w:tcPr>
            <w:tcW w:w="2131" w:type="pct"/>
            <w:noWrap w:val="0"/>
            <w:vAlign w:val="center"/>
          </w:tcPr>
          <w:p w14:paraId="7B56CF7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w:t>
            </w:r>
          </w:p>
        </w:tc>
        <w:tc>
          <w:tcPr>
            <w:tcW w:w="480" w:type="pct"/>
            <w:noWrap w:val="0"/>
            <w:vAlign w:val="center"/>
          </w:tcPr>
          <w:p w14:paraId="77F84F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w:t>
            </w:r>
          </w:p>
        </w:tc>
        <w:tc>
          <w:tcPr>
            <w:tcW w:w="4527" w:type="dxa"/>
            <w:noWrap w:val="0"/>
            <w:vAlign w:val="center"/>
          </w:tcPr>
          <w:p w14:paraId="3D03B971">
            <w:pPr>
              <w:keepNext w:val="0"/>
              <w:keepLines w:val="0"/>
              <w:pageBreakBefore w:val="0"/>
              <w:suppressLineNumbers w:val="0"/>
              <w:kinsoku/>
              <w:wordWrap/>
              <w:overflowPunct/>
              <w:topLinePunct w:val="0"/>
              <w:autoSpaceDE/>
              <w:autoSpaceDN/>
              <w:bidi w:val="0"/>
              <w:spacing w:before="0" w:beforeAutospacing="0" w:after="0" w:afterAutospacing="0"/>
              <w:ind w:left="0" w:right="0" w:firstLine="0" w:firstLineChars="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运营期的环境监测由建设单位委托有资质的环境监测单位按制定的计划监测。</w:t>
            </w:r>
          </w:p>
        </w:tc>
        <w:tc>
          <w:tcPr>
            <w:tcW w:w="1219" w:type="dxa"/>
            <w:noWrap w:val="0"/>
            <w:vAlign w:val="center"/>
          </w:tcPr>
          <w:p w14:paraId="3A352EAA">
            <w:pPr>
              <w:keepNext w:val="0"/>
              <w:keepLines w:val="0"/>
              <w:pageBreakBefore w:val="0"/>
              <w:suppressLineNumbers w:val="0"/>
              <w:kinsoku/>
              <w:wordWrap/>
              <w:overflowPunct/>
              <w:topLinePunct w:val="0"/>
              <w:autoSpaceDE/>
              <w:autoSpaceDN/>
              <w:bidi w:val="0"/>
              <w:spacing w:before="0" w:beforeAutospacing="0" w:after="0" w:afterAutospacing="0"/>
              <w:ind w:left="0" w:right="0" w:firstLine="0" w:firstLineChars="0"/>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委托有资质的环境监测单位按已制定的计划监测。</w:t>
            </w:r>
          </w:p>
        </w:tc>
      </w:tr>
      <w:tr w14:paraId="00471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57" w:type="pct"/>
            <w:noWrap w:val="0"/>
            <w:vAlign w:val="center"/>
          </w:tcPr>
          <w:p w14:paraId="1A1670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其他</w:t>
            </w:r>
          </w:p>
        </w:tc>
        <w:tc>
          <w:tcPr>
            <w:tcW w:w="2131" w:type="pct"/>
            <w:noWrap w:val="0"/>
            <w:vAlign w:val="center"/>
          </w:tcPr>
          <w:p w14:paraId="6666BC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24"/>
                <w:szCs w:val="24"/>
                <w:highlight w:val="none"/>
                <w:lang w:val="en-US" w:eastAsia="zh-CN"/>
              </w:rPr>
            </w:pPr>
          </w:p>
        </w:tc>
        <w:tc>
          <w:tcPr>
            <w:tcW w:w="480" w:type="pct"/>
            <w:noWrap w:val="0"/>
            <w:vAlign w:val="center"/>
          </w:tcPr>
          <w:p w14:paraId="32134A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施工期影像资料、环境监理报告</w:t>
            </w:r>
          </w:p>
        </w:tc>
        <w:tc>
          <w:tcPr>
            <w:tcW w:w="1520" w:type="pct"/>
            <w:noWrap w:val="0"/>
            <w:vAlign w:val="center"/>
          </w:tcPr>
          <w:p w14:paraId="4D1964C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运营期期满后环境保护措施</w:t>
            </w:r>
          </w:p>
          <w:p w14:paraId="65C775E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①拆除硬化检修道路基础，对场地进行恢复，在场地内播撒耐旱绿植。</w:t>
            </w:r>
          </w:p>
          <w:p w14:paraId="0BE042D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②拆除光伏方阵区支架、箱变等混凝土基础后，场地应进行恢复，覆土厚度30cm，并将光伏阵列区侵蚀沟和低洼区域填土、平整</w:t>
            </w:r>
            <w:r>
              <w:rPr>
                <w:rFonts w:hint="eastAsia" w:cs="Times New Roman"/>
                <w:color w:val="auto"/>
                <w:sz w:val="24"/>
                <w:szCs w:val="24"/>
                <w:highlight w:val="none"/>
                <w:lang w:val="en-US" w:eastAsia="zh-CN"/>
              </w:rPr>
              <w:t>，对</w:t>
            </w:r>
            <w:r>
              <w:rPr>
                <w:rFonts w:hint="default" w:ascii="Times New Roman" w:hAnsi="Times New Roman" w:eastAsia="仿宋" w:cs="Times New Roman"/>
                <w:color w:val="auto"/>
                <w:sz w:val="24"/>
                <w:szCs w:val="24"/>
                <w:highlight w:val="none"/>
                <w:lang w:val="en-US" w:eastAsia="zh-CN"/>
              </w:rPr>
              <w:t>恢复后的场地进行洒水和压实，以固结地表，防止产生扬尘和对土壤的风蚀，进行植被恢复，对于少量不能进行植被恢复的区域，进行平整压实，以减轻水土流失。光伏电站在服务期满后，要严格采取固废处置及生态恢复的环保措施，确保无遗留环保问题。</w:t>
            </w:r>
          </w:p>
          <w:p w14:paraId="55CB120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③服务期满后及时联系厂家对废旧光伏组件、逆变器、箱变等进行回收利用。</w:t>
            </w:r>
          </w:p>
          <w:p w14:paraId="426C6AF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④光伏组件设备拆除完毕后，应做好植被恢复措施。</w:t>
            </w:r>
          </w:p>
        </w:tc>
        <w:tc>
          <w:tcPr>
            <w:tcW w:w="409" w:type="pct"/>
            <w:noWrap w:val="0"/>
            <w:vAlign w:val="center"/>
          </w:tcPr>
          <w:p w14:paraId="6D7624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w:t>
            </w:r>
          </w:p>
        </w:tc>
      </w:tr>
    </w:tbl>
    <w:p w14:paraId="0307533A">
      <w:pPr>
        <w:adjustRightInd w:val="0"/>
        <w:snapToGrid w:val="0"/>
        <w:spacing w:line="360" w:lineRule="auto"/>
        <w:ind w:firstLine="480" w:firstLineChars="200"/>
        <w:rPr>
          <w:rFonts w:hint="default" w:ascii="Times New Roman" w:hAnsi="Times New Roman" w:eastAsia="仿宋" w:cs="Times New Roman"/>
          <w:color w:val="auto"/>
          <w:sz w:val="24"/>
          <w:highlight w:val="none"/>
        </w:rPr>
        <w:sectPr>
          <w:pgSz w:w="16838" w:h="11906" w:orient="landscape"/>
          <w:pgMar w:top="1803" w:right="1440" w:bottom="1803" w:left="1440" w:header="851" w:footer="1077" w:gutter="0"/>
          <w:pgBorders>
            <w:top w:val="none" w:sz="0" w:space="0"/>
            <w:left w:val="none" w:sz="0" w:space="0"/>
            <w:bottom w:val="none" w:sz="0" w:space="0"/>
            <w:right w:val="none" w:sz="0" w:space="0"/>
          </w:pgBorders>
          <w:pgNumType w:fmt="decimal"/>
          <w:cols w:space="720" w:num="1"/>
          <w:rtlGutter w:val="0"/>
          <w:docGrid w:linePitch="312" w:charSpace="0"/>
        </w:sectPr>
      </w:pPr>
    </w:p>
    <w:p w14:paraId="4B983F87">
      <w:pPr>
        <w:jc w:val="center"/>
        <w:outlineLvl w:val="0"/>
        <w:rPr>
          <w:rFonts w:hint="default" w:ascii="Times New Roman" w:hAnsi="Times New Roman" w:eastAsia="仿宋" w:cs="Times New Roman"/>
          <w:snapToGrid w:val="0"/>
          <w:color w:val="auto"/>
          <w:sz w:val="30"/>
          <w:szCs w:val="30"/>
          <w:highlight w:val="none"/>
        </w:rPr>
      </w:pPr>
      <w:bookmarkStart w:id="19" w:name="_Toc5716"/>
      <w:r>
        <w:rPr>
          <w:rFonts w:hint="default" w:ascii="Times New Roman" w:hAnsi="Times New Roman" w:eastAsia="仿宋" w:cs="Times New Roman"/>
          <w:snapToGrid w:val="0"/>
          <w:color w:val="auto"/>
          <w:sz w:val="30"/>
          <w:szCs w:val="30"/>
          <w:highlight w:val="none"/>
        </w:rPr>
        <w:t>七、结论</w:t>
      </w:r>
      <w:bookmarkEnd w:id="19"/>
    </w:p>
    <w:tbl>
      <w:tblPr>
        <w:tblStyle w:val="10"/>
        <w:tblW w:w="52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50959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8" w:hRule="atLeast"/>
          <w:jc w:val="center"/>
        </w:trPr>
        <w:tc>
          <w:tcPr>
            <w:tcW w:w="5000" w:type="pct"/>
            <w:noWrap w:val="0"/>
            <w:vAlign w:val="top"/>
          </w:tcPr>
          <w:p w14:paraId="38F5ED6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szCs w:val="21"/>
                <w:highlight w:val="none"/>
                <w:lang w:val="en-US" w:eastAsia="zh-CN"/>
              </w:rPr>
              <w:t>迤车镇中寨村委会竹子箐光伏项目（复合型光伏发电项目）（重新报批）</w:t>
            </w:r>
            <w:r>
              <w:rPr>
                <w:rFonts w:hint="default" w:ascii="Times New Roman" w:hAnsi="Times New Roman" w:eastAsia="仿宋" w:cs="Times New Roman"/>
                <w:color w:val="auto"/>
                <w:sz w:val="24"/>
                <w:highlight w:val="none"/>
              </w:rPr>
              <w:t>建设符合国家产业政策、国家光伏用地规定及环保政策要求。项目不涉及生态保护红线、基本农田、水源地等环境敏感区，无重大环境制约因素，选址合理。项目严格落实环评提出的生态保护和污染防治措施后，产生的环境影响满足相应环境保护标准要求，对当地生态环境、声环境、大气环境、水环境等的影响很小，不会改变项目所在区域环境功能。从环保角度分析，项目建设是可行的。</w:t>
            </w:r>
          </w:p>
          <w:p w14:paraId="7E88799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仿宋" w:cs="Times New Roman"/>
                <w:color w:val="auto"/>
                <w:szCs w:val="21"/>
                <w:highlight w:val="none"/>
              </w:rPr>
            </w:pPr>
          </w:p>
        </w:tc>
      </w:tr>
    </w:tbl>
    <w:p w14:paraId="1DE4DF27">
      <w:pPr>
        <w:adjustRightInd w:val="0"/>
        <w:snapToGrid w:val="0"/>
        <w:spacing w:before="0" w:beforeAutospacing="0" w:after="0" w:afterAutospacing="0" w:line="648" w:lineRule="auto"/>
        <w:outlineLvl w:val="0"/>
        <w:rPr>
          <w:rFonts w:hint="default" w:ascii="Times New Roman" w:hAnsi="Times New Roman" w:eastAsia="仿宋" w:cs="Times New Roman"/>
          <w:color w:val="auto"/>
          <w:highlight w:val="none"/>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4AC150F9">
      <w:pPr>
        <w:spacing w:line="360" w:lineRule="auto"/>
        <w:ind w:firstLine="0" w:firstLineChars="0"/>
        <w:rPr>
          <w:rFonts w:hint="default" w:ascii="Times New Roman" w:hAnsi="Times New Roman" w:eastAsia="仿宋" w:cs="Times New Roman"/>
          <w:color w:val="auto"/>
          <w:szCs w:val="22"/>
          <w:highlight w:val="none"/>
        </w:rPr>
      </w:pPr>
    </w:p>
    <w:p w14:paraId="0B14FB04">
      <w:pPr>
        <w:spacing w:line="360" w:lineRule="auto"/>
        <w:ind w:firstLine="0" w:firstLineChars="0"/>
        <w:rPr>
          <w:rFonts w:hint="default" w:ascii="Times New Roman" w:hAnsi="Times New Roman" w:eastAsia="仿宋" w:cs="Times New Roman"/>
          <w:color w:val="auto"/>
          <w:szCs w:val="22"/>
          <w:highlight w:val="none"/>
        </w:rPr>
      </w:pPr>
    </w:p>
    <w:p w14:paraId="7B614E39">
      <w:pPr>
        <w:spacing w:line="360" w:lineRule="auto"/>
        <w:ind w:firstLine="0" w:firstLineChars="0"/>
        <w:rPr>
          <w:rFonts w:hint="default" w:ascii="Times New Roman" w:hAnsi="Times New Roman" w:eastAsia="仿宋" w:cs="Times New Roman"/>
          <w:color w:val="auto"/>
          <w:sz w:val="36"/>
          <w:szCs w:val="36"/>
          <w:highlight w:val="none"/>
        </w:rPr>
      </w:pPr>
    </w:p>
    <w:p w14:paraId="0882F0BC">
      <w:pPr>
        <w:spacing w:line="360" w:lineRule="auto"/>
        <w:ind w:firstLine="0" w:firstLineChars="0"/>
        <w:jc w:val="center"/>
        <w:rPr>
          <w:rFonts w:hint="default" w:ascii="Times New Roman" w:hAnsi="Times New Roman" w:eastAsia="仿宋" w:cs="Times New Roman"/>
          <w:b/>
          <w:bCs/>
          <w:color w:val="auto"/>
          <w:sz w:val="48"/>
          <w:szCs w:val="48"/>
          <w:highlight w:val="none"/>
        </w:rPr>
      </w:pPr>
      <w:r>
        <w:rPr>
          <w:rFonts w:hint="default" w:ascii="Times New Roman" w:hAnsi="Times New Roman" w:eastAsia="仿宋" w:cs="Times New Roman"/>
          <w:b/>
          <w:bCs/>
          <w:color w:val="auto"/>
          <w:sz w:val="48"/>
          <w:szCs w:val="48"/>
          <w:highlight w:val="none"/>
          <w:lang w:val="en-US" w:eastAsia="zh-CN"/>
        </w:rPr>
        <w:t>迤车镇中寨村委会竹子箐光伏项目（复合型光伏发电项目）（重新报批）</w:t>
      </w:r>
    </w:p>
    <w:p w14:paraId="7CAAF1B8">
      <w:pPr>
        <w:spacing w:line="360" w:lineRule="auto"/>
        <w:ind w:firstLine="0" w:firstLineChars="0"/>
        <w:jc w:val="center"/>
        <w:rPr>
          <w:rFonts w:hint="default" w:ascii="Times New Roman" w:hAnsi="Times New Roman" w:eastAsia="仿宋" w:cs="Times New Roman"/>
          <w:b/>
          <w:bCs/>
          <w:color w:val="auto"/>
          <w:sz w:val="48"/>
          <w:szCs w:val="48"/>
          <w:highlight w:val="none"/>
        </w:rPr>
      </w:pPr>
    </w:p>
    <w:p w14:paraId="3D760AD1">
      <w:pPr>
        <w:keepNext/>
        <w:keepLines/>
        <w:widowControl w:val="0"/>
        <w:spacing w:line="360" w:lineRule="auto"/>
        <w:ind w:firstLine="0" w:firstLineChars="0"/>
        <w:jc w:val="center"/>
        <w:outlineLvl w:val="0"/>
        <w:rPr>
          <w:rFonts w:hint="default" w:ascii="Times New Roman" w:hAnsi="Times New Roman" w:eastAsia="仿宋" w:cs="Times New Roman"/>
          <w:b/>
          <w:bCs/>
          <w:color w:val="auto"/>
          <w:kern w:val="44"/>
          <w:sz w:val="52"/>
          <w:szCs w:val="52"/>
          <w:highlight w:val="none"/>
          <w:lang w:val="en-US" w:eastAsia="zh-CN" w:bidi="ar-SA"/>
        </w:rPr>
      </w:pPr>
      <w:bookmarkStart w:id="20" w:name="_Toc20285"/>
      <w:bookmarkStart w:id="21" w:name="_Toc3184"/>
      <w:bookmarkStart w:id="22" w:name="_Toc18931"/>
      <w:bookmarkStart w:id="23" w:name="_Toc15532"/>
      <w:bookmarkStart w:id="24" w:name="_Toc26514"/>
      <w:bookmarkStart w:id="25" w:name="_Toc100611489"/>
      <w:bookmarkStart w:id="26" w:name="_Toc18575"/>
      <w:bookmarkStart w:id="27" w:name="_Toc18663"/>
      <w:r>
        <w:rPr>
          <w:rFonts w:hint="default" w:ascii="Times New Roman" w:hAnsi="Times New Roman" w:eastAsia="仿宋" w:cs="Times New Roman"/>
          <w:b/>
          <w:bCs/>
          <w:color w:val="auto"/>
          <w:kern w:val="44"/>
          <w:sz w:val="72"/>
          <w:szCs w:val="72"/>
          <w:highlight w:val="none"/>
          <w:lang w:val="en-US" w:eastAsia="zh-CN" w:bidi="ar-SA"/>
        </w:rPr>
        <w:t>电磁环境影响专项评价</w:t>
      </w:r>
      <w:bookmarkEnd w:id="20"/>
      <w:bookmarkEnd w:id="21"/>
      <w:bookmarkEnd w:id="22"/>
      <w:bookmarkEnd w:id="23"/>
      <w:bookmarkEnd w:id="24"/>
      <w:bookmarkEnd w:id="25"/>
      <w:bookmarkEnd w:id="26"/>
      <w:bookmarkEnd w:id="27"/>
    </w:p>
    <w:p w14:paraId="0CDBBDD5">
      <w:pPr>
        <w:widowControl/>
        <w:spacing w:before="0" w:beforeAutospacing="0" w:after="0" w:afterAutospacing="0" w:line="240" w:lineRule="auto"/>
        <w:ind w:firstLine="0" w:firstLineChars="0"/>
        <w:jc w:val="center"/>
        <w:rPr>
          <w:rFonts w:hint="default" w:ascii="Times New Roman" w:hAnsi="Times New Roman" w:eastAsia="仿宋" w:cs="Times New Roman"/>
          <w:color w:val="auto"/>
          <w:kern w:val="0"/>
          <w:sz w:val="72"/>
          <w:szCs w:val="72"/>
          <w:highlight w:val="none"/>
          <w:lang w:val="en-US" w:eastAsia="zh-CN" w:bidi="ar-SA"/>
        </w:rPr>
      </w:pPr>
    </w:p>
    <w:p w14:paraId="0CABF202">
      <w:pPr>
        <w:widowControl/>
        <w:spacing w:before="0" w:beforeAutospacing="0" w:after="0" w:afterAutospacing="0" w:line="240" w:lineRule="auto"/>
        <w:ind w:firstLine="0" w:firstLineChars="0"/>
        <w:jc w:val="center"/>
        <w:rPr>
          <w:rFonts w:hint="default" w:ascii="Times New Roman" w:hAnsi="Times New Roman" w:eastAsia="仿宋" w:cs="Times New Roman"/>
          <w:color w:val="auto"/>
          <w:kern w:val="0"/>
          <w:sz w:val="72"/>
          <w:szCs w:val="72"/>
          <w:highlight w:val="none"/>
          <w:lang w:val="en-US" w:eastAsia="zh-CN" w:bidi="ar-SA"/>
        </w:rPr>
      </w:pPr>
    </w:p>
    <w:p w14:paraId="4B451930">
      <w:pPr>
        <w:widowControl/>
        <w:spacing w:before="0" w:beforeAutospacing="0" w:after="0" w:afterAutospacing="0" w:line="240" w:lineRule="auto"/>
        <w:ind w:firstLine="0" w:firstLineChars="0"/>
        <w:jc w:val="center"/>
        <w:rPr>
          <w:rFonts w:hint="default" w:ascii="Times New Roman" w:hAnsi="Times New Roman" w:eastAsia="仿宋" w:cs="Times New Roman"/>
          <w:color w:val="auto"/>
          <w:kern w:val="0"/>
          <w:sz w:val="72"/>
          <w:szCs w:val="72"/>
          <w:highlight w:val="none"/>
          <w:lang w:val="en-US" w:eastAsia="zh-CN" w:bidi="ar-SA"/>
        </w:rPr>
      </w:pPr>
    </w:p>
    <w:p w14:paraId="6F4BDBEF">
      <w:pPr>
        <w:widowControl/>
        <w:spacing w:before="0" w:beforeAutospacing="0" w:after="0" w:afterAutospacing="0" w:line="240" w:lineRule="auto"/>
        <w:ind w:firstLine="0" w:firstLineChars="0"/>
        <w:jc w:val="center"/>
        <w:rPr>
          <w:rFonts w:hint="default" w:ascii="Times New Roman" w:hAnsi="Times New Roman" w:eastAsia="仿宋" w:cs="Times New Roman"/>
          <w:color w:val="auto"/>
          <w:kern w:val="0"/>
          <w:sz w:val="72"/>
          <w:szCs w:val="72"/>
          <w:highlight w:val="none"/>
          <w:lang w:val="en-US" w:eastAsia="zh-CN" w:bidi="ar-SA"/>
        </w:rPr>
      </w:pPr>
    </w:p>
    <w:p w14:paraId="00283C38">
      <w:pPr>
        <w:widowControl/>
        <w:spacing w:before="0" w:beforeAutospacing="0" w:after="0" w:afterAutospacing="0" w:line="240" w:lineRule="auto"/>
        <w:ind w:firstLine="0" w:firstLineChars="0"/>
        <w:jc w:val="center"/>
        <w:rPr>
          <w:rFonts w:hint="default" w:ascii="Times New Roman" w:hAnsi="Times New Roman" w:eastAsia="仿宋" w:cs="Times New Roman"/>
          <w:color w:val="auto"/>
          <w:kern w:val="0"/>
          <w:sz w:val="72"/>
          <w:szCs w:val="72"/>
          <w:highlight w:val="none"/>
          <w:lang w:val="en-US" w:eastAsia="zh-CN" w:bidi="ar-SA"/>
        </w:rPr>
      </w:pPr>
    </w:p>
    <w:p w14:paraId="4BC07616">
      <w:pPr>
        <w:widowControl/>
        <w:spacing w:before="0" w:beforeAutospacing="0" w:after="0" w:afterAutospacing="0" w:line="240" w:lineRule="auto"/>
        <w:ind w:firstLine="0" w:firstLineChars="0"/>
        <w:jc w:val="center"/>
        <w:rPr>
          <w:rFonts w:hint="default" w:ascii="Times New Roman" w:hAnsi="Times New Roman" w:eastAsia="仿宋" w:cs="Times New Roman"/>
          <w:color w:val="auto"/>
          <w:kern w:val="0"/>
          <w:sz w:val="72"/>
          <w:szCs w:val="72"/>
          <w:highlight w:val="none"/>
          <w:lang w:val="en-US" w:eastAsia="zh-CN" w:bidi="ar-SA"/>
        </w:rPr>
      </w:pPr>
    </w:p>
    <w:p w14:paraId="043A8618">
      <w:pPr>
        <w:widowControl/>
        <w:spacing w:before="0" w:beforeAutospacing="0" w:after="0" w:afterAutospacing="0" w:line="240" w:lineRule="auto"/>
        <w:ind w:firstLine="0" w:firstLineChars="0"/>
        <w:jc w:val="center"/>
        <w:rPr>
          <w:rFonts w:hint="default" w:ascii="Times New Roman" w:hAnsi="Times New Roman" w:eastAsia="仿宋" w:cs="Times New Roman"/>
          <w:b/>
          <w:bCs/>
          <w:color w:val="auto"/>
          <w:kern w:val="0"/>
          <w:sz w:val="32"/>
          <w:szCs w:val="32"/>
          <w:highlight w:val="none"/>
          <w:lang w:val="en-US" w:eastAsia="zh-CN" w:bidi="ar-SA"/>
        </w:rPr>
      </w:pPr>
    </w:p>
    <w:p w14:paraId="480F56D6">
      <w:pPr>
        <w:widowControl/>
        <w:spacing w:before="0" w:beforeAutospacing="0" w:after="0" w:afterAutospacing="0" w:line="240" w:lineRule="auto"/>
        <w:ind w:firstLine="0" w:firstLineChars="0"/>
        <w:jc w:val="center"/>
        <w:rPr>
          <w:rFonts w:hint="default" w:ascii="Times New Roman" w:hAnsi="Times New Roman" w:eastAsia="仿宋" w:cs="Times New Roman"/>
          <w:b/>
          <w:bCs/>
          <w:color w:val="auto"/>
          <w:kern w:val="0"/>
          <w:sz w:val="32"/>
          <w:szCs w:val="32"/>
          <w:highlight w:val="none"/>
          <w:lang w:val="en-US" w:eastAsia="zh-CN" w:bidi="ar-SA"/>
        </w:rPr>
      </w:pPr>
    </w:p>
    <w:p w14:paraId="0A7719FD">
      <w:pPr>
        <w:widowControl/>
        <w:spacing w:before="0" w:beforeAutospacing="0" w:after="0" w:afterAutospacing="0" w:line="240" w:lineRule="auto"/>
        <w:jc w:val="center"/>
        <w:rPr>
          <w:rFonts w:hint="default" w:ascii="Times New Roman" w:hAnsi="Times New Roman" w:eastAsia="仿宋" w:cs="Times New Roman"/>
          <w:b/>
          <w:bCs/>
          <w:color w:val="auto"/>
          <w:kern w:val="0"/>
          <w:sz w:val="32"/>
          <w:szCs w:val="32"/>
          <w:highlight w:val="none"/>
          <w:lang w:val="en-US" w:eastAsia="zh-CN" w:bidi="ar-SA"/>
        </w:rPr>
      </w:pPr>
      <w:r>
        <w:rPr>
          <w:rFonts w:hint="default" w:ascii="Times New Roman" w:hAnsi="Times New Roman" w:eastAsia="仿宋" w:cs="Times New Roman"/>
          <w:b/>
          <w:bCs/>
          <w:color w:val="auto"/>
          <w:kern w:val="0"/>
          <w:sz w:val="32"/>
          <w:szCs w:val="32"/>
          <w:highlight w:val="none"/>
          <w:lang w:val="en-US" w:eastAsia="zh-CN" w:bidi="ar-SA"/>
        </w:rPr>
        <w:t>建设单位：会泽华电道成清洁能源开发有限公司</w:t>
      </w:r>
    </w:p>
    <w:p w14:paraId="798DFED9">
      <w:pPr>
        <w:spacing w:line="360" w:lineRule="auto"/>
        <w:ind w:firstLine="0" w:firstLineChars="0"/>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202</w:t>
      </w:r>
      <w:r>
        <w:rPr>
          <w:rFonts w:hint="default" w:ascii="Times New Roman" w:hAnsi="Times New Roman" w:eastAsia="仿宋" w:cs="Times New Roman"/>
          <w:b/>
          <w:bCs/>
          <w:color w:val="auto"/>
          <w:sz w:val="32"/>
          <w:szCs w:val="32"/>
          <w:highlight w:val="none"/>
          <w:lang w:val="en-US" w:eastAsia="zh-CN"/>
        </w:rPr>
        <w:t>6</w:t>
      </w:r>
      <w:r>
        <w:rPr>
          <w:rFonts w:hint="default" w:ascii="Times New Roman" w:hAnsi="Times New Roman" w:eastAsia="仿宋" w:cs="Times New Roman"/>
          <w:b/>
          <w:bCs/>
          <w:color w:val="auto"/>
          <w:sz w:val="32"/>
          <w:szCs w:val="32"/>
          <w:highlight w:val="none"/>
        </w:rPr>
        <w:t>年</w:t>
      </w:r>
      <w:r>
        <w:rPr>
          <w:rFonts w:hint="eastAsia" w:cs="Times New Roman"/>
          <w:b/>
          <w:bCs/>
          <w:color w:val="auto"/>
          <w:sz w:val="32"/>
          <w:szCs w:val="32"/>
          <w:highlight w:val="none"/>
          <w:lang w:val="en-US" w:eastAsia="zh-CN"/>
        </w:rPr>
        <w:t>8</w:t>
      </w:r>
      <w:r>
        <w:rPr>
          <w:rFonts w:hint="default" w:ascii="Times New Roman" w:hAnsi="Times New Roman" w:eastAsia="仿宋" w:cs="Times New Roman"/>
          <w:b/>
          <w:bCs/>
          <w:color w:val="auto"/>
          <w:sz w:val="32"/>
          <w:szCs w:val="32"/>
          <w:highlight w:val="none"/>
        </w:rPr>
        <w:t>月</w:t>
      </w:r>
    </w:p>
    <w:p w14:paraId="0A14F371">
      <w:pPr>
        <w:spacing w:line="360" w:lineRule="auto"/>
        <w:ind w:firstLine="0" w:firstLineChars="0"/>
        <w:rPr>
          <w:rFonts w:hint="default" w:ascii="Times New Roman" w:hAnsi="Times New Roman" w:eastAsia="仿宋" w:cs="Times New Roman"/>
          <w:color w:val="auto"/>
          <w:szCs w:val="22"/>
          <w:highlight w:val="none"/>
        </w:rPr>
      </w:pPr>
    </w:p>
    <w:p w14:paraId="68801CAB">
      <w:pPr>
        <w:spacing w:line="360" w:lineRule="auto"/>
        <w:ind w:firstLine="0" w:firstLineChars="0"/>
        <w:rPr>
          <w:rFonts w:hint="default" w:ascii="Times New Roman" w:hAnsi="Times New Roman" w:eastAsia="仿宋" w:cs="Times New Roman"/>
          <w:color w:val="auto"/>
          <w:szCs w:val="22"/>
          <w:highlight w:val="none"/>
        </w:rPr>
      </w:pPr>
    </w:p>
    <w:p w14:paraId="35A58B8D">
      <w:pPr>
        <w:spacing w:line="360" w:lineRule="auto"/>
        <w:ind w:firstLine="0" w:firstLineChars="0"/>
        <w:rPr>
          <w:rFonts w:hint="default" w:ascii="Times New Roman" w:hAnsi="Times New Roman" w:eastAsia="仿宋" w:cs="Times New Roman"/>
          <w:color w:val="auto"/>
          <w:szCs w:val="22"/>
          <w:highlight w:val="none"/>
        </w:rPr>
        <w:sectPr>
          <w:footerReference r:id="rId9" w:type="default"/>
          <w:pgSz w:w="11849" w:h="16781"/>
          <w:pgMar w:top="1440" w:right="1800" w:bottom="1440" w:left="1800" w:header="0" w:footer="953" w:gutter="0"/>
          <w:pgBorders w:offsetFrom="page">
            <w:top w:val="none" w:sz="0" w:space="0"/>
            <w:left w:val="none" w:sz="0" w:space="0"/>
            <w:bottom w:val="none" w:sz="0" w:space="0"/>
            <w:right w:val="none" w:sz="0" w:space="0"/>
          </w:pgBorders>
          <w:lnNumType w:countBy="0" w:distance="360"/>
          <w:pgNumType w:fmt="decimal" w:start="1"/>
          <w:cols w:space="720" w:num="1"/>
          <w:docGrid w:type="lines" w:linePitch="312" w:charSpace="0"/>
        </w:sectPr>
      </w:pPr>
    </w:p>
    <w:p w14:paraId="38480B35">
      <w:pPr>
        <w:keepNext/>
        <w:keepLines/>
        <w:widowControl w:val="0"/>
        <w:spacing w:line="360" w:lineRule="auto"/>
        <w:ind w:firstLine="0" w:firstLineChars="0"/>
        <w:jc w:val="both"/>
        <w:outlineLvl w:val="0"/>
        <w:rPr>
          <w:rFonts w:hint="default" w:ascii="Times New Roman" w:hAnsi="Times New Roman" w:eastAsia="仿宋" w:cs="Times New Roman"/>
          <w:b/>
          <w:bCs/>
          <w:color w:val="auto"/>
          <w:kern w:val="44"/>
          <w:sz w:val="32"/>
          <w:szCs w:val="44"/>
          <w:highlight w:val="none"/>
          <w:lang w:val="en-US" w:eastAsia="zh-CN" w:bidi="ar-SA"/>
        </w:rPr>
      </w:pPr>
      <w:bookmarkStart w:id="28" w:name="_Toc89087668"/>
      <w:bookmarkStart w:id="29" w:name="_Toc91756514"/>
      <w:bookmarkStart w:id="30" w:name="_Toc17439"/>
      <w:bookmarkStart w:id="31" w:name="_Toc20967"/>
      <w:bookmarkStart w:id="32" w:name="_Toc89087418"/>
      <w:bookmarkStart w:id="33" w:name="_Toc100611490"/>
      <w:r>
        <w:rPr>
          <w:rFonts w:hint="default" w:ascii="Times New Roman" w:hAnsi="Times New Roman" w:eastAsia="仿宋" w:cs="Times New Roman"/>
          <w:b/>
          <w:bCs/>
          <w:color w:val="auto"/>
          <w:kern w:val="44"/>
          <w:sz w:val="32"/>
          <w:szCs w:val="44"/>
          <w:highlight w:val="none"/>
          <w:lang w:val="en-US" w:eastAsia="zh-CN" w:bidi="ar-SA"/>
        </w:rPr>
        <w:t>1 总则</w:t>
      </w:r>
      <w:bookmarkEnd w:id="28"/>
      <w:bookmarkEnd w:id="29"/>
      <w:bookmarkEnd w:id="30"/>
      <w:bookmarkEnd w:id="31"/>
      <w:bookmarkEnd w:id="32"/>
      <w:bookmarkEnd w:id="33"/>
    </w:p>
    <w:p w14:paraId="4864CB18">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bookmarkStart w:id="34" w:name="_Toc89087419"/>
      <w:bookmarkStart w:id="35" w:name="_Toc91756515"/>
      <w:bookmarkStart w:id="36" w:name="_Toc89087669"/>
      <w:r>
        <w:rPr>
          <w:rFonts w:hint="default" w:ascii="Times New Roman" w:hAnsi="Times New Roman" w:eastAsia="仿宋" w:cs="Times New Roman"/>
          <w:b/>
          <w:bCs/>
          <w:color w:val="auto"/>
          <w:kern w:val="0"/>
          <w:sz w:val="30"/>
          <w:szCs w:val="32"/>
          <w:highlight w:val="none"/>
          <w:lang w:val="en-US" w:eastAsia="zh-CN" w:bidi="ar-SA"/>
        </w:rPr>
        <w:t>1.1 编制</w:t>
      </w:r>
      <w:bookmarkEnd w:id="34"/>
      <w:bookmarkEnd w:id="35"/>
      <w:bookmarkEnd w:id="36"/>
      <w:r>
        <w:rPr>
          <w:rFonts w:hint="eastAsia" w:cs="Times New Roman"/>
          <w:b/>
          <w:bCs/>
          <w:color w:val="auto"/>
          <w:kern w:val="0"/>
          <w:sz w:val="30"/>
          <w:szCs w:val="32"/>
          <w:highlight w:val="none"/>
          <w:lang w:val="en-US" w:eastAsia="zh-CN" w:bidi="ar-SA"/>
        </w:rPr>
        <w:t>依据</w:t>
      </w:r>
    </w:p>
    <w:p w14:paraId="782476F0">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bookmarkStart w:id="37" w:name="_Toc89087670"/>
      <w:bookmarkStart w:id="38" w:name="_Toc89087420"/>
      <w:r>
        <w:rPr>
          <w:rFonts w:hint="default" w:ascii="Times New Roman" w:hAnsi="Times New Roman" w:eastAsia="仿宋" w:cs="Times New Roman"/>
          <w:b/>
          <w:bCs/>
          <w:color w:val="auto"/>
          <w:kern w:val="0"/>
          <w:sz w:val="28"/>
          <w:szCs w:val="32"/>
          <w:highlight w:val="none"/>
          <w:lang w:val="en-US" w:eastAsia="zh-CN" w:bidi="ar-SA"/>
        </w:rPr>
        <w:t>1.1.1</w:t>
      </w:r>
      <w:bookmarkEnd w:id="37"/>
      <w:bookmarkEnd w:id="38"/>
      <w:r>
        <w:rPr>
          <w:rFonts w:hint="default" w:ascii="Times New Roman" w:hAnsi="Times New Roman" w:eastAsia="仿宋" w:cs="Times New Roman"/>
          <w:b/>
          <w:bCs/>
          <w:color w:val="auto"/>
          <w:kern w:val="0"/>
          <w:sz w:val="28"/>
          <w:szCs w:val="32"/>
          <w:highlight w:val="none"/>
          <w:lang w:val="en-US" w:eastAsia="zh-CN" w:bidi="ar-SA"/>
        </w:rPr>
        <w:t xml:space="preserve"> 相关法律法规及规范性文件</w:t>
      </w:r>
    </w:p>
    <w:p w14:paraId="5995C0EA">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（1）《中华人民共和国环境保护法》，2015年1月1日施行；</w:t>
      </w:r>
    </w:p>
    <w:p w14:paraId="46A6460C">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（2）《中华人民共和国环境影响评价法》，2018年12月29日修订并施行；</w:t>
      </w:r>
    </w:p>
    <w:p w14:paraId="7DFAC8B2">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（3）《中华人民共和国电力法（2018年修正版）》，2018年10月26日修订并施行；</w:t>
      </w:r>
    </w:p>
    <w:p w14:paraId="54BBB7A4">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（4）《云南省电力设施保护条例》，</w:t>
      </w:r>
      <w:r>
        <w:rPr>
          <w:rFonts w:hint="default" w:ascii="Times New Roman" w:hAnsi="Times New Roman" w:eastAsia="仿宋" w:cs="Times New Roman"/>
          <w:color w:val="auto"/>
          <w:szCs w:val="22"/>
          <w:highlight w:val="none"/>
          <w:lang w:val="en-US" w:eastAsia="zh-CN"/>
        </w:rPr>
        <w:t>2024年11月28日修订</w:t>
      </w:r>
      <w:r>
        <w:rPr>
          <w:rFonts w:hint="default" w:ascii="Times New Roman" w:hAnsi="Times New Roman" w:eastAsia="仿宋" w:cs="Times New Roman"/>
          <w:color w:val="auto"/>
          <w:szCs w:val="22"/>
          <w:highlight w:val="none"/>
        </w:rPr>
        <w:t>；</w:t>
      </w:r>
    </w:p>
    <w:p w14:paraId="153FD021">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（5）《建设项目环境影响评价分类管理名录（2021年版）》，生态环境</w:t>
      </w:r>
      <w:r>
        <w:rPr>
          <w:rFonts w:hint="default" w:ascii="Times New Roman" w:hAnsi="Times New Roman" w:eastAsia="仿宋" w:cs="Times New Roman"/>
          <w:color w:val="auto"/>
          <w:szCs w:val="22"/>
          <w:highlight w:val="none"/>
          <w:lang w:eastAsia="zh-CN"/>
        </w:rPr>
        <w:t>部</w:t>
      </w:r>
      <w:r>
        <w:rPr>
          <w:rFonts w:hint="default" w:ascii="Times New Roman" w:hAnsi="Times New Roman" w:eastAsia="仿宋" w:cs="Times New Roman"/>
          <w:color w:val="auto"/>
          <w:szCs w:val="22"/>
          <w:highlight w:val="none"/>
        </w:rPr>
        <w:t>令第16号，2021年</w:t>
      </w:r>
      <w:r>
        <w:rPr>
          <w:rFonts w:hint="default" w:ascii="Times New Roman" w:hAnsi="Times New Roman" w:eastAsia="仿宋" w:cs="Times New Roman"/>
          <w:color w:val="auto"/>
          <w:szCs w:val="22"/>
          <w:highlight w:val="none"/>
          <w:lang w:eastAsia="zh-CN"/>
        </w:rPr>
        <w:t>1月1日</w:t>
      </w:r>
      <w:r>
        <w:rPr>
          <w:rFonts w:hint="default" w:ascii="Times New Roman" w:hAnsi="Times New Roman" w:eastAsia="仿宋" w:cs="Times New Roman"/>
          <w:color w:val="auto"/>
          <w:szCs w:val="22"/>
          <w:highlight w:val="none"/>
        </w:rPr>
        <w:t>施行；</w:t>
      </w:r>
    </w:p>
    <w:p w14:paraId="6F319DC5">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（6）《</w:t>
      </w:r>
      <w:r>
        <w:rPr>
          <w:rFonts w:hint="default" w:ascii="Times New Roman" w:hAnsi="Times New Roman" w:eastAsia="仿宋" w:cs="Times New Roman"/>
          <w:color w:val="auto"/>
          <w:szCs w:val="22"/>
          <w:highlight w:val="none"/>
          <w:lang w:eastAsia="zh-CN"/>
        </w:rPr>
        <w:t>电力设施保护条例</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国务院令239号</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2011年1月8日修订</w:t>
      </w:r>
      <w:r>
        <w:rPr>
          <w:rFonts w:hint="default" w:ascii="Times New Roman" w:hAnsi="Times New Roman" w:eastAsia="仿宋" w:cs="Times New Roman"/>
          <w:color w:val="auto"/>
          <w:szCs w:val="22"/>
          <w:highlight w:val="none"/>
        </w:rPr>
        <w:t>；</w:t>
      </w:r>
    </w:p>
    <w:p w14:paraId="731EABC2">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（7）《建设项目环境保护管理条例》，中华人民共和国国务院令第682号，2017年10月1日施行。</w:t>
      </w:r>
    </w:p>
    <w:p w14:paraId="179E7603">
      <w:pPr>
        <w:spacing w:line="360" w:lineRule="auto"/>
        <w:ind w:firstLine="480" w:firstLineChars="200"/>
        <w:rPr>
          <w:rFonts w:hint="eastAsia" w:ascii="Times New Roman" w:hAnsi="Times New Roman" w:eastAsia="仿宋" w:cs="Times New Roman"/>
          <w:color w:val="auto"/>
          <w:szCs w:val="22"/>
          <w:highlight w:val="none"/>
          <w:lang w:eastAsia="zh-CN"/>
        </w:rPr>
      </w:pPr>
      <w:r>
        <w:rPr>
          <w:rFonts w:hint="eastAsia" w:cs="Times New Roman"/>
          <w:color w:val="auto"/>
          <w:szCs w:val="22"/>
          <w:highlight w:val="none"/>
          <w:lang w:eastAsia="zh-CN"/>
        </w:rPr>
        <w:t>（</w:t>
      </w:r>
      <w:r>
        <w:rPr>
          <w:rFonts w:hint="eastAsia" w:cs="Times New Roman"/>
          <w:color w:val="auto"/>
          <w:szCs w:val="22"/>
          <w:highlight w:val="none"/>
          <w:lang w:val="en-US" w:eastAsia="zh-CN"/>
        </w:rPr>
        <w:t>8</w:t>
      </w:r>
      <w:r>
        <w:rPr>
          <w:rFonts w:hint="eastAsia" w:cs="Times New Roman"/>
          <w:color w:val="auto"/>
          <w:szCs w:val="22"/>
          <w:highlight w:val="none"/>
          <w:lang w:eastAsia="zh-CN"/>
        </w:rPr>
        <w:t>）《中华人民共和国生态环境法典》（2026年3月12日第十四届全国人民代表大会第四次会议通过）</w:t>
      </w:r>
    </w:p>
    <w:p w14:paraId="6B4135CA">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bookmarkStart w:id="39" w:name="_Toc7798"/>
      <w:bookmarkStart w:id="40" w:name="_Toc13775"/>
      <w:bookmarkStart w:id="41" w:name="_Toc18246"/>
      <w:bookmarkStart w:id="42" w:name="_Toc748"/>
      <w:bookmarkStart w:id="43" w:name="_Toc5006"/>
      <w:r>
        <w:rPr>
          <w:rFonts w:hint="default" w:ascii="Times New Roman" w:hAnsi="Times New Roman" w:eastAsia="仿宋" w:cs="Times New Roman"/>
          <w:b/>
          <w:bCs/>
          <w:color w:val="auto"/>
          <w:kern w:val="0"/>
          <w:sz w:val="28"/>
          <w:szCs w:val="32"/>
          <w:highlight w:val="none"/>
          <w:lang w:val="en-US" w:eastAsia="zh-CN" w:bidi="ar-SA"/>
        </w:rPr>
        <w:t>1.1.2 技术导则</w:t>
      </w:r>
      <w:bookmarkEnd w:id="39"/>
      <w:bookmarkEnd w:id="40"/>
      <w:bookmarkEnd w:id="41"/>
      <w:bookmarkEnd w:id="42"/>
      <w:bookmarkEnd w:id="43"/>
    </w:p>
    <w:p w14:paraId="54AD2D62">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（1）《建设项目环境影响评价技术导则  总纲》（HJ2.1-2016）；</w:t>
      </w:r>
    </w:p>
    <w:p w14:paraId="54B66507">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（2）《环境影响评价技术导则  输变电》（HJ24-2020）；</w:t>
      </w:r>
    </w:p>
    <w:p w14:paraId="645E382E">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（3）《电磁环境控制限值》（GB8702-2014）；</w:t>
      </w:r>
    </w:p>
    <w:p w14:paraId="33F51535">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（4）《输变电建设项目环境保护技术要求》（HJ1113-2020）。</w:t>
      </w:r>
    </w:p>
    <w:p w14:paraId="323D39E4">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bookmarkStart w:id="44" w:name="_Toc9043"/>
      <w:bookmarkStart w:id="45" w:name="_Toc4618"/>
      <w:bookmarkStart w:id="46" w:name="_Toc18071"/>
      <w:bookmarkStart w:id="47" w:name="_Toc19903"/>
      <w:bookmarkStart w:id="48" w:name="_Toc1035"/>
      <w:r>
        <w:rPr>
          <w:rFonts w:hint="default" w:ascii="Times New Roman" w:hAnsi="Times New Roman" w:eastAsia="仿宋" w:cs="Times New Roman"/>
          <w:b/>
          <w:bCs/>
          <w:color w:val="auto"/>
          <w:kern w:val="0"/>
          <w:sz w:val="28"/>
          <w:szCs w:val="32"/>
          <w:highlight w:val="none"/>
          <w:lang w:val="en-US" w:eastAsia="zh-CN" w:bidi="ar-SA"/>
        </w:rPr>
        <w:t>1.1.3 相关文件及资料</w:t>
      </w:r>
      <w:bookmarkEnd w:id="44"/>
      <w:bookmarkEnd w:id="45"/>
      <w:bookmarkEnd w:id="46"/>
      <w:bookmarkEnd w:id="47"/>
      <w:bookmarkEnd w:id="48"/>
    </w:p>
    <w:p w14:paraId="7C27045C">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（1）《</w:t>
      </w:r>
      <w:r>
        <w:rPr>
          <w:rFonts w:hint="default" w:ascii="Times New Roman" w:hAnsi="Times New Roman" w:eastAsia="仿宋" w:cs="Times New Roman"/>
          <w:color w:val="auto"/>
          <w:szCs w:val="22"/>
          <w:highlight w:val="none"/>
          <w:lang w:val="en-US" w:eastAsia="zh-CN"/>
        </w:rPr>
        <w:t>云南省2024年第一批新能源项目开发建设方案</w:t>
      </w:r>
      <w:r>
        <w:rPr>
          <w:rFonts w:hint="default" w:ascii="Times New Roman" w:hAnsi="Times New Roman" w:eastAsia="仿宋" w:cs="Times New Roman"/>
          <w:color w:val="auto"/>
          <w:szCs w:val="22"/>
          <w:highlight w:val="none"/>
        </w:rPr>
        <w:t>》（云能源</w:t>
      </w:r>
      <w:r>
        <w:rPr>
          <w:rFonts w:hint="default" w:ascii="Times New Roman" w:hAnsi="Times New Roman" w:eastAsia="仿宋" w:cs="Times New Roman"/>
          <w:color w:val="auto"/>
          <w:szCs w:val="22"/>
          <w:highlight w:val="none"/>
          <w:lang w:eastAsia="zh-CN"/>
        </w:rPr>
        <w:t>水电</w:t>
      </w:r>
      <w:r>
        <w:rPr>
          <w:rFonts w:hint="default" w:ascii="Times New Roman" w:hAnsi="Times New Roman" w:eastAsia="仿宋" w:cs="Times New Roman"/>
          <w:color w:val="auto"/>
          <w:szCs w:val="22"/>
          <w:highlight w:val="none"/>
        </w:rPr>
        <w:t>〔202</w:t>
      </w:r>
      <w:r>
        <w:rPr>
          <w:rFonts w:hint="default" w:ascii="Times New Roman" w:hAnsi="Times New Roman" w:eastAsia="仿宋" w:cs="Times New Roman"/>
          <w:color w:val="auto"/>
          <w:szCs w:val="22"/>
          <w:highlight w:val="none"/>
          <w:lang w:val="en-US" w:eastAsia="zh-CN"/>
        </w:rPr>
        <w:t>4</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74</w:t>
      </w:r>
      <w:r>
        <w:rPr>
          <w:rFonts w:hint="default" w:ascii="Times New Roman" w:hAnsi="Times New Roman" w:eastAsia="仿宋" w:cs="Times New Roman"/>
          <w:color w:val="auto"/>
          <w:szCs w:val="22"/>
          <w:highlight w:val="none"/>
        </w:rPr>
        <w:t>号）</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2024年4月25日</w:t>
      </w:r>
      <w:r>
        <w:rPr>
          <w:rFonts w:hint="default" w:ascii="Times New Roman" w:hAnsi="Times New Roman" w:eastAsia="仿宋" w:cs="Times New Roman"/>
          <w:color w:val="auto"/>
          <w:szCs w:val="22"/>
          <w:highlight w:val="none"/>
        </w:rPr>
        <w:t>；</w:t>
      </w:r>
    </w:p>
    <w:p w14:paraId="1E59DDB8">
      <w:pPr>
        <w:spacing w:line="360" w:lineRule="auto"/>
        <w:ind w:firstLine="480" w:firstLineChars="200"/>
        <w:rPr>
          <w:rFonts w:hint="default" w:ascii="Times New Roman" w:hAnsi="Times New Roman" w:eastAsia="仿宋" w:cs="Times New Roman"/>
          <w:color w:val="auto"/>
          <w:szCs w:val="22"/>
          <w:highlight w:val="none"/>
          <w:lang w:eastAsia="zh-CN"/>
        </w:rPr>
      </w:pP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2</w:t>
      </w:r>
      <w:r>
        <w:rPr>
          <w:rFonts w:hint="default" w:ascii="Times New Roman" w:hAnsi="Times New Roman" w:eastAsia="仿宋" w:cs="Times New Roman"/>
          <w:color w:val="auto"/>
          <w:szCs w:val="22"/>
          <w:highlight w:val="none"/>
          <w:lang w:eastAsia="zh-CN"/>
        </w:rPr>
        <w:t>）</w:t>
      </w:r>
      <w:r>
        <w:rPr>
          <w:rFonts w:hint="default" w:ascii="Times New Roman" w:hAnsi="Times New Roman" w:eastAsia="仿宋" w:cs="Times New Roman"/>
          <w:color w:val="auto"/>
          <w:szCs w:val="22"/>
          <w:highlight w:val="none"/>
          <w:lang w:val="en-US" w:eastAsia="zh-CN"/>
        </w:rPr>
        <w:t>《云南华电曲靖会泽竹子箐 148MW 复合型光伏项目可行性研究报告</w:t>
      </w:r>
      <w:r>
        <w:rPr>
          <w:rFonts w:hint="default" w:ascii="Times New Roman" w:hAnsi="Times New Roman" w:eastAsia="仿宋" w:cs="Times New Roman"/>
          <w:color w:val="auto"/>
          <w:szCs w:val="22"/>
          <w:highlight w:val="none"/>
          <w:lang w:eastAsia="zh-CN"/>
        </w:rPr>
        <w:t>》（中国水利水电第十四工程局有限公司，</w:t>
      </w:r>
      <w:r>
        <w:rPr>
          <w:rFonts w:hint="default" w:ascii="Times New Roman" w:hAnsi="Times New Roman" w:eastAsia="仿宋" w:cs="Times New Roman"/>
          <w:color w:val="auto"/>
          <w:szCs w:val="22"/>
          <w:highlight w:val="none"/>
          <w:lang w:val="en-US" w:eastAsia="zh-CN"/>
        </w:rPr>
        <w:t>2025年7月</w:t>
      </w:r>
      <w:r>
        <w:rPr>
          <w:rFonts w:hint="default" w:ascii="Times New Roman" w:hAnsi="Times New Roman" w:eastAsia="仿宋" w:cs="Times New Roman"/>
          <w:color w:val="auto"/>
          <w:szCs w:val="22"/>
          <w:highlight w:val="none"/>
          <w:lang w:eastAsia="zh-CN"/>
        </w:rPr>
        <w:t>）</w:t>
      </w:r>
    </w:p>
    <w:p w14:paraId="4A0021BF">
      <w:pPr>
        <w:spacing w:line="360" w:lineRule="auto"/>
        <w:ind w:firstLine="480" w:firstLineChars="200"/>
        <w:rPr>
          <w:rFonts w:hint="default" w:ascii="Times New Roman" w:hAnsi="Times New Roman" w:eastAsia="仿宋" w:cs="Times New Roman"/>
          <w:color w:val="auto"/>
          <w:szCs w:val="22"/>
          <w:highlight w:val="none"/>
        </w:rPr>
      </w:pPr>
      <w:bookmarkStart w:id="49" w:name="_Hlk72921844"/>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3</w:t>
      </w:r>
      <w:r>
        <w:rPr>
          <w:rFonts w:hint="default" w:ascii="Times New Roman" w:hAnsi="Times New Roman" w:eastAsia="仿宋" w:cs="Times New Roman"/>
          <w:color w:val="auto"/>
          <w:szCs w:val="22"/>
          <w:highlight w:val="none"/>
        </w:rPr>
        <w:t>）</w:t>
      </w:r>
      <w:r>
        <w:rPr>
          <w:rFonts w:hint="default" w:ascii="Times New Roman" w:hAnsi="Times New Roman" w:eastAsia="仿宋" w:cs="Times New Roman"/>
          <w:color w:val="auto"/>
          <w:szCs w:val="22"/>
          <w:highlight w:val="none"/>
          <w:lang w:val="en-US" w:eastAsia="zh-CN"/>
        </w:rPr>
        <w:t>建设单位提供的《迤车镇中寨村委会竹子箐光伏项目资料清单》</w:t>
      </w:r>
      <w:r>
        <w:rPr>
          <w:rFonts w:hint="default" w:ascii="Times New Roman" w:hAnsi="Times New Roman" w:eastAsia="仿宋" w:cs="Times New Roman"/>
          <w:color w:val="auto"/>
          <w:szCs w:val="22"/>
          <w:highlight w:val="none"/>
        </w:rPr>
        <w:t>。</w:t>
      </w:r>
    </w:p>
    <w:p w14:paraId="650C7C77">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1.2 评价因子及评价标准</w:t>
      </w:r>
    </w:p>
    <w:p w14:paraId="6E92D76F">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r>
        <w:rPr>
          <w:rFonts w:hint="default" w:ascii="Times New Roman" w:hAnsi="Times New Roman" w:eastAsia="仿宋" w:cs="Times New Roman"/>
          <w:b/>
          <w:bCs/>
          <w:color w:val="auto"/>
          <w:kern w:val="0"/>
          <w:sz w:val="28"/>
          <w:szCs w:val="32"/>
          <w:highlight w:val="none"/>
          <w:lang w:val="en-US" w:eastAsia="zh-CN" w:bidi="ar-SA"/>
        </w:rPr>
        <w:t>1.2.1 评价因子</w:t>
      </w:r>
    </w:p>
    <w:p w14:paraId="5F6EC9C2">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本项目评价因子见表1.2-1。</w:t>
      </w:r>
    </w:p>
    <w:p w14:paraId="506699C0">
      <w:pPr>
        <w:widowControl w:val="0"/>
        <w:spacing w:line="360" w:lineRule="auto"/>
        <w:ind w:firstLine="0" w:firstLineChars="0"/>
        <w:jc w:val="center"/>
        <w:rPr>
          <w:rFonts w:hint="default" w:ascii="Times New Roman" w:hAnsi="Times New Roman" w:eastAsia="仿宋" w:cs="Times New Roman"/>
          <w:b/>
          <w:color w:val="auto"/>
          <w:kern w:val="2"/>
          <w:sz w:val="24"/>
          <w:szCs w:val="22"/>
          <w:highlight w:val="none"/>
          <w:lang w:val="en-US" w:eastAsia="zh-CN" w:bidi="ar-SA"/>
        </w:rPr>
      </w:pPr>
      <w:r>
        <w:rPr>
          <w:rFonts w:hint="default" w:ascii="Times New Roman" w:hAnsi="Times New Roman" w:eastAsia="仿宋" w:cs="Times New Roman"/>
          <w:b/>
          <w:color w:val="auto"/>
          <w:kern w:val="2"/>
          <w:sz w:val="24"/>
          <w:szCs w:val="22"/>
          <w:highlight w:val="none"/>
          <w:lang w:val="en-US" w:eastAsia="zh-CN" w:bidi="ar-SA"/>
        </w:rPr>
        <w:t>表1.2-1  评价因子</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993"/>
        <w:gridCol w:w="1322"/>
        <w:gridCol w:w="3920"/>
      </w:tblGrid>
      <w:tr w14:paraId="44F7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6" w:type="dxa"/>
            <w:gridSpan w:val="2"/>
            <w:noWrap w:val="0"/>
            <w:vAlign w:val="top"/>
          </w:tcPr>
          <w:p w14:paraId="6E28CCF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评价时段</w:t>
            </w:r>
          </w:p>
        </w:tc>
        <w:tc>
          <w:tcPr>
            <w:tcW w:w="5276" w:type="dxa"/>
            <w:gridSpan w:val="2"/>
            <w:noWrap w:val="0"/>
            <w:vAlign w:val="top"/>
          </w:tcPr>
          <w:p w14:paraId="7E017C7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评价因子</w:t>
            </w:r>
          </w:p>
        </w:tc>
      </w:tr>
      <w:tr w14:paraId="38C3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dxa"/>
            <w:vMerge w:val="restart"/>
            <w:noWrap w:val="0"/>
            <w:vAlign w:val="center"/>
          </w:tcPr>
          <w:p w14:paraId="6EE903A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运行期</w:t>
            </w:r>
          </w:p>
        </w:tc>
        <w:tc>
          <w:tcPr>
            <w:tcW w:w="2008" w:type="dxa"/>
            <w:vMerge w:val="restart"/>
            <w:noWrap w:val="0"/>
            <w:vAlign w:val="center"/>
          </w:tcPr>
          <w:p w14:paraId="38451DA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电磁环境</w:t>
            </w:r>
          </w:p>
        </w:tc>
        <w:tc>
          <w:tcPr>
            <w:tcW w:w="1331" w:type="dxa"/>
            <w:noWrap w:val="0"/>
            <w:vAlign w:val="top"/>
          </w:tcPr>
          <w:p w14:paraId="5C5F17E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现状评价</w:t>
            </w:r>
          </w:p>
        </w:tc>
        <w:tc>
          <w:tcPr>
            <w:tcW w:w="3945" w:type="dxa"/>
            <w:noWrap w:val="0"/>
            <w:vAlign w:val="top"/>
          </w:tcPr>
          <w:p w14:paraId="2E7FF33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工频电场（V/m）、工频磁场（μT）</w:t>
            </w:r>
          </w:p>
        </w:tc>
      </w:tr>
      <w:tr w14:paraId="76C3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dxa"/>
            <w:vMerge w:val="continue"/>
            <w:noWrap w:val="0"/>
            <w:vAlign w:val="top"/>
          </w:tcPr>
          <w:p w14:paraId="29385C8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2008" w:type="dxa"/>
            <w:vMerge w:val="continue"/>
            <w:noWrap w:val="0"/>
            <w:vAlign w:val="top"/>
          </w:tcPr>
          <w:p w14:paraId="2A65E6C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1331" w:type="dxa"/>
            <w:noWrap w:val="0"/>
            <w:vAlign w:val="top"/>
          </w:tcPr>
          <w:p w14:paraId="52647D1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影响评价</w:t>
            </w:r>
          </w:p>
        </w:tc>
        <w:tc>
          <w:tcPr>
            <w:tcW w:w="3945" w:type="dxa"/>
            <w:noWrap w:val="0"/>
            <w:vAlign w:val="top"/>
          </w:tcPr>
          <w:p w14:paraId="3E90C2A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工频电场（V/m）、工频磁场（μT）</w:t>
            </w:r>
          </w:p>
        </w:tc>
      </w:tr>
    </w:tbl>
    <w:p w14:paraId="39CB7683">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r>
        <w:rPr>
          <w:rFonts w:hint="default" w:ascii="Times New Roman" w:hAnsi="Times New Roman" w:eastAsia="仿宋" w:cs="Times New Roman"/>
          <w:b/>
          <w:bCs/>
          <w:color w:val="auto"/>
          <w:kern w:val="0"/>
          <w:sz w:val="28"/>
          <w:szCs w:val="32"/>
          <w:highlight w:val="none"/>
          <w:lang w:val="en-US" w:eastAsia="zh-CN" w:bidi="ar-SA"/>
        </w:rPr>
        <w:t>1.2.2 评价标准</w:t>
      </w:r>
    </w:p>
    <w:p w14:paraId="50124166">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执行《电磁环境控制限值》（GB8702-2014）中表1公众</w:t>
      </w:r>
      <w:r>
        <w:rPr>
          <w:rFonts w:hint="default" w:ascii="Times New Roman" w:hAnsi="Times New Roman" w:eastAsia="仿宋" w:cs="Times New Roman"/>
          <w:color w:val="auto"/>
          <w:szCs w:val="22"/>
          <w:highlight w:val="none"/>
          <w:lang w:eastAsia="zh-CN"/>
        </w:rPr>
        <w:t>暴露</w:t>
      </w:r>
      <w:r>
        <w:rPr>
          <w:rFonts w:hint="default" w:ascii="Times New Roman" w:hAnsi="Times New Roman" w:eastAsia="仿宋" w:cs="Times New Roman"/>
          <w:color w:val="auto"/>
          <w:szCs w:val="22"/>
          <w:highlight w:val="none"/>
        </w:rPr>
        <w:t>控制限值要求，即电场强度4000V/m、磁感应强度100µT。</w:t>
      </w:r>
    </w:p>
    <w:bookmarkEnd w:id="49"/>
    <w:p w14:paraId="4421EE35">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1.3 评价等级及评价因子</w:t>
      </w:r>
    </w:p>
    <w:p w14:paraId="253F5825">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r>
        <w:rPr>
          <w:rFonts w:hint="default" w:ascii="Times New Roman" w:hAnsi="Times New Roman" w:eastAsia="仿宋" w:cs="Times New Roman"/>
          <w:b/>
          <w:bCs/>
          <w:color w:val="auto"/>
          <w:kern w:val="0"/>
          <w:sz w:val="28"/>
          <w:szCs w:val="32"/>
          <w:highlight w:val="none"/>
          <w:lang w:val="en-US" w:eastAsia="zh-CN" w:bidi="ar-SA"/>
        </w:rPr>
        <w:t>1.3.1 评价工作等级</w:t>
      </w:r>
    </w:p>
    <w:p w14:paraId="41810CAE">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iCs/>
          <w:color w:val="auto"/>
          <w:szCs w:val="24"/>
          <w:highlight w:val="none"/>
        </w:rPr>
        <w:t>项目升压站电压等级为</w:t>
      </w:r>
      <w:r>
        <w:rPr>
          <w:rFonts w:hint="default" w:ascii="Times New Roman" w:hAnsi="Times New Roman" w:eastAsia="仿宋" w:cs="Times New Roman"/>
          <w:iCs/>
          <w:color w:val="auto"/>
          <w:szCs w:val="24"/>
          <w:highlight w:val="none"/>
          <w:lang w:val="en-US" w:eastAsia="zh-CN"/>
        </w:rPr>
        <w:t>22</w:t>
      </w:r>
      <w:r>
        <w:rPr>
          <w:rFonts w:hint="default" w:ascii="Times New Roman" w:hAnsi="Times New Roman" w:eastAsia="仿宋" w:cs="Times New Roman"/>
          <w:iCs/>
          <w:color w:val="auto"/>
          <w:szCs w:val="24"/>
          <w:highlight w:val="none"/>
        </w:rPr>
        <w:t>0kV，为户</w:t>
      </w:r>
      <w:r>
        <w:rPr>
          <w:rFonts w:hint="default" w:ascii="Times New Roman" w:hAnsi="Times New Roman" w:eastAsia="仿宋" w:cs="Times New Roman"/>
          <w:iCs/>
          <w:color w:val="auto"/>
          <w:szCs w:val="24"/>
          <w:highlight w:val="none"/>
          <w:lang w:val="en-US" w:eastAsia="zh-CN"/>
        </w:rPr>
        <w:t>外</w:t>
      </w:r>
      <w:r>
        <w:rPr>
          <w:rFonts w:hint="default" w:ascii="Times New Roman" w:hAnsi="Times New Roman" w:eastAsia="仿宋" w:cs="Times New Roman"/>
          <w:iCs/>
          <w:color w:val="auto"/>
          <w:szCs w:val="24"/>
          <w:highlight w:val="none"/>
        </w:rPr>
        <w:t>式。根据《环境影响评价技术导则 输变电》（HJ24-2020），升压站的电磁环境评价等级为</w:t>
      </w:r>
      <w:r>
        <w:rPr>
          <w:rFonts w:hint="default" w:ascii="Times New Roman" w:hAnsi="Times New Roman" w:eastAsia="仿宋" w:cs="Times New Roman"/>
          <w:iCs/>
          <w:color w:val="auto"/>
          <w:szCs w:val="24"/>
          <w:highlight w:val="none"/>
          <w:lang w:val="en-US" w:eastAsia="zh-CN"/>
        </w:rPr>
        <w:t>二</w:t>
      </w:r>
      <w:r>
        <w:rPr>
          <w:rFonts w:hint="default" w:ascii="Times New Roman" w:hAnsi="Times New Roman" w:eastAsia="仿宋" w:cs="Times New Roman"/>
          <w:iCs/>
          <w:color w:val="auto"/>
          <w:szCs w:val="24"/>
          <w:highlight w:val="none"/>
        </w:rPr>
        <w:t>级。</w:t>
      </w:r>
      <w:r>
        <w:rPr>
          <w:rFonts w:hint="default" w:ascii="Times New Roman" w:hAnsi="Times New Roman" w:eastAsia="仿宋" w:cs="Times New Roman"/>
          <w:color w:val="auto"/>
          <w:szCs w:val="22"/>
          <w:highlight w:val="none"/>
        </w:rPr>
        <w:t>项目电磁环境评价等级判定见表1.3-1。</w:t>
      </w:r>
    </w:p>
    <w:p w14:paraId="641D8F7A">
      <w:pPr>
        <w:widowControl w:val="0"/>
        <w:spacing w:line="360" w:lineRule="auto"/>
        <w:ind w:firstLine="0" w:firstLineChars="0"/>
        <w:jc w:val="center"/>
        <w:rPr>
          <w:rFonts w:hint="default" w:ascii="Times New Roman" w:hAnsi="Times New Roman" w:eastAsia="仿宋" w:cs="Times New Roman"/>
          <w:b/>
          <w:color w:val="auto"/>
          <w:kern w:val="2"/>
          <w:sz w:val="24"/>
          <w:szCs w:val="22"/>
          <w:highlight w:val="none"/>
          <w:lang w:val="en-US" w:eastAsia="zh-CN" w:bidi="ar-SA"/>
        </w:rPr>
      </w:pPr>
      <w:r>
        <w:rPr>
          <w:rFonts w:hint="default" w:ascii="Times New Roman" w:hAnsi="Times New Roman" w:eastAsia="仿宋" w:cs="Times New Roman"/>
          <w:b/>
          <w:color w:val="auto"/>
          <w:kern w:val="2"/>
          <w:sz w:val="24"/>
          <w:szCs w:val="22"/>
          <w:highlight w:val="none"/>
          <w:lang w:val="en-US" w:eastAsia="zh-CN" w:bidi="ar-SA"/>
        </w:rPr>
        <w:t>表1.3-1  电磁环境评价等级判定表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1421"/>
        <w:gridCol w:w="1633"/>
        <w:gridCol w:w="1827"/>
        <w:gridCol w:w="2498"/>
      </w:tblGrid>
      <w:tr w14:paraId="2E5B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noWrap w:val="0"/>
            <w:vAlign w:val="center"/>
          </w:tcPr>
          <w:p w14:paraId="0FD8600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分类</w:t>
            </w:r>
          </w:p>
        </w:tc>
        <w:tc>
          <w:tcPr>
            <w:tcW w:w="1427" w:type="dxa"/>
            <w:noWrap w:val="0"/>
            <w:vAlign w:val="center"/>
          </w:tcPr>
          <w:p w14:paraId="0362614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电压等级</w:t>
            </w:r>
          </w:p>
        </w:tc>
        <w:tc>
          <w:tcPr>
            <w:tcW w:w="1645" w:type="dxa"/>
            <w:noWrap w:val="0"/>
            <w:vAlign w:val="center"/>
          </w:tcPr>
          <w:p w14:paraId="7E85F14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工程</w:t>
            </w:r>
          </w:p>
        </w:tc>
        <w:tc>
          <w:tcPr>
            <w:tcW w:w="1839" w:type="dxa"/>
            <w:noWrap w:val="0"/>
            <w:vAlign w:val="center"/>
          </w:tcPr>
          <w:p w14:paraId="3B6076C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条件</w:t>
            </w:r>
          </w:p>
        </w:tc>
        <w:tc>
          <w:tcPr>
            <w:tcW w:w="2518" w:type="dxa"/>
            <w:noWrap w:val="0"/>
            <w:vAlign w:val="center"/>
          </w:tcPr>
          <w:p w14:paraId="16582A8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评价等级</w:t>
            </w:r>
          </w:p>
        </w:tc>
      </w:tr>
      <w:tr w14:paraId="0DFD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restart"/>
            <w:noWrap w:val="0"/>
            <w:vAlign w:val="center"/>
          </w:tcPr>
          <w:p w14:paraId="0FAD2A6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交流</w:t>
            </w:r>
          </w:p>
        </w:tc>
        <w:tc>
          <w:tcPr>
            <w:tcW w:w="1427" w:type="dxa"/>
            <w:vMerge w:val="restart"/>
            <w:noWrap w:val="0"/>
            <w:vAlign w:val="center"/>
          </w:tcPr>
          <w:p w14:paraId="6FD95D8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220kV</w:t>
            </w:r>
          </w:p>
        </w:tc>
        <w:tc>
          <w:tcPr>
            <w:tcW w:w="1645" w:type="dxa"/>
            <w:vMerge w:val="restart"/>
            <w:noWrap w:val="0"/>
            <w:vAlign w:val="center"/>
          </w:tcPr>
          <w:p w14:paraId="666DE98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变电站</w:t>
            </w:r>
          </w:p>
        </w:tc>
        <w:tc>
          <w:tcPr>
            <w:tcW w:w="1839" w:type="dxa"/>
            <w:noWrap w:val="0"/>
            <w:vAlign w:val="center"/>
          </w:tcPr>
          <w:p w14:paraId="0CB4E1C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户内式、地下式</w:t>
            </w:r>
          </w:p>
        </w:tc>
        <w:tc>
          <w:tcPr>
            <w:tcW w:w="2518" w:type="dxa"/>
            <w:noWrap w:val="0"/>
            <w:vAlign w:val="center"/>
          </w:tcPr>
          <w:p w14:paraId="1AC28FB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三级</w:t>
            </w:r>
          </w:p>
        </w:tc>
      </w:tr>
      <w:tr w14:paraId="3105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noWrap w:val="0"/>
            <w:vAlign w:val="center"/>
          </w:tcPr>
          <w:p w14:paraId="2BE8F50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1427" w:type="dxa"/>
            <w:vMerge w:val="continue"/>
            <w:noWrap w:val="0"/>
            <w:vAlign w:val="center"/>
          </w:tcPr>
          <w:p w14:paraId="65EF0FF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1645" w:type="dxa"/>
            <w:vMerge w:val="continue"/>
            <w:noWrap w:val="0"/>
            <w:vAlign w:val="center"/>
          </w:tcPr>
          <w:p w14:paraId="1E718E7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p>
        </w:tc>
        <w:tc>
          <w:tcPr>
            <w:tcW w:w="1839" w:type="dxa"/>
            <w:noWrap w:val="0"/>
            <w:vAlign w:val="center"/>
          </w:tcPr>
          <w:p w14:paraId="64E7256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户外式</w:t>
            </w:r>
          </w:p>
        </w:tc>
        <w:tc>
          <w:tcPr>
            <w:tcW w:w="2518" w:type="dxa"/>
            <w:noWrap w:val="0"/>
            <w:vAlign w:val="center"/>
          </w:tcPr>
          <w:p w14:paraId="1E4BDA8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2"/>
                <w:sz w:val="21"/>
                <w:szCs w:val="22"/>
                <w:highlight w:val="none"/>
                <w:lang w:val="en-US" w:eastAsia="zh-CN" w:bidi="ar-SA"/>
              </w:rPr>
              <w:t>二级</w:t>
            </w:r>
          </w:p>
        </w:tc>
      </w:tr>
    </w:tbl>
    <w:p w14:paraId="038120AB">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8"/>
          <w:szCs w:val="32"/>
          <w:highlight w:val="none"/>
          <w:lang w:val="en-US" w:eastAsia="zh-CN" w:bidi="ar-SA"/>
        </w:rPr>
      </w:pPr>
      <w:r>
        <w:rPr>
          <w:rFonts w:hint="default" w:ascii="Times New Roman" w:hAnsi="Times New Roman" w:eastAsia="仿宋" w:cs="Times New Roman"/>
          <w:b/>
          <w:bCs/>
          <w:color w:val="auto"/>
          <w:kern w:val="0"/>
          <w:sz w:val="28"/>
          <w:szCs w:val="32"/>
          <w:highlight w:val="none"/>
          <w:lang w:val="en-US" w:eastAsia="zh-CN" w:bidi="ar-SA"/>
        </w:rPr>
        <w:t>1.3.2 评价范围</w:t>
      </w:r>
    </w:p>
    <w:p w14:paraId="399D3C57">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电磁环境评价范围为站界外40m范围内。</w:t>
      </w:r>
    </w:p>
    <w:p w14:paraId="52DE132A">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1.4 环境保护目标</w:t>
      </w:r>
    </w:p>
    <w:p w14:paraId="2CC1BED9">
      <w:pPr>
        <w:spacing w:line="360" w:lineRule="auto"/>
        <w:ind w:firstLine="480" w:firstLineChars="200"/>
        <w:rPr>
          <w:rFonts w:hint="default" w:ascii="Times New Roman" w:hAnsi="Times New Roman" w:eastAsia="仿宋" w:cs="Times New Roman"/>
          <w:color w:val="auto"/>
          <w:szCs w:val="22"/>
          <w:highlight w:val="none"/>
        </w:rPr>
      </w:pPr>
      <w:r>
        <w:rPr>
          <w:rFonts w:hint="default" w:ascii="Times New Roman" w:hAnsi="Times New Roman" w:eastAsia="仿宋" w:cs="Times New Roman"/>
          <w:color w:val="auto"/>
          <w:szCs w:val="22"/>
          <w:highlight w:val="none"/>
        </w:rPr>
        <w:t>根据现场调查，升压站</w:t>
      </w:r>
      <w:r>
        <w:rPr>
          <w:rFonts w:hint="eastAsia" w:cs="Times New Roman"/>
          <w:color w:val="auto"/>
          <w:szCs w:val="22"/>
          <w:highlight w:val="none"/>
          <w:lang w:val="en-US" w:eastAsia="zh-CN"/>
        </w:rPr>
        <w:t>站界外</w:t>
      </w:r>
      <w:r>
        <w:rPr>
          <w:rFonts w:hint="default" w:ascii="Times New Roman" w:hAnsi="Times New Roman" w:eastAsia="仿宋" w:cs="Times New Roman"/>
          <w:color w:val="auto"/>
          <w:szCs w:val="22"/>
          <w:highlight w:val="none"/>
        </w:rPr>
        <w:t>40m范围内无住宅、学校、医院、办公楼、工厂等有公众居住、工作或学习的建筑物，故项目评价范围内电磁环境保护目标</w:t>
      </w:r>
      <w:r>
        <w:rPr>
          <w:rFonts w:hint="eastAsia" w:cs="Times New Roman"/>
          <w:color w:val="auto"/>
          <w:szCs w:val="22"/>
          <w:highlight w:val="none"/>
          <w:lang w:val="en-US" w:eastAsia="zh-CN"/>
        </w:rPr>
        <w:t>为升压站运维人员，共计</w:t>
      </w:r>
      <w:r>
        <w:rPr>
          <w:rFonts w:hint="default" w:ascii="Times New Roman" w:hAnsi="Times New Roman" w:eastAsia="仿宋" w:cs="Times New Roman"/>
          <w:color w:val="auto"/>
          <w:sz w:val="24"/>
          <w:highlight w:val="none"/>
          <w:lang w:val="en-US" w:eastAsia="zh-CN"/>
        </w:rPr>
        <w:t>9人</w:t>
      </w:r>
      <w:r>
        <w:rPr>
          <w:rFonts w:hint="eastAsia" w:cs="Times New Roman"/>
          <w:color w:val="auto"/>
          <w:sz w:val="24"/>
          <w:highlight w:val="none"/>
          <w:lang w:val="en-US" w:eastAsia="zh-CN"/>
        </w:rPr>
        <w:t>（含乜六沟、马路沟光伏项目运维人员）</w:t>
      </w:r>
      <w:r>
        <w:rPr>
          <w:rFonts w:hint="default" w:ascii="Times New Roman" w:hAnsi="Times New Roman" w:eastAsia="仿宋" w:cs="Times New Roman"/>
          <w:color w:val="auto"/>
          <w:szCs w:val="22"/>
          <w:highlight w:val="none"/>
        </w:rPr>
        <w:t>。</w:t>
      </w:r>
    </w:p>
    <w:p w14:paraId="41D74571">
      <w:pPr>
        <w:keepNext/>
        <w:keepLines/>
        <w:widowControl w:val="0"/>
        <w:spacing w:line="360" w:lineRule="auto"/>
        <w:ind w:firstLine="0" w:firstLineChars="0"/>
        <w:jc w:val="both"/>
        <w:outlineLvl w:val="0"/>
        <w:rPr>
          <w:rFonts w:hint="default" w:ascii="Times New Roman" w:hAnsi="Times New Roman" w:eastAsia="仿宋" w:cs="Times New Roman"/>
          <w:b/>
          <w:bCs/>
          <w:color w:val="auto"/>
          <w:kern w:val="44"/>
          <w:sz w:val="32"/>
          <w:szCs w:val="44"/>
          <w:highlight w:val="none"/>
          <w:lang w:val="en-US" w:eastAsia="zh-CN" w:bidi="ar-SA"/>
        </w:rPr>
      </w:pPr>
      <w:r>
        <w:rPr>
          <w:rFonts w:hint="default" w:ascii="Times New Roman" w:hAnsi="Times New Roman" w:eastAsia="仿宋" w:cs="Times New Roman"/>
          <w:b/>
          <w:bCs/>
          <w:color w:val="auto"/>
          <w:kern w:val="44"/>
          <w:sz w:val="32"/>
          <w:szCs w:val="44"/>
          <w:highlight w:val="none"/>
          <w:lang w:val="en-US" w:eastAsia="zh-CN" w:bidi="ar-SA"/>
        </w:rPr>
        <w:br w:type="page"/>
      </w:r>
      <w:bookmarkStart w:id="50" w:name="_Toc15850"/>
      <w:bookmarkStart w:id="51" w:name="_Toc30333"/>
    </w:p>
    <w:p w14:paraId="4741BBCB">
      <w:pPr>
        <w:keepNext/>
        <w:keepLines/>
        <w:widowControl w:val="0"/>
        <w:spacing w:line="360" w:lineRule="auto"/>
        <w:ind w:firstLine="0" w:firstLineChars="0"/>
        <w:jc w:val="both"/>
        <w:outlineLvl w:val="0"/>
        <w:rPr>
          <w:rFonts w:hint="default" w:ascii="Times New Roman" w:hAnsi="Times New Roman" w:eastAsia="仿宋" w:cs="Times New Roman"/>
          <w:b/>
          <w:bCs/>
          <w:color w:val="auto"/>
          <w:kern w:val="44"/>
          <w:sz w:val="32"/>
          <w:szCs w:val="44"/>
          <w:highlight w:val="none"/>
          <w:lang w:val="en-US" w:eastAsia="zh-CN" w:bidi="ar-SA"/>
        </w:rPr>
      </w:pPr>
      <w:r>
        <w:rPr>
          <w:rFonts w:hint="default" w:ascii="Times New Roman" w:hAnsi="Times New Roman" w:eastAsia="仿宋" w:cs="Times New Roman"/>
          <w:b/>
          <w:bCs/>
          <w:color w:val="auto"/>
          <w:kern w:val="44"/>
          <w:sz w:val="32"/>
          <w:szCs w:val="44"/>
          <w:highlight w:val="none"/>
          <w:lang w:val="en-US" w:eastAsia="zh-CN" w:bidi="ar-SA"/>
        </w:rPr>
        <w:t>2 工程分析</w:t>
      </w:r>
    </w:p>
    <w:p w14:paraId="029DDF02">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2.1 升压站概况</w:t>
      </w:r>
    </w:p>
    <w:p w14:paraId="7FE104F6">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2.1.1 工程基本情况</w:t>
      </w:r>
    </w:p>
    <w:p w14:paraId="133506A5">
      <w:pPr>
        <w:keepNext w:val="0"/>
        <w:keepLines w:val="0"/>
        <w:pageBreakBefore w:val="0"/>
        <w:widowControl w:val="0"/>
        <w:kinsoku/>
        <w:wordWrap/>
        <w:overflowPunct/>
        <w:topLinePunct w:val="0"/>
        <w:autoSpaceDE/>
        <w:autoSpaceDN/>
        <w:bidi w:val="0"/>
        <w:adjustRightInd/>
        <w:snapToGrid/>
        <w:spacing w:before="316" w:beforeLines="0" w:afterLines="0" w:line="233" w:lineRule="auto"/>
        <w:ind w:left="0" w:firstLine="480" w:firstLineChars="200"/>
        <w:textAlignment w:val="auto"/>
        <w:rPr>
          <w:rFonts w:hint="default" w:ascii="Times New Roman" w:hAnsi="Times New Roman" w:eastAsia="仿宋" w:cs="Times New Roman"/>
          <w:color w:val="auto"/>
          <w:spacing w:val="0"/>
          <w:sz w:val="24"/>
          <w:szCs w:val="24"/>
          <w:highlight w:val="none"/>
          <w:lang w:eastAsia="zh-CN"/>
        </w:rPr>
      </w:pPr>
      <w:r>
        <w:rPr>
          <w:rFonts w:hint="default" w:ascii="Times New Roman" w:hAnsi="Times New Roman" w:eastAsia="仿宋" w:cs="Times New Roman"/>
          <w:color w:val="auto"/>
          <w:spacing w:val="0"/>
          <w:sz w:val="24"/>
          <w:szCs w:val="24"/>
          <w:highlight w:val="none"/>
        </w:rPr>
        <w:t>（1）项目名称：迤车镇中寨村委会竹子箐光伏项目（复合型光伏发电项目）</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lang w:val="en-US" w:eastAsia="zh-CN"/>
        </w:rPr>
        <w:t>重新报批</w:t>
      </w:r>
      <w:r>
        <w:rPr>
          <w:rFonts w:hint="default" w:ascii="Times New Roman" w:hAnsi="Times New Roman" w:eastAsia="仿宋" w:cs="Times New Roman"/>
          <w:color w:val="auto"/>
          <w:spacing w:val="0"/>
          <w:sz w:val="24"/>
          <w:szCs w:val="24"/>
          <w:highlight w:val="none"/>
          <w:lang w:eastAsia="zh-CN"/>
        </w:rPr>
        <w:t>）</w:t>
      </w:r>
    </w:p>
    <w:p w14:paraId="6A57A9E8">
      <w:pPr>
        <w:spacing w:before="165" w:beforeLines="0" w:afterLines="0" w:line="233" w:lineRule="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（2）建设单位：会泽华电道成清洁能源开发有限公司</w:t>
      </w:r>
    </w:p>
    <w:p w14:paraId="7E8B8FF1">
      <w:pPr>
        <w:spacing w:before="163" w:beforeLines="0" w:afterLines="0" w:line="234" w:lineRule="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（3）建设性质：新建</w:t>
      </w:r>
    </w:p>
    <w:p w14:paraId="7C05D896">
      <w:pPr>
        <w:spacing w:before="165" w:beforeLines="0" w:afterLines="0" w:line="295" w:lineRule="auto"/>
        <w:ind w:left="21" w:right="17" w:firstLine="467"/>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（4）建设地点：曲靖市会泽县</w:t>
      </w:r>
      <w:r>
        <w:rPr>
          <w:rFonts w:hint="default" w:ascii="Times New Roman" w:hAnsi="Times New Roman" w:eastAsia="仿宋" w:cs="Times New Roman"/>
          <w:color w:val="auto"/>
          <w:sz w:val="24"/>
          <w:szCs w:val="21"/>
          <w:highlight w:val="none"/>
          <w:u w:val="none"/>
          <w:lang w:val="en-US" w:eastAsia="zh-CN"/>
        </w:rPr>
        <w:t>迤车镇、马路乡、纸厂乡</w:t>
      </w:r>
      <w:r>
        <w:rPr>
          <w:rFonts w:hint="default" w:ascii="Times New Roman" w:hAnsi="Times New Roman" w:eastAsia="仿宋" w:cs="Times New Roman"/>
          <w:color w:val="auto"/>
          <w:spacing w:val="0"/>
          <w:sz w:val="24"/>
          <w:szCs w:val="24"/>
          <w:highlight w:val="none"/>
        </w:rPr>
        <w:t>，项目区地理位置示意图详见附图1。</w:t>
      </w:r>
    </w:p>
    <w:p w14:paraId="7CA693D1">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2.1.2 升压站工程组成</w:t>
      </w:r>
    </w:p>
    <w:p w14:paraId="2B93A411">
      <w:pPr>
        <w:keepNext w:val="0"/>
        <w:keepLines w:val="0"/>
        <w:suppressLineNumbers w:val="0"/>
        <w:bidi w:val="0"/>
        <w:spacing w:before="0" w:beforeAutospacing="0" w:after="0" w:afterAutospacing="0"/>
        <w:ind w:left="0" w:right="0"/>
        <w:rPr>
          <w:rFonts w:hint="default"/>
          <w:color w:val="auto"/>
          <w:highlight w:val="none"/>
        </w:rPr>
      </w:pPr>
      <w:r>
        <w:rPr>
          <w:rFonts w:hint="default"/>
          <w:color w:val="auto"/>
          <w:highlight w:val="none"/>
        </w:rPr>
        <w:t>升压站围墙高2.2m，占地尺寸为145</w:t>
      </w:r>
      <w:r>
        <w:rPr>
          <w:rFonts w:hint="default"/>
          <w:color w:val="auto"/>
          <w:highlight w:val="none"/>
          <w:lang w:val="en-US" w:eastAsia="zh-CN"/>
        </w:rPr>
        <w:t>m</w:t>
      </w:r>
      <w:r>
        <w:rPr>
          <w:rFonts w:hint="default"/>
          <w:color w:val="auto"/>
          <w:highlight w:val="none"/>
        </w:rPr>
        <w:t>×</w:t>
      </w:r>
      <w:r>
        <w:rPr>
          <w:rFonts w:hint="default"/>
          <w:color w:val="auto"/>
          <w:highlight w:val="none"/>
          <w:lang w:val="en-US" w:eastAsia="zh-CN"/>
        </w:rPr>
        <w:t>43m</w:t>
      </w:r>
      <w:r>
        <w:rPr>
          <w:rFonts w:hint="default"/>
          <w:color w:val="auto"/>
          <w:highlight w:val="none"/>
        </w:rPr>
        <w:t>，围墙总长</w:t>
      </w:r>
      <w:r>
        <w:rPr>
          <w:rFonts w:hint="default"/>
          <w:color w:val="auto"/>
          <w:highlight w:val="none"/>
          <w:lang w:val="en-US" w:eastAsia="zh-CN"/>
        </w:rPr>
        <w:t>376</w:t>
      </w:r>
      <w:r>
        <w:rPr>
          <w:rFonts w:hint="default"/>
          <w:color w:val="auto"/>
          <w:highlight w:val="none"/>
        </w:rPr>
        <w:t>m，</w:t>
      </w:r>
      <w:r>
        <w:rPr>
          <w:rFonts w:hint="default"/>
          <w:color w:val="auto"/>
          <w:highlight w:val="none"/>
          <w:lang w:val="en-US" w:eastAsia="zh-CN"/>
        </w:rPr>
        <w:t>围墙内</w:t>
      </w:r>
      <w:r>
        <w:rPr>
          <w:rFonts w:hint="default"/>
          <w:color w:val="auto"/>
          <w:highlight w:val="none"/>
        </w:rPr>
        <w:t>总占地面积</w:t>
      </w:r>
      <w:r>
        <w:rPr>
          <w:rFonts w:hint="default"/>
          <w:color w:val="auto"/>
          <w:highlight w:val="none"/>
          <w:lang w:val="en-US" w:eastAsia="zh-CN"/>
        </w:rPr>
        <w:t>6235m</w:t>
      </w:r>
      <w:r>
        <w:rPr>
          <w:rFonts w:hint="default"/>
          <w:color w:val="auto"/>
          <w:highlight w:val="none"/>
          <w:vertAlign w:val="superscript"/>
          <w:lang w:val="en-US" w:eastAsia="zh-CN"/>
        </w:rPr>
        <w:t>2</w:t>
      </w:r>
      <w:r>
        <w:rPr>
          <w:rFonts w:hint="default"/>
          <w:color w:val="auto"/>
          <w:highlight w:val="none"/>
        </w:rPr>
        <w:t>，四周采用实体砖围墙，大门为电动伸缩大门。升压站分为生产区及办公生活区</w:t>
      </w:r>
      <w:r>
        <w:rPr>
          <w:rFonts w:hint="eastAsia"/>
          <w:color w:val="auto"/>
          <w:highlight w:val="none"/>
          <w:lang w:eastAsia="zh-CN"/>
        </w:rPr>
        <w:t>。</w:t>
      </w:r>
      <w:r>
        <w:rPr>
          <w:rFonts w:hint="default"/>
          <w:color w:val="auto"/>
          <w:highlight w:val="none"/>
        </w:rPr>
        <w:t>生产区内设置有站用变、2台主变、配电室、继保室、主变事故油池和危险废物贮存库；办公生活区设置有办公生活楼、消防一体化设备和污水处理站。</w:t>
      </w:r>
    </w:p>
    <w:p w14:paraId="4B6DFA30">
      <w:pPr>
        <w:keepNext w:val="0"/>
        <w:keepLines w:val="0"/>
        <w:pageBreakBefore w:val="0"/>
        <w:widowControl w:val="0"/>
        <w:kinsoku/>
        <w:wordWrap/>
        <w:overflowPunct/>
        <w:topLinePunct w:val="0"/>
        <w:autoSpaceDE/>
        <w:autoSpaceDN/>
        <w:bidi w:val="0"/>
        <w:adjustRightInd/>
        <w:snapToGrid/>
        <w:spacing w:beforeLines="0" w:afterLines="0" w:line="360" w:lineRule="auto"/>
        <w:ind w:left="3" w:right="1" w:firstLine="481"/>
        <w:jc w:val="both"/>
        <w:textAlignment w:val="auto"/>
        <w:rPr>
          <w:rFonts w:hint="default" w:ascii="Times New Roman" w:hAnsi="Times New Roman" w:eastAsia="仿宋" w:cs="Times New Roman"/>
          <w:color w:val="auto"/>
          <w:spacing w:val="0"/>
          <w:w w:val="100"/>
          <w:kern w:val="0"/>
          <w:sz w:val="24"/>
          <w:szCs w:val="24"/>
          <w:highlight w:val="none"/>
        </w:rPr>
      </w:pPr>
      <w:r>
        <w:rPr>
          <w:rFonts w:hint="eastAsia"/>
          <w:color w:val="auto"/>
          <w:highlight w:val="none"/>
          <w:lang w:val="en-US" w:eastAsia="zh-CN"/>
        </w:rPr>
        <w:t>综合配电楼为1栋1层预制舱式建筑，占地面积为753.8m</w:t>
      </w:r>
      <w:r>
        <w:rPr>
          <w:rFonts w:hint="eastAsia"/>
          <w:color w:val="auto"/>
          <w:highlight w:val="none"/>
          <w:vertAlign w:val="superscript"/>
          <w:lang w:val="en-US" w:eastAsia="zh-CN"/>
        </w:rPr>
        <w:t>2</w:t>
      </w:r>
      <w:r>
        <w:rPr>
          <w:rFonts w:hint="eastAsia"/>
          <w:color w:val="auto"/>
          <w:highlight w:val="none"/>
          <w:lang w:val="en-US" w:eastAsia="zh-CN"/>
        </w:rPr>
        <w:t>，内设继保室、配电室和仓库，主要功能为生产调控；危险废物贮存库，办公综合楼为1栋两层建筑，占地面积300m</w:t>
      </w:r>
      <w:r>
        <w:rPr>
          <w:rFonts w:hint="eastAsia"/>
          <w:color w:val="auto"/>
          <w:highlight w:val="none"/>
          <w:vertAlign w:val="superscript"/>
          <w:lang w:val="en-US" w:eastAsia="zh-CN"/>
        </w:rPr>
        <w:t>2</w:t>
      </w:r>
      <w:r>
        <w:rPr>
          <w:rFonts w:hint="eastAsia"/>
          <w:color w:val="auto"/>
          <w:highlight w:val="none"/>
          <w:lang w:val="en-US" w:eastAsia="zh-CN"/>
        </w:rPr>
        <w:t>，内设置中控室、厨房、餐厅、值班室、办公室等房间，主要功能为办公及员工生活。</w:t>
      </w:r>
    </w:p>
    <w:p w14:paraId="54712E44">
      <w:pPr>
        <w:keepNext w:val="0"/>
        <w:keepLines w:val="0"/>
        <w:pageBreakBefore w:val="0"/>
        <w:widowControl w:val="0"/>
        <w:kinsoku/>
        <w:wordWrap/>
        <w:overflowPunct/>
        <w:topLinePunct w:val="0"/>
        <w:autoSpaceDE/>
        <w:autoSpaceDN/>
        <w:bidi w:val="0"/>
        <w:adjustRightInd/>
        <w:snapToGrid/>
        <w:spacing w:beforeLines="0" w:afterLines="0" w:line="360" w:lineRule="auto"/>
        <w:ind w:left="1" w:right="369" w:firstLine="483"/>
        <w:textAlignment w:val="auto"/>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主要的电气设备有主变、220kVGIS 配电装置、35kV配电装置、0.4kV配电装置、箱式变电站、无功补偿装置等。</w:t>
      </w:r>
    </w:p>
    <w:p w14:paraId="0468F184">
      <w:pPr>
        <w:keepNext w:val="0"/>
        <w:keepLines w:val="0"/>
        <w:pageBreakBefore w:val="0"/>
        <w:widowControl w:val="0"/>
        <w:kinsoku/>
        <w:wordWrap/>
        <w:overflowPunct/>
        <w:topLinePunct w:val="0"/>
        <w:autoSpaceDE/>
        <w:autoSpaceDN/>
        <w:bidi w:val="0"/>
        <w:adjustRightInd/>
        <w:snapToGrid/>
        <w:spacing w:beforeLines="0" w:afterLines="0" w:line="360" w:lineRule="auto"/>
        <w:ind w:left="3" w:right="3" w:firstLine="481"/>
        <w:jc w:val="both"/>
        <w:textAlignment w:val="auto"/>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升压站内共设置</w:t>
      </w:r>
      <w:r>
        <w:rPr>
          <w:rFonts w:hint="default" w:ascii="Times New Roman" w:hAnsi="Times New Roman" w:eastAsia="仿宋" w:cs="Times New Roman"/>
          <w:color w:val="auto"/>
          <w:spacing w:val="0"/>
          <w:w w:val="100"/>
          <w:kern w:val="0"/>
          <w:sz w:val="24"/>
          <w:szCs w:val="24"/>
          <w:highlight w:val="none"/>
          <w:lang w:val="en-US" w:eastAsia="zh-CN"/>
        </w:rPr>
        <w:t>2</w:t>
      </w:r>
      <w:r>
        <w:rPr>
          <w:rFonts w:hint="default" w:ascii="Times New Roman" w:hAnsi="Times New Roman" w:eastAsia="仿宋" w:cs="Times New Roman"/>
          <w:color w:val="auto"/>
          <w:spacing w:val="0"/>
          <w:w w:val="100"/>
          <w:kern w:val="0"/>
          <w:sz w:val="24"/>
          <w:szCs w:val="24"/>
          <w:highlight w:val="none"/>
        </w:rPr>
        <w:t>台主变</w:t>
      </w: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总</w:t>
      </w:r>
      <w:r>
        <w:rPr>
          <w:rFonts w:hint="default" w:ascii="Times New Roman" w:hAnsi="Times New Roman" w:eastAsia="仿宋" w:cs="Times New Roman"/>
          <w:color w:val="auto"/>
          <w:spacing w:val="0"/>
          <w:sz w:val="24"/>
          <w:szCs w:val="24"/>
          <w:highlight w:val="none"/>
        </w:rPr>
        <w:t>规模</w:t>
      </w:r>
      <w:r>
        <w:rPr>
          <w:rFonts w:hint="default" w:ascii="Times New Roman" w:hAnsi="Times New Roman" w:eastAsia="仿宋" w:cs="Times New Roman"/>
          <w:color w:val="auto"/>
          <w:spacing w:val="0"/>
          <w:sz w:val="24"/>
          <w:szCs w:val="24"/>
          <w:highlight w:val="none"/>
          <w:lang w:val="en-US" w:eastAsia="zh-CN"/>
        </w:rPr>
        <w:t>44</w:t>
      </w:r>
      <w:r>
        <w:rPr>
          <w:rFonts w:hint="default" w:ascii="Times New Roman" w:hAnsi="Times New Roman" w:eastAsia="仿宋" w:cs="Times New Roman"/>
          <w:color w:val="auto"/>
          <w:spacing w:val="0"/>
          <w:sz w:val="24"/>
          <w:szCs w:val="24"/>
          <w:highlight w:val="none"/>
        </w:rPr>
        <w:t>0MVA（</w:t>
      </w:r>
      <w:r>
        <w:rPr>
          <w:rFonts w:hint="default" w:ascii="Times New Roman" w:hAnsi="Times New Roman" w:eastAsia="仿宋" w:cs="Times New Roman"/>
          <w:color w:val="auto"/>
          <w:spacing w:val="0"/>
          <w:sz w:val="24"/>
          <w:szCs w:val="24"/>
          <w:highlight w:val="none"/>
          <w:lang w:val="en-US" w:eastAsia="zh-CN"/>
        </w:rPr>
        <w:t>1×230MVA+1×210MVA</w:t>
      </w:r>
      <w:r>
        <w:rPr>
          <w:rFonts w:hint="default" w:ascii="Times New Roman" w:hAnsi="Times New Roman" w:eastAsia="仿宋" w:cs="Times New Roman"/>
          <w:color w:val="auto"/>
          <w:spacing w:val="0"/>
          <w:sz w:val="24"/>
          <w:szCs w:val="24"/>
          <w:highlight w:val="none"/>
        </w:rPr>
        <w:t>）</w:t>
      </w:r>
      <w:r>
        <w:rPr>
          <w:rFonts w:hint="default" w:ascii="Times New Roman" w:hAnsi="Times New Roman" w:eastAsia="仿宋" w:cs="Times New Roman"/>
          <w:color w:val="auto"/>
          <w:spacing w:val="0"/>
          <w:w w:val="100"/>
          <w:kern w:val="0"/>
          <w:sz w:val="24"/>
          <w:szCs w:val="24"/>
          <w:highlight w:val="none"/>
        </w:rPr>
        <w:t>。主变压器采用</w:t>
      </w:r>
      <w:r>
        <w:rPr>
          <w:rFonts w:hint="default" w:ascii="Times New Roman" w:hAnsi="Times New Roman" w:eastAsia="仿宋" w:cs="Times New Roman"/>
          <w:color w:val="auto"/>
          <w:spacing w:val="0"/>
          <w:w w:val="100"/>
          <w:kern w:val="0"/>
          <w:sz w:val="24"/>
          <w:szCs w:val="24"/>
          <w:highlight w:val="none"/>
          <w:lang w:val="en-US" w:eastAsia="zh-CN"/>
        </w:rPr>
        <w:t>户外</w:t>
      </w:r>
      <w:r>
        <w:rPr>
          <w:rFonts w:hint="default" w:ascii="Times New Roman" w:hAnsi="Times New Roman" w:eastAsia="仿宋" w:cs="Times New Roman"/>
          <w:color w:val="auto"/>
          <w:spacing w:val="0"/>
          <w:w w:val="100"/>
          <w:kern w:val="0"/>
          <w:sz w:val="24"/>
          <w:szCs w:val="24"/>
          <w:highlight w:val="none"/>
        </w:rPr>
        <w:t>布置型式，布置在升压站</w:t>
      </w:r>
      <w:r>
        <w:rPr>
          <w:rFonts w:hint="default" w:ascii="Times New Roman" w:hAnsi="Times New Roman" w:eastAsia="仿宋" w:cs="Times New Roman"/>
          <w:color w:val="auto"/>
          <w:spacing w:val="0"/>
          <w:w w:val="100"/>
          <w:kern w:val="0"/>
          <w:sz w:val="24"/>
          <w:szCs w:val="24"/>
          <w:highlight w:val="none"/>
          <w:lang w:val="en-US" w:eastAsia="zh-CN"/>
        </w:rPr>
        <w:t>中</w:t>
      </w:r>
      <w:r>
        <w:rPr>
          <w:rFonts w:hint="default" w:ascii="Times New Roman" w:hAnsi="Times New Roman" w:eastAsia="仿宋" w:cs="Times New Roman"/>
          <w:color w:val="auto"/>
          <w:spacing w:val="0"/>
          <w:w w:val="100"/>
          <w:kern w:val="0"/>
          <w:sz w:val="24"/>
          <w:szCs w:val="24"/>
          <w:highlight w:val="none"/>
        </w:rPr>
        <w:t>部</w:t>
      </w:r>
      <w:r>
        <w:rPr>
          <w:rFonts w:hint="default" w:ascii="Times New Roman" w:hAnsi="Times New Roman" w:eastAsia="仿宋" w:cs="Times New Roman"/>
          <w:color w:val="auto"/>
          <w:spacing w:val="0"/>
          <w:w w:val="100"/>
          <w:kern w:val="0"/>
          <w:sz w:val="24"/>
          <w:szCs w:val="24"/>
          <w:highlight w:val="none"/>
          <w:lang w:val="en-US" w:eastAsia="zh-CN"/>
        </w:rPr>
        <w:t>西侧</w:t>
      </w:r>
      <w:r>
        <w:rPr>
          <w:rFonts w:hint="default" w:ascii="Times New Roman" w:hAnsi="Times New Roman" w:eastAsia="仿宋" w:cs="Times New Roman"/>
          <w:color w:val="auto"/>
          <w:spacing w:val="0"/>
          <w:w w:val="100"/>
          <w:kern w:val="0"/>
          <w:sz w:val="24"/>
          <w:szCs w:val="24"/>
          <w:highlight w:val="none"/>
        </w:rPr>
        <w:t>；主变压器设置储油坑，按</w:t>
      </w:r>
      <w:r>
        <w:rPr>
          <w:rFonts w:hint="default" w:ascii="Times New Roman" w:hAnsi="Times New Roman" w:eastAsia="仿宋" w:cs="Times New Roman"/>
          <w:color w:val="auto"/>
          <w:spacing w:val="0"/>
          <w:w w:val="100"/>
          <w:kern w:val="0"/>
          <w:sz w:val="24"/>
          <w:szCs w:val="24"/>
          <w:highlight w:val="none"/>
          <w:lang w:val="en-US" w:eastAsia="zh-CN"/>
        </w:rPr>
        <w:t>最大单台主变10</w:t>
      </w:r>
      <w:r>
        <w:rPr>
          <w:rFonts w:hint="default" w:ascii="Times New Roman" w:hAnsi="Times New Roman" w:eastAsia="仿宋" w:cs="Times New Roman"/>
          <w:color w:val="auto"/>
          <w:spacing w:val="0"/>
          <w:w w:val="100"/>
          <w:kern w:val="0"/>
          <w:sz w:val="24"/>
          <w:szCs w:val="24"/>
          <w:highlight w:val="none"/>
        </w:rPr>
        <w:t>0％油量设置事故油池。</w:t>
      </w:r>
    </w:p>
    <w:p w14:paraId="51ED0B1A">
      <w:pPr>
        <w:keepNext w:val="0"/>
        <w:keepLines w:val="0"/>
        <w:pageBreakBefore w:val="0"/>
        <w:widowControl w:val="0"/>
        <w:kinsoku/>
        <w:wordWrap/>
        <w:overflowPunct/>
        <w:topLinePunct w:val="0"/>
        <w:autoSpaceDE/>
        <w:autoSpaceDN/>
        <w:bidi w:val="0"/>
        <w:adjustRightInd/>
        <w:snapToGrid/>
        <w:spacing w:beforeLines="0" w:afterLines="0" w:line="360" w:lineRule="auto"/>
        <w:ind w:left="5" w:firstLine="477"/>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0"/>
          <w:w w:val="100"/>
          <w:kern w:val="0"/>
          <w:sz w:val="24"/>
          <w:szCs w:val="24"/>
          <w:highlight w:val="none"/>
        </w:rPr>
        <w:t>35kV配电装置选用三相交流50Hz的户内成套装置</w:t>
      </w:r>
      <w:r>
        <w:rPr>
          <w:rFonts w:hint="default" w:ascii="Times New Roman" w:hAnsi="Times New Roman" w:eastAsia="仿宋" w:cs="Times New Roman"/>
          <w:color w:val="auto"/>
          <w:spacing w:val="0"/>
          <w:sz w:val="24"/>
          <w:szCs w:val="24"/>
          <w:highlight w:val="none"/>
          <w:lang w:val="en-US" w:eastAsia="zh-CN"/>
        </w:rPr>
        <w:t>XGN-40.5kV充气柜设备</w:t>
      </w:r>
      <w:r>
        <w:rPr>
          <w:rFonts w:hint="default" w:ascii="Times New Roman" w:hAnsi="Times New Roman" w:eastAsia="仿宋" w:cs="Times New Roman"/>
          <w:color w:val="auto"/>
          <w:spacing w:val="0"/>
          <w:w w:val="100"/>
          <w:kern w:val="0"/>
          <w:sz w:val="24"/>
          <w:szCs w:val="24"/>
          <w:highlight w:val="none"/>
        </w:rPr>
        <w:t>，采用加强绝缘型结构。0.4kV站用低压开关柜为抽屉式开关柜。</w:t>
      </w:r>
    </w:p>
    <w:p w14:paraId="4084A119">
      <w:pPr>
        <w:spacing w:beforeLines="0" w:afterLines="0" w:line="234" w:lineRule="auto"/>
        <w:rPr>
          <w:rFonts w:hint="default" w:ascii="Times New Roman" w:hAnsi="Times New Roman" w:eastAsia="仿宋" w:cs="Times New Roman"/>
          <w:color w:val="auto"/>
          <w:sz w:val="24"/>
          <w:szCs w:val="24"/>
          <w:highlight w:val="none"/>
        </w:rPr>
        <w:sectPr>
          <w:footerReference r:id="rId10" w:type="default"/>
          <w:pgSz w:w="11849" w:h="16781"/>
          <w:pgMar w:top="1440" w:right="1800" w:bottom="1440" w:left="1800" w:header="0" w:footer="953" w:gutter="0"/>
          <w:pgBorders w:offsetFrom="page">
            <w:top w:val="none" w:sz="0" w:space="0"/>
            <w:left w:val="none" w:sz="0" w:space="0"/>
            <w:bottom w:val="none" w:sz="0" w:space="0"/>
            <w:right w:val="none" w:sz="0" w:space="0"/>
          </w:pgBorders>
          <w:lnNumType w:countBy="0" w:distance="360"/>
          <w:pgNumType w:fmt="decimal" w:start="1"/>
          <w:cols w:space="720" w:num="1"/>
          <w:docGrid w:type="lines" w:linePitch="312" w:charSpace="0"/>
        </w:sectPr>
      </w:pPr>
    </w:p>
    <w:p w14:paraId="7F71D7F3">
      <w:pPr>
        <w:spacing w:before="6" w:beforeLines="0" w:afterLines="0" w:line="357" w:lineRule="auto"/>
        <w:ind w:left="12" w:right="110" w:firstLine="479"/>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无功补偿装置采用动态无功补偿装置（SVG），本阶段每段35kV母线上配置1套水冷式3</w:t>
      </w:r>
      <w:r>
        <w:rPr>
          <w:rFonts w:hint="default" w:ascii="Times New Roman" w:hAnsi="Times New Roman" w:eastAsia="仿宋" w:cs="Times New Roman"/>
          <w:color w:val="auto"/>
          <w:spacing w:val="0"/>
          <w:sz w:val="24"/>
          <w:szCs w:val="24"/>
          <w:highlight w:val="none"/>
          <w:lang w:val="en-US" w:eastAsia="zh-CN"/>
        </w:rPr>
        <w:t>0</w:t>
      </w:r>
      <w:r>
        <w:rPr>
          <w:rFonts w:hint="default" w:ascii="Times New Roman" w:hAnsi="Times New Roman" w:eastAsia="仿宋" w:cs="Times New Roman"/>
          <w:color w:val="auto"/>
          <w:spacing w:val="0"/>
          <w:sz w:val="24"/>
          <w:szCs w:val="24"/>
          <w:highlight w:val="none"/>
        </w:rPr>
        <w:t>MVar无功补偿装置，室外集装箱式布置安装，最终补偿容量以接入系统审查意见为准。</w:t>
      </w:r>
    </w:p>
    <w:p w14:paraId="21133D4F">
      <w:pPr>
        <w:spacing w:before="6" w:beforeLines="0" w:afterLines="0" w:line="357" w:lineRule="auto"/>
        <w:ind w:left="12" w:right="110" w:firstLine="479"/>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光伏场区35kV箱式变电站采用户外布置，距离按子方阵中心靠近道路处考虑。</w:t>
      </w:r>
    </w:p>
    <w:p w14:paraId="2E281658">
      <w:pPr>
        <w:spacing w:before="6" w:beforeLines="0" w:afterLines="0" w:line="357" w:lineRule="auto"/>
        <w:ind w:left="12" w:right="110" w:firstLine="479"/>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升压站主要建设内容见表2</w:t>
      </w:r>
      <w:r>
        <w:rPr>
          <w:rFonts w:hint="default" w:ascii="Times New Roman" w:hAnsi="Times New Roman" w:eastAsia="仿宋" w:cs="Times New Roman"/>
          <w:color w:val="auto"/>
          <w:spacing w:val="0"/>
          <w:sz w:val="24"/>
          <w:szCs w:val="24"/>
          <w:highlight w:val="none"/>
          <w:lang w:val="en-US" w:eastAsia="zh-CN"/>
        </w:rPr>
        <w:t>.1</w:t>
      </w:r>
      <w:r>
        <w:rPr>
          <w:rFonts w:hint="default" w:ascii="Times New Roman" w:hAnsi="Times New Roman" w:eastAsia="仿宋" w:cs="Times New Roman"/>
          <w:color w:val="auto"/>
          <w:spacing w:val="0"/>
          <w:sz w:val="24"/>
          <w:szCs w:val="24"/>
          <w:highlight w:val="none"/>
        </w:rPr>
        <w:t>-1，项目主要技术参数见表2</w:t>
      </w:r>
      <w:r>
        <w:rPr>
          <w:rFonts w:hint="default" w:ascii="Times New Roman" w:hAnsi="Times New Roman" w:eastAsia="仿宋" w:cs="Times New Roman"/>
          <w:color w:val="auto"/>
          <w:spacing w:val="0"/>
          <w:sz w:val="24"/>
          <w:szCs w:val="24"/>
          <w:highlight w:val="none"/>
          <w:lang w:val="en-US" w:eastAsia="zh-CN"/>
        </w:rPr>
        <w:t>.1</w:t>
      </w:r>
      <w:r>
        <w:rPr>
          <w:rFonts w:hint="default" w:ascii="Times New Roman" w:hAnsi="Times New Roman" w:eastAsia="仿宋" w:cs="Times New Roman"/>
          <w:color w:val="auto"/>
          <w:spacing w:val="0"/>
          <w:sz w:val="24"/>
          <w:szCs w:val="24"/>
          <w:highlight w:val="none"/>
        </w:rPr>
        <w:t>-2。</w:t>
      </w:r>
    </w:p>
    <w:p w14:paraId="01B60A06">
      <w:pPr>
        <w:spacing w:before="310" w:beforeLines="0" w:afterLines="0" w:line="212" w:lineRule="auto"/>
        <w:ind w:left="2468"/>
        <w:rPr>
          <w:rFonts w:hint="default" w:ascii="Times New Roman" w:hAnsi="Times New Roman" w:eastAsia="仿宋" w:cs="Times New Roman"/>
          <w:b/>
          <w:bCs/>
          <w:color w:val="auto"/>
          <w:spacing w:val="-1"/>
          <w:sz w:val="21"/>
          <w:szCs w:val="21"/>
          <w:highlight w:val="none"/>
        </w:rPr>
      </w:pPr>
      <w:r>
        <w:rPr>
          <w:rFonts w:hint="default" w:ascii="Times New Roman" w:hAnsi="Times New Roman" w:eastAsia="仿宋" w:cs="Times New Roman"/>
          <w:b/>
          <w:bCs/>
          <w:color w:val="auto"/>
          <w:spacing w:val="-1"/>
          <w:sz w:val="21"/>
          <w:szCs w:val="21"/>
          <w:highlight w:val="none"/>
        </w:rPr>
        <w:t>表 2</w:t>
      </w:r>
      <w:r>
        <w:rPr>
          <w:rFonts w:hint="default" w:ascii="Times New Roman" w:hAnsi="Times New Roman" w:eastAsia="仿宋" w:cs="Times New Roman"/>
          <w:b/>
          <w:bCs/>
          <w:color w:val="auto"/>
          <w:spacing w:val="-1"/>
          <w:sz w:val="21"/>
          <w:szCs w:val="21"/>
          <w:highlight w:val="none"/>
          <w:lang w:val="en-US" w:eastAsia="zh-CN"/>
        </w:rPr>
        <w:t>.1</w:t>
      </w:r>
      <w:r>
        <w:rPr>
          <w:rFonts w:hint="default" w:ascii="Times New Roman" w:hAnsi="Times New Roman" w:eastAsia="仿宋" w:cs="Times New Roman"/>
          <w:b/>
          <w:bCs/>
          <w:color w:val="auto"/>
          <w:spacing w:val="-1"/>
          <w:sz w:val="21"/>
          <w:szCs w:val="21"/>
          <w:highlight w:val="none"/>
        </w:rPr>
        <w:t>-1</w:t>
      </w:r>
      <w:r>
        <w:rPr>
          <w:rFonts w:hint="default" w:ascii="Times New Roman" w:hAnsi="Times New Roman" w:eastAsia="仿宋" w:cs="Times New Roman"/>
          <w:b/>
          <w:bCs/>
          <w:color w:val="auto"/>
          <w:spacing w:val="-1"/>
          <w:sz w:val="21"/>
          <w:szCs w:val="21"/>
          <w:highlight w:val="none"/>
          <w:lang w:val="en-US" w:eastAsia="zh-CN"/>
        </w:rPr>
        <w:t xml:space="preserve"> </w:t>
      </w:r>
      <w:r>
        <w:rPr>
          <w:rFonts w:hint="default" w:ascii="Times New Roman" w:hAnsi="Times New Roman" w:eastAsia="仿宋" w:cs="Times New Roman"/>
          <w:b/>
          <w:bCs/>
          <w:color w:val="auto"/>
          <w:spacing w:val="-1"/>
          <w:sz w:val="21"/>
          <w:szCs w:val="21"/>
          <w:highlight w:val="none"/>
        </w:rPr>
        <w:t>升压站主要建设内容</w:t>
      </w:r>
    </w:p>
    <w:tbl>
      <w:tblPr>
        <w:tblStyle w:val="10"/>
        <w:tblpPr w:leftFromText="180" w:rightFromText="180" w:vertAnchor="text" w:horzAnchor="page" w:tblpX="1879" w:tblpY="200"/>
        <w:tblOverlap w:val="never"/>
        <w:tblW w:w="486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4"/>
        <w:gridCol w:w="1305"/>
        <w:gridCol w:w="1795"/>
        <w:gridCol w:w="3260"/>
      </w:tblGrid>
      <w:tr w14:paraId="56A25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3037" w:type="dxa"/>
            <w:gridSpan w:val="2"/>
            <w:tcBorders>
              <w:top w:val="single" w:color="000000" w:sz="4" w:space="0"/>
              <w:left w:val="single" w:color="000000" w:sz="2" w:space="0"/>
              <w:bottom w:val="single" w:color="000000" w:sz="2" w:space="0"/>
              <w:right w:val="single" w:color="000000" w:sz="2" w:space="0"/>
              <w:tl2br w:val="nil"/>
              <w:tr2bl w:val="nil"/>
            </w:tcBorders>
            <w:noWrap w:val="0"/>
            <w:vAlign w:val="center"/>
          </w:tcPr>
          <w:p w14:paraId="45C8FCD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5"/>
                <w:sz w:val="21"/>
                <w:szCs w:val="21"/>
                <w:highlight w:val="none"/>
              </w:rPr>
              <w:t>名称</w:t>
            </w:r>
          </w:p>
        </w:tc>
        <w:tc>
          <w:tcPr>
            <w:tcW w:w="5052" w:type="dxa"/>
            <w:gridSpan w:val="2"/>
            <w:tcBorders>
              <w:top w:val="single" w:color="000000" w:sz="4" w:space="0"/>
              <w:left w:val="single" w:color="000000" w:sz="2" w:space="0"/>
              <w:bottom w:val="single" w:color="000000" w:sz="2" w:space="0"/>
              <w:right w:val="single" w:color="000000" w:sz="2" w:space="0"/>
              <w:tl2br w:val="nil"/>
              <w:tr2bl w:val="nil"/>
            </w:tcBorders>
            <w:noWrap w:val="0"/>
            <w:vAlign w:val="center"/>
          </w:tcPr>
          <w:p w14:paraId="6D6C96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4"/>
                <w:sz w:val="21"/>
                <w:szCs w:val="21"/>
                <w:highlight w:val="none"/>
              </w:rPr>
              <w:t>建设内容</w:t>
            </w:r>
          </w:p>
        </w:tc>
      </w:tr>
      <w:tr w14:paraId="3D845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restart"/>
            <w:tcBorders>
              <w:top w:val="single" w:color="000000" w:sz="2" w:space="0"/>
              <w:left w:val="single" w:color="000000" w:sz="2" w:space="0"/>
              <w:bottom w:val="nil"/>
              <w:right w:val="single" w:color="000000" w:sz="2" w:space="0"/>
              <w:tl2br w:val="nil"/>
              <w:tr2bl w:val="nil"/>
            </w:tcBorders>
            <w:noWrap w:val="0"/>
            <w:vAlign w:val="center"/>
          </w:tcPr>
          <w:p w14:paraId="08F9C9C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pacing w:val="-1"/>
                <w:sz w:val="21"/>
                <w:szCs w:val="21"/>
                <w:highlight w:val="none"/>
              </w:rPr>
              <w:t>迤车镇中</w:t>
            </w:r>
            <w:r>
              <w:rPr>
                <w:rFonts w:hint="default" w:ascii="Times New Roman" w:hAnsi="Times New Roman" w:eastAsia="仿宋" w:cs="Times New Roman"/>
                <w:color w:val="auto"/>
                <w:spacing w:val="-2"/>
                <w:sz w:val="21"/>
                <w:szCs w:val="21"/>
                <w:highlight w:val="none"/>
              </w:rPr>
              <w:t>寨村委会竹子箐光伏项目</w:t>
            </w:r>
            <w:r>
              <w:rPr>
                <w:rFonts w:hint="default" w:ascii="Times New Roman" w:hAnsi="Times New Roman" w:eastAsia="仿宋" w:cs="Times New Roman"/>
                <w:color w:val="auto"/>
                <w:spacing w:val="-6"/>
                <w:sz w:val="21"/>
                <w:szCs w:val="21"/>
                <w:highlight w:val="none"/>
              </w:rPr>
              <w:t>（复合型</w:t>
            </w:r>
            <w:r>
              <w:rPr>
                <w:rFonts w:hint="default" w:ascii="Times New Roman" w:hAnsi="Times New Roman" w:eastAsia="仿宋" w:cs="Times New Roman"/>
                <w:color w:val="auto"/>
                <w:spacing w:val="-2"/>
                <w:sz w:val="21"/>
                <w:szCs w:val="21"/>
                <w:highlight w:val="none"/>
              </w:rPr>
              <w:t>光伏发电</w:t>
            </w:r>
            <w:r>
              <w:rPr>
                <w:rFonts w:hint="default" w:ascii="Times New Roman" w:hAnsi="Times New Roman" w:eastAsia="仿宋" w:cs="Times New Roman"/>
                <w:color w:val="auto"/>
                <w:spacing w:val="-6"/>
                <w:sz w:val="21"/>
                <w:szCs w:val="21"/>
                <w:highlight w:val="none"/>
              </w:rPr>
              <w:t>项目）</w:t>
            </w:r>
            <w:r>
              <w:rPr>
                <w:rFonts w:hint="default" w:ascii="Times New Roman" w:hAnsi="Times New Roman" w:eastAsia="仿宋" w:cs="Times New Roman"/>
                <w:color w:val="auto"/>
                <w:spacing w:val="-6"/>
                <w:sz w:val="21"/>
                <w:szCs w:val="21"/>
                <w:highlight w:val="none"/>
                <w:lang w:eastAsia="zh-CN"/>
              </w:rPr>
              <w:t>（</w:t>
            </w:r>
            <w:r>
              <w:rPr>
                <w:rFonts w:hint="default" w:ascii="Times New Roman" w:hAnsi="Times New Roman" w:eastAsia="仿宋" w:cs="Times New Roman"/>
                <w:color w:val="auto"/>
                <w:spacing w:val="-6"/>
                <w:sz w:val="21"/>
                <w:szCs w:val="21"/>
                <w:highlight w:val="none"/>
                <w:lang w:val="en-US" w:eastAsia="zh-CN"/>
              </w:rPr>
              <w:t>重新报批</w:t>
            </w:r>
            <w:r>
              <w:rPr>
                <w:rFonts w:hint="default" w:ascii="Times New Roman" w:hAnsi="Times New Roman" w:eastAsia="仿宋" w:cs="Times New Roman"/>
                <w:color w:val="auto"/>
                <w:spacing w:val="-6"/>
                <w:sz w:val="21"/>
                <w:szCs w:val="21"/>
                <w:highlight w:val="none"/>
                <w:lang w:eastAsia="zh-CN"/>
              </w:rPr>
              <w:t>）</w:t>
            </w:r>
          </w:p>
        </w:tc>
        <w:tc>
          <w:tcPr>
            <w:tcW w:w="1304" w:type="dxa"/>
            <w:vMerge w:val="restart"/>
            <w:tcBorders>
              <w:top w:val="single" w:color="000000" w:sz="2" w:space="0"/>
              <w:left w:val="single" w:color="000000" w:sz="2" w:space="0"/>
              <w:bottom w:val="nil"/>
              <w:right w:val="single" w:color="000000" w:sz="2" w:space="0"/>
              <w:tl2br w:val="nil"/>
              <w:tr2bl w:val="nil"/>
            </w:tcBorders>
            <w:noWrap w:val="0"/>
            <w:vAlign w:val="center"/>
          </w:tcPr>
          <w:p w14:paraId="7AC1113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主体工程</w:t>
            </w:r>
          </w:p>
        </w:tc>
        <w:tc>
          <w:tcPr>
            <w:tcW w:w="17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DC21BA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主变容量</w:t>
            </w:r>
          </w:p>
        </w:tc>
        <w:tc>
          <w:tcPr>
            <w:tcW w:w="32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C3E341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lang w:val="en-US" w:eastAsia="zh-CN"/>
              </w:rPr>
              <w:t>44</w:t>
            </w:r>
            <w:r>
              <w:rPr>
                <w:rFonts w:hint="default" w:ascii="Times New Roman" w:hAnsi="Times New Roman" w:eastAsia="仿宋" w:cs="Times New Roman"/>
                <w:color w:val="auto"/>
                <w:spacing w:val="0"/>
                <w:sz w:val="21"/>
                <w:szCs w:val="21"/>
                <w:highlight w:val="none"/>
              </w:rPr>
              <w:t>0MVA</w:t>
            </w:r>
          </w:p>
          <w:p w14:paraId="6B4ABCF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cs="Times New Roman"/>
                <w:color w:val="auto"/>
                <w:spacing w:val="0"/>
                <w:sz w:val="21"/>
                <w:szCs w:val="21"/>
                <w:highlight w:val="none"/>
                <w:lang w:eastAsia="zh-CN"/>
              </w:rPr>
              <w:t>(</w:t>
            </w:r>
            <w:r>
              <w:rPr>
                <w:rFonts w:hint="default" w:ascii="Times New Roman" w:hAnsi="Times New Roman" w:eastAsia="仿宋" w:cs="Times New Roman"/>
                <w:color w:val="auto"/>
                <w:spacing w:val="0"/>
                <w:sz w:val="21"/>
                <w:szCs w:val="21"/>
                <w:highlight w:val="none"/>
                <w:lang w:val="en-US" w:eastAsia="zh-CN"/>
              </w:rPr>
              <w:t>1×230MVA+1×210MVA</w:t>
            </w:r>
            <w:r>
              <w:rPr>
                <w:rFonts w:hint="eastAsia" w:cs="Times New Roman"/>
                <w:color w:val="auto"/>
                <w:spacing w:val="0"/>
                <w:sz w:val="21"/>
                <w:szCs w:val="21"/>
                <w:highlight w:val="none"/>
                <w:lang w:val="en-US" w:eastAsia="zh-CN"/>
              </w:rPr>
              <w:t>)</w:t>
            </w:r>
          </w:p>
        </w:tc>
      </w:tr>
      <w:tr w14:paraId="24DDE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nil"/>
              <w:right w:val="single" w:color="000000" w:sz="2" w:space="0"/>
              <w:tl2br w:val="nil"/>
              <w:tr2bl w:val="nil"/>
            </w:tcBorders>
            <w:noWrap w:val="0"/>
            <w:vAlign w:val="center"/>
          </w:tcPr>
          <w:p w14:paraId="5DAD091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vMerge w:val="continue"/>
            <w:tcBorders>
              <w:top w:val="nil"/>
              <w:left w:val="single" w:color="000000" w:sz="2" w:space="0"/>
              <w:bottom w:val="nil"/>
              <w:right w:val="single" w:color="000000" w:sz="2" w:space="0"/>
              <w:tl2br w:val="nil"/>
              <w:tr2bl w:val="nil"/>
            </w:tcBorders>
            <w:noWrap w:val="0"/>
            <w:vAlign w:val="center"/>
          </w:tcPr>
          <w:p w14:paraId="78B3517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7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22468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主变布置</w:t>
            </w:r>
          </w:p>
        </w:tc>
        <w:tc>
          <w:tcPr>
            <w:tcW w:w="32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058416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主变布置于站区中部</w:t>
            </w:r>
            <w:r>
              <w:rPr>
                <w:rFonts w:hint="default" w:ascii="Times New Roman" w:hAnsi="Times New Roman" w:eastAsia="仿宋" w:cs="Times New Roman"/>
                <w:color w:val="auto"/>
                <w:spacing w:val="-1"/>
                <w:sz w:val="21"/>
                <w:szCs w:val="21"/>
                <w:highlight w:val="none"/>
                <w:lang w:val="en-US" w:eastAsia="zh-CN"/>
              </w:rPr>
              <w:t>西侧</w:t>
            </w:r>
            <w:r>
              <w:rPr>
                <w:rFonts w:hint="default" w:ascii="Times New Roman" w:hAnsi="Times New Roman" w:eastAsia="仿宋" w:cs="Times New Roman"/>
                <w:color w:val="auto"/>
                <w:spacing w:val="-1"/>
                <w:sz w:val="21"/>
                <w:szCs w:val="21"/>
                <w:highlight w:val="none"/>
              </w:rPr>
              <w:t>，户</w:t>
            </w:r>
            <w:r>
              <w:rPr>
                <w:rFonts w:hint="default" w:ascii="Times New Roman" w:hAnsi="Times New Roman" w:eastAsia="仿宋" w:cs="Times New Roman"/>
                <w:color w:val="auto"/>
                <w:spacing w:val="-1"/>
                <w:sz w:val="21"/>
                <w:szCs w:val="21"/>
                <w:highlight w:val="none"/>
                <w:lang w:val="en-US" w:eastAsia="zh-CN"/>
              </w:rPr>
              <w:t>外</w:t>
            </w:r>
            <w:r>
              <w:rPr>
                <w:rFonts w:hint="default" w:ascii="Times New Roman" w:hAnsi="Times New Roman" w:eastAsia="仿宋" w:cs="Times New Roman"/>
                <w:color w:val="auto"/>
                <w:spacing w:val="-1"/>
                <w:sz w:val="21"/>
                <w:szCs w:val="21"/>
                <w:highlight w:val="none"/>
              </w:rPr>
              <w:t>布置</w:t>
            </w:r>
          </w:p>
        </w:tc>
      </w:tr>
      <w:tr w14:paraId="7E968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nil"/>
              <w:right w:val="single" w:color="000000" w:sz="2" w:space="0"/>
              <w:tl2br w:val="nil"/>
              <w:tr2bl w:val="nil"/>
            </w:tcBorders>
            <w:noWrap w:val="0"/>
            <w:vAlign w:val="center"/>
          </w:tcPr>
          <w:p w14:paraId="0738D9C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vMerge w:val="continue"/>
            <w:tcBorders>
              <w:top w:val="nil"/>
              <w:left w:val="single" w:color="000000" w:sz="2" w:space="0"/>
              <w:bottom w:val="nil"/>
              <w:right w:val="single" w:color="000000" w:sz="2" w:space="0"/>
              <w:tl2br w:val="nil"/>
              <w:tr2bl w:val="nil"/>
            </w:tcBorders>
            <w:noWrap w:val="0"/>
            <w:vAlign w:val="center"/>
          </w:tcPr>
          <w:p w14:paraId="6E9A6F4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7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AC28B9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220kV出线回路数</w:t>
            </w:r>
          </w:p>
        </w:tc>
        <w:tc>
          <w:tcPr>
            <w:tcW w:w="32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C6F71F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3"/>
                <w:sz w:val="21"/>
                <w:szCs w:val="21"/>
                <w:highlight w:val="none"/>
              </w:rPr>
              <w:t>1回</w:t>
            </w:r>
          </w:p>
        </w:tc>
      </w:tr>
      <w:tr w14:paraId="21FBF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nil"/>
              <w:right w:val="single" w:color="000000" w:sz="2" w:space="0"/>
              <w:tl2br w:val="nil"/>
              <w:tr2bl w:val="nil"/>
            </w:tcBorders>
            <w:noWrap w:val="0"/>
            <w:vAlign w:val="center"/>
          </w:tcPr>
          <w:p w14:paraId="310DA1D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vMerge w:val="continue"/>
            <w:tcBorders>
              <w:top w:val="nil"/>
              <w:left w:val="single" w:color="000000" w:sz="2" w:space="0"/>
              <w:bottom w:val="single" w:color="000000" w:sz="2" w:space="0"/>
              <w:right w:val="single" w:color="000000" w:sz="2" w:space="0"/>
              <w:tl2br w:val="nil"/>
              <w:tr2bl w:val="nil"/>
            </w:tcBorders>
            <w:noWrap w:val="0"/>
            <w:vAlign w:val="center"/>
          </w:tcPr>
          <w:p w14:paraId="0FE9BB7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7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59F253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无功补偿</w:t>
            </w:r>
          </w:p>
        </w:tc>
        <w:tc>
          <w:tcPr>
            <w:tcW w:w="32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2C08B1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位于升压站</w:t>
            </w:r>
            <w:r>
              <w:rPr>
                <w:rFonts w:hint="eastAsia" w:cs="Times New Roman"/>
                <w:color w:val="auto"/>
                <w:spacing w:val="-1"/>
                <w:sz w:val="21"/>
                <w:szCs w:val="21"/>
                <w:highlight w:val="none"/>
                <w:lang w:val="en-US" w:eastAsia="zh-CN"/>
              </w:rPr>
              <w:t>内</w:t>
            </w:r>
            <w:r>
              <w:rPr>
                <w:rFonts w:hint="default" w:ascii="Times New Roman" w:hAnsi="Times New Roman" w:eastAsia="仿宋" w:cs="Times New Roman"/>
                <w:color w:val="auto"/>
                <w:spacing w:val="-1"/>
                <w:sz w:val="21"/>
                <w:szCs w:val="21"/>
                <w:highlight w:val="none"/>
              </w:rPr>
              <w:t>北部</w:t>
            </w:r>
          </w:p>
        </w:tc>
      </w:tr>
      <w:tr w14:paraId="57687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nil"/>
              <w:right w:val="single" w:color="000000" w:sz="2" w:space="0"/>
              <w:tl2br w:val="nil"/>
              <w:tr2bl w:val="nil"/>
            </w:tcBorders>
            <w:noWrap w:val="0"/>
            <w:vAlign w:val="center"/>
          </w:tcPr>
          <w:p w14:paraId="7E7CC5D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D5187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辅助系统</w:t>
            </w:r>
          </w:p>
        </w:tc>
        <w:tc>
          <w:tcPr>
            <w:tcW w:w="5052"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14:paraId="7ACBD36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给排水系统、消防、道路</w:t>
            </w:r>
          </w:p>
        </w:tc>
      </w:tr>
      <w:tr w14:paraId="71371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nil"/>
              <w:right w:val="single" w:color="000000" w:sz="2" w:space="0"/>
              <w:tl2br w:val="nil"/>
              <w:tr2bl w:val="nil"/>
            </w:tcBorders>
            <w:noWrap w:val="0"/>
            <w:vAlign w:val="center"/>
          </w:tcPr>
          <w:p w14:paraId="385676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EBF2D7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环保工程</w:t>
            </w:r>
          </w:p>
        </w:tc>
        <w:tc>
          <w:tcPr>
            <w:tcW w:w="5052"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14:paraId="1CF93E6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主变事故池、集油坑、化粪池、隔油池、一体化污水处理设备</w:t>
            </w:r>
            <w:r>
              <w:rPr>
                <w:rFonts w:hint="default" w:ascii="Times New Roman" w:hAnsi="Times New Roman" w:eastAsia="仿宋" w:cs="Times New Roman"/>
                <w:color w:val="auto"/>
                <w:spacing w:val="-1"/>
                <w:sz w:val="21"/>
                <w:szCs w:val="21"/>
                <w:highlight w:val="none"/>
              </w:rPr>
              <w:t>、危废暂</w:t>
            </w:r>
            <w:r>
              <w:rPr>
                <w:rFonts w:hint="default" w:ascii="Times New Roman" w:hAnsi="Times New Roman" w:eastAsia="仿宋" w:cs="Times New Roman"/>
                <w:color w:val="auto"/>
                <w:spacing w:val="-2"/>
                <w:sz w:val="21"/>
                <w:szCs w:val="21"/>
                <w:highlight w:val="none"/>
              </w:rPr>
              <w:t>存间</w:t>
            </w:r>
          </w:p>
        </w:tc>
      </w:tr>
      <w:tr w14:paraId="4B1EA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nil"/>
              <w:right w:val="single" w:color="000000" w:sz="2" w:space="0"/>
              <w:tl2br w:val="nil"/>
              <w:tr2bl w:val="nil"/>
            </w:tcBorders>
            <w:noWrap w:val="0"/>
            <w:vAlign w:val="center"/>
          </w:tcPr>
          <w:p w14:paraId="3AC83A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149E0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102" w:right="0" w:firstLine="0" w:firstLineChars="0"/>
              <w:jc w:val="center"/>
              <w:textAlignment w:val="auto"/>
              <w:rPr>
                <w:rFonts w:hint="default" w:ascii="Times New Roman" w:hAnsi="Times New Roman" w:eastAsia="仿宋" w:cs="Times New Roman"/>
                <w:color w:val="auto"/>
                <w:spacing w:val="-2"/>
                <w:sz w:val="21"/>
                <w:szCs w:val="21"/>
                <w:highlight w:val="none"/>
              </w:rPr>
            </w:pPr>
            <w:r>
              <w:rPr>
                <w:rFonts w:hint="default" w:ascii="Times New Roman" w:hAnsi="Times New Roman" w:eastAsia="仿宋" w:cs="Times New Roman"/>
                <w:color w:val="auto"/>
                <w:spacing w:val="-3"/>
                <w:sz w:val="21"/>
                <w:szCs w:val="21"/>
                <w:highlight w:val="none"/>
              </w:rPr>
              <w:t>办公及生</w:t>
            </w:r>
            <w:r>
              <w:rPr>
                <w:rFonts w:hint="default" w:ascii="Times New Roman" w:hAnsi="Times New Roman" w:eastAsia="仿宋" w:cs="Times New Roman"/>
                <w:color w:val="auto"/>
                <w:spacing w:val="-2"/>
                <w:sz w:val="21"/>
                <w:szCs w:val="21"/>
                <w:highlight w:val="none"/>
              </w:rPr>
              <w:t>活</w:t>
            </w:r>
          </w:p>
          <w:p w14:paraId="66ECB01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102"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设施</w:t>
            </w:r>
          </w:p>
        </w:tc>
        <w:tc>
          <w:tcPr>
            <w:tcW w:w="5052"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7B56C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综合楼，设置于220kV升压站内</w:t>
            </w:r>
          </w:p>
        </w:tc>
      </w:tr>
      <w:tr w14:paraId="1015D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733" w:type="dxa"/>
            <w:vMerge w:val="continue"/>
            <w:tcBorders>
              <w:top w:val="nil"/>
              <w:left w:val="single" w:color="000000" w:sz="2" w:space="0"/>
              <w:bottom w:val="single" w:color="000000" w:sz="2" w:space="0"/>
              <w:right w:val="single" w:color="000000" w:sz="2" w:space="0"/>
              <w:tl2br w:val="nil"/>
              <w:tr2bl w:val="nil"/>
            </w:tcBorders>
            <w:noWrap w:val="0"/>
            <w:vAlign w:val="center"/>
          </w:tcPr>
          <w:p w14:paraId="037E13F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A0FEC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317"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仓储或其</w:t>
            </w:r>
            <w:r>
              <w:rPr>
                <w:rFonts w:hint="default" w:ascii="Times New Roman" w:hAnsi="Times New Roman" w:eastAsia="仿宋" w:cs="Times New Roman"/>
                <w:color w:val="auto"/>
                <w:sz w:val="21"/>
                <w:szCs w:val="21"/>
                <w:highlight w:val="none"/>
              </w:rPr>
              <w:t>他</w:t>
            </w:r>
          </w:p>
        </w:tc>
        <w:tc>
          <w:tcPr>
            <w:tcW w:w="5052"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14:paraId="77C04C9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辅助用房</w:t>
            </w:r>
          </w:p>
        </w:tc>
      </w:tr>
    </w:tbl>
    <w:p w14:paraId="514F6060">
      <w:pPr>
        <w:spacing w:before="310" w:beforeLines="0" w:afterLines="0" w:line="212" w:lineRule="auto"/>
        <w:ind w:left="2468"/>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pacing w:val="-1"/>
          <w:sz w:val="21"/>
          <w:szCs w:val="21"/>
          <w:highlight w:val="none"/>
        </w:rPr>
        <w:t>表</w:t>
      </w:r>
      <w:r>
        <w:rPr>
          <w:rFonts w:hint="default" w:ascii="Times New Roman" w:hAnsi="Times New Roman" w:eastAsia="仿宋" w:cs="Times New Roman"/>
          <w:b/>
          <w:bCs/>
          <w:color w:val="auto"/>
          <w:spacing w:val="-49"/>
          <w:sz w:val="21"/>
          <w:szCs w:val="21"/>
          <w:highlight w:val="none"/>
        </w:rPr>
        <w:t xml:space="preserve"> </w:t>
      </w:r>
      <w:r>
        <w:rPr>
          <w:rFonts w:hint="default" w:ascii="Times New Roman" w:hAnsi="Times New Roman" w:eastAsia="仿宋" w:cs="Times New Roman"/>
          <w:b/>
          <w:bCs/>
          <w:color w:val="auto"/>
          <w:spacing w:val="-1"/>
          <w:sz w:val="21"/>
          <w:szCs w:val="21"/>
          <w:highlight w:val="none"/>
        </w:rPr>
        <w:t>2</w:t>
      </w:r>
      <w:r>
        <w:rPr>
          <w:rFonts w:hint="default" w:ascii="Times New Roman" w:hAnsi="Times New Roman" w:eastAsia="仿宋" w:cs="Times New Roman"/>
          <w:b/>
          <w:bCs/>
          <w:color w:val="auto"/>
          <w:spacing w:val="-1"/>
          <w:sz w:val="21"/>
          <w:szCs w:val="21"/>
          <w:highlight w:val="none"/>
          <w:lang w:val="en-US" w:eastAsia="zh-CN"/>
        </w:rPr>
        <w:t>.1</w:t>
      </w:r>
      <w:r>
        <w:rPr>
          <w:rFonts w:hint="default" w:ascii="Times New Roman" w:hAnsi="Times New Roman" w:eastAsia="仿宋" w:cs="Times New Roman"/>
          <w:b/>
          <w:bCs/>
          <w:color w:val="auto"/>
          <w:spacing w:val="-1"/>
          <w:sz w:val="21"/>
          <w:szCs w:val="21"/>
          <w:highlight w:val="none"/>
        </w:rPr>
        <w:t>-2</w:t>
      </w:r>
      <w:r>
        <w:rPr>
          <w:rFonts w:hint="default" w:ascii="Times New Roman" w:hAnsi="Times New Roman" w:eastAsia="仿宋" w:cs="Times New Roman"/>
          <w:b/>
          <w:bCs/>
          <w:color w:val="auto"/>
          <w:spacing w:val="-1"/>
          <w:sz w:val="21"/>
          <w:szCs w:val="21"/>
          <w:highlight w:val="none"/>
          <w:lang w:val="en-US" w:eastAsia="zh-CN"/>
        </w:rPr>
        <w:t xml:space="preserve">  </w:t>
      </w:r>
      <w:r>
        <w:rPr>
          <w:rFonts w:hint="default" w:ascii="Times New Roman" w:hAnsi="Times New Roman" w:eastAsia="仿宋" w:cs="Times New Roman"/>
          <w:b/>
          <w:bCs/>
          <w:color w:val="auto"/>
          <w:spacing w:val="-1"/>
          <w:sz w:val="21"/>
          <w:szCs w:val="21"/>
          <w:highlight w:val="none"/>
        </w:rPr>
        <w:t>升压站主要经济技术一览表</w:t>
      </w:r>
    </w:p>
    <w:tbl>
      <w:tblPr>
        <w:tblStyle w:val="10"/>
        <w:tblW w:w="4859"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2"/>
        <w:gridCol w:w="3783"/>
        <w:gridCol w:w="777"/>
        <w:gridCol w:w="1074"/>
        <w:gridCol w:w="1801"/>
      </w:tblGrid>
      <w:tr w14:paraId="2B612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6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028CC1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序号</w:t>
            </w:r>
          </w:p>
        </w:tc>
        <w:tc>
          <w:tcPr>
            <w:tcW w:w="378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6CD4B9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名称</w:t>
            </w:r>
          </w:p>
        </w:tc>
        <w:tc>
          <w:tcPr>
            <w:tcW w:w="77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850361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单位</w:t>
            </w:r>
          </w:p>
        </w:tc>
        <w:tc>
          <w:tcPr>
            <w:tcW w:w="107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D36386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数量</w:t>
            </w:r>
          </w:p>
        </w:tc>
        <w:tc>
          <w:tcPr>
            <w:tcW w:w="180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2F953B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备注</w:t>
            </w:r>
          </w:p>
        </w:tc>
      </w:tr>
      <w:tr w14:paraId="57B6B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6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36694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1</w:t>
            </w:r>
          </w:p>
        </w:tc>
        <w:tc>
          <w:tcPr>
            <w:tcW w:w="3781"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3C650F0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升压站</w:t>
            </w:r>
            <w:r>
              <w:rPr>
                <w:rFonts w:hint="default" w:ascii="Times New Roman" w:hAnsi="Times New Roman" w:eastAsia="仿宋" w:cs="Times New Roman"/>
                <w:color w:val="auto"/>
                <w:spacing w:val="0"/>
                <w:sz w:val="21"/>
                <w:szCs w:val="21"/>
                <w:highlight w:val="none"/>
              </w:rPr>
              <w:t>围墙内用地面积</w:t>
            </w:r>
          </w:p>
        </w:tc>
        <w:tc>
          <w:tcPr>
            <w:tcW w:w="777"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31645C1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13"/>
                <w:szCs w:val="13"/>
                <w:highlight w:val="none"/>
                <w:lang w:val="en-US" w:eastAsia="zh-CN" w:bidi="ar-SA"/>
              </w:rPr>
            </w:pPr>
            <w:r>
              <w:rPr>
                <w:rFonts w:hint="default" w:ascii="Times New Roman" w:hAnsi="Times New Roman" w:eastAsia="仿宋" w:cs="Times New Roman"/>
                <w:color w:val="auto"/>
                <w:spacing w:val="0"/>
                <w:sz w:val="21"/>
                <w:szCs w:val="21"/>
                <w:highlight w:val="none"/>
              </w:rPr>
              <w:t>hm</w:t>
            </w:r>
            <w:r>
              <w:rPr>
                <w:rFonts w:hint="default" w:ascii="Times New Roman" w:hAnsi="Times New Roman" w:eastAsia="仿宋" w:cs="Times New Roman"/>
                <w:color w:val="auto"/>
                <w:spacing w:val="0"/>
                <w:position w:val="6"/>
                <w:sz w:val="13"/>
                <w:szCs w:val="13"/>
                <w:highlight w:val="none"/>
              </w:rPr>
              <w:t>2</w:t>
            </w:r>
          </w:p>
        </w:tc>
        <w:tc>
          <w:tcPr>
            <w:tcW w:w="1073"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7D76FD6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lang w:val="en-US" w:eastAsia="zh-CN"/>
              </w:rPr>
              <w:t>0.62</w:t>
            </w:r>
          </w:p>
        </w:tc>
        <w:tc>
          <w:tcPr>
            <w:tcW w:w="1800"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749FC15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p>
        </w:tc>
      </w:tr>
      <w:tr w14:paraId="3DEEF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6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924A57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w:t>
            </w:r>
          </w:p>
        </w:tc>
        <w:tc>
          <w:tcPr>
            <w:tcW w:w="3781"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44FC8C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围墙内建构筑物用地面积</w:t>
            </w:r>
          </w:p>
        </w:tc>
        <w:tc>
          <w:tcPr>
            <w:tcW w:w="777"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2FB26C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13"/>
                <w:szCs w:val="13"/>
                <w:highlight w:val="none"/>
                <w:lang w:val="en-US" w:eastAsia="zh-CN" w:bidi="ar-SA"/>
              </w:rPr>
            </w:pPr>
            <w:r>
              <w:rPr>
                <w:rFonts w:hint="default" w:ascii="Times New Roman" w:hAnsi="Times New Roman" w:eastAsia="仿宋" w:cs="Times New Roman"/>
                <w:color w:val="auto"/>
                <w:spacing w:val="0"/>
                <w:sz w:val="21"/>
                <w:szCs w:val="21"/>
                <w:highlight w:val="none"/>
              </w:rPr>
              <w:t>hm</w:t>
            </w:r>
            <w:r>
              <w:rPr>
                <w:rFonts w:hint="default" w:ascii="Times New Roman" w:hAnsi="Times New Roman" w:eastAsia="仿宋" w:cs="Times New Roman"/>
                <w:color w:val="auto"/>
                <w:spacing w:val="0"/>
                <w:position w:val="6"/>
                <w:sz w:val="13"/>
                <w:szCs w:val="13"/>
                <w:highlight w:val="none"/>
              </w:rPr>
              <w:t>2</w:t>
            </w:r>
          </w:p>
        </w:tc>
        <w:tc>
          <w:tcPr>
            <w:tcW w:w="1073"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45099F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0.</w:t>
            </w:r>
            <w:r>
              <w:rPr>
                <w:rFonts w:hint="default" w:ascii="Times New Roman" w:hAnsi="Times New Roman" w:eastAsia="仿宋" w:cs="Times New Roman"/>
                <w:color w:val="auto"/>
                <w:spacing w:val="0"/>
                <w:sz w:val="21"/>
                <w:szCs w:val="21"/>
                <w:highlight w:val="none"/>
                <w:lang w:val="en-US" w:eastAsia="zh-CN"/>
              </w:rPr>
              <w:t>26</w:t>
            </w:r>
          </w:p>
        </w:tc>
        <w:tc>
          <w:tcPr>
            <w:tcW w:w="1800"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5AB5BC7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p>
        </w:tc>
      </w:tr>
      <w:tr w14:paraId="0025D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6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3B8C6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3</w:t>
            </w:r>
          </w:p>
        </w:tc>
        <w:tc>
          <w:tcPr>
            <w:tcW w:w="3781"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45DF4BB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进站道路</w:t>
            </w:r>
          </w:p>
        </w:tc>
        <w:tc>
          <w:tcPr>
            <w:tcW w:w="777"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22A7E05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m</w:t>
            </w:r>
          </w:p>
        </w:tc>
        <w:tc>
          <w:tcPr>
            <w:tcW w:w="1073"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049CA33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lang w:val="en-US" w:eastAsia="zh-CN"/>
              </w:rPr>
              <w:t>40</w:t>
            </w:r>
          </w:p>
        </w:tc>
        <w:tc>
          <w:tcPr>
            <w:tcW w:w="1800"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138AD1F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p>
        </w:tc>
      </w:tr>
      <w:tr w14:paraId="1966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6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E5DD9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4</w:t>
            </w:r>
          </w:p>
        </w:tc>
        <w:tc>
          <w:tcPr>
            <w:tcW w:w="3781"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4D0B7F4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站区围墙长度</w:t>
            </w:r>
          </w:p>
        </w:tc>
        <w:tc>
          <w:tcPr>
            <w:tcW w:w="777"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0BF9477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m</w:t>
            </w:r>
          </w:p>
        </w:tc>
        <w:tc>
          <w:tcPr>
            <w:tcW w:w="1073"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60BC631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lang w:val="en-US" w:eastAsia="zh-CN"/>
              </w:rPr>
              <w:t>376</w:t>
            </w:r>
          </w:p>
        </w:tc>
        <w:tc>
          <w:tcPr>
            <w:tcW w:w="1800"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6683B12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高</w:t>
            </w:r>
            <w:r>
              <w:rPr>
                <w:rFonts w:hint="default" w:ascii="Times New Roman" w:hAnsi="Times New Roman" w:eastAsia="仿宋" w:cs="Times New Roman"/>
                <w:color w:val="auto"/>
                <w:spacing w:val="0"/>
                <w:sz w:val="21"/>
                <w:szCs w:val="21"/>
                <w:highlight w:val="none"/>
                <w:lang w:val="en-US" w:eastAsia="zh-CN"/>
              </w:rPr>
              <w:t>2.2</w:t>
            </w:r>
            <w:r>
              <w:rPr>
                <w:rFonts w:hint="default" w:ascii="Times New Roman" w:hAnsi="Times New Roman" w:eastAsia="仿宋" w:cs="Times New Roman"/>
                <w:color w:val="auto"/>
                <w:spacing w:val="0"/>
                <w:sz w:val="21"/>
                <w:szCs w:val="21"/>
                <w:highlight w:val="none"/>
              </w:rPr>
              <w:t>m</w:t>
            </w:r>
          </w:p>
        </w:tc>
      </w:tr>
      <w:tr w14:paraId="39375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64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7F65A9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5</w:t>
            </w:r>
          </w:p>
        </w:tc>
        <w:tc>
          <w:tcPr>
            <w:tcW w:w="3781"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3B88011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rPr>
              <w:t>站区绿化用地面积</w:t>
            </w:r>
          </w:p>
        </w:tc>
        <w:tc>
          <w:tcPr>
            <w:tcW w:w="777"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14546EB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13"/>
                <w:szCs w:val="13"/>
                <w:highlight w:val="none"/>
                <w:lang w:val="en-US" w:eastAsia="zh-CN" w:bidi="ar-SA"/>
              </w:rPr>
            </w:pPr>
            <w:r>
              <w:rPr>
                <w:rFonts w:hint="default" w:ascii="Times New Roman" w:hAnsi="Times New Roman" w:eastAsia="仿宋" w:cs="Times New Roman"/>
                <w:color w:val="auto"/>
                <w:spacing w:val="0"/>
                <w:sz w:val="21"/>
                <w:szCs w:val="21"/>
                <w:highlight w:val="none"/>
              </w:rPr>
              <w:t>m</w:t>
            </w:r>
            <w:r>
              <w:rPr>
                <w:rFonts w:hint="default" w:ascii="Times New Roman" w:hAnsi="Times New Roman" w:eastAsia="仿宋" w:cs="Times New Roman"/>
                <w:color w:val="auto"/>
                <w:spacing w:val="0"/>
                <w:position w:val="6"/>
                <w:sz w:val="13"/>
                <w:szCs w:val="13"/>
                <w:highlight w:val="none"/>
              </w:rPr>
              <w:t>2</w:t>
            </w:r>
          </w:p>
        </w:tc>
        <w:tc>
          <w:tcPr>
            <w:tcW w:w="1073"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6701A80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r>
              <w:rPr>
                <w:rFonts w:hint="default" w:ascii="Times New Roman" w:hAnsi="Times New Roman" w:eastAsia="仿宋" w:cs="Times New Roman"/>
                <w:color w:val="auto"/>
                <w:spacing w:val="0"/>
                <w:sz w:val="21"/>
                <w:szCs w:val="21"/>
                <w:highlight w:val="none"/>
                <w:lang w:val="en-US" w:eastAsia="zh-CN"/>
              </w:rPr>
              <w:t>200</w:t>
            </w:r>
          </w:p>
        </w:tc>
        <w:tc>
          <w:tcPr>
            <w:tcW w:w="1800" w:type="dxa"/>
            <w:tcBorders>
              <w:top w:val="single" w:color="000000" w:sz="2" w:space="0"/>
              <w:left w:val="single" w:color="000000" w:sz="2" w:space="0"/>
              <w:bottom w:val="single" w:color="000000" w:sz="2" w:space="0"/>
              <w:right w:val="single" w:color="000000" w:sz="2" w:space="0"/>
              <w:tl2br w:val="nil"/>
              <w:tr2bl w:val="nil"/>
            </w:tcBorders>
            <w:shd w:val="clear" w:color="auto" w:fill="auto"/>
            <w:noWrap w:val="0"/>
            <w:vAlign w:val="center"/>
          </w:tcPr>
          <w:p w14:paraId="1F0FD20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pacing w:val="0"/>
                <w:kern w:val="2"/>
                <w:sz w:val="21"/>
                <w:szCs w:val="21"/>
                <w:highlight w:val="none"/>
                <w:lang w:val="en-US" w:eastAsia="zh-CN" w:bidi="ar-SA"/>
              </w:rPr>
            </w:pPr>
          </w:p>
        </w:tc>
      </w:tr>
    </w:tbl>
    <w:p w14:paraId="5D44823C">
      <w:pPr>
        <w:spacing w:beforeLines="0" w:afterLines="0" w:line="331" w:lineRule="auto"/>
        <w:rPr>
          <w:rFonts w:hint="default" w:ascii="Times New Roman" w:hAnsi="Times New Roman" w:eastAsia="仿宋" w:cs="Times New Roman"/>
          <w:color w:val="auto"/>
          <w:sz w:val="21"/>
          <w:szCs w:val="21"/>
          <w:highlight w:val="none"/>
        </w:rPr>
      </w:pPr>
    </w:p>
    <w:p w14:paraId="4B11E0AB">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2.1.3 主要设备参数</w:t>
      </w:r>
    </w:p>
    <w:p w14:paraId="7F116FFD">
      <w:pPr>
        <w:spacing w:before="317" w:beforeLines="0" w:afterLines="0" w:line="233" w:lineRule="auto"/>
        <w:ind w:left="492"/>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工程主要电气设备选型见表2</w:t>
      </w:r>
      <w:r>
        <w:rPr>
          <w:rFonts w:hint="default" w:ascii="Times New Roman" w:hAnsi="Times New Roman" w:eastAsia="仿宋" w:cs="Times New Roman"/>
          <w:color w:val="auto"/>
          <w:spacing w:val="-2"/>
          <w:sz w:val="24"/>
          <w:szCs w:val="24"/>
          <w:highlight w:val="none"/>
          <w:lang w:val="en-US" w:eastAsia="zh-CN"/>
        </w:rPr>
        <w:t>.1</w:t>
      </w:r>
      <w:r>
        <w:rPr>
          <w:rFonts w:hint="default" w:ascii="Times New Roman" w:hAnsi="Times New Roman" w:eastAsia="仿宋" w:cs="Times New Roman"/>
          <w:color w:val="auto"/>
          <w:spacing w:val="-2"/>
          <w:sz w:val="24"/>
          <w:szCs w:val="24"/>
          <w:highlight w:val="none"/>
        </w:rPr>
        <w:t>-3。</w:t>
      </w:r>
    </w:p>
    <w:p w14:paraId="7D5D3CBB">
      <w:pPr>
        <w:spacing w:before="165" w:beforeLines="0" w:afterLines="0" w:line="212" w:lineRule="auto"/>
        <w:ind w:left="2828"/>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pacing w:val="-2"/>
          <w:sz w:val="21"/>
          <w:szCs w:val="21"/>
          <w:highlight w:val="none"/>
        </w:rPr>
        <w:t>表2</w:t>
      </w:r>
      <w:r>
        <w:rPr>
          <w:rFonts w:hint="default" w:ascii="Times New Roman" w:hAnsi="Times New Roman" w:eastAsia="仿宋" w:cs="Times New Roman"/>
          <w:b/>
          <w:bCs/>
          <w:color w:val="auto"/>
          <w:spacing w:val="-2"/>
          <w:sz w:val="21"/>
          <w:szCs w:val="21"/>
          <w:highlight w:val="none"/>
          <w:lang w:val="en-US" w:eastAsia="zh-CN"/>
        </w:rPr>
        <w:t>.1</w:t>
      </w:r>
      <w:r>
        <w:rPr>
          <w:rFonts w:hint="default" w:ascii="Times New Roman" w:hAnsi="Times New Roman" w:eastAsia="仿宋" w:cs="Times New Roman"/>
          <w:b/>
          <w:bCs/>
          <w:color w:val="auto"/>
          <w:spacing w:val="-2"/>
          <w:sz w:val="21"/>
          <w:szCs w:val="21"/>
          <w:highlight w:val="none"/>
        </w:rPr>
        <w:t>-3  主要电气设备选型统计表</w:t>
      </w:r>
    </w:p>
    <w:tbl>
      <w:tblPr>
        <w:tblStyle w:val="10"/>
        <w:tblW w:w="487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0"/>
        <w:gridCol w:w="6478"/>
      </w:tblGrid>
      <w:tr w14:paraId="67CBD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16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8B4094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5"/>
                <w:sz w:val="21"/>
                <w:szCs w:val="21"/>
                <w:highlight w:val="none"/>
              </w:rPr>
              <w:t>设备</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1C1692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color w:val="auto"/>
                <w:spacing w:val="-4"/>
                <w:sz w:val="21"/>
                <w:szCs w:val="21"/>
                <w:highlight w:val="none"/>
              </w:rPr>
              <w:t>型式、型号</w:t>
            </w:r>
          </w:p>
        </w:tc>
      </w:tr>
      <w:tr w14:paraId="03662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628" w:type="dxa"/>
            <w:tcBorders>
              <w:top w:val="single" w:color="000000" w:sz="2" w:space="0"/>
              <w:left w:val="single" w:color="000000" w:sz="2" w:space="0"/>
              <w:right w:val="single" w:color="000000" w:sz="2" w:space="0"/>
              <w:tl2br w:val="nil"/>
              <w:tr2bl w:val="nil"/>
            </w:tcBorders>
            <w:noWrap w:val="0"/>
            <w:vAlign w:val="center"/>
          </w:tcPr>
          <w:p w14:paraId="669E6AA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主变压器</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886E16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三相双绕组油浸式自然油循环强迫风冷、铜绕组低损耗有载调</w:t>
            </w:r>
            <w:r>
              <w:rPr>
                <w:rFonts w:hint="default" w:ascii="Times New Roman" w:hAnsi="Times New Roman" w:eastAsia="仿宋" w:cs="Times New Roman"/>
                <w:color w:val="auto"/>
                <w:spacing w:val="-1"/>
                <w:sz w:val="21"/>
                <w:szCs w:val="21"/>
                <w:highlight w:val="none"/>
              </w:rPr>
              <w:t>压电力</w:t>
            </w:r>
          </w:p>
          <w:p w14:paraId="1DEB8B5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变压器；SZ20-230000/220kV</w:t>
            </w:r>
            <w:r>
              <w:rPr>
                <w:rFonts w:hint="default" w:ascii="Times New Roman" w:hAnsi="Times New Roman" w:eastAsia="仿宋" w:cs="Times New Roman"/>
                <w:color w:val="auto"/>
                <w:spacing w:val="-1"/>
                <w:sz w:val="21"/>
                <w:szCs w:val="21"/>
                <w:highlight w:val="none"/>
                <w:lang w:eastAsia="zh-CN"/>
              </w:rPr>
              <w:t>、</w:t>
            </w:r>
            <w:r>
              <w:rPr>
                <w:rFonts w:hint="default" w:ascii="Times New Roman" w:hAnsi="Times New Roman" w:eastAsia="仿宋" w:cs="Times New Roman"/>
                <w:color w:val="auto"/>
                <w:spacing w:val="-1"/>
                <w:sz w:val="21"/>
                <w:szCs w:val="21"/>
                <w:highlight w:val="none"/>
              </w:rPr>
              <w:t>SZ20-</w:t>
            </w:r>
            <w:r>
              <w:rPr>
                <w:rFonts w:hint="default" w:ascii="Times New Roman" w:hAnsi="Times New Roman" w:eastAsia="仿宋" w:cs="Times New Roman"/>
                <w:color w:val="auto"/>
                <w:spacing w:val="-1"/>
                <w:sz w:val="21"/>
                <w:szCs w:val="21"/>
                <w:highlight w:val="none"/>
                <w:lang w:val="en-US" w:eastAsia="zh-CN"/>
              </w:rPr>
              <w:t>21</w:t>
            </w:r>
            <w:r>
              <w:rPr>
                <w:rFonts w:hint="default" w:ascii="Times New Roman" w:hAnsi="Times New Roman" w:eastAsia="仿宋" w:cs="Times New Roman"/>
                <w:color w:val="auto"/>
                <w:spacing w:val="-1"/>
                <w:sz w:val="21"/>
                <w:szCs w:val="21"/>
                <w:highlight w:val="none"/>
              </w:rPr>
              <w:t>0000/220kV</w:t>
            </w:r>
          </w:p>
        </w:tc>
      </w:tr>
      <w:tr w14:paraId="6F143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jc w:val="center"/>
        </w:trPr>
        <w:tc>
          <w:tcPr>
            <w:tcW w:w="16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6373C6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220kVGIS 配电装置</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45CD2D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户</w:t>
            </w:r>
            <w:r>
              <w:rPr>
                <w:rFonts w:hint="default" w:ascii="Times New Roman" w:hAnsi="Times New Roman" w:eastAsia="仿宋" w:cs="Times New Roman"/>
                <w:color w:val="auto"/>
                <w:spacing w:val="-1"/>
                <w:sz w:val="21"/>
                <w:szCs w:val="21"/>
                <w:highlight w:val="none"/>
                <w:lang w:val="en-US" w:eastAsia="zh-CN"/>
              </w:rPr>
              <w:t>内</w:t>
            </w:r>
            <w:r>
              <w:rPr>
                <w:rFonts w:hint="default" w:ascii="Times New Roman" w:hAnsi="Times New Roman" w:eastAsia="仿宋" w:cs="Times New Roman"/>
                <w:color w:val="auto"/>
                <w:spacing w:val="-39"/>
                <w:sz w:val="21"/>
                <w:szCs w:val="21"/>
                <w:highlight w:val="none"/>
              </w:rPr>
              <w:t xml:space="preserve"> </w:t>
            </w:r>
            <w:r>
              <w:rPr>
                <w:rFonts w:hint="default" w:ascii="Times New Roman" w:hAnsi="Times New Roman" w:eastAsia="仿宋" w:cs="Times New Roman"/>
                <w:color w:val="auto"/>
                <w:spacing w:val="-1"/>
                <w:sz w:val="21"/>
                <w:szCs w:val="21"/>
                <w:highlight w:val="none"/>
              </w:rPr>
              <w:t>SF6 全封闭组合电器配电装置（GI</w:t>
            </w:r>
            <w:r>
              <w:rPr>
                <w:rFonts w:hint="default" w:ascii="Times New Roman" w:hAnsi="Times New Roman" w:eastAsia="仿宋" w:cs="Times New Roman"/>
                <w:color w:val="auto"/>
                <w:spacing w:val="-2"/>
                <w:sz w:val="21"/>
                <w:szCs w:val="21"/>
                <w:highlight w:val="none"/>
              </w:rPr>
              <w:t>S）</w:t>
            </w:r>
          </w:p>
        </w:tc>
      </w:tr>
      <w:tr w14:paraId="7FFD1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16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FD46D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35kV 配电装置</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55F4F8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三相交流、50Hz的XGN-40.5kV充气柜设备</w:t>
            </w:r>
          </w:p>
        </w:tc>
      </w:tr>
      <w:tr w14:paraId="6937C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jc w:val="center"/>
        </w:trPr>
        <w:tc>
          <w:tcPr>
            <w:tcW w:w="16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AA7FAA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0.4kV 配电装置</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7E1999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抽屉式开关</w:t>
            </w:r>
          </w:p>
        </w:tc>
      </w:tr>
      <w:tr w14:paraId="7AA32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4C801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箱式变电站</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CE83EB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双绕组升压变压器、35kV高压熔断器负荷开关组合</w:t>
            </w:r>
            <w:r>
              <w:rPr>
                <w:rFonts w:hint="default" w:ascii="Times New Roman" w:hAnsi="Times New Roman" w:eastAsia="仿宋" w:cs="Times New Roman"/>
                <w:color w:val="auto"/>
                <w:spacing w:val="-8"/>
                <w:sz w:val="21"/>
                <w:szCs w:val="21"/>
                <w:highlight w:val="none"/>
              </w:rPr>
              <w:t>电器</w:t>
            </w:r>
          </w:p>
        </w:tc>
      </w:tr>
      <w:tr w14:paraId="78C4E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162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C7A5B2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35kV 无功补偿</w:t>
            </w:r>
          </w:p>
        </w:tc>
        <w:tc>
          <w:tcPr>
            <w:tcW w:w="647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5DFF61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220</w:t>
            </w:r>
            <w:r>
              <w:rPr>
                <w:rFonts w:hint="default" w:ascii="Times New Roman" w:hAnsi="Times New Roman" w:eastAsia="仿宋" w:cs="Times New Roman"/>
                <w:color w:val="auto"/>
                <w:sz w:val="21"/>
                <w:szCs w:val="21"/>
                <w:highlight w:val="none"/>
              </w:rPr>
              <w:t>kV</w:t>
            </w:r>
            <w:r>
              <w:rPr>
                <w:rFonts w:hint="default" w:ascii="Times New Roman" w:hAnsi="Times New Roman" w:eastAsia="仿宋" w:cs="Times New Roman"/>
                <w:color w:val="auto"/>
                <w:spacing w:val="1"/>
                <w:sz w:val="21"/>
                <w:szCs w:val="21"/>
                <w:highlight w:val="none"/>
              </w:rPr>
              <w:t xml:space="preserve"> 升压站主变低压侧35</w:t>
            </w:r>
            <w:r>
              <w:rPr>
                <w:rFonts w:hint="default" w:ascii="Times New Roman" w:hAnsi="Times New Roman" w:eastAsia="仿宋" w:cs="Times New Roman"/>
                <w:color w:val="auto"/>
                <w:sz w:val="21"/>
                <w:szCs w:val="21"/>
                <w:highlight w:val="none"/>
              </w:rPr>
              <w:t>kV</w:t>
            </w:r>
            <w:r>
              <w:rPr>
                <w:rFonts w:hint="default" w:ascii="Times New Roman" w:hAnsi="Times New Roman" w:eastAsia="仿宋" w:cs="Times New Roman"/>
                <w:color w:val="auto"/>
                <w:spacing w:val="1"/>
                <w:sz w:val="21"/>
                <w:szCs w:val="21"/>
                <w:highlight w:val="none"/>
                <w:lang w:val="en-US" w:eastAsia="zh-CN"/>
              </w:rPr>
              <w:t>各</w:t>
            </w:r>
            <w:r>
              <w:rPr>
                <w:rFonts w:hint="default" w:ascii="Times New Roman" w:hAnsi="Times New Roman" w:eastAsia="仿宋" w:cs="Times New Roman"/>
                <w:color w:val="auto"/>
                <w:spacing w:val="1"/>
                <w:sz w:val="21"/>
                <w:szCs w:val="21"/>
                <w:highlight w:val="none"/>
              </w:rPr>
              <w:t>段上设置</w:t>
            </w:r>
            <w:r>
              <w:rPr>
                <w:rFonts w:hint="default" w:ascii="Times New Roman" w:hAnsi="Times New Roman" w:eastAsia="仿宋" w:cs="Times New Roman"/>
                <w:color w:val="auto"/>
                <w:sz w:val="21"/>
                <w:szCs w:val="21"/>
                <w:highlight w:val="none"/>
              </w:rPr>
              <w:t>1套</w:t>
            </w:r>
            <w:r>
              <w:rPr>
                <w:rFonts w:hint="default" w:ascii="Times New Roman" w:hAnsi="Times New Roman" w:eastAsia="仿宋" w:cs="Times New Roman"/>
                <w:color w:val="auto"/>
                <w:spacing w:val="-1"/>
                <w:sz w:val="21"/>
                <w:szCs w:val="21"/>
                <w:highlight w:val="none"/>
              </w:rPr>
              <w:t>3</w:t>
            </w:r>
            <w:r>
              <w:rPr>
                <w:rFonts w:hint="default" w:ascii="Times New Roman" w:hAnsi="Times New Roman" w:eastAsia="仿宋" w:cs="Times New Roman"/>
                <w:color w:val="auto"/>
                <w:spacing w:val="-1"/>
                <w:sz w:val="21"/>
                <w:szCs w:val="21"/>
                <w:highlight w:val="none"/>
                <w:lang w:val="en-US" w:eastAsia="zh-CN"/>
              </w:rPr>
              <w:t>0</w:t>
            </w:r>
            <w:r>
              <w:rPr>
                <w:rFonts w:hint="default" w:ascii="Times New Roman" w:hAnsi="Times New Roman" w:eastAsia="仿宋" w:cs="Times New Roman"/>
                <w:color w:val="auto"/>
                <w:spacing w:val="-1"/>
                <w:sz w:val="21"/>
                <w:szCs w:val="21"/>
                <w:highlight w:val="none"/>
              </w:rPr>
              <w:t>MVar 无功补偿装置，室外集装箱式布置安装，其容量均为±</w:t>
            </w:r>
            <w:r>
              <w:rPr>
                <w:rFonts w:hint="default" w:ascii="Times New Roman" w:hAnsi="Times New Roman" w:eastAsia="仿宋" w:cs="Times New Roman"/>
                <w:color w:val="auto"/>
                <w:spacing w:val="-3"/>
                <w:sz w:val="21"/>
                <w:szCs w:val="21"/>
                <w:highlight w:val="none"/>
              </w:rPr>
              <w:t>3</w:t>
            </w:r>
            <w:r>
              <w:rPr>
                <w:rFonts w:hint="default" w:ascii="Times New Roman" w:hAnsi="Times New Roman" w:eastAsia="仿宋" w:cs="Times New Roman"/>
                <w:color w:val="auto"/>
                <w:spacing w:val="-3"/>
                <w:sz w:val="21"/>
                <w:szCs w:val="21"/>
                <w:highlight w:val="none"/>
                <w:lang w:val="en-US" w:eastAsia="zh-CN"/>
              </w:rPr>
              <w:t>0</w:t>
            </w:r>
            <w:r>
              <w:rPr>
                <w:rFonts w:hint="default" w:ascii="Times New Roman" w:hAnsi="Times New Roman" w:eastAsia="仿宋" w:cs="Times New Roman"/>
                <w:color w:val="auto"/>
                <w:spacing w:val="-3"/>
                <w:sz w:val="21"/>
                <w:szCs w:val="21"/>
                <w:highlight w:val="none"/>
              </w:rPr>
              <w:t>MVar</w:t>
            </w:r>
          </w:p>
        </w:tc>
      </w:tr>
    </w:tbl>
    <w:p w14:paraId="691427AA">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bookmarkStart w:id="52" w:name="bookmark22"/>
      <w:bookmarkEnd w:id="52"/>
      <w:r>
        <w:rPr>
          <w:rFonts w:hint="default" w:ascii="Times New Roman" w:hAnsi="Times New Roman" w:eastAsia="仿宋" w:cs="Times New Roman"/>
          <w:b/>
          <w:bCs/>
          <w:color w:val="auto"/>
          <w:kern w:val="0"/>
          <w:sz w:val="30"/>
          <w:szCs w:val="32"/>
          <w:highlight w:val="none"/>
          <w:lang w:val="en-US" w:eastAsia="zh-CN" w:bidi="ar-SA"/>
        </w:rPr>
        <w:t>2.2 工程分析</w:t>
      </w:r>
    </w:p>
    <w:p w14:paraId="3D447A86">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2.2.1 升压站布置环境合理性分析</w:t>
      </w:r>
    </w:p>
    <w:p w14:paraId="24BDA193">
      <w:pPr>
        <w:keepNext w:val="0"/>
        <w:keepLines w:val="0"/>
        <w:pageBreakBefore w:val="0"/>
        <w:widowControl w:val="0"/>
        <w:kinsoku/>
        <w:wordWrap/>
        <w:overflowPunct/>
        <w:topLinePunct w:val="0"/>
        <w:autoSpaceDE/>
        <w:autoSpaceDN/>
        <w:bidi w:val="0"/>
        <w:adjustRightInd/>
        <w:snapToGrid/>
        <w:spacing w:beforeLines="0" w:afterLines="0" w:line="360" w:lineRule="auto"/>
        <w:ind w:left="3" w:right="49" w:firstLine="482"/>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从选址来看，迤车镇中寨村委会竹子箐光伏项目（复合型光伏发电项目）新建的1座220kV升压站站址处为</w:t>
      </w:r>
      <w:r>
        <w:rPr>
          <w:rFonts w:hint="default" w:ascii="Times New Roman" w:hAnsi="Times New Roman" w:eastAsia="仿宋" w:cs="Times New Roman"/>
          <w:color w:val="auto"/>
          <w:spacing w:val="0"/>
          <w:sz w:val="24"/>
          <w:szCs w:val="24"/>
          <w:highlight w:val="none"/>
          <w:lang w:val="en-US" w:eastAsia="zh-CN"/>
        </w:rPr>
        <w:t>其他草地和裸岩</w:t>
      </w:r>
      <w:r>
        <w:rPr>
          <w:rFonts w:hint="default" w:ascii="Times New Roman" w:hAnsi="Times New Roman" w:eastAsia="仿宋" w:cs="Times New Roman"/>
          <w:color w:val="auto"/>
          <w:spacing w:val="0"/>
          <w:sz w:val="24"/>
          <w:szCs w:val="24"/>
          <w:highlight w:val="none"/>
        </w:rPr>
        <w:t>，升压站选址区辐射评价范围内不涉及居民集聚区等环境保护目标，不涉及自然保护区、饮用水水源保护区、森林公园、风景名胜区、水产种质资源保护区、世界自然遗产地、地质公园、湿地公园、生态公益林等环境敏感区，不涉及云南省生态保护红线，并</w:t>
      </w:r>
      <w:r>
        <w:rPr>
          <w:rFonts w:hint="eastAsia" w:cs="Times New Roman"/>
          <w:color w:val="auto"/>
          <w:spacing w:val="0"/>
          <w:sz w:val="24"/>
          <w:szCs w:val="24"/>
          <w:highlight w:val="none"/>
          <w:lang w:eastAsia="zh-CN"/>
        </w:rPr>
        <w:t>符合“三线一单”</w:t>
      </w:r>
      <w:r>
        <w:rPr>
          <w:rFonts w:hint="default" w:ascii="Times New Roman" w:hAnsi="Times New Roman" w:eastAsia="仿宋" w:cs="Times New Roman"/>
          <w:color w:val="auto"/>
          <w:spacing w:val="0"/>
          <w:sz w:val="24"/>
          <w:szCs w:val="24"/>
          <w:highlight w:val="none"/>
        </w:rPr>
        <w:t>管控要求。</w:t>
      </w:r>
    </w:p>
    <w:p w14:paraId="5784F5B9">
      <w:pPr>
        <w:keepNext w:val="0"/>
        <w:keepLines w:val="0"/>
        <w:pageBreakBefore w:val="0"/>
        <w:widowControl w:val="0"/>
        <w:kinsoku/>
        <w:wordWrap/>
        <w:overflowPunct/>
        <w:topLinePunct w:val="0"/>
        <w:autoSpaceDE/>
        <w:autoSpaceDN/>
        <w:bidi w:val="0"/>
        <w:adjustRightInd/>
        <w:snapToGrid/>
        <w:spacing w:beforeLines="0" w:afterLines="0" w:line="360" w:lineRule="auto"/>
        <w:ind w:left="4" w:right="112" w:firstLine="480"/>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从布置来看，升压站主变及出线侧辐射评价范围内无居民点分布，升压站内布置有隔油池、化粪池和一体化污水处理设备，可以处理升压站工作人员的生活污水和食堂含油废水；主变压器设置有消防设施和事故油池，满足消防要求的同时，还能处理和处置主变检修以及事故状态下的废变压器油，防止事故废油及消防废水外排。</w:t>
      </w:r>
    </w:p>
    <w:p w14:paraId="43324FE2">
      <w:pPr>
        <w:keepNext w:val="0"/>
        <w:keepLines w:val="0"/>
        <w:pageBreakBefore w:val="0"/>
        <w:widowControl w:val="0"/>
        <w:kinsoku/>
        <w:wordWrap/>
        <w:overflowPunct/>
        <w:topLinePunct w:val="0"/>
        <w:autoSpaceDE/>
        <w:autoSpaceDN/>
        <w:bidi w:val="0"/>
        <w:adjustRightInd/>
        <w:snapToGrid/>
        <w:spacing w:beforeLines="0" w:afterLines="0" w:line="360" w:lineRule="auto"/>
        <w:ind w:left="4" w:right="112" w:firstLine="481"/>
        <w:jc w:val="both"/>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综上，本项目新建升压站辐射评价范围内无居民点分布，占地为</w:t>
      </w:r>
      <w:r>
        <w:rPr>
          <w:rFonts w:hint="default" w:ascii="Times New Roman" w:hAnsi="Times New Roman" w:eastAsia="仿宋" w:cs="Times New Roman"/>
          <w:color w:val="auto"/>
          <w:spacing w:val="0"/>
          <w:sz w:val="24"/>
          <w:szCs w:val="24"/>
          <w:highlight w:val="none"/>
          <w:lang w:val="en-US" w:eastAsia="zh-CN"/>
        </w:rPr>
        <w:t>其他草地和裸岩</w:t>
      </w:r>
      <w:r>
        <w:rPr>
          <w:rFonts w:hint="default" w:ascii="Times New Roman" w:hAnsi="Times New Roman" w:eastAsia="仿宋" w:cs="Times New Roman"/>
          <w:color w:val="auto"/>
          <w:spacing w:val="0"/>
          <w:sz w:val="24"/>
          <w:szCs w:val="24"/>
          <w:highlight w:val="none"/>
        </w:rPr>
        <w:t>，项目建设过程中做好水环境保护措施及水土保持措施，对项目区的水土流失影响可控。从环境保护角度分析，升压站选址区基本无环境制约因素，布置满足环保及消防要求，升压站选址及布置较为合理。</w:t>
      </w:r>
    </w:p>
    <w:p w14:paraId="7A7790E7">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2.2.2 电磁环境污染源分析</w:t>
      </w:r>
    </w:p>
    <w:p w14:paraId="4A2B12EC">
      <w:pPr>
        <w:keepNext/>
        <w:keepLines/>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Times New Roman" w:hAnsi="Times New Roman" w:eastAsia="仿宋" w:cs="Times New Roman"/>
          <w:b/>
          <w:bCs/>
          <w:color w:val="auto"/>
          <w:spacing w:val="0"/>
          <w:kern w:val="44"/>
          <w:sz w:val="32"/>
          <w:szCs w:val="44"/>
          <w:highlight w:val="none"/>
          <w:lang w:val="en-US" w:eastAsia="zh-CN" w:bidi="ar-SA"/>
        </w:rPr>
      </w:pPr>
      <w:r>
        <w:rPr>
          <w:rFonts w:hint="default" w:ascii="Times New Roman" w:hAnsi="Times New Roman" w:eastAsia="仿宋" w:cs="Times New Roman"/>
          <w:color w:val="auto"/>
          <w:spacing w:val="0"/>
          <w:sz w:val="24"/>
          <w:szCs w:val="24"/>
          <w:highlight w:val="none"/>
        </w:rPr>
        <w:t>本工程新建1</w:t>
      </w:r>
      <w:r>
        <w:rPr>
          <w:rFonts w:hint="default" w:ascii="Times New Roman" w:hAnsi="Times New Roman" w:eastAsia="仿宋" w:cs="Times New Roman"/>
          <w:color w:val="auto"/>
          <w:spacing w:val="0"/>
          <w:w w:val="101"/>
          <w:sz w:val="24"/>
          <w:szCs w:val="24"/>
          <w:highlight w:val="none"/>
        </w:rPr>
        <w:t xml:space="preserve"> </w:t>
      </w:r>
      <w:r>
        <w:rPr>
          <w:rFonts w:hint="default" w:ascii="Times New Roman" w:hAnsi="Times New Roman" w:eastAsia="仿宋" w:cs="Times New Roman"/>
          <w:color w:val="auto"/>
          <w:spacing w:val="0"/>
          <w:sz w:val="24"/>
          <w:szCs w:val="24"/>
          <w:highlight w:val="none"/>
        </w:rPr>
        <w:t>座220kV的升压站，电磁环境影响主要产生在运行期。升压站运行期的电磁环境污染来源于主变压器、高压断路器、高压互感器、电抗器、耦合电容器及母线、绝缘子等，因为高压、大电流以及开关操作而产生的较强的工频电场和工频磁场。</w:t>
      </w:r>
    </w:p>
    <w:bookmarkEnd w:id="50"/>
    <w:bookmarkEnd w:id="51"/>
    <w:p w14:paraId="0622DBCB">
      <w:pPr>
        <w:keepNext/>
        <w:keepLines/>
        <w:widowControl w:val="0"/>
        <w:spacing w:line="360" w:lineRule="auto"/>
        <w:ind w:firstLine="0" w:firstLineChars="0"/>
        <w:jc w:val="both"/>
        <w:outlineLvl w:val="0"/>
        <w:rPr>
          <w:rFonts w:hint="default" w:ascii="Times New Roman" w:hAnsi="Times New Roman" w:eastAsia="仿宋" w:cs="Times New Roman"/>
          <w:b/>
          <w:bCs/>
          <w:color w:val="auto"/>
          <w:kern w:val="44"/>
          <w:sz w:val="32"/>
          <w:szCs w:val="44"/>
          <w:highlight w:val="none"/>
          <w:lang w:val="en-US" w:eastAsia="zh-CN" w:bidi="ar-SA"/>
        </w:rPr>
      </w:pPr>
      <w:r>
        <w:rPr>
          <w:rFonts w:hint="default" w:ascii="Times New Roman" w:hAnsi="Times New Roman" w:eastAsia="仿宋" w:cs="Times New Roman"/>
          <w:b/>
          <w:bCs/>
          <w:color w:val="auto"/>
          <w:kern w:val="44"/>
          <w:sz w:val="32"/>
          <w:szCs w:val="44"/>
          <w:highlight w:val="none"/>
          <w:lang w:val="en-US" w:eastAsia="zh-CN" w:bidi="ar-SA"/>
        </w:rPr>
        <w:br w:type="page"/>
      </w:r>
      <w:bookmarkStart w:id="53" w:name="_Toc9839"/>
      <w:bookmarkStart w:id="54" w:name="_Toc26956"/>
      <w:r>
        <w:rPr>
          <w:rFonts w:hint="default" w:ascii="Times New Roman" w:hAnsi="Times New Roman" w:eastAsia="仿宋" w:cs="Times New Roman"/>
          <w:b/>
          <w:bCs/>
          <w:color w:val="auto"/>
          <w:kern w:val="44"/>
          <w:sz w:val="32"/>
          <w:szCs w:val="44"/>
          <w:highlight w:val="none"/>
          <w:lang w:val="en-US" w:eastAsia="zh-CN" w:bidi="ar-SA"/>
        </w:rPr>
        <w:t xml:space="preserve">3 </w:t>
      </w:r>
      <w:bookmarkEnd w:id="53"/>
      <w:bookmarkEnd w:id="54"/>
      <w:r>
        <w:rPr>
          <w:rFonts w:hint="default" w:ascii="Times New Roman" w:hAnsi="Times New Roman" w:eastAsia="仿宋" w:cs="Times New Roman"/>
          <w:b/>
          <w:bCs/>
          <w:color w:val="auto"/>
          <w:kern w:val="44"/>
          <w:sz w:val="32"/>
          <w:szCs w:val="44"/>
          <w:highlight w:val="none"/>
          <w:lang w:val="en-US" w:eastAsia="zh-CN" w:bidi="ar-SA"/>
        </w:rPr>
        <w:t>电磁环境现状调查与评价</w:t>
      </w:r>
    </w:p>
    <w:p w14:paraId="4B59551C">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lang w:val="en-US" w:eastAsia="zh-CN"/>
        </w:rPr>
        <w:t>为了解升压站场址周围环境工频电磁场现状，建设单位委托云南天籁环保科技有限公司于2025年10月18日</w:t>
      </w:r>
      <w:r>
        <w:rPr>
          <w:rFonts w:hint="eastAsia" w:cs="Times New Roman"/>
          <w:bCs/>
          <w:color w:val="auto"/>
          <w:szCs w:val="22"/>
          <w:highlight w:val="none"/>
          <w:lang w:val="en-US" w:eastAsia="zh-CN"/>
        </w:rPr>
        <w:t>—</w:t>
      </w:r>
      <w:r>
        <w:rPr>
          <w:rFonts w:hint="default" w:ascii="Times New Roman" w:hAnsi="Times New Roman" w:eastAsia="仿宋" w:cs="Times New Roman"/>
          <w:bCs/>
          <w:color w:val="auto"/>
          <w:szCs w:val="22"/>
          <w:highlight w:val="none"/>
          <w:lang w:val="en-US" w:eastAsia="zh-CN"/>
        </w:rPr>
        <w:t>2025年10月19日对升压站工频电磁场进行了现状监测。</w:t>
      </w:r>
      <w:r>
        <w:rPr>
          <w:rFonts w:hint="default" w:ascii="Times New Roman" w:hAnsi="Times New Roman" w:eastAsia="仿宋" w:cs="Times New Roman"/>
          <w:bCs/>
          <w:color w:val="auto"/>
          <w:szCs w:val="22"/>
          <w:highlight w:val="none"/>
        </w:rPr>
        <w:t>因拟建升压站区附近无其他电磁干扰，因此仅在升压站中心位置设置1个监测点位。</w:t>
      </w:r>
    </w:p>
    <w:p w14:paraId="574044DA">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3.1监测内容</w:t>
      </w:r>
    </w:p>
    <w:p w14:paraId="2E90D973">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监测点位：</w:t>
      </w:r>
      <w:r>
        <w:rPr>
          <w:rFonts w:hint="default" w:ascii="Times New Roman" w:hAnsi="Times New Roman" w:eastAsia="仿宋" w:cs="Times New Roman"/>
          <w:bCs/>
          <w:color w:val="auto"/>
          <w:szCs w:val="22"/>
          <w:highlight w:val="none"/>
          <w:lang w:val="en-US" w:eastAsia="zh-CN"/>
        </w:rPr>
        <w:t>按照</w:t>
      </w:r>
      <w:r>
        <w:rPr>
          <w:rFonts w:hint="default" w:ascii="Times New Roman" w:hAnsi="Times New Roman" w:eastAsia="仿宋" w:cs="Times New Roman"/>
          <w:bCs/>
          <w:color w:val="auto"/>
          <w:szCs w:val="22"/>
          <w:highlight w:val="none"/>
          <w:lang w:eastAsia="zh-CN"/>
        </w:rPr>
        <w:t>《环境影响评价技术导则 输变电》（HJ24-2020）和《交流输变电工程电磁环境监测方法（试行）》（HJ681-2013）的要求，本次评价在升压站站址中心布置</w:t>
      </w:r>
      <w:r>
        <w:rPr>
          <w:rFonts w:hint="default" w:ascii="Times New Roman" w:hAnsi="Times New Roman" w:eastAsia="仿宋" w:cs="Times New Roman"/>
          <w:bCs/>
          <w:color w:val="auto"/>
          <w:szCs w:val="22"/>
          <w:highlight w:val="none"/>
          <w:lang w:val="en-US" w:eastAsia="zh-CN"/>
        </w:rPr>
        <w:t>1个监测点位</w:t>
      </w:r>
      <w:r>
        <w:rPr>
          <w:rFonts w:hint="default" w:ascii="Times New Roman" w:hAnsi="Times New Roman" w:eastAsia="仿宋" w:cs="Times New Roman"/>
          <w:bCs/>
          <w:color w:val="auto"/>
          <w:szCs w:val="22"/>
          <w:highlight w:val="none"/>
        </w:rPr>
        <w:t>。</w:t>
      </w:r>
    </w:p>
    <w:p w14:paraId="192FEFF8">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监测项目：工频电场强度、工频磁场强度。</w:t>
      </w:r>
    </w:p>
    <w:p w14:paraId="58C4D4FB">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监测频次：</w:t>
      </w:r>
      <w:r>
        <w:rPr>
          <w:rFonts w:hint="default" w:ascii="Times New Roman" w:hAnsi="Times New Roman" w:eastAsia="仿宋" w:cs="Times New Roman"/>
          <w:color w:val="auto"/>
          <w:highlight w:val="none"/>
          <w:lang w:val="en-US" w:eastAsia="zh-CN"/>
        </w:rPr>
        <w:t>监测1天，监测1次</w:t>
      </w:r>
      <w:r>
        <w:rPr>
          <w:rFonts w:hint="default" w:ascii="Times New Roman" w:hAnsi="Times New Roman" w:eastAsia="仿宋" w:cs="Times New Roman"/>
          <w:bCs/>
          <w:color w:val="auto"/>
          <w:szCs w:val="22"/>
          <w:highlight w:val="none"/>
        </w:rPr>
        <w:t>。</w:t>
      </w:r>
    </w:p>
    <w:p w14:paraId="7B36BE69">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监测时间：202</w:t>
      </w:r>
      <w:r>
        <w:rPr>
          <w:rFonts w:hint="default" w:ascii="Times New Roman" w:hAnsi="Times New Roman" w:eastAsia="仿宋" w:cs="Times New Roman"/>
          <w:bCs/>
          <w:color w:val="auto"/>
          <w:szCs w:val="22"/>
          <w:highlight w:val="none"/>
          <w:lang w:val="en-US" w:eastAsia="zh-CN"/>
        </w:rPr>
        <w:t>5</w:t>
      </w:r>
      <w:r>
        <w:rPr>
          <w:rFonts w:hint="default" w:ascii="Times New Roman" w:hAnsi="Times New Roman" w:eastAsia="仿宋" w:cs="Times New Roman"/>
          <w:bCs/>
          <w:color w:val="auto"/>
          <w:szCs w:val="22"/>
          <w:highlight w:val="none"/>
        </w:rPr>
        <w:t>年</w:t>
      </w:r>
      <w:r>
        <w:rPr>
          <w:rFonts w:hint="default" w:ascii="Times New Roman" w:hAnsi="Times New Roman" w:eastAsia="仿宋" w:cs="Times New Roman"/>
          <w:bCs/>
          <w:color w:val="auto"/>
          <w:szCs w:val="22"/>
          <w:highlight w:val="none"/>
          <w:lang w:val="en-US" w:eastAsia="zh-CN"/>
        </w:rPr>
        <w:t>10</w:t>
      </w:r>
      <w:r>
        <w:rPr>
          <w:rFonts w:hint="default" w:ascii="Times New Roman" w:hAnsi="Times New Roman" w:eastAsia="仿宋" w:cs="Times New Roman"/>
          <w:bCs/>
          <w:color w:val="auto"/>
          <w:szCs w:val="22"/>
          <w:highlight w:val="none"/>
        </w:rPr>
        <w:t>月</w:t>
      </w:r>
      <w:r>
        <w:rPr>
          <w:rFonts w:hint="default" w:ascii="Times New Roman" w:hAnsi="Times New Roman" w:eastAsia="仿宋" w:cs="Times New Roman"/>
          <w:bCs/>
          <w:color w:val="auto"/>
          <w:szCs w:val="22"/>
          <w:highlight w:val="none"/>
          <w:lang w:val="en-US" w:eastAsia="zh-CN"/>
        </w:rPr>
        <w:t>18</w:t>
      </w:r>
      <w:r>
        <w:rPr>
          <w:rFonts w:hint="default" w:ascii="Times New Roman" w:hAnsi="Times New Roman" w:eastAsia="仿宋" w:cs="Times New Roman"/>
          <w:bCs/>
          <w:color w:val="auto"/>
          <w:szCs w:val="22"/>
          <w:highlight w:val="none"/>
        </w:rPr>
        <w:t>日</w:t>
      </w:r>
      <w:r>
        <w:rPr>
          <w:rFonts w:hint="default" w:ascii="Times New Roman" w:hAnsi="Times New Roman" w:eastAsia="仿宋" w:cs="Times New Roman"/>
          <w:bCs/>
          <w:color w:val="auto"/>
          <w:szCs w:val="22"/>
          <w:highlight w:val="none"/>
          <w:lang w:eastAsia="zh-CN"/>
        </w:rPr>
        <w:t>、202</w:t>
      </w:r>
      <w:r>
        <w:rPr>
          <w:rFonts w:hint="default" w:ascii="Times New Roman" w:hAnsi="Times New Roman" w:eastAsia="仿宋" w:cs="Times New Roman"/>
          <w:bCs/>
          <w:color w:val="auto"/>
          <w:szCs w:val="22"/>
          <w:highlight w:val="none"/>
          <w:lang w:val="en-US" w:eastAsia="zh-CN"/>
        </w:rPr>
        <w:t>5</w:t>
      </w:r>
      <w:r>
        <w:rPr>
          <w:rFonts w:hint="default" w:ascii="Times New Roman" w:hAnsi="Times New Roman" w:eastAsia="仿宋" w:cs="Times New Roman"/>
          <w:bCs/>
          <w:color w:val="auto"/>
          <w:szCs w:val="22"/>
          <w:highlight w:val="none"/>
          <w:lang w:eastAsia="zh-CN"/>
        </w:rPr>
        <w:t>年</w:t>
      </w:r>
      <w:r>
        <w:rPr>
          <w:rFonts w:hint="default" w:ascii="Times New Roman" w:hAnsi="Times New Roman" w:eastAsia="仿宋" w:cs="Times New Roman"/>
          <w:bCs/>
          <w:color w:val="auto"/>
          <w:szCs w:val="22"/>
          <w:highlight w:val="none"/>
          <w:lang w:val="en-US" w:eastAsia="zh-CN"/>
        </w:rPr>
        <w:t>10</w:t>
      </w:r>
      <w:r>
        <w:rPr>
          <w:rFonts w:hint="default" w:ascii="Times New Roman" w:hAnsi="Times New Roman" w:eastAsia="仿宋" w:cs="Times New Roman"/>
          <w:bCs/>
          <w:color w:val="auto"/>
          <w:szCs w:val="22"/>
          <w:highlight w:val="none"/>
          <w:lang w:eastAsia="zh-CN"/>
        </w:rPr>
        <w:t>月</w:t>
      </w:r>
      <w:r>
        <w:rPr>
          <w:rFonts w:hint="default" w:ascii="Times New Roman" w:hAnsi="Times New Roman" w:eastAsia="仿宋" w:cs="Times New Roman"/>
          <w:bCs/>
          <w:color w:val="auto"/>
          <w:szCs w:val="22"/>
          <w:highlight w:val="none"/>
          <w:lang w:val="en-US" w:eastAsia="zh-CN"/>
        </w:rPr>
        <w:t>19</w:t>
      </w:r>
      <w:r>
        <w:rPr>
          <w:rFonts w:hint="default" w:ascii="Times New Roman" w:hAnsi="Times New Roman" w:eastAsia="仿宋" w:cs="Times New Roman"/>
          <w:bCs/>
          <w:color w:val="auto"/>
          <w:szCs w:val="22"/>
          <w:highlight w:val="none"/>
          <w:lang w:eastAsia="zh-CN"/>
        </w:rPr>
        <w:t>日</w:t>
      </w:r>
      <w:r>
        <w:rPr>
          <w:rFonts w:hint="default" w:ascii="Times New Roman" w:hAnsi="Times New Roman" w:eastAsia="仿宋" w:cs="Times New Roman"/>
          <w:bCs/>
          <w:color w:val="auto"/>
          <w:szCs w:val="22"/>
          <w:highlight w:val="none"/>
        </w:rPr>
        <w:t>。</w:t>
      </w:r>
    </w:p>
    <w:p w14:paraId="1B9F092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监测仪器：</w:t>
      </w:r>
      <w:r>
        <w:rPr>
          <w:rFonts w:hint="default" w:ascii="Times New Roman" w:hAnsi="Times New Roman" w:eastAsia="仿宋" w:cs="Times New Roman"/>
          <w:b w:val="0"/>
          <w:bCs w:val="0"/>
          <w:color w:val="auto"/>
          <w:kern w:val="0"/>
          <w:sz w:val="24"/>
          <w:szCs w:val="24"/>
          <w:highlight w:val="none"/>
        </w:rPr>
        <w:t>ND1000 NDL-100</w:t>
      </w:r>
      <w:r>
        <w:rPr>
          <w:rFonts w:hint="default" w:ascii="Times New Roman" w:hAnsi="Times New Roman" w:eastAsia="仿宋" w:cs="Times New Roman"/>
          <w:color w:val="auto"/>
          <w:spacing w:val="0"/>
          <w:sz w:val="24"/>
          <w:szCs w:val="24"/>
          <w:highlight w:val="none"/>
        </w:rPr>
        <w:t>工频电磁分析仪</w:t>
      </w:r>
    </w:p>
    <w:p w14:paraId="0D4CAD9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lang w:val="en-US" w:eastAsia="zh-CN"/>
        </w:rPr>
      </w:pPr>
      <w:r>
        <w:rPr>
          <w:rFonts w:hint="default" w:ascii="Times New Roman" w:hAnsi="Times New Roman" w:eastAsia="仿宋" w:cs="Times New Roman"/>
          <w:color w:val="auto"/>
          <w:spacing w:val="0"/>
          <w:sz w:val="24"/>
          <w:szCs w:val="24"/>
          <w:highlight w:val="none"/>
        </w:rPr>
        <w:t>仪器编号：</w:t>
      </w:r>
      <w:r>
        <w:rPr>
          <w:rFonts w:hint="eastAsia" w:cs="Times New Roman"/>
          <w:color w:val="auto"/>
          <w:spacing w:val="0"/>
          <w:sz w:val="24"/>
          <w:szCs w:val="24"/>
          <w:highlight w:val="none"/>
          <w:lang w:val="en-US" w:eastAsia="zh-CN"/>
        </w:rPr>
        <w:t>JL155</w:t>
      </w:r>
    </w:p>
    <w:p w14:paraId="71D1031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检定/校准有效期：2026年</w:t>
      </w:r>
      <w:r>
        <w:rPr>
          <w:rFonts w:hint="eastAsia" w:cs="Times New Roman"/>
          <w:color w:val="auto"/>
          <w:spacing w:val="0"/>
          <w:sz w:val="24"/>
          <w:szCs w:val="24"/>
          <w:highlight w:val="none"/>
          <w:lang w:val="en-US" w:eastAsia="zh-CN"/>
        </w:rPr>
        <w:t>3</w:t>
      </w:r>
      <w:r>
        <w:rPr>
          <w:rFonts w:hint="default" w:ascii="Times New Roman" w:hAnsi="Times New Roman" w:eastAsia="仿宋" w:cs="Times New Roman"/>
          <w:color w:val="auto"/>
          <w:spacing w:val="0"/>
          <w:sz w:val="24"/>
          <w:szCs w:val="24"/>
          <w:highlight w:val="none"/>
        </w:rPr>
        <w:t>月</w:t>
      </w:r>
      <w:r>
        <w:rPr>
          <w:rFonts w:hint="eastAsia" w:cs="Times New Roman"/>
          <w:color w:val="auto"/>
          <w:spacing w:val="0"/>
          <w:sz w:val="24"/>
          <w:szCs w:val="24"/>
          <w:highlight w:val="none"/>
          <w:lang w:val="en-US" w:eastAsia="zh-CN"/>
        </w:rPr>
        <w:t>27</w:t>
      </w:r>
      <w:r>
        <w:rPr>
          <w:rFonts w:hint="default" w:ascii="Times New Roman" w:hAnsi="Times New Roman" w:eastAsia="仿宋" w:cs="Times New Roman"/>
          <w:color w:val="auto"/>
          <w:spacing w:val="0"/>
          <w:sz w:val="24"/>
          <w:szCs w:val="24"/>
          <w:highlight w:val="none"/>
        </w:rPr>
        <w:t>日</w:t>
      </w:r>
    </w:p>
    <w:p w14:paraId="143831D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textAlignment w:val="auto"/>
        <w:rPr>
          <w:rFonts w:hint="default" w:ascii="Times New Roman" w:hAnsi="Times New Roman" w:eastAsia="仿宋" w:cs="Times New Roman"/>
          <w:bCs/>
          <w:color w:val="auto"/>
          <w:szCs w:val="22"/>
          <w:highlight w:val="none"/>
        </w:rPr>
      </w:pPr>
      <w:r>
        <w:rPr>
          <w:rFonts w:hint="default" w:ascii="Times New Roman" w:hAnsi="Times New Roman" w:eastAsia="仿宋" w:cs="Times New Roman"/>
          <w:color w:val="auto"/>
          <w:spacing w:val="0"/>
          <w:sz w:val="24"/>
          <w:szCs w:val="24"/>
          <w:highlight w:val="none"/>
        </w:rPr>
        <w:t>证书编号：</w:t>
      </w:r>
      <w:r>
        <w:rPr>
          <w:rFonts w:hint="eastAsia" w:cs="Times New Roman"/>
          <w:color w:val="auto"/>
          <w:spacing w:val="0"/>
          <w:sz w:val="24"/>
          <w:szCs w:val="24"/>
          <w:highlight w:val="none"/>
          <w:lang w:val="en-US" w:eastAsia="zh-CN"/>
        </w:rPr>
        <w:t>WWD202500874</w:t>
      </w:r>
      <w:r>
        <w:rPr>
          <w:rFonts w:hint="default" w:ascii="Times New Roman" w:hAnsi="Times New Roman" w:eastAsia="仿宋" w:cs="Times New Roman"/>
          <w:bCs/>
          <w:color w:val="auto"/>
          <w:szCs w:val="22"/>
          <w:highlight w:val="none"/>
        </w:rPr>
        <w:t>。</w:t>
      </w:r>
    </w:p>
    <w:p w14:paraId="308A9A3C">
      <w:pPr>
        <w:spacing w:line="360" w:lineRule="auto"/>
        <w:ind w:firstLine="480" w:firstLineChars="200"/>
        <w:rPr>
          <w:rFonts w:hint="default" w:ascii="Times New Roman" w:hAnsi="Times New Roman" w:eastAsia="仿宋" w:cs="Times New Roman"/>
          <w:bCs/>
          <w:color w:val="auto"/>
          <w:szCs w:val="22"/>
          <w:highlight w:val="none"/>
          <w:lang w:val="en-US" w:eastAsia="zh-CN"/>
        </w:rPr>
      </w:pPr>
      <w:r>
        <w:rPr>
          <w:rFonts w:hint="default" w:ascii="Times New Roman" w:hAnsi="Times New Roman" w:eastAsia="仿宋" w:cs="Times New Roman"/>
          <w:bCs/>
          <w:color w:val="auto"/>
          <w:szCs w:val="22"/>
          <w:highlight w:val="none"/>
          <w:lang w:val="en-US" w:eastAsia="zh-CN"/>
        </w:rPr>
        <w:t>数据记录：</w:t>
      </w:r>
      <w:r>
        <w:rPr>
          <w:rFonts w:hint="default" w:ascii="Times New Roman" w:hAnsi="Times New Roman" w:eastAsia="仿宋" w:cs="Times New Roman"/>
          <w:color w:val="auto"/>
          <w:highlight w:val="none"/>
          <w:lang w:val="en-US" w:eastAsia="zh-CN"/>
        </w:rPr>
        <w:t>每个监测点位连续测5次，每次监测时间不小于15s，并读取稳定状态的最大值。若仪器读数起伏较大时，应适当延长监测时间。求出每个监测点位的5次读数的</w:t>
      </w:r>
      <w:r>
        <w:rPr>
          <w:rFonts w:hint="eastAsia" w:cs="Times New Roman"/>
          <w:color w:val="auto"/>
          <w:highlight w:val="none"/>
          <w:lang w:val="en-US" w:eastAsia="zh-CN"/>
        </w:rPr>
        <w:t>算术</w:t>
      </w:r>
      <w:r>
        <w:rPr>
          <w:rFonts w:hint="default" w:ascii="Times New Roman" w:hAnsi="Times New Roman" w:eastAsia="仿宋" w:cs="Times New Roman"/>
          <w:color w:val="auto"/>
          <w:highlight w:val="none"/>
          <w:lang w:val="en-US" w:eastAsia="zh-CN"/>
        </w:rPr>
        <w:t>平均值作为监测结果。</w:t>
      </w:r>
    </w:p>
    <w:p w14:paraId="4C53A16E">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（2）评价标准</w:t>
      </w:r>
    </w:p>
    <w:p w14:paraId="2CA5129C">
      <w:pPr>
        <w:spacing w:line="360" w:lineRule="auto"/>
        <w:ind w:firstLine="480" w:firstLineChars="200"/>
        <w:rPr>
          <w:rFonts w:hint="default" w:ascii="Times New Roman" w:hAnsi="Times New Roman" w:eastAsia="仿宋" w:cs="Times New Roman"/>
          <w:bCs/>
          <w:color w:val="auto"/>
          <w:szCs w:val="22"/>
          <w:highlight w:val="none"/>
        </w:rPr>
      </w:pPr>
      <w:r>
        <w:rPr>
          <w:rFonts w:hint="default" w:ascii="Times New Roman" w:hAnsi="Times New Roman" w:eastAsia="仿宋" w:cs="Times New Roman"/>
          <w:bCs/>
          <w:color w:val="auto"/>
          <w:szCs w:val="22"/>
          <w:highlight w:val="none"/>
        </w:rPr>
        <w:t>执行《电磁环境控制限值》（GB8702-2014）。</w:t>
      </w:r>
    </w:p>
    <w:p w14:paraId="36307AE6">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3.2监测结果及分析评价。</w:t>
      </w:r>
    </w:p>
    <w:p w14:paraId="553F8F3E">
      <w:pPr>
        <w:widowControl w:val="0"/>
        <w:spacing w:line="360" w:lineRule="auto"/>
        <w:ind w:firstLine="0" w:firstLineChars="0"/>
        <w:jc w:val="center"/>
        <w:rPr>
          <w:rFonts w:hint="default" w:ascii="Times New Roman" w:hAnsi="Times New Roman" w:eastAsia="仿宋" w:cs="Times New Roman"/>
          <w:b/>
          <w:color w:val="auto"/>
          <w:kern w:val="2"/>
          <w:sz w:val="21"/>
          <w:szCs w:val="20"/>
          <w:highlight w:val="none"/>
          <w:vertAlign w:val="superscript"/>
          <w:lang w:val="en-US" w:eastAsia="zh-CN" w:bidi="ar-SA"/>
        </w:rPr>
      </w:pPr>
      <w:r>
        <w:rPr>
          <w:rFonts w:hint="default" w:ascii="Times New Roman" w:hAnsi="Times New Roman" w:eastAsia="仿宋" w:cs="Times New Roman"/>
          <w:b/>
          <w:color w:val="auto"/>
          <w:kern w:val="2"/>
          <w:sz w:val="21"/>
          <w:szCs w:val="20"/>
          <w:highlight w:val="none"/>
          <w:lang w:val="en-US" w:eastAsia="zh-CN" w:bidi="ar-SA"/>
        </w:rPr>
        <w:t>表3.2-1  电磁辐射现状监测结果一览表单位：电场V/m、磁场μT</w:t>
      </w:r>
    </w:p>
    <w:tbl>
      <w:tblPr>
        <w:tblStyle w:val="11"/>
        <w:tblW w:w="49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925"/>
        <w:gridCol w:w="1274"/>
        <w:gridCol w:w="752"/>
        <w:gridCol w:w="786"/>
        <w:gridCol w:w="752"/>
        <w:gridCol w:w="786"/>
        <w:gridCol w:w="752"/>
        <w:gridCol w:w="832"/>
        <w:gridCol w:w="840"/>
      </w:tblGrid>
      <w:tr w14:paraId="4414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40" w:type="dxa"/>
            <w:vMerge w:val="restart"/>
            <w:noWrap w:val="0"/>
            <w:vAlign w:val="center"/>
          </w:tcPr>
          <w:p w14:paraId="0983B31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监测内容</w:t>
            </w:r>
          </w:p>
        </w:tc>
        <w:tc>
          <w:tcPr>
            <w:tcW w:w="925" w:type="dxa"/>
            <w:vMerge w:val="restart"/>
            <w:noWrap w:val="0"/>
            <w:vAlign w:val="center"/>
          </w:tcPr>
          <w:p w14:paraId="750C1D8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检测点位置</w:t>
            </w:r>
          </w:p>
        </w:tc>
        <w:tc>
          <w:tcPr>
            <w:tcW w:w="1274" w:type="dxa"/>
            <w:vMerge w:val="restart"/>
            <w:noWrap w:val="0"/>
            <w:vAlign w:val="center"/>
          </w:tcPr>
          <w:p w14:paraId="58FD591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监测日期</w:t>
            </w:r>
          </w:p>
        </w:tc>
        <w:tc>
          <w:tcPr>
            <w:tcW w:w="5500" w:type="dxa"/>
            <w:gridSpan w:val="7"/>
            <w:noWrap w:val="0"/>
            <w:vAlign w:val="center"/>
          </w:tcPr>
          <w:p w14:paraId="56B66B1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检测结果</w:t>
            </w:r>
          </w:p>
        </w:tc>
      </w:tr>
      <w:tr w14:paraId="6592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40" w:type="dxa"/>
            <w:vMerge w:val="continue"/>
            <w:noWrap w:val="0"/>
            <w:vAlign w:val="center"/>
          </w:tcPr>
          <w:p w14:paraId="015CEAA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925" w:type="dxa"/>
            <w:vMerge w:val="continue"/>
            <w:noWrap w:val="0"/>
            <w:vAlign w:val="center"/>
          </w:tcPr>
          <w:p w14:paraId="2325736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274" w:type="dxa"/>
            <w:vMerge w:val="continue"/>
            <w:noWrap w:val="0"/>
            <w:vAlign w:val="center"/>
          </w:tcPr>
          <w:p w14:paraId="2481E4D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p>
        </w:tc>
        <w:tc>
          <w:tcPr>
            <w:tcW w:w="5500" w:type="dxa"/>
            <w:gridSpan w:val="7"/>
            <w:noWrap w:val="0"/>
            <w:vAlign w:val="center"/>
          </w:tcPr>
          <w:p w14:paraId="2A1DF39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rPr>
            </w:pPr>
            <w:r>
              <w:rPr>
                <w:rFonts w:hint="default" w:ascii="Times New Roman" w:hAnsi="Times New Roman" w:eastAsia="仿宋" w:cs="Times New Roman"/>
                <w:color w:val="auto"/>
                <w:sz w:val="21"/>
                <w:szCs w:val="21"/>
                <w:highlight w:val="none"/>
                <w:vertAlign w:val="baseline"/>
                <w:lang w:eastAsia="zh-CN"/>
              </w:rPr>
              <w:t>工频电场（</w:t>
            </w:r>
            <w:r>
              <w:rPr>
                <w:rFonts w:hint="default" w:ascii="Times New Roman" w:hAnsi="Times New Roman" w:eastAsia="仿宋" w:cs="Times New Roman"/>
                <w:color w:val="auto"/>
                <w:sz w:val="21"/>
                <w:szCs w:val="21"/>
                <w:highlight w:val="none"/>
                <w:vertAlign w:val="baseline"/>
                <w:lang w:val="en-US" w:eastAsia="zh-CN"/>
              </w:rPr>
              <w:t>V/m</w:t>
            </w:r>
            <w:r>
              <w:rPr>
                <w:rFonts w:hint="default" w:ascii="Times New Roman" w:hAnsi="Times New Roman" w:eastAsia="仿宋" w:cs="Times New Roman"/>
                <w:color w:val="auto"/>
                <w:sz w:val="21"/>
                <w:szCs w:val="21"/>
                <w:highlight w:val="none"/>
                <w:vertAlign w:val="baseline"/>
                <w:lang w:eastAsia="zh-CN"/>
              </w:rPr>
              <w:t>）</w:t>
            </w:r>
            <w:r>
              <w:rPr>
                <w:rFonts w:hint="default" w:ascii="Times New Roman" w:hAnsi="Times New Roman" w:eastAsia="仿宋" w:cs="Times New Roman"/>
                <w:color w:val="auto"/>
                <w:sz w:val="21"/>
                <w:szCs w:val="21"/>
                <w:highlight w:val="none"/>
                <w:vertAlign w:val="baseline"/>
                <w:lang w:val="en-US" w:eastAsia="zh-CN"/>
              </w:rPr>
              <w:t>/</w:t>
            </w:r>
            <w:r>
              <w:rPr>
                <w:rFonts w:hint="default" w:ascii="Times New Roman" w:hAnsi="Times New Roman" w:eastAsia="仿宋" w:cs="Times New Roman"/>
                <w:color w:val="auto"/>
                <w:sz w:val="21"/>
                <w:szCs w:val="21"/>
                <w:highlight w:val="none"/>
                <w:vertAlign w:val="baseline"/>
                <w:lang w:eastAsia="zh-CN"/>
              </w:rPr>
              <w:t>工频磁场（μT）</w:t>
            </w:r>
          </w:p>
        </w:tc>
      </w:tr>
      <w:tr w14:paraId="46FE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40" w:type="dxa"/>
            <w:vMerge w:val="continue"/>
            <w:noWrap w:val="0"/>
            <w:vAlign w:val="center"/>
          </w:tcPr>
          <w:p w14:paraId="347C59E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925" w:type="dxa"/>
            <w:vMerge w:val="continue"/>
            <w:noWrap w:val="0"/>
            <w:vAlign w:val="center"/>
          </w:tcPr>
          <w:p w14:paraId="28F2653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274" w:type="dxa"/>
            <w:vMerge w:val="continue"/>
            <w:noWrap w:val="0"/>
            <w:vAlign w:val="center"/>
          </w:tcPr>
          <w:p w14:paraId="7142C5B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p>
        </w:tc>
        <w:tc>
          <w:tcPr>
            <w:tcW w:w="752" w:type="dxa"/>
            <w:noWrap w:val="0"/>
            <w:vAlign w:val="center"/>
          </w:tcPr>
          <w:p w14:paraId="7858B02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w:t>
            </w:r>
          </w:p>
        </w:tc>
        <w:tc>
          <w:tcPr>
            <w:tcW w:w="786" w:type="dxa"/>
            <w:noWrap w:val="0"/>
            <w:vAlign w:val="center"/>
          </w:tcPr>
          <w:p w14:paraId="592F30C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w:t>
            </w:r>
          </w:p>
        </w:tc>
        <w:tc>
          <w:tcPr>
            <w:tcW w:w="752" w:type="dxa"/>
            <w:noWrap w:val="0"/>
            <w:vAlign w:val="center"/>
          </w:tcPr>
          <w:p w14:paraId="678322B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w:t>
            </w:r>
          </w:p>
        </w:tc>
        <w:tc>
          <w:tcPr>
            <w:tcW w:w="786" w:type="dxa"/>
            <w:noWrap w:val="0"/>
            <w:vAlign w:val="center"/>
          </w:tcPr>
          <w:p w14:paraId="504DB93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w:t>
            </w:r>
          </w:p>
        </w:tc>
        <w:tc>
          <w:tcPr>
            <w:tcW w:w="752" w:type="dxa"/>
            <w:noWrap w:val="0"/>
            <w:vAlign w:val="center"/>
          </w:tcPr>
          <w:p w14:paraId="240979F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5</w:t>
            </w:r>
          </w:p>
        </w:tc>
        <w:tc>
          <w:tcPr>
            <w:tcW w:w="832" w:type="dxa"/>
            <w:noWrap w:val="0"/>
            <w:vAlign w:val="center"/>
          </w:tcPr>
          <w:p w14:paraId="0978739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最大值</w:t>
            </w:r>
          </w:p>
        </w:tc>
        <w:tc>
          <w:tcPr>
            <w:tcW w:w="840" w:type="dxa"/>
            <w:noWrap w:val="0"/>
            <w:vAlign w:val="center"/>
          </w:tcPr>
          <w:p w14:paraId="7DBA848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平均值</w:t>
            </w:r>
          </w:p>
        </w:tc>
      </w:tr>
      <w:tr w14:paraId="5628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restart"/>
            <w:noWrap w:val="0"/>
            <w:vAlign w:val="center"/>
          </w:tcPr>
          <w:p w14:paraId="4D057A0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工频电场</w:t>
            </w:r>
          </w:p>
        </w:tc>
        <w:tc>
          <w:tcPr>
            <w:tcW w:w="925" w:type="dxa"/>
            <w:vMerge w:val="restart"/>
            <w:noWrap w:val="0"/>
            <w:vAlign w:val="center"/>
          </w:tcPr>
          <w:p w14:paraId="39CE4C4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升压站站址中心</w:t>
            </w:r>
          </w:p>
        </w:tc>
        <w:tc>
          <w:tcPr>
            <w:tcW w:w="1274" w:type="dxa"/>
            <w:noWrap w:val="0"/>
            <w:vAlign w:val="center"/>
          </w:tcPr>
          <w:p w14:paraId="38DB7E4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2025.10.18</w:t>
            </w:r>
          </w:p>
        </w:tc>
        <w:tc>
          <w:tcPr>
            <w:tcW w:w="752" w:type="dxa"/>
            <w:noWrap w:val="0"/>
            <w:vAlign w:val="center"/>
          </w:tcPr>
          <w:p w14:paraId="15115FC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3.345</w:t>
            </w:r>
          </w:p>
        </w:tc>
        <w:tc>
          <w:tcPr>
            <w:tcW w:w="786" w:type="dxa"/>
            <w:noWrap w:val="0"/>
            <w:vAlign w:val="center"/>
          </w:tcPr>
          <w:p w14:paraId="7ECAA10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3.343</w:t>
            </w:r>
          </w:p>
        </w:tc>
        <w:tc>
          <w:tcPr>
            <w:tcW w:w="752" w:type="dxa"/>
            <w:noWrap w:val="0"/>
            <w:vAlign w:val="center"/>
          </w:tcPr>
          <w:p w14:paraId="15FEF51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3.341</w:t>
            </w:r>
          </w:p>
        </w:tc>
        <w:tc>
          <w:tcPr>
            <w:tcW w:w="786" w:type="dxa"/>
            <w:noWrap w:val="0"/>
            <w:vAlign w:val="center"/>
          </w:tcPr>
          <w:p w14:paraId="6B02A02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3.330</w:t>
            </w:r>
          </w:p>
        </w:tc>
        <w:tc>
          <w:tcPr>
            <w:tcW w:w="752" w:type="dxa"/>
            <w:noWrap w:val="0"/>
            <w:vAlign w:val="center"/>
          </w:tcPr>
          <w:p w14:paraId="62B8A34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3.326</w:t>
            </w:r>
          </w:p>
        </w:tc>
        <w:tc>
          <w:tcPr>
            <w:tcW w:w="832" w:type="dxa"/>
            <w:noWrap w:val="0"/>
            <w:vAlign w:val="center"/>
          </w:tcPr>
          <w:p w14:paraId="21092EA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3.345</w:t>
            </w:r>
          </w:p>
        </w:tc>
        <w:tc>
          <w:tcPr>
            <w:tcW w:w="840" w:type="dxa"/>
            <w:noWrap w:val="0"/>
            <w:vAlign w:val="center"/>
          </w:tcPr>
          <w:p w14:paraId="06550C5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3.337</w:t>
            </w:r>
          </w:p>
        </w:tc>
      </w:tr>
      <w:tr w14:paraId="53D9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continue"/>
            <w:noWrap w:val="0"/>
            <w:vAlign w:val="center"/>
          </w:tcPr>
          <w:p w14:paraId="251E8DE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p>
        </w:tc>
        <w:tc>
          <w:tcPr>
            <w:tcW w:w="925" w:type="dxa"/>
            <w:vMerge w:val="continue"/>
            <w:noWrap w:val="0"/>
            <w:vAlign w:val="center"/>
          </w:tcPr>
          <w:p w14:paraId="34FABE2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p>
        </w:tc>
        <w:tc>
          <w:tcPr>
            <w:tcW w:w="1274" w:type="dxa"/>
            <w:noWrap w:val="0"/>
            <w:vAlign w:val="center"/>
          </w:tcPr>
          <w:p w14:paraId="3468960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2025.10.19</w:t>
            </w:r>
          </w:p>
        </w:tc>
        <w:tc>
          <w:tcPr>
            <w:tcW w:w="752" w:type="dxa"/>
            <w:noWrap w:val="0"/>
            <w:vAlign w:val="center"/>
          </w:tcPr>
          <w:p w14:paraId="5E395BD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3.324</w:t>
            </w:r>
          </w:p>
        </w:tc>
        <w:tc>
          <w:tcPr>
            <w:tcW w:w="786" w:type="dxa"/>
            <w:noWrap w:val="0"/>
            <w:vAlign w:val="center"/>
          </w:tcPr>
          <w:p w14:paraId="004BD11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3.312</w:t>
            </w:r>
          </w:p>
        </w:tc>
        <w:tc>
          <w:tcPr>
            <w:tcW w:w="752" w:type="dxa"/>
            <w:noWrap w:val="0"/>
            <w:vAlign w:val="center"/>
          </w:tcPr>
          <w:p w14:paraId="3EC5CB9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3.295</w:t>
            </w:r>
          </w:p>
        </w:tc>
        <w:tc>
          <w:tcPr>
            <w:tcW w:w="786" w:type="dxa"/>
            <w:noWrap w:val="0"/>
            <w:vAlign w:val="center"/>
          </w:tcPr>
          <w:p w14:paraId="13D4A68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3.286</w:t>
            </w:r>
          </w:p>
        </w:tc>
        <w:tc>
          <w:tcPr>
            <w:tcW w:w="752" w:type="dxa"/>
            <w:noWrap w:val="0"/>
            <w:vAlign w:val="center"/>
          </w:tcPr>
          <w:p w14:paraId="5C12EA2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3.286</w:t>
            </w:r>
          </w:p>
        </w:tc>
        <w:tc>
          <w:tcPr>
            <w:tcW w:w="832" w:type="dxa"/>
            <w:noWrap w:val="0"/>
            <w:vAlign w:val="center"/>
          </w:tcPr>
          <w:p w14:paraId="0F5E7F1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3.324</w:t>
            </w:r>
          </w:p>
        </w:tc>
        <w:tc>
          <w:tcPr>
            <w:tcW w:w="840" w:type="dxa"/>
            <w:noWrap w:val="0"/>
            <w:vAlign w:val="center"/>
          </w:tcPr>
          <w:p w14:paraId="1EF9F1F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3.301</w:t>
            </w:r>
          </w:p>
        </w:tc>
      </w:tr>
      <w:tr w14:paraId="2553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restart"/>
            <w:noWrap w:val="0"/>
            <w:vAlign w:val="center"/>
          </w:tcPr>
          <w:p w14:paraId="5F2929F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工频磁场</w:t>
            </w:r>
          </w:p>
        </w:tc>
        <w:tc>
          <w:tcPr>
            <w:tcW w:w="925" w:type="dxa"/>
            <w:vMerge w:val="continue"/>
            <w:noWrap w:val="0"/>
            <w:vAlign w:val="center"/>
          </w:tcPr>
          <w:p w14:paraId="007EB59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274" w:type="dxa"/>
            <w:noWrap w:val="0"/>
            <w:vAlign w:val="center"/>
          </w:tcPr>
          <w:p w14:paraId="34C0E14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2025.10.18</w:t>
            </w:r>
          </w:p>
        </w:tc>
        <w:tc>
          <w:tcPr>
            <w:tcW w:w="752" w:type="dxa"/>
            <w:shd w:val="clear" w:color="auto" w:fill="auto"/>
            <w:noWrap w:val="0"/>
            <w:vAlign w:val="center"/>
          </w:tcPr>
          <w:p w14:paraId="0B4E6B5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0.011</w:t>
            </w:r>
          </w:p>
        </w:tc>
        <w:tc>
          <w:tcPr>
            <w:tcW w:w="786" w:type="dxa"/>
            <w:shd w:val="clear" w:color="auto" w:fill="auto"/>
            <w:noWrap w:val="0"/>
            <w:vAlign w:val="center"/>
          </w:tcPr>
          <w:p w14:paraId="0DE5E9C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c>
          <w:tcPr>
            <w:tcW w:w="752" w:type="dxa"/>
            <w:shd w:val="clear" w:color="auto" w:fill="auto"/>
            <w:noWrap w:val="0"/>
            <w:vAlign w:val="center"/>
          </w:tcPr>
          <w:p w14:paraId="4AE08F1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c>
          <w:tcPr>
            <w:tcW w:w="786" w:type="dxa"/>
            <w:shd w:val="clear" w:color="auto" w:fill="auto"/>
            <w:noWrap w:val="0"/>
            <w:vAlign w:val="center"/>
          </w:tcPr>
          <w:p w14:paraId="78F90E0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c>
          <w:tcPr>
            <w:tcW w:w="752" w:type="dxa"/>
            <w:shd w:val="clear" w:color="auto" w:fill="auto"/>
            <w:noWrap w:val="0"/>
            <w:vAlign w:val="center"/>
          </w:tcPr>
          <w:p w14:paraId="46E4475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0.013</w:t>
            </w:r>
          </w:p>
        </w:tc>
        <w:tc>
          <w:tcPr>
            <w:tcW w:w="832" w:type="dxa"/>
            <w:shd w:val="clear" w:color="auto" w:fill="auto"/>
            <w:noWrap w:val="0"/>
            <w:vAlign w:val="center"/>
          </w:tcPr>
          <w:p w14:paraId="2DE604F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0.013</w:t>
            </w:r>
          </w:p>
        </w:tc>
        <w:tc>
          <w:tcPr>
            <w:tcW w:w="840" w:type="dxa"/>
            <w:shd w:val="clear" w:color="auto" w:fill="auto"/>
            <w:noWrap w:val="0"/>
            <w:vAlign w:val="center"/>
          </w:tcPr>
          <w:p w14:paraId="6A6CB1B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0.012</w:t>
            </w:r>
          </w:p>
        </w:tc>
      </w:tr>
      <w:tr w14:paraId="274B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0" w:type="dxa"/>
            <w:vMerge w:val="continue"/>
            <w:noWrap w:val="0"/>
            <w:vAlign w:val="center"/>
          </w:tcPr>
          <w:p w14:paraId="1637176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p>
        </w:tc>
        <w:tc>
          <w:tcPr>
            <w:tcW w:w="925" w:type="dxa"/>
            <w:vMerge w:val="continue"/>
            <w:noWrap w:val="0"/>
            <w:vAlign w:val="center"/>
          </w:tcPr>
          <w:p w14:paraId="1985969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rPr>
            </w:pPr>
          </w:p>
        </w:tc>
        <w:tc>
          <w:tcPr>
            <w:tcW w:w="1274" w:type="dxa"/>
            <w:noWrap w:val="0"/>
            <w:vAlign w:val="center"/>
          </w:tcPr>
          <w:p w14:paraId="4F43A37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2025.10.19</w:t>
            </w:r>
          </w:p>
        </w:tc>
        <w:tc>
          <w:tcPr>
            <w:tcW w:w="752" w:type="dxa"/>
            <w:noWrap w:val="0"/>
            <w:vAlign w:val="center"/>
          </w:tcPr>
          <w:p w14:paraId="76324F5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0.017</w:t>
            </w:r>
          </w:p>
        </w:tc>
        <w:tc>
          <w:tcPr>
            <w:tcW w:w="786" w:type="dxa"/>
            <w:noWrap w:val="0"/>
            <w:vAlign w:val="center"/>
          </w:tcPr>
          <w:p w14:paraId="5A99F8D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0.019</w:t>
            </w:r>
          </w:p>
        </w:tc>
        <w:tc>
          <w:tcPr>
            <w:tcW w:w="752" w:type="dxa"/>
            <w:noWrap w:val="0"/>
            <w:vAlign w:val="center"/>
          </w:tcPr>
          <w:p w14:paraId="5E94277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0.021</w:t>
            </w:r>
          </w:p>
        </w:tc>
        <w:tc>
          <w:tcPr>
            <w:tcW w:w="786" w:type="dxa"/>
            <w:noWrap w:val="0"/>
            <w:vAlign w:val="center"/>
          </w:tcPr>
          <w:p w14:paraId="0E7651C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0.023</w:t>
            </w:r>
          </w:p>
        </w:tc>
        <w:tc>
          <w:tcPr>
            <w:tcW w:w="752" w:type="dxa"/>
            <w:noWrap w:val="0"/>
            <w:vAlign w:val="center"/>
          </w:tcPr>
          <w:p w14:paraId="636758C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0.023</w:t>
            </w:r>
          </w:p>
        </w:tc>
        <w:tc>
          <w:tcPr>
            <w:tcW w:w="832" w:type="dxa"/>
            <w:noWrap w:val="0"/>
            <w:vAlign w:val="center"/>
          </w:tcPr>
          <w:p w14:paraId="1FAD4D7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0.023</w:t>
            </w:r>
          </w:p>
        </w:tc>
        <w:tc>
          <w:tcPr>
            <w:tcW w:w="840" w:type="dxa"/>
            <w:noWrap w:val="0"/>
            <w:vAlign w:val="center"/>
          </w:tcPr>
          <w:p w14:paraId="1AAC3F5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0.021</w:t>
            </w:r>
          </w:p>
        </w:tc>
      </w:tr>
    </w:tbl>
    <w:p w14:paraId="6B8A41A4">
      <w:pPr>
        <w:spacing w:line="360" w:lineRule="auto"/>
        <w:ind w:firstLine="480"/>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由监测结果可知，升压站站址中心的工频电场强度</w:t>
      </w:r>
      <w:r>
        <w:rPr>
          <w:rFonts w:hint="default" w:ascii="Times New Roman" w:hAnsi="Times New Roman" w:eastAsia="仿宋" w:cs="Times New Roman"/>
          <w:color w:val="auto"/>
          <w:highlight w:val="none"/>
          <w:lang w:eastAsia="zh-CN"/>
        </w:rPr>
        <w:t>最大值</w:t>
      </w:r>
      <w:r>
        <w:rPr>
          <w:rFonts w:hint="default" w:ascii="Times New Roman" w:hAnsi="Times New Roman" w:eastAsia="仿宋" w:cs="Times New Roman"/>
          <w:color w:val="auto"/>
          <w:highlight w:val="none"/>
        </w:rPr>
        <w:t>为</w:t>
      </w:r>
      <w:r>
        <w:rPr>
          <w:rFonts w:hint="default" w:ascii="Times New Roman" w:hAnsi="Times New Roman" w:eastAsia="仿宋" w:cs="Times New Roman"/>
          <w:b w:val="0"/>
          <w:color w:val="auto"/>
          <w:sz w:val="24"/>
          <w:szCs w:val="24"/>
          <w:highlight w:val="none"/>
          <w:lang w:val="en-US" w:eastAsia="zh-CN"/>
        </w:rPr>
        <w:t>3.345</w:t>
      </w:r>
      <w:r>
        <w:rPr>
          <w:rFonts w:hint="default" w:ascii="Times New Roman" w:hAnsi="Times New Roman" w:eastAsia="仿宋" w:cs="Times New Roman"/>
          <w:b w:val="0"/>
          <w:color w:val="auto"/>
          <w:sz w:val="24"/>
          <w:szCs w:val="24"/>
          <w:highlight w:val="none"/>
        </w:rPr>
        <w:t>V/m</w:t>
      </w:r>
      <w:r>
        <w:rPr>
          <w:rFonts w:hint="default" w:ascii="Times New Roman" w:hAnsi="Times New Roman" w:eastAsia="仿宋" w:cs="Times New Roman"/>
          <w:b w:val="0"/>
          <w:color w:val="auto"/>
          <w:sz w:val="24"/>
          <w:szCs w:val="24"/>
          <w:highlight w:val="none"/>
          <w:lang w:eastAsia="zh-CN"/>
        </w:rPr>
        <w:t>，平均值为</w:t>
      </w:r>
      <w:r>
        <w:rPr>
          <w:rFonts w:hint="default" w:ascii="Times New Roman" w:hAnsi="Times New Roman" w:eastAsia="仿宋" w:cs="Times New Roman"/>
          <w:b w:val="0"/>
          <w:color w:val="auto"/>
          <w:sz w:val="24"/>
          <w:szCs w:val="24"/>
          <w:highlight w:val="none"/>
          <w:lang w:val="en-US" w:eastAsia="zh-CN"/>
        </w:rPr>
        <w:t>3.319</w:t>
      </w:r>
      <w:r>
        <w:rPr>
          <w:rFonts w:hint="default" w:ascii="Times New Roman" w:hAnsi="Times New Roman" w:eastAsia="仿宋" w:cs="Times New Roman"/>
          <w:b w:val="0"/>
          <w:color w:val="auto"/>
          <w:sz w:val="24"/>
          <w:szCs w:val="24"/>
          <w:highlight w:val="none"/>
        </w:rPr>
        <w:t>V/m</w:t>
      </w:r>
      <w:r>
        <w:rPr>
          <w:rFonts w:hint="default" w:ascii="Times New Roman" w:hAnsi="Times New Roman" w:eastAsia="仿宋" w:cs="Times New Roman"/>
          <w:b w:val="0"/>
          <w:color w:val="auto"/>
          <w:sz w:val="24"/>
          <w:szCs w:val="24"/>
          <w:highlight w:val="none"/>
          <w:lang w:eastAsia="zh-CN"/>
        </w:rPr>
        <w:t>；</w:t>
      </w:r>
      <w:r>
        <w:rPr>
          <w:rFonts w:hint="default" w:ascii="Times New Roman" w:hAnsi="Times New Roman" w:eastAsia="仿宋" w:cs="Times New Roman"/>
          <w:color w:val="auto"/>
          <w:highlight w:val="none"/>
        </w:rPr>
        <w:t>工频磁感应强度</w:t>
      </w:r>
      <w:r>
        <w:rPr>
          <w:rFonts w:hint="default" w:ascii="Times New Roman" w:hAnsi="Times New Roman" w:eastAsia="仿宋" w:cs="Times New Roman"/>
          <w:color w:val="auto"/>
          <w:highlight w:val="none"/>
          <w:lang w:eastAsia="zh-CN"/>
        </w:rPr>
        <w:t>最大值</w:t>
      </w:r>
      <w:r>
        <w:rPr>
          <w:rFonts w:hint="default" w:ascii="Times New Roman" w:hAnsi="Times New Roman" w:eastAsia="仿宋" w:cs="Times New Roman"/>
          <w:color w:val="auto"/>
          <w:highlight w:val="none"/>
        </w:rPr>
        <w:t>为0.0</w:t>
      </w:r>
      <w:r>
        <w:rPr>
          <w:rFonts w:hint="eastAsia" w:cs="Times New Roman"/>
          <w:color w:val="auto"/>
          <w:highlight w:val="none"/>
          <w:lang w:val="en-US" w:eastAsia="zh-CN"/>
        </w:rPr>
        <w:t>23</w:t>
      </w:r>
      <w:r>
        <w:rPr>
          <w:rFonts w:hint="default" w:ascii="Times New Roman" w:hAnsi="Times New Roman" w:eastAsia="仿宋" w:cs="Times New Roman"/>
          <w:color w:val="auto"/>
          <w:highlight w:val="none"/>
        </w:rPr>
        <w:t>μT，</w:t>
      </w:r>
      <w:r>
        <w:rPr>
          <w:rFonts w:hint="eastAsia" w:cs="Times New Roman"/>
          <w:color w:val="auto"/>
          <w:highlight w:val="none"/>
          <w:lang w:val="en-US" w:eastAsia="zh-CN"/>
        </w:rPr>
        <w:t>最大</w:t>
      </w:r>
      <w:r>
        <w:rPr>
          <w:rFonts w:hint="default" w:ascii="Times New Roman" w:hAnsi="Times New Roman" w:eastAsia="仿宋" w:cs="Times New Roman"/>
          <w:b w:val="0"/>
          <w:color w:val="auto"/>
          <w:sz w:val="24"/>
          <w:szCs w:val="24"/>
          <w:highlight w:val="none"/>
          <w:lang w:eastAsia="zh-CN"/>
        </w:rPr>
        <w:t>平均值为</w:t>
      </w:r>
      <w:r>
        <w:rPr>
          <w:rFonts w:hint="default" w:ascii="Times New Roman" w:hAnsi="Times New Roman" w:eastAsia="仿宋" w:cs="Times New Roman"/>
          <w:b w:val="0"/>
          <w:color w:val="auto"/>
          <w:sz w:val="24"/>
          <w:szCs w:val="24"/>
          <w:highlight w:val="none"/>
          <w:lang w:val="en-US" w:eastAsia="zh-CN"/>
        </w:rPr>
        <w:t>0.0</w:t>
      </w:r>
      <w:r>
        <w:rPr>
          <w:rFonts w:hint="eastAsia" w:cs="Times New Roman"/>
          <w:b w:val="0"/>
          <w:color w:val="auto"/>
          <w:sz w:val="24"/>
          <w:szCs w:val="24"/>
          <w:highlight w:val="none"/>
          <w:lang w:val="en-US" w:eastAsia="zh-CN"/>
        </w:rPr>
        <w:t>21</w:t>
      </w:r>
      <w:r>
        <w:rPr>
          <w:rFonts w:hint="default" w:ascii="Times New Roman" w:hAnsi="Times New Roman" w:eastAsia="仿宋" w:cs="Times New Roman"/>
          <w:color w:val="auto"/>
          <w:highlight w:val="none"/>
        </w:rPr>
        <w:t>μT</w:t>
      </w:r>
      <w:r>
        <w:rPr>
          <w:rFonts w:hint="default" w:ascii="Times New Roman" w:hAnsi="Times New Roman" w:eastAsia="仿宋" w:cs="Times New Roman"/>
          <w:color w:val="auto"/>
          <w:highlight w:val="none"/>
          <w:lang w:eastAsia="zh-CN"/>
        </w:rPr>
        <w:t>。最大值和平均值均</w:t>
      </w:r>
      <w:r>
        <w:rPr>
          <w:rFonts w:hint="default" w:ascii="Times New Roman" w:hAnsi="Times New Roman" w:eastAsia="仿宋" w:cs="Times New Roman"/>
          <w:color w:val="auto"/>
          <w:highlight w:val="none"/>
        </w:rPr>
        <w:t>能满足《电磁环境控制限值》（GB8702-2014）标准（工频电场4000V/m、工频磁感应强度100μT）的要求。</w:t>
      </w:r>
    </w:p>
    <w:p w14:paraId="1DD71107">
      <w:pPr>
        <w:spacing w:line="360" w:lineRule="auto"/>
        <w:ind w:firstLine="480" w:firstLineChars="200"/>
        <w:rPr>
          <w:rFonts w:hint="default" w:ascii="Times New Roman" w:hAnsi="Times New Roman" w:eastAsia="仿宋" w:cs="Times New Roman"/>
          <w:color w:val="auto"/>
          <w:highlight w:val="none"/>
          <w:lang w:eastAsia="zh-CN"/>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color w:val="auto"/>
          <w:highlight w:val="none"/>
          <w:lang w:eastAsia="zh-CN"/>
        </w:rPr>
        <w:t>监测结果表明该工程建设区域内，工频电场和工频磁场水平均低于相关标准限值，项目区域电磁环境现状良好。</w:t>
      </w:r>
    </w:p>
    <w:p w14:paraId="5C16047C">
      <w:pPr>
        <w:keepNext/>
        <w:keepLines/>
        <w:widowControl w:val="0"/>
        <w:spacing w:line="360" w:lineRule="auto"/>
        <w:ind w:firstLine="0" w:firstLineChars="0"/>
        <w:jc w:val="both"/>
        <w:outlineLvl w:val="0"/>
        <w:rPr>
          <w:rFonts w:hint="default" w:ascii="Times New Roman" w:hAnsi="Times New Roman" w:eastAsia="仿宋" w:cs="Times New Roman"/>
          <w:b/>
          <w:bCs/>
          <w:color w:val="auto"/>
          <w:kern w:val="44"/>
          <w:sz w:val="32"/>
          <w:szCs w:val="44"/>
          <w:highlight w:val="none"/>
          <w:lang w:val="en-US" w:eastAsia="zh-CN" w:bidi="ar-SA"/>
        </w:rPr>
      </w:pPr>
      <w:bookmarkStart w:id="55" w:name="bookmark30"/>
      <w:bookmarkEnd w:id="55"/>
      <w:bookmarkStart w:id="56" w:name="bookmark29"/>
      <w:bookmarkEnd w:id="56"/>
      <w:r>
        <w:rPr>
          <w:rFonts w:hint="default" w:ascii="Times New Roman" w:hAnsi="Times New Roman" w:eastAsia="仿宋" w:cs="Times New Roman"/>
          <w:b/>
          <w:bCs/>
          <w:color w:val="auto"/>
          <w:kern w:val="44"/>
          <w:sz w:val="32"/>
          <w:szCs w:val="44"/>
          <w:highlight w:val="none"/>
          <w:lang w:val="en-US" w:eastAsia="zh-CN" w:bidi="ar-SA"/>
        </w:rPr>
        <w:t>4 电磁环境影响预测与评价</w:t>
      </w:r>
    </w:p>
    <w:p w14:paraId="30D38EB5">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4.1  评价方法确定</w:t>
      </w:r>
    </w:p>
    <w:p w14:paraId="68B14064">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本次电磁环境影响评价等级为二级，根据《环境影响评价技术导则 输变电》（HJ24- 2020）中二级评价的基本要求，升压站电磁环境影响预测应采用类比监测的方式，因此本项目类比同类项目电磁环境监测结果进行评价。</w:t>
      </w:r>
    </w:p>
    <w:p w14:paraId="6FAA80E8">
      <w:pPr>
        <w:keepNext/>
        <w:keepLines/>
        <w:widowControl w:val="0"/>
        <w:spacing w:line="360" w:lineRule="auto"/>
        <w:ind w:firstLine="0" w:firstLineChars="0"/>
        <w:jc w:val="both"/>
        <w:outlineLvl w:val="1"/>
        <w:rPr>
          <w:rFonts w:hint="default" w:ascii="Times New Roman" w:hAnsi="Times New Roman" w:eastAsia="仿宋" w:cs="Times New Roman"/>
          <w:color w:val="auto"/>
          <w:sz w:val="24"/>
          <w:szCs w:val="24"/>
          <w:highlight w:val="none"/>
        </w:rPr>
      </w:pPr>
      <w:bookmarkStart w:id="57" w:name="bookmark31"/>
      <w:bookmarkEnd w:id="57"/>
      <w:r>
        <w:rPr>
          <w:rFonts w:hint="default" w:ascii="Times New Roman" w:hAnsi="Times New Roman" w:eastAsia="仿宋" w:cs="Times New Roman"/>
          <w:b/>
          <w:bCs/>
          <w:color w:val="auto"/>
          <w:kern w:val="0"/>
          <w:sz w:val="30"/>
          <w:szCs w:val="32"/>
          <w:highlight w:val="none"/>
          <w:lang w:val="en-US" w:eastAsia="zh-CN" w:bidi="ar-SA"/>
        </w:rPr>
        <w:t>4.2  升压站类比对象</w:t>
      </w:r>
    </w:p>
    <w:p w14:paraId="77CB9D8F">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工频电场强度主要取决于电压等级及与辐射源的距离。电场中的导电物体（如建筑物、树林等）会使电场严重畸变，从而产生一定的屏蔽作用，因此工频电场强度与环境湿度、建构筑物、植被及地理地形因子等屏蔽条件相关。</w:t>
      </w:r>
    </w:p>
    <w:p w14:paraId="3CE59C93">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工频磁场主要取决于电流大小及与</w:t>
      </w:r>
      <w:r>
        <w:rPr>
          <w:rFonts w:hint="eastAsia" w:cs="Times New Roman"/>
          <w:color w:val="auto"/>
          <w:spacing w:val="0"/>
          <w:sz w:val="24"/>
          <w:szCs w:val="24"/>
          <w:highlight w:val="none"/>
          <w:lang w:val="en-US" w:eastAsia="zh-CN"/>
        </w:rPr>
        <w:t>设备</w:t>
      </w:r>
      <w:r>
        <w:rPr>
          <w:rFonts w:hint="default" w:ascii="Times New Roman" w:hAnsi="Times New Roman" w:eastAsia="仿宋" w:cs="Times New Roman"/>
          <w:color w:val="auto"/>
          <w:spacing w:val="0"/>
          <w:sz w:val="24"/>
          <w:szCs w:val="24"/>
          <w:highlight w:val="none"/>
        </w:rPr>
        <w:t>的距离。50Hz的工频磁场很容易穿透大多数的物体（如建筑物或人），且不受这些物体的干扰。</w:t>
      </w:r>
    </w:p>
    <w:p w14:paraId="6F47DC12">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因此，升压站电磁环境类比评价，从严格意义上讲具有相同的变电站型式、相同的设备型号（电压等级及额定功率、额定电流等）、相同的一次主接线、相同的布置情况（主要是距离因子）和环境条件最为理想。但现实情况下要满足这样的条件可能性非常小，要解决这一实际困难，可以在关键参数尽量相同或相近，以达到进行类比的条件。</w:t>
      </w:r>
    </w:p>
    <w:p w14:paraId="485877B5">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例如：对于变电站围墙外的工频电场，要求最近的高压带电构架布置一致、电压相同，此时就可以认为具有可比性。同样的，对于变电站围墙外的工频磁场，也要求最近的通流导体的布置和电流相同可以认为具有可比性。</w:t>
      </w:r>
    </w:p>
    <w:p w14:paraId="781ABDD2">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lang w:val="en-US" w:eastAsia="zh-CN"/>
        </w:rPr>
        <w:t>基于上述原则，</w:t>
      </w:r>
      <w:r>
        <w:rPr>
          <w:rFonts w:hint="default" w:ascii="Times New Roman" w:hAnsi="Times New Roman" w:eastAsia="仿宋" w:cs="Times New Roman"/>
          <w:color w:val="auto"/>
          <w:spacing w:val="0"/>
          <w:sz w:val="24"/>
          <w:szCs w:val="24"/>
          <w:highlight w:val="none"/>
        </w:rPr>
        <w:t>本次环境影响选择位于</w:t>
      </w:r>
      <w:r>
        <w:rPr>
          <w:rFonts w:hint="eastAsia" w:cs="Times New Roman"/>
          <w:color w:val="auto"/>
          <w:spacing w:val="0"/>
          <w:sz w:val="24"/>
          <w:szCs w:val="24"/>
          <w:highlight w:val="none"/>
          <w:lang w:val="en-US" w:eastAsia="zh-CN"/>
        </w:rPr>
        <w:t>云南省楚雄州元谋县《</w:t>
      </w:r>
      <w:r>
        <w:rPr>
          <w:rFonts w:hint="default" w:ascii="Times New Roman" w:hAnsi="Times New Roman" w:eastAsia="仿宋" w:cs="Times New Roman"/>
          <w:color w:val="auto"/>
          <w:spacing w:val="0"/>
          <w:sz w:val="24"/>
          <w:szCs w:val="24"/>
          <w:highlight w:val="none"/>
          <w:lang w:val="en-US" w:eastAsia="zh-CN"/>
        </w:rPr>
        <w:t>云南省楚雄州元谋县平新光伏电站（450MW）项目</w:t>
      </w:r>
      <w:r>
        <w:rPr>
          <w:rFonts w:hint="eastAsia"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作为类比对象，该项目于20</w:t>
      </w:r>
      <w:r>
        <w:rPr>
          <w:rFonts w:hint="default" w:ascii="Times New Roman" w:hAnsi="Times New Roman" w:eastAsia="仿宋" w:cs="Times New Roman"/>
          <w:color w:val="auto"/>
          <w:spacing w:val="0"/>
          <w:sz w:val="24"/>
          <w:szCs w:val="24"/>
          <w:highlight w:val="none"/>
          <w:lang w:val="en-US" w:eastAsia="zh-CN"/>
        </w:rPr>
        <w:t>2</w:t>
      </w:r>
      <w:r>
        <w:rPr>
          <w:rFonts w:hint="eastAsia" w:cs="Times New Roman"/>
          <w:color w:val="auto"/>
          <w:spacing w:val="0"/>
          <w:sz w:val="24"/>
          <w:szCs w:val="24"/>
          <w:highlight w:val="none"/>
          <w:lang w:val="en-US" w:eastAsia="zh-CN"/>
        </w:rPr>
        <w:t>6</w:t>
      </w:r>
      <w:r>
        <w:rPr>
          <w:rFonts w:hint="default" w:ascii="Times New Roman" w:hAnsi="Times New Roman" w:eastAsia="仿宋" w:cs="Times New Roman"/>
          <w:color w:val="auto"/>
          <w:spacing w:val="0"/>
          <w:sz w:val="24"/>
          <w:szCs w:val="24"/>
          <w:highlight w:val="none"/>
        </w:rPr>
        <w:t>年</w:t>
      </w:r>
      <w:r>
        <w:rPr>
          <w:rFonts w:hint="eastAsia" w:cs="Times New Roman"/>
          <w:color w:val="auto"/>
          <w:spacing w:val="0"/>
          <w:sz w:val="24"/>
          <w:szCs w:val="24"/>
          <w:highlight w:val="none"/>
          <w:lang w:val="en-US" w:eastAsia="zh-CN"/>
        </w:rPr>
        <w:t>3</w:t>
      </w:r>
      <w:r>
        <w:rPr>
          <w:rFonts w:hint="default" w:ascii="Times New Roman" w:hAnsi="Times New Roman" w:eastAsia="仿宋" w:cs="Times New Roman"/>
          <w:color w:val="auto"/>
          <w:spacing w:val="0"/>
          <w:sz w:val="24"/>
          <w:szCs w:val="24"/>
          <w:highlight w:val="none"/>
        </w:rPr>
        <w:t>月完成竣工环境保护自主验收</w:t>
      </w:r>
      <w:r>
        <w:rPr>
          <w:rFonts w:hint="default" w:ascii="Times New Roman" w:hAnsi="Times New Roman" w:eastAsia="仿宋" w:cs="Times New Roman"/>
          <w:color w:val="auto"/>
          <w:spacing w:val="0"/>
          <w:sz w:val="24"/>
          <w:szCs w:val="24"/>
          <w:highlight w:val="none"/>
          <w:lang w:val="en-US" w:eastAsia="zh-CN"/>
        </w:rPr>
        <w:t>监测</w:t>
      </w:r>
      <w:r>
        <w:rPr>
          <w:rFonts w:hint="default" w:ascii="Times New Roman" w:hAnsi="Times New Roman" w:eastAsia="仿宋" w:cs="Times New Roman"/>
          <w:color w:val="auto"/>
          <w:spacing w:val="0"/>
          <w:sz w:val="24"/>
          <w:szCs w:val="24"/>
          <w:highlight w:val="none"/>
        </w:rPr>
        <w:t>。</w:t>
      </w:r>
    </w:p>
    <w:p w14:paraId="1C5DFBA7">
      <w:pPr>
        <w:spacing w:beforeLines="0" w:afterLines="0" w:line="359" w:lineRule="auto"/>
        <w:ind w:left="28" w:firstLine="461"/>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拟建项目</w:t>
      </w:r>
      <w:r>
        <w:rPr>
          <w:rFonts w:hint="default" w:ascii="Times New Roman" w:hAnsi="Times New Roman" w:eastAsia="仿宋" w:cs="Times New Roman"/>
          <w:color w:val="auto"/>
          <w:spacing w:val="-44"/>
          <w:sz w:val="24"/>
          <w:szCs w:val="24"/>
          <w:highlight w:val="none"/>
        </w:rPr>
        <w:t xml:space="preserve"> </w:t>
      </w:r>
      <w:r>
        <w:rPr>
          <w:rFonts w:hint="default" w:ascii="Times New Roman" w:hAnsi="Times New Roman" w:eastAsia="仿宋" w:cs="Times New Roman"/>
          <w:color w:val="auto"/>
          <w:spacing w:val="-1"/>
          <w:sz w:val="24"/>
          <w:szCs w:val="24"/>
          <w:highlight w:val="none"/>
        </w:rPr>
        <w:t>220kV升压站与类比的</w:t>
      </w:r>
      <w:r>
        <w:rPr>
          <w:rFonts w:hint="default" w:ascii="Times New Roman" w:hAnsi="Times New Roman" w:eastAsia="仿宋" w:cs="Times New Roman"/>
          <w:color w:val="auto"/>
          <w:spacing w:val="0"/>
          <w:sz w:val="24"/>
          <w:szCs w:val="24"/>
          <w:highlight w:val="none"/>
          <w:lang w:val="en-US" w:eastAsia="zh-CN"/>
        </w:rPr>
        <w:t>平新光伏电站</w:t>
      </w:r>
      <w:r>
        <w:rPr>
          <w:rFonts w:hint="default" w:ascii="Times New Roman" w:hAnsi="Times New Roman" w:eastAsia="仿宋" w:cs="Times New Roman"/>
          <w:color w:val="auto"/>
          <w:spacing w:val="-1"/>
          <w:sz w:val="24"/>
          <w:szCs w:val="24"/>
          <w:highlight w:val="none"/>
        </w:rPr>
        <w:t>工程</w:t>
      </w:r>
      <w:r>
        <w:rPr>
          <w:rFonts w:hint="eastAsia" w:cs="Times New Roman"/>
          <w:color w:val="auto"/>
          <w:spacing w:val="-1"/>
          <w:sz w:val="24"/>
          <w:szCs w:val="24"/>
          <w:highlight w:val="none"/>
          <w:lang w:val="en-US" w:eastAsia="zh-CN"/>
        </w:rPr>
        <w:t>220kv升压站</w:t>
      </w:r>
      <w:r>
        <w:rPr>
          <w:rFonts w:hint="default" w:ascii="Times New Roman" w:hAnsi="Times New Roman" w:eastAsia="仿宋" w:cs="Times New Roman"/>
          <w:color w:val="auto"/>
          <w:spacing w:val="-1"/>
          <w:sz w:val="24"/>
          <w:szCs w:val="24"/>
          <w:highlight w:val="none"/>
        </w:rPr>
        <w:t>主要情况对比见表</w:t>
      </w:r>
      <w:r>
        <w:rPr>
          <w:rFonts w:hint="default" w:ascii="Times New Roman" w:hAnsi="Times New Roman" w:eastAsia="仿宋" w:cs="Times New Roman"/>
          <w:color w:val="auto"/>
          <w:spacing w:val="-44"/>
          <w:sz w:val="24"/>
          <w:szCs w:val="24"/>
          <w:highlight w:val="none"/>
        </w:rPr>
        <w:t xml:space="preserve"> </w:t>
      </w:r>
      <w:r>
        <w:rPr>
          <w:rFonts w:hint="default" w:ascii="Times New Roman" w:hAnsi="Times New Roman" w:eastAsia="仿宋" w:cs="Times New Roman"/>
          <w:color w:val="auto"/>
          <w:spacing w:val="-1"/>
          <w:sz w:val="24"/>
          <w:szCs w:val="24"/>
          <w:highlight w:val="none"/>
          <w:lang w:val="en-US" w:eastAsia="zh-CN"/>
        </w:rPr>
        <w:t>4.2-</w:t>
      </w:r>
      <w:r>
        <w:rPr>
          <w:rFonts w:hint="default" w:ascii="Times New Roman" w:hAnsi="Times New Roman" w:eastAsia="仿宋" w:cs="Times New Roman"/>
          <w:color w:val="auto"/>
          <w:spacing w:val="-15"/>
          <w:sz w:val="24"/>
          <w:szCs w:val="24"/>
          <w:highlight w:val="none"/>
        </w:rPr>
        <w:t>1。</w:t>
      </w:r>
    </w:p>
    <w:p w14:paraId="0DAA0BD7">
      <w:pPr>
        <w:spacing w:before="2" w:beforeLines="0" w:afterLines="0" w:line="213" w:lineRule="auto"/>
        <w:ind w:left="2377"/>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pacing w:val="-1"/>
          <w:sz w:val="21"/>
          <w:szCs w:val="21"/>
          <w:highlight w:val="none"/>
        </w:rPr>
        <w:t>表</w:t>
      </w:r>
      <w:r>
        <w:rPr>
          <w:rFonts w:hint="default" w:ascii="Times New Roman" w:hAnsi="Times New Roman" w:eastAsia="仿宋" w:cs="Times New Roman"/>
          <w:b/>
          <w:bCs/>
          <w:color w:val="auto"/>
          <w:spacing w:val="-53"/>
          <w:sz w:val="21"/>
          <w:szCs w:val="21"/>
          <w:highlight w:val="none"/>
        </w:rPr>
        <w:t xml:space="preserve"> </w:t>
      </w:r>
      <w:r>
        <w:rPr>
          <w:rFonts w:hint="default" w:ascii="Times New Roman" w:hAnsi="Times New Roman" w:eastAsia="仿宋" w:cs="Times New Roman"/>
          <w:b/>
          <w:bCs/>
          <w:color w:val="auto"/>
          <w:spacing w:val="-1"/>
          <w:sz w:val="21"/>
          <w:szCs w:val="21"/>
          <w:highlight w:val="none"/>
        </w:rPr>
        <w:t>4</w:t>
      </w:r>
      <w:r>
        <w:rPr>
          <w:rFonts w:hint="default" w:ascii="Times New Roman" w:hAnsi="Times New Roman" w:eastAsia="仿宋" w:cs="Times New Roman"/>
          <w:b/>
          <w:bCs/>
          <w:color w:val="auto"/>
          <w:spacing w:val="-1"/>
          <w:sz w:val="21"/>
          <w:szCs w:val="21"/>
          <w:highlight w:val="none"/>
          <w:lang w:val="en-US" w:eastAsia="zh-CN"/>
        </w:rPr>
        <w:t>.2</w:t>
      </w:r>
      <w:r>
        <w:rPr>
          <w:rFonts w:hint="default" w:ascii="Times New Roman" w:hAnsi="Times New Roman" w:eastAsia="仿宋" w:cs="Times New Roman"/>
          <w:b/>
          <w:bCs/>
          <w:color w:val="auto"/>
          <w:spacing w:val="-1"/>
          <w:sz w:val="21"/>
          <w:szCs w:val="21"/>
          <w:highlight w:val="none"/>
        </w:rPr>
        <w:t>-1  拟建升压站与类比升压站主要情况</w:t>
      </w:r>
    </w:p>
    <w:tbl>
      <w:tblPr>
        <w:tblStyle w:val="10"/>
        <w:tblW w:w="488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16"/>
        <w:gridCol w:w="2873"/>
        <w:gridCol w:w="3053"/>
      </w:tblGrid>
      <w:tr w14:paraId="47001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51BF75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序号</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ED5B4B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建设规模</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465408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拟建项目220kV升压站</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722876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类比</w:t>
            </w:r>
            <w:r>
              <w:rPr>
                <w:rFonts w:hint="default" w:ascii="Times New Roman" w:hAnsi="Times New Roman" w:eastAsia="仿宋" w:cs="Times New Roman"/>
                <w:color w:val="auto"/>
                <w:spacing w:val="0"/>
                <w:sz w:val="21"/>
                <w:szCs w:val="21"/>
                <w:highlight w:val="none"/>
                <w:lang w:val="en-US" w:eastAsia="zh-CN"/>
              </w:rPr>
              <w:t>平新光伏电站</w:t>
            </w:r>
            <w:r>
              <w:rPr>
                <w:rFonts w:hint="default" w:ascii="Times New Roman" w:hAnsi="Times New Roman" w:eastAsia="仿宋" w:cs="Times New Roman"/>
                <w:color w:val="auto"/>
                <w:spacing w:val="0"/>
                <w:sz w:val="21"/>
                <w:szCs w:val="21"/>
                <w:highlight w:val="none"/>
              </w:rPr>
              <w:t>220kV升压站</w:t>
            </w:r>
          </w:p>
        </w:tc>
      </w:tr>
      <w:tr w14:paraId="7BAB4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DF2302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1</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84E585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电压等级</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A6305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220kV</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57C582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220kV</w:t>
            </w:r>
          </w:p>
        </w:tc>
      </w:tr>
      <w:tr w14:paraId="74F1C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DE7D4C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CB7333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变压器容量</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40F3FA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220kV主变压器</w:t>
            </w:r>
            <w:r>
              <w:rPr>
                <w:rFonts w:hint="default" w:ascii="Times New Roman" w:hAnsi="Times New Roman" w:eastAsia="仿宋" w:cs="Times New Roman"/>
                <w:color w:val="auto"/>
                <w:spacing w:val="0"/>
                <w:sz w:val="21"/>
                <w:szCs w:val="21"/>
                <w:highlight w:val="none"/>
                <w:lang w:val="en-US" w:eastAsia="zh-CN"/>
              </w:rPr>
              <w:t>2</w:t>
            </w:r>
            <w:r>
              <w:rPr>
                <w:rFonts w:hint="default" w:ascii="Times New Roman" w:hAnsi="Times New Roman" w:eastAsia="仿宋" w:cs="Times New Roman"/>
                <w:color w:val="auto"/>
                <w:spacing w:val="0"/>
                <w:sz w:val="21"/>
                <w:szCs w:val="21"/>
                <w:highlight w:val="none"/>
              </w:rPr>
              <w:t>台，</w:t>
            </w:r>
            <w:r>
              <w:rPr>
                <w:rFonts w:hint="default" w:ascii="Times New Roman" w:hAnsi="Times New Roman" w:eastAsia="仿宋" w:cs="Times New Roman"/>
                <w:color w:val="auto"/>
                <w:spacing w:val="0"/>
                <w:sz w:val="21"/>
                <w:szCs w:val="21"/>
                <w:highlight w:val="none"/>
                <w:lang w:val="en-US" w:eastAsia="zh-CN"/>
              </w:rPr>
              <w:t>总</w:t>
            </w:r>
            <w:r>
              <w:rPr>
                <w:rFonts w:hint="default" w:ascii="Times New Roman" w:hAnsi="Times New Roman" w:eastAsia="仿宋" w:cs="Times New Roman"/>
                <w:color w:val="auto"/>
                <w:spacing w:val="0"/>
                <w:sz w:val="21"/>
                <w:szCs w:val="21"/>
                <w:highlight w:val="none"/>
              </w:rPr>
              <w:t>容量</w:t>
            </w:r>
          </w:p>
          <w:p w14:paraId="6459B23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eastAsia="zh-CN"/>
              </w:rPr>
            </w:pPr>
            <w:r>
              <w:rPr>
                <w:rFonts w:hint="default" w:ascii="Times New Roman" w:hAnsi="Times New Roman" w:eastAsia="仿宋" w:cs="Times New Roman"/>
                <w:color w:val="auto"/>
                <w:spacing w:val="0"/>
                <w:sz w:val="21"/>
                <w:szCs w:val="21"/>
                <w:highlight w:val="none"/>
                <w:lang w:val="en-US" w:eastAsia="zh-CN"/>
              </w:rPr>
              <w:t>44</w:t>
            </w:r>
            <w:r>
              <w:rPr>
                <w:rFonts w:hint="default" w:ascii="Times New Roman" w:hAnsi="Times New Roman" w:eastAsia="仿宋" w:cs="Times New Roman"/>
                <w:color w:val="auto"/>
                <w:spacing w:val="0"/>
                <w:sz w:val="21"/>
                <w:szCs w:val="21"/>
                <w:highlight w:val="none"/>
              </w:rPr>
              <w:t>0MVA</w:t>
            </w:r>
            <w:r>
              <w:rPr>
                <w:rFonts w:hint="eastAsia" w:cs="Times New Roman"/>
                <w:color w:val="auto"/>
                <w:spacing w:val="0"/>
                <w:sz w:val="21"/>
                <w:szCs w:val="21"/>
                <w:highlight w:val="none"/>
                <w:lang w:eastAsia="zh-CN"/>
              </w:rPr>
              <w:t>(</w:t>
            </w:r>
            <w:r>
              <w:rPr>
                <w:rFonts w:hint="default" w:ascii="Times New Roman" w:hAnsi="Times New Roman" w:eastAsia="仿宋" w:cs="Times New Roman"/>
                <w:color w:val="auto"/>
                <w:spacing w:val="0"/>
                <w:sz w:val="21"/>
                <w:szCs w:val="21"/>
                <w:highlight w:val="none"/>
                <w:lang w:val="en-US" w:eastAsia="zh-CN"/>
              </w:rPr>
              <w:t>1×230MVA</w:t>
            </w:r>
            <w:r>
              <w:rPr>
                <w:rFonts w:hint="eastAsia" w:cs="Times New Roman"/>
                <w:color w:val="auto"/>
                <w:spacing w:val="0"/>
                <w:sz w:val="21"/>
                <w:szCs w:val="21"/>
                <w:highlight w:val="none"/>
                <w:lang w:val="en-US" w:eastAsia="zh-CN"/>
              </w:rPr>
              <w:t>,</w:t>
            </w:r>
            <w:r>
              <w:rPr>
                <w:rFonts w:hint="default" w:ascii="Times New Roman" w:hAnsi="Times New Roman" w:eastAsia="仿宋" w:cs="Times New Roman"/>
                <w:color w:val="auto"/>
                <w:spacing w:val="0"/>
                <w:sz w:val="21"/>
                <w:szCs w:val="21"/>
                <w:highlight w:val="none"/>
                <w:lang w:val="en-US" w:eastAsia="zh-CN"/>
              </w:rPr>
              <w:t>1×210MVA</w:t>
            </w:r>
            <w:r>
              <w:rPr>
                <w:rFonts w:hint="eastAsia" w:cs="Times New Roman"/>
                <w:color w:val="auto"/>
                <w:spacing w:val="0"/>
                <w:sz w:val="21"/>
                <w:szCs w:val="21"/>
                <w:highlight w:val="none"/>
                <w:lang w:val="en-US" w:eastAsia="zh-CN"/>
              </w:rPr>
              <w:t>)</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9528FB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ascii="Times New Roman" w:hAnsi="Times New Roman" w:eastAsia="仿宋" w:cs="Times New Roman"/>
                <w:color w:val="auto"/>
                <w:spacing w:val="0"/>
                <w:sz w:val="21"/>
                <w:szCs w:val="21"/>
                <w:highlight w:val="none"/>
              </w:rPr>
              <w:t>2</w:t>
            </w:r>
            <w:r>
              <w:rPr>
                <w:rFonts w:hint="eastAsia" w:cs="Times New Roman"/>
                <w:color w:val="auto"/>
                <w:spacing w:val="0"/>
                <w:sz w:val="21"/>
                <w:szCs w:val="21"/>
                <w:highlight w:val="none"/>
                <w:lang w:val="en-US" w:eastAsia="zh-CN"/>
              </w:rPr>
              <w:t>20kv</w:t>
            </w:r>
            <w:r>
              <w:rPr>
                <w:rFonts w:hint="default" w:ascii="Times New Roman" w:hAnsi="Times New Roman" w:eastAsia="仿宋" w:cs="Times New Roman"/>
                <w:color w:val="auto"/>
                <w:spacing w:val="0"/>
                <w:sz w:val="21"/>
                <w:szCs w:val="21"/>
                <w:highlight w:val="none"/>
              </w:rPr>
              <w:t>主变压器</w:t>
            </w:r>
            <w:r>
              <w:rPr>
                <w:rFonts w:hint="eastAsia" w:cs="Times New Roman"/>
                <w:color w:val="auto"/>
                <w:spacing w:val="0"/>
                <w:sz w:val="21"/>
                <w:szCs w:val="21"/>
                <w:highlight w:val="none"/>
                <w:lang w:val="en-US" w:eastAsia="zh-CN"/>
              </w:rPr>
              <w:t>2</w:t>
            </w:r>
            <w:r>
              <w:rPr>
                <w:rFonts w:hint="default" w:ascii="Times New Roman" w:hAnsi="Times New Roman" w:eastAsia="仿宋" w:cs="Times New Roman"/>
                <w:color w:val="auto"/>
                <w:spacing w:val="0"/>
                <w:sz w:val="21"/>
                <w:szCs w:val="21"/>
                <w:highlight w:val="none"/>
              </w:rPr>
              <w:t>台</w:t>
            </w:r>
            <w:r>
              <w:rPr>
                <w:rFonts w:hint="eastAsia" w:cs="Times New Roman"/>
                <w:color w:val="auto"/>
                <w:spacing w:val="0"/>
                <w:sz w:val="21"/>
                <w:szCs w:val="21"/>
                <w:highlight w:val="none"/>
                <w:lang w:val="en-US" w:eastAsia="zh-CN"/>
              </w:rPr>
              <w:t>单台容量260MVA，总容量520MVA</w:t>
            </w:r>
          </w:p>
          <w:p w14:paraId="7948C6A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p>
        </w:tc>
      </w:tr>
      <w:tr w14:paraId="3CB4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632C1F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3</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1D748D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主变布置方式</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2527A6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户</w:t>
            </w:r>
            <w:r>
              <w:rPr>
                <w:rFonts w:hint="default" w:ascii="Times New Roman" w:hAnsi="Times New Roman" w:eastAsia="仿宋" w:cs="Times New Roman"/>
                <w:color w:val="auto"/>
                <w:spacing w:val="0"/>
                <w:sz w:val="21"/>
                <w:szCs w:val="21"/>
                <w:highlight w:val="none"/>
                <w:lang w:val="en-US" w:eastAsia="zh-CN"/>
              </w:rPr>
              <w:t>外</w:t>
            </w:r>
            <w:r>
              <w:rPr>
                <w:rFonts w:hint="default" w:ascii="Times New Roman" w:hAnsi="Times New Roman" w:eastAsia="仿宋" w:cs="Times New Roman"/>
                <w:color w:val="auto"/>
                <w:spacing w:val="0"/>
                <w:sz w:val="21"/>
                <w:szCs w:val="21"/>
                <w:highlight w:val="none"/>
              </w:rPr>
              <w:t>布置</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5515E4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户外布置</w:t>
            </w:r>
          </w:p>
        </w:tc>
      </w:tr>
      <w:tr w14:paraId="335CC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BF6F8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4</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E91B7E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出线回数</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87AE4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220kV出线1回</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315A07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220kV</w:t>
            </w:r>
            <w:r>
              <w:rPr>
                <w:rFonts w:hint="eastAsia" w:cs="Times New Roman"/>
                <w:color w:val="auto"/>
                <w:spacing w:val="0"/>
                <w:sz w:val="21"/>
                <w:szCs w:val="21"/>
                <w:highlight w:val="none"/>
                <w:lang w:val="en-US" w:eastAsia="zh-CN"/>
              </w:rPr>
              <w:t>出线1</w:t>
            </w:r>
            <w:r>
              <w:rPr>
                <w:rFonts w:hint="default" w:ascii="Times New Roman" w:hAnsi="Times New Roman" w:eastAsia="仿宋" w:cs="Times New Roman"/>
                <w:color w:val="auto"/>
                <w:spacing w:val="0"/>
                <w:sz w:val="21"/>
                <w:szCs w:val="21"/>
                <w:highlight w:val="none"/>
              </w:rPr>
              <w:t>回</w:t>
            </w:r>
          </w:p>
        </w:tc>
      </w:tr>
      <w:tr w14:paraId="61E6E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45AD36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5</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A17D1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出线方式</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A0ABBB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架空出线</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DA4856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架空出线</w:t>
            </w:r>
          </w:p>
        </w:tc>
      </w:tr>
      <w:tr w14:paraId="390A2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2809E9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ascii="Times New Roman" w:hAnsi="Times New Roman" w:eastAsia="仿宋" w:cs="Times New Roman"/>
                <w:color w:val="auto"/>
                <w:spacing w:val="0"/>
                <w:sz w:val="21"/>
                <w:szCs w:val="21"/>
                <w:highlight w:val="none"/>
                <w:lang w:val="en-US" w:eastAsia="zh-CN"/>
              </w:rPr>
              <w:t>6</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84E970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220kV 高压配电装置</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CC6BFE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GIS</w:t>
            </w:r>
            <w:r>
              <w:rPr>
                <w:rFonts w:hint="default" w:ascii="Times New Roman" w:hAnsi="Times New Roman" w:eastAsia="仿宋" w:cs="Times New Roman"/>
                <w:color w:val="auto"/>
                <w:spacing w:val="0"/>
                <w:w w:val="101"/>
                <w:sz w:val="21"/>
                <w:szCs w:val="21"/>
                <w:highlight w:val="none"/>
              </w:rPr>
              <w:t xml:space="preserve"> </w:t>
            </w:r>
            <w:r>
              <w:rPr>
                <w:rFonts w:hint="default" w:ascii="Times New Roman" w:hAnsi="Times New Roman" w:eastAsia="仿宋" w:cs="Times New Roman"/>
                <w:color w:val="auto"/>
                <w:spacing w:val="0"/>
                <w:sz w:val="21"/>
                <w:szCs w:val="21"/>
                <w:highlight w:val="none"/>
              </w:rPr>
              <w:t>设备</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0C332B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GIS</w:t>
            </w:r>
            <w:r>
              <w:rPr>
                <w:rFonts w:hint="default" w:ascii="Times New Roman" w:hAnsi="Times New Roman" w:eastAsia="仿宋" w:cs="Times New Roman"/>
                <w:color w:val="auto"/>
                <w:spacing w:val="0"/>
                <w:w w:val="101"/>
                <w:sz w:val="21"/>
                <w:szCs w:val="21"/>
                <w:highlight w:val="none"/>
              </w:rPr>
              <w:t xml:space="preserve"> </w:t>
            </w:r>
            <w:r>
              <w:rPr>
                <w:rFonts w:hint="default" w:ascii="Times New Roman" w:hAnsi="Times New Roman" w:eastAsia="仿宋" w:cs="Times New Roman"/>
                <w:color w:val="auto"/>
                <w:spacing w:val="0"/>
                <w:sz w:val="21"/>
                <w:szCs w:val="21"/>
                <w:highlight w:val="none"/>
              </w:rPr>
              <w:t>设备</w:t>
            </w:r>
          </w:p>
        </w:tc>
      </w:tr>
      <w:tr w14:paraId="7B39D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571" w:type="dxa"/>
            <w:vMerge w:val="restart"/>
            <w:tcBorders>
              <w:top w:val="single" w:color="000000" w:sz="2" w:space="0"/>
              <w:left w:val="single" w:color="000000" w:sz="2" w:space="0"/>
              <w:right w:val="single" w:color="000000" w:sz="2" w:space="0"/>
              <w:tl2br w:val="nil"/>
              <w:tr2bl w:val="nil"/>
            </w:tcBorders>
            <w:noWrap w:val="0"/>
            <w:vAlign w:val="center"/>
          </w:tcPr>
          <w:p w14:paraId="48F26DA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6</w:t>
            </w:r>
          </w:p>
        </w:tc>
        <w:tc>
          <w:tcPr>
            <w:tcW w:w="1615" w:type="dxa"/>
            <w:vMerge w:val="restart"/>
            <w:tcBorders>
              <w:top w:val="single" w:color="000000" w:sz="2" w:space="0"/>
              <w:left w:val="single" w:color="000000" w:sz="2" w:space="0"/>
              <w:right w:val="single" w:color="000000" w:sz="2" w:space="0"/>
              <w:tl2br w:val="nil"/>
              <w:tr2bl w:val="nil"/>
            </w:tcBorders>
            <w:noWrap w:val="0"/>
            <w:vAlign w:val="center"/>
          </w:tcPr>
          <w:p w14:paraId="7E2058D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平面布置</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630F58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eastAsia="zh-CN"/>
              </w:rPr>
            </w:pPr>
            <w:r>
              <w:rPr>
                <w:rFonts w:hint="default" w:ascii="Times New Roman" w:hAnsi="Times New Roman" w:eastAsia="仿宋" w:cs="Times New Roman"/>
                <w:color w:val="auto"/>
                <w:spacing w:val="0"/>
                <w:sz w:val="21"/>
                <w:szCs w:val="21"/>
                <w:highlight w:val="none"/>
              </w:rPr>
              <w:t>主变</w:t>
            </w:r>
            <w:r>
              <w:rPr>
                <w:rFonts w:hint="default" w:ascii="Times New Roman" w:hAnsi="Times New Roman" w:eastAsia="仿宋" w:cs="Times New Roman"/>
                <w:color w:val="auto"/>
                <w:spacing w:val="0"/>
                <w:sz w:val="21"/>
                <w:szCs w:val="21"/>
                <w:highlight w:val="none"/>
                <w:lang w:val="en-US" w:eastAsia="zh-CN"/>
              </w:rPr>
              <w:t>占地面积6235m</w:t>
            </w:r>
            <w:r>
              <w:rPr>
                <w:rFonts w:hint="default" w:ascii="Times New Roman" w:hAnsi="Times New Roman" w:eastAsia="仿宋" w:cs="Times New Roman"/>
                <w:color w:val="auto"/>
                <w:spacing w:val="0"/>
                <w:sz w:val="21"/>
                <w:szCs w:val="21"/>
                <w:highlight w:val="none"/>
                <w:vertAlign w:val="superscript"/>
                <w:lang w:val="en-US" w:eastAsia="zh-CN"/>
              </w:rPr>
              <w:t>2</w:t>
            </w:r>
            <w:r>
              <w:rPr>
                <w:rFonts w:hint="default" w:ascii="Times New Roman" w:hAnsi="Times New Roman" w:eastAsia="仿宋" w:cs="Times New Roman"/>
                <w:color w:val="auto"/>
                <w:spacing w:val="0"/>
                <w:sz w:val="21"/>
                <w:szCs w:val="21"/>
                <w:highlight w:val="none"/>
                <w:lang w:val="en-US" w:eastAsia="zh-CN"/>
              </w:rPr>
              <w:t>，主变</w:t>
            </w:r>
            <w:r>
              <w:rPr>
                <w:rFonts w:hint="default" w:ascii="Times New Roman" w:hAnsi="Times New Roman" w:eastAsia="仿宋" w:cs="Times New Roman"/>
                <w:color w:val="auto"/>
                <w:spacing w:val="0"/>
                <w:sz w:val="21"/>
                <w:szCs w:val="21"/>
                <w:highlight w:val="none"/>
              </w:rPr>
              <w:t>位于</w:t>
            </w:r>
            <w:r>
              <w:rPr>
                <w:rFonts w:hint="eastAsia" w:cs="Times New Roman"/>
                <w:color w:val="auto"/>
                <w:spacing w:val="0"/>
                <w:sz w:val="21"/>
                <w:szCs w:val="21"/>
                <w:highlight w:val="none"/>
                <w:lang w:val="en-US" w:eastAsia="zh-CN"/>
              </w:rPr>
              <w:t>升压站生产区中部</w:t>
            </w:r>
            <w:r>
              <w:rPr>
                <w:rFonts w:hint="default" w:ascii="Times New Roman" w:hAnsi="Times New Roman" w:eastAsia="仿宋" w:cs="Times New Roman"/>
                <w:color w:val="auto"/>
                <w:spacing w:val="0"/>
                <w:sz w:val="21"/>
                <w:szCs w:val="21"/>
                <w:highlight w:val="none"/>
                <w:lang w:val="en-US" w:eastAsia="zh-CN"/>
              </w:rPr>
              <w:t>西侧</w:t>
            </w:r>
            <w:r>
              <w:rPr>
                <w:rFonts w:hint="default" w:ascii="Times New Roman" w:hAnsi="Times New Roman" w:eastAsia="仿宋" w:cs="Times New Roman"/>
                <w:color w:val="auto"/>
                <w:spacing w:val="0"/>
                <w:sz w:val="21"/>
                <w:szCs w:val="21"/>
                <w:highlight w:val="none"/>
              </w:rPr>
              <w:t>，配电装置布置于主变</w:t>
            </w:r>
            <w:r>
              <w:rPr>
                <w:rFonts w:hint="default" w:ascii="Times New Roman" w:hAnsi="Times New Roman" w:eastAsia="仿宋" w:cs="Times New Roman"/>
                <w:color w:val="auto"/>
                <w:spacing w:val="0"/>
                <w:sz w:val="21"/>
                <w:szCs w:val="21"/>
                <w:highlight w:val="none"/>
                <w:lang w:val="en-US" w:eastAsia="zh-CN"/>
              </w:rPr>
              <w:t>东侧</w:t>
            </w:r>
          </w:p>
        </w:tc>
        <w:tc>
          <w:tcPr>
            <w:tcW w:w="3051" w:type="dxa"/>
            <w:tcBorders>
              <w:top w:val="single" w:color="000000" w:sz="2" w:space="0"/>
              <w:left w:val="single" w:color="000000" w:sz="2" w:space="0"/>
              <w:right w:val="single" w:color="000000" w:sz="2" w:space="0"/>
              <w:tl2br w:val="nil"/>
              <w:tr2bl w:val="nil"/>
            </w:tcBorders>
            <w:noWrap w:val="0"/>
            <w:vAlign w:val="center"/>
          </w:tcPr>
          <w:p w14:paraId="7D31AE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lang w:val="en-US" w:eastAsia="zh-CN"/>
              </w:rPr>
              <w:t>占地面积</w:t>
            </w:r>
            <w:r>
              <w:rPr>
                <w:rFonts w:hint="eastAsia" w:cs="Times New Roman"/>
                <w:color w:val="auto"/>
                <w:spacing w:val="0"/>
                <w:sz w:val="21"/>
                <w:szCs w:val="21"/>
                <w:highlight w:val="none"/>
                <w:lang w:val="en-US" w:eastAsia="zh-CN"/>
              </w:rPr>
              <w:t>17000</w:t>
            </w:r>
            <w:r>
              <w:rPr>
                <w:rFonts w:hint="default" w:ascii="Times New Roman" w:hAnsi="Times New Roman" w:eastAsia="仿宋" w:cs="Times New Roman"/>
                <w:color w:val="auto"/>
                <w:spacing w:val="0"/>
                <w:sz w:val="21"/>
                <w:szCs w:val="21"/>
                <w:highlight w:val="none"/>
                <w:lang w:val="en-US" w:eastAsia="zh-CN"/>
              </w:rPr>
              <w:t>m</w:t>
            </w:r>
            <w:r>
              <w:rPr>
                <w:rFonts w:hint="default" w:ascii="Times New Roman" w:hAnsi="Times New Roman" w:eastAsia="仿宋" w:cs="Times New Roman"/>
                <w:color w:val="auto"/>
                <w:spacing w:val="0"/>
                <w:sz w:val="21"/>
                <w:szCs w:val="21"/>
                <w:highlight w:val="none"/>
                <w:vertAlign w:val="superscript"/>
                <w:lang w:val="en-US" w:eastAsia="zh-CN"/>
              </w:rPr>
              <w:t>2</w:t>
            </w:r>
            <w:r>
              <w:rPr>
                <w:rFonts w:hint="default" w:ascii="Times New Roman" w:hAnsi="Times New Roman" w:eastAsia="仿宋" w:cs="Times New Roman"/>
                <w:color w:val="auto"/>
                <w:spacing w:val="0"/>
                <w:sz w:val="21"/>
                <w:szCs w:val="21"/>
                <w:highlight w:val="none"/>
                <w:lang w:val="en-US" w:eastAsia="zh-CN"/>
              </w:rPr>
              <w:t>，</w:t>
            </w:r>
            <w:r>
              <w:rPr>
                <w:rFonts w:hint="default" w:ascii="Times New Roman" w:hAnsi="Times New Roman" w:eastAsia="仿宋" w:cs="Times New Roman"/>
                <w:color w:val="auto"/>
                <w:spacing w:val="0"/>
                <w:sz w:val="21"/>
                <w:szCs w:val="21"/>
                <w:highlight w:val="none"/>
              </w:rPr>
              <w:t>主变位于站区北，配电装置布置于主变南侧</w:t>
            </w:r>
          </w:p>
        </w:tc>
      </w:tr>
      <w:tr w14:paraId="4C5B0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571" w:type="dxa"/>
            <w:vMerge w:val="continue"/>
            <w:tcBorders>
              <w:left w:val="single" w:color="000000" w:sz="2" w:space="0"/>
              <w:bottom w:val="single" w:color="000000" w:sz="2" w:space="0"/>
              <w:right w:val="single" w:color="000000" w:sz="2" w:space="0"/>
              <w:tl2br w:val="nil"/>
              <w:tr2bl w:val="nil"/>
            </w:tcBorders>
            <w:noWrap w:val="0"/>
            <w:vAlign w:val="center"/>
          </w:tcPr>
          <w:p w14:paraId="1158204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color w:val="auto"/>
                <w:highlight w:val="none"/>
              </w:rPr>
            </w:pPr>
          </w:p>
        </w:tc>
        <w:tc>
          <w:tcPr>
            <w:tcW w:w="1615" w:type="dxa"/>
            <w:vMerge w:val="continue"/>
            <w:tcBorders>
              <w:left w:val="single" w:color="000000" w:sz="2" w:space="0"/>
              <w:bottom w:val="single" w:color="000000" w:sz="2" w:space="0"/>
              <w:right w:val="single" w:color="000000" w:sz="2" w:space="0"/>
              <w:tl2br w:val="nil"/>
              <w:tr2bl w:val="nil"/>
            </w:tcBorders>
            <w:noWrap w:val="0"/>
            <w:vAlign w:val="center"/>
          </w:tcPr>
          <w:p w14:paraId="2CFA443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color w:val="auto"/>
                <w:highlight w:val="none"/>
              </w:rPr>
            </w:pP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66ACED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主变距离围墙的距离：东围墙29m，西围墙6.1m，南围墙65.6m，北围墙39.36m</w:t>
            </w:r>
          </w:p>
        </w:tc>
        <w:tc>
          <w:tcPr>
            <w:tcW w:w="3051" w:type="dxa"/>
            <w:tcBorders>
              <w:left w:val="single" w:color="000000" w:sz="2" w:space="0"/>
              <w:bottom w:val="single" w:color="000000" w:sz="2" w:space="0"/>
              <w:right w:val="single" w:color="000000" w:sz="2" w:space="0"/>
              <w:tl2br w:val="nil"/>
              <w:tr2bl w:val="nil"/>
            </w:tcBorders>
            <w:noWrap w:val="0"/>
            <w:vAlign w:val="center"/>
          </w:tcPr>
          <w:p w14:paraId="7481875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eastAsia" w:cs="Times New Roman"/>
                <w:color w:val="auto"/>
                <w:spacing w:val="0"/>
                <w:sz w:val="21"/>
                <w:szCs w:val="21"/>
                <w:highlight w:val="none"/>
                <w:lang w:val="en-US" w:eastAsia="zh-CN"/>
              </w:rPr>
              <w:t>主变距离围墙的距离：东围墙60m，西围墙23m，南围墙102m，北围墙8m</w:t>
            </w:r>
          </w:p>
        </w:tc>
      </w:tr>
      <w:tr w14:paraId="09800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729802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7</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E33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default" w:ascii="Times New Roman" w:hAnsi="Times New Roman" w:eastAsia="仿宋" w:cs="Times New Roman"/>
                <w:color w:val="auto"/>
                <w:spacing w:val="0"/>
                <w:sz w:val="21"/>
                <w:szCs w:val="21"/>
                <w:highlight w:val="none"/>
              </w:rPr>
              <w:t>地形</w:t>
            </w:r>
            <w:r>
              <w:rPr>
                <w:rFonts w:hint="default" w:ascii="Times New Roman" w:hAnsi="Times New Roman" w:eastAsia="仿宋" w:cs="Times New Roman"/>
                <w:color w:val="auto"/>
                <w:spacing w:val="0"/>
                <w:sz w:val="21"/>
                <w:szCs w:val="21"/>
                <w:highlight w:val="none"/>
                <w:lang w:val="en-US" w:eastAsia="zh-CN"/>
              </w:rPr>
              <w:t>及周边情况</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67CA4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eastAsia="zh-CN"/>
              </w:rPr>
            </w:pPr>
            <w:r>
              <w:rPr>
                <w:rFonts w:hint="default" w:ascii="Times New Roman" w:hAnsi="Times New Roman" w:eastAsia="仿宋" w:cs="Times New Roman"/>
                <w:color w:val="auto"/>
                <w:spacing w:val="0"/>
                <w:sz w:val="21"/>
                <w:szCs w:val="21"/>
                <w:highlight w:val="none"/>
                <w:lang w:val="en-US" w:eastAsia="zh-CN"/>
              </w:rPr>
              <w:t>农村</w:t>
            </w:r>
            <w:r>
              <w:rPr>
                <w:rFonts w:hint="default" w:ascii="Times New Roman" w:hAnsi="Times New Roman" w:eastAsia="仿宋" w:cs="Times New Roman"/>
                <w:color w:val="auto"/>
                <w:spacing w:val="0"/>
                <w:sz w:val="21"/>
                <w:szCs w:val="21"/>
                <w:highlight w:val="none"/>
              </w:rPr>
              <w:t>山区地形</w:t>
            </w:r>
            <w:r>
              <w:rPr>
                <w:rFonts w:hint="default" w:ascii="Times New Roman" w:hAnsi="Times New Roman" w:eastAsia="仿宋" w:cs="Times New Roman"/>
                <w:color w:val="auto"/>
                <w:spacing w:val="0"/>
                <w:sz w:val="21"/>
                <w:szCs w:val="21"/>
                <w:highlight w:val="none"/>
                <w:lang w:eastAsia="zh-CN"/>
              </w:rPr>
              <w:t>，</w:t>
            </w:r>
            <w:r>
              <w:rPr>
                <w:rFonts w:hint="default" w:ascii="Times New Roman" w:hAnsi="Times New Roman" w:eastAsia="仿宋" w:cs="Times New Roman"/>
                <w:color w:val="auto"/>
                <w:spacing w:val="0"/>
                <w:sz w:val="21"/>
                <w:szCs w:val="21"/>
                <w:highlight w:val="none"/>
              </w:rPr>
              <w:t>周边</w:t>
            </w:r>
            <w:r>
              <w:rPr>
                <w:rFonts w:hint="default" w:ascii="Times New Roman" w:hAnsi="Times New Roman" w:eastAsia="仿宋" w:cs="Times New Roman"/>
                <w:color w:val="auto"/>
                <w:spacing w:val="0"/>
                <w:sz w:val="21"/>
                <w:szCs w:val="21"/>
                <w:highlight w:val="none"/>
                <w:lang w:val="en-US" w:eastAsia="zh-CN"/>
              </w:rPr>
              <w:t>植被覆盖率低</w:t>
            </w:r>
            <w:r>
              <w:rPr>
                <w:rFonts w:hint="default" w:ascii="Times New Roman" w:hAnsi="Times New Roman" w:eastAsia="仿宋" w:cs="Times New Roman"/>
                <w:color w:val="auto"/>
                <w:spacing w:val="0"/>
                <w:sz w:val="21"/>
                <w:szCs w:val="21"/>
                <w:highlight w:val="none"/>
              </w:rPr>
              <w:t>，无大的山体阻隔或较为密集的林木干扰</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ED53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农村山区地形，周边</w:t>
            </w:r>
            <w:r>
              <w:rPr>
                <w:rFonts w:hint="default" w:ascii="Times New Roman" w:hAnsi="Times New Roman" w:eastAsia="仿宋" w:cs="Times New Roman"/>
                <w:color w:val="auto"/>
                <w:spacing w:val="0"/>
                <w:sz w:val="21"/>
                <w:szCs w:val="21"/>
                <w:highlight w:val="none"/>
                <w:lang w:val="en-US" w:eastAsia="zh-CN"/>
              </w:rPr>
              <w:t>植被覆盖率低</w:t>
            </w:r>
            <w:r>
              <w:rPr>
                <w:rFonts w:hint="default" w:ascii="Times New Roman" w:hAnsi="Times New Roman" w:eastAsia="仿宋" w:cs="Times New Roman"/>
                <w:color w:val="auto"/>
                <w:spacing w:val="0"/>
                <w:sz w:val="21"/>
                <w:szCs w:val="21"/>
                <w:highlight w:val="none"/>
              </w:rPr>
              <w:t>，无大的山体阻隔或较为密集的林木干扰</w:t>
            </w:r>
          </w:p>
        </w:tc>
      </w:tr>
      <w:tr w14:paraId="00941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57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8B879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8</w:t>
            </w:r>
          </w:p>
        </w:tc>
        <w:tc>
          <w:tcPr>
            <w:tcW w:w="16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BC77C2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已有电磁污染源</w:t>
            </w:r>
          </w:p>
        </w:tc>
        <w:tc>
          <w:tcPr>
            <w:tcW w:w="28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5659FB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无</w:t>
            </w:r>
          </w:p>
        </w:tc>
        <w:tc>
          <w:tcPr>
            <w:tcW w:w="305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6C73A6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仿宋" w:cs="Times New Roman"/>
                <w:color w:val="auto"/>
                <w:spacing w:val="0"/>
                <w:sz w:val="21"/>
                <w:szCs w:val="21"/>
                <w:highlight w:val="none"/>
              </w:rPr>
            </w:pPr>
            <w:r>
              <w:rPr>
                <w:rFonts w:hint="default" w:ascii="Times New Roman" w:hAnsi="Times New Roman" w:eastAsia="仿宋" w:cs="Times New Roman"/>
                <w:color w:val="auto"/>
                <w:spacing w:val="0"/>
                <w:sz w:val="21"/>
                <w:szCs w:val="21"/>
                <w:highlight w:val="none"/>
              </w:rPr>
              <w:t>无</w:t>
            </w:r>
          </w:p>
        </w:tc>
      </w:tr>
    </w:tbl>
    <w:p w14:paraId="2E7278C9">
      <w:pPr>
        <w:keepNext w:val="0"/>
        <w:keepLines w:val="0"/>
        <w:pageBreakBefore w:val="0"/>
        <w:widowControl/>
        <w:kinsoku/>
        <w:wordWrap/>
        <w:overflowPunct/>
        <w:topLinePunct w:val="0"/>
        <w:autoSpaceDE/>
        <w:autoSpaceDN/>
        <w:bidi w:val="0"/>
        <w:adjustRightInd/>
        <w:snapToGrid w:val="0"/>
        <w:spacing w:before="0" w:beforeLines="0" w:after="0" w:afterLines="0" w:line="360" w:lineRule="auto"/>
        <w:ind w:right="0"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0"/>
          <w:sz w:val="24"/>
          <w:szCs w:val="24"/>
          <w:highlight w:val="none"/>
        </w:rPr>
        <w:t>根据《环境影响评价技术导则 输变电》（HJ-2020），升压站的电磁环境影响主要与主变数量及容量、布置方式和线路出线回数有关。根据上表可知，本项目拟建220kV升压站与类比的220kV升压站相比，类比站主变容量比拟建升压站容量大；类比</w:t>
      </w:r>
      <w:r>
        <w:rPr>
          <w:rFonts w:hint="eastAsia" w:cs="Times New Roman"/>
          <w:color w:val="auto"/>
          <w:spacing w:val="0"/>
          <w:sz w:val="24"/>
          <w:szCs w:val="24"/>
          <w:highlight w:val="none"/>
          <w:lang w:val="en-US" w:eastAsia="zh-CN"/>
        </w:rPr>
        <w:t>220kv升压</w:t>
      </w:r>
      <w:r>
        <w:rPr>
          <w:rFonts w:hint="default" w:ascii="Times New Roman" w:hAnsi="Times New Roman" w:eastAsia="仿宋" w:cs="Times New Roman"/>
          <w:color w:val="auto"/>
          <w:spacing w:val="0"/>
          <w:sz w:val="24"/>
          <w:szCs w:val="24"/>
          <w:highlight w:val="none"/>
        </w:rPr>
        <w:t>站的主变出线回数</w:t>
      </w:r>
      <w:r>
        <w:rPr>
          <w:rFonts w:hint="eastAsia" w:cs="Times New Roman"/>
          <w:color w:val="auto"/>
          <w:spacing w:val="0"/>
          <w:sz w:val="24"/>
          <w:szCs w:val="24"/>
          <w:highlight w:val="none"/>
          <w:lang w:val="en-US" w:eastAsia="zh-CN"/>
        </w:rPr>
        <w:t>与拟建升压站一致</w:t>
      </w:r>
      <w:r>
        <w:rPr>
          <w:rFonts w:hint="default" w:ascii="Times New Roman" w:hAnsi="Times New Roman" w:eastAsia="仿宋" w:cs="Times New Roman"/>
          <w:color w:val="auto"/>
          <w:spacing w:val="0"/>
          <w:sz w:val="24"/>
          <w:szCs w:val="24"/>
          <w:highlight w:val="none"/>
        </w:rPr>
        <w:t>，电磁环境</w:t>
      </w:r>
      <w:r>
        <w:rPr>
          <w:rFonts w:hint="eastAsia" w:cs="Times New Roman"/>
          <w:color w:val="auto"/>
          <w:spacing w:val="0"/>
          <w:sz w:val="24"/>
          <w:szCs w:val="24"/>
          <w:highlight w:val="none"/>
          <w:lang w:val="en-US" w:eastAsia="zh-CN"/>
        </w:rPr>
        <w:t>大于本项目</w:t>
      </w:r>
      <w:r>
        <w:rPr>
          <w:rFonts w:hint="default" w:ascii="Times New Roman" w:hAnsi="Times New Roman" w:eastAsia="仿宋" w:cs="Times New Roman"/>
          <w:color w:val="auto"/>
          <w:spacing w:val="0"/>
          <w:sz w:val="24"/>
          <w:szCs w:val="24"/>
          <w:highlight w:val="none"/>
        </w:rPr>
        <w:t>。</w:t>
      </w:r>
      <w:r>
        <w:rPr>
          <w:rFonts w:hint="eastAsia" w:cs="Times New Roman"/>
          <w:color w:val="auto"/>
          <w:spacing w:val="0"/>
          <w:sz w:val="24"/>
          <w:szCs w:val="24"/>
          <w:highlight w:val="none"/>
          <w:lang w:val="en-US" w:eastAsia="zh-CN"/>
        </w:rPr>
        <w:t>类比项目电场强度及磁感应强度监测断面为北侧断面，其主变距离围墙8m，与本项目距离西侧围墙6.1m相近。</w:t>
      </w:r>
      <w:r>
        <w:rPr>
          <w:rFonts w:hint="default" w:ascii="Times New Roman" w:hAnsi="Times New Roman" w:eastAsia="仿宋" w:cs="Times New Roman"/>
          <w:color w:val="auto"/>
          <w:spacing w:val="0"/>
          <w:sz w:val="24"/>
          <w:szCs w:val="24"/>
          <w:highlight w:val="none"/>
        </w:rPr>
        <w:t>因此，本项目以</w:t>
      </w:r>
      <w:r>
        <w:rPr>
          <w:rFonts w:hint="eastAsia"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lang w:val="en-US" w:eastAsia="zh-CN"/>
        </w:rPr>
        <w:t>云南省楚雄州元谋县平新光伏电站（450MW）项目</w:t>
      </w:r>
      <w:r>
        <w:rPr>
          <w:rFonts w:hint="eastAsia"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监测值作为类比对象能反映拟建220kV升压站建成运营期的电磁环境影响，是可行的。</w:t>
      </w:r>
    </w:p>
    <w:p w14:paraId="00BDEFCE">
      <w:pPr>
        <w:spacing w:beforeLines="0" w:afterLines="0" w:line="360" w:lineRule="auto"/>
        <w:rPr>
          <w:rFonts w:hint="default" w:ascii="Times New Roman" w:hAnsi="Times New Roman" w:eastAsia="仿宋" w:cs="Times New Roman"/>
          <w:color w:val="auto"/>
          <w:sz w:val="24"/>
          <w:szCs w:val="24"/>
          <w:highlight w:val="none"/>
        </w:rPr>
        <w:sectPr>
          <w:footerReference r:id="rId12" w:type="default"/>
          <w:pgSz w:w="11907" w:h="16839"/>
          <w:pgMar w:top="1440" w:right="1800" w:bottom="1440" w:left="1800" w:header="0" w:footer="1042" w:gutter="0"/>
          <w:pgBorders w:offsetFrom="page">
            <w:top w:val="none" w:sz="0" w:space="0"/>
            <w:left w:val="none" w:sz="0" w:space="0"/>
            <w:bottom w:val="none" w:sz="0" w:space="0"/>
            <w:right w:val="none" w:sz="0" w:space="0"/>
          </w:pgBorders>
          <w:lnNumType w:countBy="0" w:distance="360"/>
          <w:pgNumType w:fmt="decimal"/>
          <w:cols w:space="720" w:num="1"/>
          <w:docGrid w:type="lines" w:linePitch="312" w:charSpace="0"/>
        </w:sectPr>
      </w:pPr>
    </w:p>
    <w:p w14:paraId="38D1B140">
      <w:pPr>
        <w:keepNext/>
        <w:keepLines/>
        <w:widowControl w:val="0"/>
        <w:spacing w:line="360" w:lineRule="auto"/>
        <w:ind w:firstLine="0" w:firstLineChars="0"/>
        <w:jc w:val="both"/>
        <w:outlineLvl w:val="1"/>
        <w:rPr>
          <w:rFonts w:hint="default" w:ascii="Times New Roman" w:hAnsi="Times New Roman" w:eastAsia="仿宋" w:cs="Times New Roman"/>
          <w:color w:val="auto"/>
          <w:sz w:val="21"/>
          <w:szCs w:val="21"/>
          <w:highlight w:val="none"/>
        </w:rPr>
      </w:pPr>
      <w:bookmarkStart w:id="58" w:name="bookmark32"/>
      <w:bookmarkEnd w:id="58"/>
      <w:r>
        <w:rPr>
          <w:rFonts w:hint="default" w:ascii="Times New Roman" w:hAnsi="Times New Roman" w:eastAsia="仿宋" w:cs="Times New Roman"/>
          <w:b/>
          <w:bCs/>
          <w:color w:val="auto"/>
          <w:kern w:val="0"/>
          <w:sz w:val="30"/>
          <w:szCs w:val="32"/>
          <w:highlight w:val="none"/>
          <w:lang w:val="en-US" w:eastAsia="zh-CN" w:bidi="ar-SA"/>
        </w:rPr>
        <w:t>4.</w:t>
      </w:r>
      <w:r>
        <w:rPr>
          <w:rFonts w:hint="eastAsia" w:cs="Times New Roman"/>
          <w:b/>
          <w:bCs/>
          <w:color w:val="auto"/>
          <w:kern w:val="0"/>
          <w:sz w:val="30"/>
          <w:szCs w:val="32"/>
          <w:highlight w:val="none"/>
          <w:lang w:val="en-US" w:eastAsia="zh-CN" w:bidi="ar-SA"/>
        </w:rPr>
        <w:t>3</w:t>
      </w:r>
      <w:r>
        <w:rPr>
          <w:rFonts w:hint="default" w:ascii="Times New Roman" w:hAnsi="Times New Roman" w:eastAsia="仿宋" w:cs="Times New Roman"/>
          <w:b/>
          <w:bCs/>
          <w:color w:val="auto"/>
          <w:kern w:val="0"/>
          <w:sz w:val="30"/>
          <w:szCs w:val="32"/>
          <w:highlight w:val="none"/>
          <w:lang w:val="en-US" w:eastAsia="zh-CN" w:bidi="ar-SA"/>
        </w:rPr>
        <w:t xml:space="preserve">  类比升压站监测结果</w:t>
      </w:r>
    </w:p>
    <w:p w14:paraId="3A51259B">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依据《</w:t>
      </w:r>
      <w:r>
        <w:rPr>
          <w:rFonts w:hint="default" w:ascii="Times New Roman" w:hAnsi="Times New Roman" w:eastAsia="仿宋" w:cs="Times New Roman"/>
          <w:color w:val="auto"/>
          <w:spacing w:val="0"/>
          <w:sz w:val="24"/>
          <w:szCs w:val="24"/>
          <w:highlight w:val="none"/>
          <w:lang w:val="en-US" w:eastAsia="zh-CN"/>
        </w:rPr>
        <w:t>云南省楚雄州元谋县平新光伏电站（450MW）项目</w:t>
      </w:r>
      <w:r>
        <w:rPr>
          <w:rFonts w:hint="default" w:ascii="Times New Roman" w:hAnsi="Times New Roman" w:eastAsia="仿宋" w:cs="Times New Roman"/>
          <w:color w:val="auto"/>
          <w:spacing w:val="0"/>
          <w:sz w:val="24"/>
          <w:szCs w:val="24"/>
          <w:highlight w:val="none"/>
        </w:rPr>
        <w:t>》，202</w:t>
      </w:r>
      <w:r>
        <w:rPr>
          <w:rFonts w:hint="eastAsia" w:cs="Times New Roman"/>
          <w:color w:val="auto"/>
          <w:spacing w:val="0"/>
          <w:sz w:val="24"/>
          <w:szCs w:val="24"/>
          <w:highlight w:val="none"/>
          <w:lang w:val="en-US" w:eastAsia="zh-CN"/>
        </w:rPr>
        <w:t>5</w:t>
      </w:r>
      <w:r>
        <w:rPr>
          <w:rFonts w:hint="default" w:ascii="Times New Roman" w:hAnsi="Times New Roman" w:eastAsia="仿宋" w:cs="Times New Roman"/>
          <w:color w:val="auto"/>
          <w:spacing w:val="0"/>
          <w:sz w:val="24"/>
          <w:szCs w:val="24"/>
          <w:highlight w:val="none"/>
        </w:rPr>
        <w:t>年1</w:t>
      </w:r>
      <w:r>
        <w:rPr>
          <w:rFonts w:hint="eastAsia" w:cs="Times New Roman"/>
          <w:color w:val="auto"/>
          <w:spacing w:val="0"/>
          <w:sz w:val="24"/>
          <w:szCs w:val="24"/>
          <w:highlight w:val="none"/>
          <w:lang w:val="en-US" w:eastAsia="zh-CN"/>
        </w:rPr>
        <w:t>1</w:t>
      </w:r>
      <w:r>
        <w:rPr>
          <w:rFonts w:hint="default" w:ascii="Times New Roman" w:hAnsi="Times New Roman" w:eastAsia="仿宋" w:cs="Times New Roman"/>
          <w:color w:val="auto"/>
          <w:spacing w:val="0"/>
          <w:sz w:val="24"/>
          <w:szCs w:val="24"/>
          <w:highlight w:val="none"/>
        </w:rPr>
        <w:t>月</w:t>
      </w:r>
      <w:r>
        <w:rPr>
          <w:rFonts w:hint="eastAsia" w:cs="Times New Roman"/>
          <w:color w:val="auto"/>
          <w:spacing w:val="0"/>
          <w:sz w:val="24"/>
          <w:szCs w:val="24"/>
          <w:highlight w:val="none"/>
          <w:lang w:val="en-US" w:eastAsia="zh-CN"/>
        </w:rPr>
        <w:t>19</w:t>
      </w:r>
      <w:r>
        <w:rPr>
          <w:rFonts w:hint="default" w:ascii="Times New Roman" w:hAnsi="Times New Roman" w:eastAsia="仿宋" w:cs="Times New Roman"/>
          <w:color w:val="auto"/>
          <w:spacing w:val="0"/>
          <w:sz w:val="24"/>
          <w:szCs w:val="24"/>
          <w:highlight w:val="none"/>
        </w:rPr>
        <w:t>日，</w:t>
      </w:r>
      <w:r>
        <w:rPr>
          <w:rFonts w:hint="default" w:ascii="Times New Roman" w:hAnsi="Times New Roman" w:eastAsia="仿宋" w:cs="Times New Roman"/>
          <w:color w:val="auto"/>
          <w:spacing w:val="0"/>
          <w:sz w:val="24"/>
          <w:szCs w:val="24"/>
          <w:highlight w:val="none"/>
          <w:lang w:val="en-US" w:eastAsia="zh-CN"/>
        </w:rPr>
        <w:t>云南省楚雄州元谋县平新光伏电站</w:t>
      </w:r>
      <w:r>
        <w:rPr>
          <w:rFonts w:hint="default" w:ascii="Times New Roman" w:hAnsi="Times New Roman" w:eastAsia="仿宋" w:cs="Times New Roman"/>
          <w:color w:val="auto"/>
          <w:spacing w:val="0"/>
          <w:sz w:val="24"/>
          <w:szCs w:val="24"/>
          <w:highlight w:val="none"/>
        </w:rPr>
        <w:t>对220kV</w:t>
      </w:r>
      <w:r>
        <w:rPr>
          <w:rFonts w:hint="eastAsia" w:cs="Times New Roman"/>
          <w:color w:val="auto"/>
          <w:spacing w:val="0"/>
          <w:sz w:val="24"/>
          <w:szCs w:val="24"/>
          <w:highlight w:val="none"/>
          <w:lang w:val="en-US" w:eastAsia="zh-CN"/>
        </w:rPr>
        <w:t>平新升压站</w:t>
      </w:r>
      <w:r>
        <w:rPr>
          <w:rFonts w:hint="default" w:ascii="Times New Roman" w:hAnsi="Times New Roman" w:eastAsia="仿宋" w:cs="Times New Roman"/>
          <w:color w:val="auto"/>
          <w:spacing w:val="0"/>
          <w:sz w:val="24"/>
          <w:szCs w:val="24"/>
          <w:highlight w:val="none"/>
        </w:rPr>
        <w:t>站界及周边电磁环境开展了监测，</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监测报告：</w:t>
      </w:r>
      <w:r>
        <w:rPr>
          <w:rFonts w:hint="eastAsia" w:cs="Times New Roman"/>
          <w:color w:val="auto"/>
          <w:spacing w:val="0"/>
          <w:sz w:val="24"/>
          <w:szCs w:val="24"/>
          <w:highlight w:val="none"/>
          <w:lang w:val="en-US" w:eastAsia="zh-CN"/>
        </w:rPr>
        <w:t>附件12</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监测内容如下：</w:t>
      </w:r>
    </w:p>
    <w:p w14:paraId="3E155581">
      <w:pPr>
        <w:ind w:left="0" w:leftChars="0" w:firstLine="0" w:firstLineChars="0"/>
        <w:rPr>
          <w:rFonts w:hint="default"/>
          <w:color w:val="auto"/>
          <w:highlight w:val="none"/>
        </w:rPr>
      </w:pPr>
      <w:r>
        <w:rPr>
          <w:rFonts w:hint="eastAsia"/>
          <w:color w:val="auto"/>
          <w:highlight w:val="none"/>
          <w:lang w:val="en-US" w:eastAsia="zh-CN"/>
        </w:rPr>
        <w:t>1、</w:t>
      </w:r>
      <w:r>
        <w:rPr>
          <w:rFonts w:hint="default"/>
          <w:color w:val="auto"/>
          <w:highlight w:val="none"/>
        </w:rPr>
        <w:t xml:space="preserve"> 监测因子及监测频次</w:t>
      </w:r>
    </w:p>
    <w:p w14:paraId="0BD0B948">
      <w:pPr>
        <w:rPr>
          <w:rFonts w:hint="default"/>
          <w:color w:val="auto"/>
          <w:highlight w:val="none"/>
        </w:rPr>
      </w:pPr>
      <w:r>
        <w:rPr>
          <w:rFonts w:hint="default"/>
          <w:color w:val="auto"/>
          <w:highlight w:val="none"/>
        </w:rPr>
        <w:t>（1）监测因子</w:t>
      </w:r>
    </w:p>
    <w:p w14:paraId="06269E0E">
      <w:pPr>
        <w:rPr>
          <w:rFonts w:hint="default"/>
          <w:color w:val="auto"/>
          <w:highlight w:val="none"/>
        </w:rPr>
      </w:pPr>
      <w:r>
        <w:rPr>
          <w:rFonts w:hint="default"/>
          <w:color w:val="auto"/>
          <w:highlight w:val="none"/>
        </w:rPr>
        <w:t>分别监测工频电场强度（V/m）</w:t>
      </w:r>
      <w:r>
        <w:rPr>
          <w:rFonts w:hint="eastAsia"/>
          <w:color w:val="auto"/>
          <w:highlight w:val="none"/>
          <w:lang w:val="en-US" w:eastAsia="zh-CN"/>
        </w:rPr>
        <w:t>和工频磁感应强度（μT）</w:t>
      </w:r>
      <w:r>
        <w:rPr>
          <w:rFonts w:hint="default"/>
          <w:color w:val="auto"/>
          <w:highlight w:val="none"/>
        </w:rPr>
        <w:t>。</w:t>
      </w:r>
    </w:p>
    <w:p w14:paraId="67D80CF8">
      <w:pPr>
        <w:rPr>
          <w:rFonts w:hint="default"/>
          <w:color w:val="auto"/>
          <w:highlight w:val="none"/>
        </w:rPr>
      </w:pPr>
      <w:r>
        <w:rPr>
          <w:rFonts w:hint="default"/>
          <w:color w:val="auto"/>
          <w:highlight w:val="none"/>
        </w:rPr>
        <w:t>（2）监测频次</w:t>
      </w:r>
    </w:p>
    <w:p w14:paraId="7B77AF02">
      <w:pPr>
        <w:rPr>
          <w:rFonts w:hint="default"/>
          <w:color w:val="auto"/>
          <w:highlight w:val="none"/>
        </w:rPr>
      </w:pPr>
      <w:r>
        <w:rPr>
          <w:rFonts w:hint="default"/>
          <w:color w:val="auto"/>
          <w:highlight w:val="none"/>
        </w:rPr>
        <w:t>监测</w:t>
      </w:r>
      <w:r>
        <w:rPr>
          <w:rFonts w:hint="eastAsia"/>
          <w:color w:val="auto"/>
          <w:highlight w:val="none"/>
          <w:lang w:val="en-US" w:eastAsia="zh-CN"/>
        </w:rPr>
        <w:t>期间监测1次</w:t>
      </w:r>
      <w:r>
        <w:rPr>
          <w:rFonts w:hint="default"/>
          <w:color w:val="auto"/>
          <w:highlight w:val="none"/>
        </w:rPr>
        <w:t>。</w:t>
      </w:r>
    </w:p>
    <w:p w14:paraId="08DB7512">
      <w:pPr>
        <w:ind w:left="0" w:leftChars="0" w:firstLine="0" w:firstLineChars="0"/>
        <w:rPr>
          <w:rFonts w:hint="default"/>
          <w:color w:val="auto"/>
          <w:highlight w:val="none"/>
        </w:rPr>
      </w:pPr>
      <w:r>
        <w:rPr>
          <w:rFonts w:hint="eastAsia"/>
          <w:color w:val="auto"/>
          <w:highlight w:val="none"/>
          <w:lang w:val="en-US" w:eastAsia="zh-CN"/>
        </w:rPr>
        <w:t>2、</w:t>
      </w:r>
      <w:r>
        <w:rPr>
          <w:rFonts w:hint="default"/>
          <w:color w:val="auto"/>
          <w:highlight w:val="none"/>
        </w:rPr>
        <w:t xml:space="preserve"> 监测方法及监测布点</w:t>
      </w:r>
    </w:p>
    <w:p w14:paraId="7D9BB4D8">
      <w:pPr>
        <w:rPr>
          <w:rFonts w:hint="default"/>
          <w:color w:val="auto"/>
          <w:highlight w:val="none"/>
        </w:rPr>
      </w:pPr>
      <w:r>
        <w:rPr>
          <w:rFonts w:hint="default"/>
          <w:color w:val="auto"/>
          <w:highlight w:val="none"/>
        </w:rPr>
        <w:t>（1）监测方法</w:t>
      </w:r>
    </w:p>
    <w:p w14:paraId="3E5C8DC4">
      <w:pPr>
        <w:rPr>
          <w:rFonts w:hint="eastAsia" w:eastAsia="仿宋"/>
          <w:color w:val="auto"/>
          <w:highlight w:val="none"/>
          <w:lang w:eastAsia="zh-CN"/>
        </w:rPr>
      </w:pPr>
      <w:r>
        <w:rPr>
          <w:color w:val="auto"/>
          <w:highlight w:val="none"/>
        </w:rPr>
        <w:t>根据</w:t>
      </w:r>
      <w:r>
        <w:rPr>
          <w:rFonts w:hint="eastAsia"/>
          <w:color w:val="auto"/>
          <w:highlight w:val="none"/>
          <w:lang w:eastAsia="zh-CN"/>
        </w:rPr>
        <w:t>《交流输变电工程电磁环境监测方法（试行）》（</w:t>
      </w:r>
      <w:r>
        <w:rPr>
          <w:rFonts w:hint="eastAsia"/>
          <w:color w:val="auto"/>
          <w:highlight w:val="none"/>
        </w:rPr>
        <w:t>HJ 681-2013</w:t>
      </w:r>
      <w:r>
        <w:rPr>
          <w:rFonts w:hint="eastAsia"/>
          <w:color w:val="auto"/>
          <w:highlight w:val="none"/>
          <w:lang w:eastAsia="zh-CN"/>
        </w:rPr>
        <w:t>）</w:t>
      </w:r>
      <w:r>
        <w:rPr>
          <w:color w:val="auto"/>
          <w:highlight w:val="none"/>
        </w:rPr>
        <w:t>进行</w:t>
      </w:r>
      <w:r>
        <w:rPr>
          <w:rFonts w:hint="eastAsia"/>
          <w:color w:val="auto"/>
          <w:highlight w:val="none"/>
          <w:lang w:eastAsia="zh-CN"/>
        </w:rPr>
        <w:t>。</w:t>
      </w:r>
    </w:p>
    <w:p w14:paraId="2738ECE3">
      <w:pPr>
        <w:rPr>
          <w:rFonts w:hint="default"/>
          <w:color w:val="auto"/>
          <w:highlight w:val="none"/>
        </w:rPr>
      </w:pPr>
      <w:r>
        <w:rPr>
          <w:rFonts w:hint="default"/>
          <w:color w:val="auto"/>
          <w:highlight w:val="none"/>
        </w:rPr>
        <w:t>（2）监测布点</w:t>
      </w:r>
    </w:p>
    <w:p w14:paraId="34331C84">
      <w:pPr>
        <w:rPr>
          <w:rFonts w:hint="default"/>
          <w:color w:val="auto"/>
          <w:highlight w:val="none"/>
        </w:rPr>
      </w:pPr>
      <w:r>
        <w:rPr>
          <w:rFonts w:hint="eastAsia"/>
          <w:color w:val="auto"/>
          <w:highlight w:val="none"/>
          <w:lang w:val="en-US" w:eastAsia="zh-CN"/>
        </w:rPr>
        <w:t>升压站厂界外5m四周布点，并在最高值处布设监测断面</w:t>
      </w:r>
      <w:r>
        <w:rPr>
          <w:rFonts w:hint="default"/>
          <w:color w:val="auto"/>
          <w:highlight w:val="none"/>
        </w:rPr>
        <w:t>。</w:t>
      </w:r>
    </w:p>
    <w:p w14:paraId="5482E159">
      <w:pPr>
        <w:ind w:left="0" w:leftChars="0" w:firstLine="0" w:firstLineChars="0"/>
        <w:rPr>
          <w:rFonts w:hint="default"/>
          <w:color w:val="auto"/>
          <w:highlight w:val="none"/>
        </w:rPr>
      </w:pPr>
      <w:r>
        <w:rPr>
          <w:rFonts w:hint="eastAsia"/>
          <w:color w:val="auto"/>
          <w:highlight w:val="none"/>
          <w:lang w:val="en-US" w:eastAsia="zh-CN"/>
        </w:rPr>
        <w:t>3、</w:t>
      </w:r>
      <w:r>
        <w:rPr>
          <w:rFonts w:hint="default"/>
          <w:color w:val="auto"/>
          <w:highlight w:val="none"/>
        </w:rPr>
        <w:t>监测单位</w:t>
      </w:r>
      <w:r>
        <w:rPr>
          <w:rFonts w:hint="eastAsia"/>
          <w:color w:val="auto"/>
          <w:highlight w:val="none"/>
          <w:lang w:val="en-US" w:eastAsia="zh-CN"/>
        </w:rPr>
        <w:t>和</w:t>
      </w:r>
      <w:r>
        <w:rPr>
          <w:rFonts w:hint="default"/>
          <w:color w:val="auto"/>
          <w:highlight w:val="none"/>
        </w:rPr>
        <w:t>监测时间</w:t>
      </w:r>
    </w:p>
    <w:p w14:paraId="44FBFB61">
      <w:pPr>
        <w:rPr>
          <w:rFonts w:hint="default"/>
          <w:color w:val="auto"/>
          <w:highlight w:val="none"/>
        </w:rPr>
      </w:pPr>
      <w:r>
        <w:rPr>
          <w:rFonts w:hint="default"/>
          <w:color w:val="auto"/>
          <w:highlight w:val="none"/>
        </w:rPr>
        <w:t>（1）监测单位</w:t>
      </w:r>
    </w:p>
    <w:p w14:paraId="2927D341">
      <w:pPr>
        <w:rPr>
          <w:rFonts w:hint="eastAsia" w:eastAsia="仿宋"/>
          <w:color w:val="auto"/>
          <w:highlight w:val="none"/>
          <w:lang w:eastAsia="zh-CN"/>
        </w:rPr>
      </w:pPr>
      <w:r>
        <w:rPr>
          <w:rFonts w:hint="eastAsia"/>
          <w:color w:val="auto"/>
          <w:highlight w:val="none"/>
          <w:lang w:val="en-US" w:eastAsia="zh-CN"/>
        </w:rPr>
        <w:t>云南天籁环保科技有限公司</w:t>
      </w:r>
      <w:r>
        <w:rPr>
          <w:rFonts w:hint="eastAsia"/>
          <w:color w:val="auto"/>
          <w:highlight w:val="none"/>
          <w:lang w:eastAsia="zh-CN"/>
        </w:rPr>
        <w:t>。</w:t>
      </w:r>
    </w:p>
    <w:p w14:paraId="64B2C38F">
      <w:pPr>
        <w:rPr>
          <w:rFonts w:hint="default"/>
          <w:color w:val="auto"/>
          <w:highlight w:val="none"/>
        </w:rPr>
      </w:pPr>
      <w:r>
        <w:rPr>
          <w:rFonts w:hint="default"/>
          <w:color w:val="auto"/>
          <w:highlight w:val="none"/>
        </w:rPr>
        <w:t>（2）监测时间</w:t>
      </w:r>
    </w:p>
    <w:p w14:paraId="5B1D9626">
      <w:pPr>
        <w:rPr>
          <w:rFonts w:hint="default"/>
          <w:color w:val="auto"/>
          <w:highlight w:val="none"/>
        </w:rPr>
      </w:pPr>
      <w:r>
        <w:rPr>
          <w:rFonts w:hint="default"/>
          <w:color w:val="auto"/>
          <w:highlight w:val="none"/>
        </w:rPr>
        <w:t>202</w:t>
      </w:r>
      <w:r>
        <w:rPr>
          <w:rFonts w:hint="eastAsia"/>
          <w:color w:val="auto"/>
          <w:highlight w:val="none"/>
          <w:lang w:val="en-US" w:eastAsia="zh-CN"/>
        </w:rPr>
        <w:t>5</w:t>
      </w:r>
      <w:r>
        <w:rPr>
          <w:rFonts w:hint="default"/>
          <w:color w:val="auto"/>
          <w:highlight w:val="none"/>
        </w:rPr>
        <w:t>年</w:t>
      </w:r>
      <w:r>
        <w:rPr>
          <w:rFonts w:hint="eastAsia"/>
          <w:color w:val="auto"/>
          <w:highlight w:val="none"/>
          <w:lang w:val="en-US" w:eastAsia="zh-CN"/>
        </w:rPr>
        <w:t>11</w:t>
      </w:r>
      <w:r>
        <w:rPr>
          <w:rFonts w:hint="default"/>
          <w:color w:val="auto"/>
          <w:highlight w:val="none"/>
        </w:rPr>
        <w:t>月</w:t>
      </w:r>
      <w:r>
        <w:rPr>
          <w:rFonts w:hint="eastAsia"/>
          <w:color w:val="auto"/>
          <w:highlight w:val="none"/>
          <w:lang w:val="en-US" w:eastAsia="zh-CN"/>
        </w:rPr>
        <w:t>19</w:t>
      </w:r>
      <w:r>
        <w:rPr>
          <w:rFonts w:hint="default"/>
          <w:color w:val="auto"/>
          <w:highlight w:val="none"/>
        </w:rPr>
        <w:t>日。</w:t>
      </w:r>
    </w:p>
    <w:p w14:paraId="5A6460CB">
      <w:pPr>
        <w:jc w:val="center"/>
        <w:rPr>
          <w:rFonts w:hint="default"/>
          <w:color w:val="auto"/>
          <w:highlight w:val="none"/>
          <w:lang w:val="en-US" w:eastAsia="zh-CN"/>
        </w:rPr>
      </w:pPr>
      <w:r>
        <w:rPr>
          <w:rFonts w:hint="eastAsia"/>
          <w:color w:val="auto"/>
          <w:highlight w:val="none"/>
          <w:lang w:val="en-US" w:eastAsia="zh-CN"/>
        </w:rPr>
        <w:t>表8.2-3 升压站电磁污染源监测结果一览表</w:t>
      </w:r>
    </w:p>
    <w:tbl>
      <w:tblPr>
        <w:tblStyle w:val="1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3809"/>
        <w:gridCol w:w="1334"/>
        <w:gridCol w:w="1279"/>
        <w:gridCol w:w="1424"/>
      </w:tblGrid>
      <w:tr w14:paraId="7144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86" w:type="pct"/>
            <w:vMerge w:val="restart"/>
            <w:noWrap w:val="0"/>
            <w:vAlign w:val="center"/>
          </w:tcPr>
          <w:p w14:paraId="5A4F02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r>
              <w:rPr>
                <w:rFonts w:hint="default"/>
                <w:color w:val="auto"/>
                <w:sz w:val="18"/>
                <w:szCs w:val="18"/>
                <w:highlight w:val="none"/>
              </w:rPr>
              <w:t>序号</w:t>
            </w:r>
          </w:p>
        </w:tc>
        <w:tc>
          <w:tcPr>
            <w:tcW w:w="2239" w:type="pct"/>
            <w:vMerge w:val="restart"/>
            <w:noWrap w:val="0"/>
            <w:vAlign w:val="center"/>
          </w:tcPr>
          <w:p w14:paraId="3E8A6A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r>
              <w:rPr>
                <w:rFonts w:hint="default"/>
                <w:color w:val="auto"/>
                <w:sz w:val="18"/>
                <w:szCs w:val="18"/>
                <w:highlight w:val="none"/>
              </w:rPr>
              <w:t>检测点位置</w:t>
            </w:r>
          </w:p>
        </w:tc>
        <w:tc>
          <w:tcPr>
            <w:tcW w:w="784" w:type="pct"/>
            <w:vMerge w:val="restart"/>
            <w:noWrap w:val="0"/>
            <w:vAlign w:val="center"/>
          </w:tcPr>
          <w:p w14:paraId="49C68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r>
              <w:rPr>
                <w:rFonts w:hint="default"/>
                <w:color w:val="auto"/>
                <w:sz w:val="18"/>
                <w:szCs w:val="18"/>
                <w:highlight w:val="none"/>
              </w:rPr>
              <w:t>检测日期</w:t>
            </w:r>
          </w:p>
        </w:tc>
        <w:tc>
          <w:tcPr>
            <w:tcW w:w="1589" w:type="pct"/>
            <w:gridSpan w:val="2"/>
            <w:noWrap w:val="0"/>
            <w:vAlign w:val="center"/>
          </w:tcPr>
          <w:p w14:paraId="3CD9E1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r>
              <w:rPr>
                <w:rFonts w:hint="default"/>
                <w:color w:val="auto"/>
                <w:sz w:val="18"/>
                <w:szCs w:val="18"/>
                <w:highlight w:val="none"/>
                <w:lang w:eastAsia="zh-CN"/>
              </w:rPr>
              <w:t>检</w:t>
            </w:r>
            <w:r>
              <w:rPr>
                <w:rFonts w:hint="default"/>
                <w:color w:val="auto"/>
                <w:sz w:val="18"/>
                <w:szCs w:val="18"/>
                <w:highlight w:val="none"/>
              </w:rPr>
              <w:t>测结果</w:t>
            </w:r>
          </w:p>
        </w:tc>
      </w:tr>
      <w:tr w14:paraId="368D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86" w:type="pct"/>
            <w:vMerge w:val="continue"/>
            <w:noWrap w:val="0"/>
            <w:vAlign w:val="center"/>
          </w:tcPr>
          <w:p w14:paraId="3C7EF1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p>
        </w:tc>
        <w:tc>
          <w:tcPr>
            <w:tcW w:w="2239" w:type="pct"/>
            <w:vMerge w:val="continue"/>
            <w:noWrap w:val="0"/>
            <w:vAlign w:val="center"/>
          </w:tcPr>
          <w:p w14:paraId="45A69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p>
        </w:tc>
        <w:tc>
          <w:tcPr>
            <w:tcW w:w="784" w:type="pct"/>
            <w:vMerge w:val="continue"/>
            <w:noWrap w:val="0"/>
            <w:vAlign w:val="center"/>
          </w:tcPr>
          <w:p w14:paraId="0A35F0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p>
        </w:tc>
        <w:tc>
          <w:tcPr>
            <w:tcW w:w="752" w:type="pct"/>
            <w:noWrap w:val="0"/>
            <w:vAlign w:val="center"/>
          </w:tcPr>
          <w:p w14:paraId="27826B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r>
              <w:rPr>
                <w:rFonts w:hint="default"/>
                <w:color w:val="auto"/>
                <w:sz w:val="18"/>
                <w:szCs w:val="18"/>
                <w:highlight w:val="none"/>
              </w:rPr>
              <w:t>工频电场强度（V/m）</w:t>
            </w:r>
          </w:p>
        </w:tc>
        <w:tc>
          <w:tcPr>
            <w:tcW w:w="837" w:type="pct"/>
            <w:noWrap w:val="0"/>
            <w:vAlign w:val="center"/>
          </w:tcPr>
          <w:p w14:paraId="0A607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rPr>
            </w:pPr>
            <w:r>
              <w:rPr>
                <w:rFonts w:hint="default"/>
                <w:color w:val="auto"/>
                <w:sz w:val="18"/>
                <w:szCs w:val="18"/>
                <w:highlight w:val="none"/>
              </w:rPr>
              <w:t>工频磁感应强度（μT）</w:t>
            </w:r>
          </w:p>
        </w:tc>
      </w:tr>
      <w:tr w14:paraId="5204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233B2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1</w:t>
            </w:r>
          </w:p>
        </w:tc>
        <w:tc>
          <w:tcPr>
            <w:tcW w:w="2239" w:type="pct"/>
            <w:noWrap w:val="0"/>
            <w:vAlign w:val="center"/>
          </w:tcPr>
          <w:p w14:paraId="51D0FA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M1：升压站东侧围墙外5m处（EF1）</w:t>
            </w:r>
          </w:p>
        </w:tc>
        <w:tc>
          <w:tcPr>
            <w:tcW w:w="784" w:type="pct"/>
            <w:noWrap w:val="0"/>
            <w:vAlign w:val="center"/>
          </w:tcPr>
          <w:p w14:paraId="3FE1D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0B456ED8">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10.704</w:t>
            </w:r>
          </w:p>
        </w:tc>
        <w:tc>
          <w:tcPr>
            <w:tcW w:w="837" w:type="pct"/>
            <w:noWrap w:val="0"/>
            <w:vAlign w:val="center"/>
          </w:tcPr>
          <w:p w14:paraId="3D5DC7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kern w:val="2"/>
                <w:sz w:val="21"/>
                <w:szCs w:val="21"/>
                <w:highlight w:val="none"/>
                <w:lang w:val="en-US" w:eastAsia="zh-CN" w:bidi="ar-SA"/>
              </w:rPr>
              <w:t>0.194</w:t>
            </w:r>
          </w:p>
        </w:tc>
      </w:tr>
      <w:tr w14:paraId="04A5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10742D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2</w:t>
            </w:r>
          </w:p>
        </w:tc>
        <w:tc>
          <w:tcPr>
            <w:tcW w:w="2239" w:type="pct"/>
            <w:noWrap w:val="0"/>
            <w:vAlign w:val="center"/>
          </w:tcPr>
          <w:p w14:paraId="67C5C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M2：升压站南侧围墙外5m处（EF2）</w:t>
            </w:r>
          </w:p>
        </w:tc>
        <w:tc>
          <w:tcPr>
            <w:tcW w:w="784" w:type="pct"/>
            <w:noWrap w:val="0"/>
            <w:vAlign w:val="center"/>
          </w:tcPr>
          <w:p w14:paraId="7E5CB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10D9F712">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1.363</w:t>
            </w:r>
          </w:p>
        </w:tc>
        <w:tc>
          <w:tcPr>
            <w:tcW w:w="837" w:type="pct"/>
            <w:noWrap w:val="0"/>
            <w:vAlign w:val="center"/>
          </w:tcPr>
          <w:p w14:paraId="239BD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kern w:val="2"/>
                <w:sz w:val="21"/>
                <w:szCs w:val="21"/>
                <w:highlight w:val="none"/>
                <w:lang w:val="en-US" w:eastAsia="zh-CN" w:bidi="ar-SA"/>
              </w:rPr>
              <w:t>0.045</w:t>
            </w:r>
          </w:p>
        </w:tc>
      </w:tr>
      <w:tr w14:paraId="23B7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78AB3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3</w:t>
            </w:r>
          </w:p>
        </w:tc>
        <w:tc>
          <w:tcPr>
            <w:tcW w:w="2239" w:type="pct"/>
            <w:noWrap w:val="0"/>
            <w:vAlign w:val="center"/>
          </w:tcPr>
          <w:p w14:paraId="75D16C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M3：升压站西侧围墙外5m（EF3）</w:t>
            </w:r>
          </w:p>
        </w:tc>
        <w:tc>
          <w:tcPr>
            <w:tcW w:w="784" w:type="pct"/>
            <w:noWrap w:val="0"/>
            <w:vAlign w:val="center"/>
          </w:tcPr>
          <w:p w14:paraId="37EF2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258A0AE6">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38.070</w:t>
            </w:r>
          </w:p>
        </w:tc>
        <w:tc>
          <w:tcPr>
            <w:tcW w:w="837" w:type="pct"/>
            <w:noWrap w:val="0"/>
            <w:vAlign w:val="center"/>
          </w:tcPr>
          <w:p w14:paraId="41BA5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0.070</w:t>
            </w:r>
          </w:p>
        </w:tc>
      </w:tr>
      <w:tr w14:paraId="4ADB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3D35D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4</w:t>
            </w:r>
          </w:p>
        </w:tc>
        <w:tc>
          <w:tcPr>
            <w:tcW w:w="2239" w:type="pct"/>
            <w:noWrap w:val="0"/>
            <w:vAlign w:val="center"/>
          </w:tcPr>
          <w:p w14:paraId="2D18E4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M4：升压站北侧围墙外5m（EF4）</w:t>
            </w:r>
          </w:p>
        </w:tc>
        <w:tc>
          <w:tcPr>
            <w:tcW w:w="784" w:type="pct"/>
            <w:noWrap w:val="0"/>
            <w:vAlign w:val="center"/>
          </w:tcPr>
          <w:p w14:paraId="52A4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4BFDA62E">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715.984</w:t>
            </w:r>
          </w:p>
        </w:tc>
        <w:tc>
          <w:tcPr>
            <w:tcW w:w="837" w:type="pct"/>
            <w:noWrap w:val="0"/>
            <w:vAlign w:val="center"/>
          </w:tcPr>
          <w:p w14:paraId="36489B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1.141</w:t>
            </w:r>
          </w:p>
        </w:tc>
      </w:tr>
      <w:tr w14:paraId="2606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86" w:type="pct"/>
            <w:noWrap w:val="0"/>
            <w:vAlign w:val="center"/>
          </w:tcPr>
          <w:p w14:paraId="686727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5</w:t>
            </w:r>
          </w:p>
        </w:tc>
        <w:tc>
          <w:tcPr>
            <w:tcW w:w="2239" w:type="pct"/>
            <w:noWrap w:val="0"/>
            <w:vAlign w:val="center"/>
          </w:tcPr>
          <w:p w14:paraId="20135E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M5：升压站北侧围墙外10m（EF5）</w:t>
            </w:r>
          </w:p>
        </w:tc>
        <w:tc>
          <w:tcPr>
            <w:tcW w:w="784" w:type="pct"/>
            <w:noWrap w:val="0"/>
            <w:vAlign w:val="center"/>
          </w:tcPr>
          <w:p w14:paraId="24AF1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0A867089">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638.862</w:t>
            </w:r>
          </w:p>
        </w:tc>
        <w:tc>
          <w:tcPr>
            <w:tcW w:w="837" w:type="pct"/>
            <w:noWrap w:val="0"/>
            <w:vAlign w:val="center"/>
          </w:tcPr>
          <w:p w14:paraId="6DF2B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1.060</w:t>
            </w:r>
          </w:p>
        </w:tc>
      </w:tr>
      <w:tr w14:paraId="3E0F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7510D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6</w:t>
            </w:r>
          </w:p>
        </w:tc>
        <w:tc>
          <w:tcPr>
            <w:tcW w:w="2239" w:type="pct"/>
            <w:noWrap w:val="0"/>
            <w:vAlign w:val="center"/>
          </w:tcPr>
          <w:p w14:paraId="589DD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M6：升压站北侧围墙外15m（EF6）</w:t>
            </w:r>
          </w:p>
        </w:tc>
        <w:tc>
          <w:tcPr>
            <w:tcW w:w="784" w:type="pct"/>
            <w:noWrap w:val="0"/>
            <w:vAlign w:val="center"/>
          </w:tcPr>
          <w:p w14:paraId="706D9D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1552291B">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443.830</w:t>
            </w:r>
          </w:p>
        </w:tc>
        <w:tc>
          <w:tcPr>
            <w:tcW w:w="837" w:type="pct"/>
            <w:noWrap w:val="0"/>
            <w:vAlign w:val="center"/>
          </w:tcPr>
          <w:p w14:paraId="3261DA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0.928</w:t>
            </w:r>
          </w:p>
        </w:tc>
      </w:tr>
      <w:tr w14:paraId="7250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269FC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7</w:t>
            </w:r>
          </w:p>
        </w:tc>
        <w:tc>
          <w:tcPr>
            <w:tcW w:w="2239" w:type="pct"/>
            <w:noWrap w:val="0"/>
            <w:vAlign w:val="center"/>
          </w:tcPr>
          <w:p w14:paraId="1F058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M7：升压站北侧围墙外20m（EF7）</w:t>
            </w:r>
          </w:p>
        </w:tc>
        <w:tc>
          <w:tcPr>
            <w:tcW w:w="784" w:type="pct"/>
            <w:noWrap w:val="0"/>
            <w:vAlign w:val="center"/>
          </w:tcPr>
          <w:p w14:paraId="461A7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5C55F207">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389.813</w:t>
            </w:r>
          </w:p>
        </w:tc>
        <w:tc>
          <w:tcPr>
            <w:tcW w:w="837" w:type="pct"/>
            <w:noWrap w:val="0"/>
            <w:vAlign w:val="center"/>
          </w:tcPr>
          <w:p w14:paraId="7623E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0.598</w:t>
            </w:r>
          </w:p>
        </w:tc>
      </w:tr>
      <w:tr w14:paraId="560C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62323E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8</w:t>
            </w:r>
          </w:p>
        </w:tc>
        <w:tc>
          <w:tcPr>
            <w:tcW w:w="2239" w:type="pct"/>
            <w:noWrap w:val="0"/>
            <w:vAlign w:val="center"/>
          </w:tcPr>
          <w:p w14:paraId="24438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M8：升压站北侧围墙外25m（EF8）</w:t>
            </w:r>
          </w:p>
        </w:tc>
        <w:tc>
          <w:tcPr>
            <w:tcW w:w="784" w:type="pct"/>
            <w:noWrap w:val="0"/>
            <w:vAlign w:val="center"/>
          </w:tcPr>
          <w:p w14:paraId="2B237C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7B715089">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274.179</w:t>
            </w:r>
          </w:p>
        </w:tc>
        <w:tc>
          <w:tcPr>
            <w:tcW w:w="837" w:type="pct"/>
            <w:noWrap w:val="0"/>
            <w:vAlign w:val="center"/>
          </w:tcPr>
          <w:p w14:paraId="50870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0.432</w:t>
            </w:r>
          </w:p>
        </w:tc>
      </w:tr>
      <w:tr w14:paraId="3D62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2BAA3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9</w:t>
            </w:r>
          </w:p>
        </w:tc>
        <w:tc>
          <w:tcPr>
            <w:tcW w:w="2239" w:type="pct"/>
            <w:noWrap w:val="0"/>
            <w:vAlign w:val="center"/>
          </w:tcPr>
          <w:p w14:paraId="1BDE5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M9：升压站北侧围墙外30m（EF9）</w:t>
            </w:r>
          </w:p>
        </w:tc>
        <w:tc>
          <w:tcPr>
            <w:tcW w:w="784" w:type="pct"/>
            <w:noWrap w:val="0"/>
            <w:vAlign w:val="center"/>
          </w:tcPr>
          <w:p w14:paraId="34CC49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4EBBEAE0">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137.948</w:t>
            </w:r>
          </w:p>
        </w:tc>
        <w:tc>
          <w:tcPr>
            <w:tcW w:w="837" w:type="pct"/>
            <w:noWrap w:val="0"/>
            <w:vAlign w:val="center"/>
          </w:tcPr>
          <w:p w14:paraId="4887C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0.226</w:t>
            </w:r>
          </w:p>
        </w:tc>
      </w:tr>
      <w:tr w14:paraId="449F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61B12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10</w:t>
            </w:r>
          </w:p>
        </w:tc>
        <w:tc>
          <w:tcPr>
            <w:tcW w:w="2239" w:type="pct"/>
            <w:noWrap w:val="0"/>
            <w:vAlign w:val="center"/>
          </w:tcPr>
          <w:p w14:paraId="578A6A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M10：升压站北侧围墙外35m（EF10）</w:t>
            </w:r>
          </w:p>
        </w:tc>
        <w:tc>
          <w:tcPr>
            <w:tcW w:w="784" w:type="pct"/>
            <w:noWrap w:val="0"/>
            <w:vAlign w:val="center"/>
          </w:tcPr>
          <w:p w14:paraId="6EFA89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28886D15">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98.191</w:t>
            </w:r>
          </w:p>
        </w:tc>
        <w:tc>
          <w:tcPr>
            <w:tcW w:w="837" w:type="pct"/>
            <w:noWrap w:val="0"/>
            <w:vAlign w:val="center"/>
          </w:tcPr>
          <w:p w14:paraId="25670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
                <w:color w:val="auto"/>
                <w:kern w:val="2"/>
                <w:sz w:val="18"/>
                <w:szCs w:val="18"/>
                <w:highlight w:val="none"/>
                <w:lang w:val="en-US" w:eastAsia="zh-CN" w:bidi="ar-SA"/>
              </w:rPr>
            </w:pPr>
            <w:r>
              <w:rPr>
                <w:rFonts w:hint="eastAsia" w:cs="Times New Roman"/>
                <w:color w:val="auto"/>
                <w:sz w:val="21"/>
                <w:szCs w:val="21"/>
                <w:highlight w:val="none"/>
                <w:lang w:val="en-US" w:eastAsia="zh-CN"/>
              </w:rPr>
              <w:t>0.159</w:t>
            </w:r>
          </w:p>
        </w:tc>
      </w:tr>
      <w:tr w14:paraId="1A99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03656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2239" w:type="pct"/>
            <w:noWrap w:val="0"/>
            <w:vAlign w:val="center"/>
          </w:tcPr>
          <w:p w14:paraId="25E64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M11：升压站北侧围墙外40m（EF11）</w:t>
            </w:r>
          </w:p>
        </w:tc>
        <w:tc>
          <w:tcPr>
            <w:tcW w:w="784" w:type="pct"/>
            <w:noWrap w:val="0"/>
            <w:vAlign w:val="center"/>
          </w:tcPr>
          <w:p w14:paraId="1DD08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581DEE61">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17.998</w:t>
            </w:r>
          </w:p>
        </w:tc>
        <w:tc>
          <w:tcPr>
            <w:tcW w:w="837" w:type="pct"/>
            <w:noWrap w:val="0"/>
            <w:vAlign w:val="center"/>
          </w:tcPr>
          <w:p w14:paraId="70D599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0.111</w:t>
            </w:r>
          </w:p>
        </w:tc>
      </w:tr>
      <w:tr w14:paraId="6F13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2EAC24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12</w:t>
            </w:r>
          </w:p>
        </w:tc>
        <w:tc>
          <w:tcPr>
            <w:tcW w:w="2239" w:type="pct"/>
            <w:noWrap w:val="0"/>
            <w:vAlign w:val="center"/>
          </w:tcPr>
          <w:p w14:paraId="760C7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M12：升压站北侧围墙外45m（EF12）</w:t>
            </w:r>
          </w:p>
        </w:tc>
        <w:tc>
          <w:tcPr>
            <w:tcW w:w="784" w:type="pct"/>
            <w:noWrap w:val="0"/>
            <w:vAlign w:val="center"/>
          </w:tcPr>
          <w:p w14:paraId="0D40F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10326E8C">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12.289</w:t>
            </w:r>
          </w:p>
        </w:tc>
        <w:tc>
          <w:tcPr>
            <w:tcW w:w="837" w:type="pct"/>
            <w:noWrap w:val="0"/>
            <w:vAlign w:val="center"/>
          </w:tcPr>
          <w:p w14:paraId="158B47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0.074</w:t>
            </w:r>
          </w:p>
        </w:tc>
      </w:tr>
      <w:tr w14:paraId="34B6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 w:type="pct"/>
            <w:noWrap w:val="0"/>
            <w:vAlign w:val="center"/>
          </w:tcPr>
          <w:p w14:paraId="12896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olor w:val="auto"/>
                <w:sz w:val="18"/>
                <w:szCs w:val="18"/>
                <w:highlight w:val="none"/>
                <w:lang w:val="en-US" w:eastAsia="zh-CN"/>
              </w:rPr>
              <w:t>13</w:t>
            </w:r>
          </w:p>
        </w:tc>
        <w:tc>
          <w:tcPr>
            <w:tcW w:w="2239" w:type="pct"/>
            <w:noWrap w:val="0"/>
            <w:vAlign w:val="center"/>
          </w:tcPr>
          <w:p w14:paraId="39F170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M13：升压站北侧围墙外50m（EF13）</w:t>
            </w:r>
          </w:p>
        </w:tc>
        <w:tc>
          <w:tcPr>
            <w:tcW w:w="784" w:type="pct"/>
            <w:noWrap w:val="0"/>
            <w:vAlign w:val="center"/>
          </w:tcPr>
          <w:p w14:paraId="7A448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ascii="Times New Roman" w:hAnsi="Times New Roman" w:cs="Times New Roman"/>
                <w:color w:val="auto"/>
                <w:sz w:val="21"/>
                <w:szCs w:val="21"/>
                <w:highlight w:val="none"/>
                <w:lang w:val="en-US" w:eastAsia="zh-CN"/>
              </w:rPr>
              <w:t>2025.11.19</w:t>
            </w:r>
          </w:p>
        </w:tc>
        <w:tc>
          <w:tcPr>
            <w:tcW w:w="752" w:type="pct"/>
            <w:noWrap w:val="0"/>
            <w:vAlign w:val="center"/>
          </w:tcPr>
          <w:p w14:paraId="55F34CFD">
            <w:pPr>
              <w:keepNext w:val="0"/>
              <w:keepLines w:val="0"/>
              <w:suppressLineNumbers w:val="0"/>
              <w:spacing w:before="0" w:beforeAutospacing="0" w:after="0" w:afterAutospacing="0" w:line="240" w:lineRule="auto"/>
              <w:ind w:left="0" w:right="0" w:firstLine="31" w:firstLineChars="1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4.217</w:t>
            </w:r>
          </w:p>
        </w:tc>
        <w:tc>
          <w:tcPr>
            <w:tcW w:w="837" w:type="pct"/>
            <w:noWrap w:val="0"/>
            <w:vAlign w:val="center"/>
          </w:tcPr>
          <w:p w14:paraId="66AC7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18"/>
                <w:szCs w:val="18"/>
                <w:highlight w:val="none"/>
                <w:lang w:val="en-US" w:eastAsia="zh-CN"/>
              </w:rPr>
            </w:pPr>
            <w:r>
              <w:rPr>
                <w:rFonts w:hint="eastAsia" w:cs="Times New Roman"/>
                <w:color w:val="auto"/>
                <w:sz w:val="21"/>
                <w:szCs w:val="21"/>
                <w:highlight w:val="none"/>
                <w:lang w:val="en-US" w:eastAsia="zh-CN"/>
              </w:rPr>
              <w:t>0.067</w:t>
            </w:r>
          </w:p>
        </w:tc>
      </w:tr>
    </w:tbl>
    <w:p w14:paraId="52CCF759">
      <w:pPr>
        <w:spacing w:before="95" w:line="220" w:lineRule="auto"/>
        <w:ind w:left="44"/>
        <w:outlineLvl w:val="1"/>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b/>
          <w:bCs/>
          <w:color w:val="auto"/>
          <w:spacing w:val="-2"/>
          <w:sz w:val="28"/>
          <w:szCs w:val="28"/>
          <w:highlight w:val="none"/>
        </w:rPr>
        <w:t>4.4 类比分析</w:t>
      </w:r>
    </w:p>
    <w:p w14:paraId="1B7BF042">
      <w:pPr>
        <w:spacing w:before="78" w:beforeLines="0" w:afterLines="0" w:line="356" w:lineRule="auto"/>
        <w:ind w:left="5" w:firstLine="485"/>
        <w:jc w:val="both"/>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从上述类比220kV</w:t>
      </w:r>
      <w:r>
        <w:rPr>
          <w:rFonts w:hint="eastAsia" w:cs="Times New Roman"/>
          <w:color w:val="auto"/>
          <w:spacing w:val="0"/>
          <w:sz w:val="24"/>
          <w:szCs w:val="24"/>
          <w:highlight w:val="none"/>
          <w:lang w:val="en-US" w:eastAsia="zh-CN"/>
        </w:rPr>
        <w:t>平新升压站</w:t>
      </w:r>
      <w:r>
        <w:rPr>
          <w:rFonts w:hint="default" w:ascii="Times New Roman" w:hAnsi="Times New Roman" w:eastAsia="仿宋" w:cs="Times New Roman"/>
          <w:color w:val="auto"/>
          <w:spacing w:val="0"/>
          <w:sz w:val="24"/>
          <w:szCs w:val="24"/>
          <w:highlight w:val="none"/>
        </w:rPr>
        <w:t>电压等级、主变布置方式、电气形式及布置方式、出线方式均与本</w:t>
      </w:r>
      <w:r>
        <w:rPr>
          <w:rFonts w:hint="default" w:ascii="Times New Roman" w:hAnsi="Times New Roman" w:eastAsia="仿宋" w:cs="Times New Roman"/>
          <w:color w:val="auto"/>
          <w:spacing w:val="0"/>
          <w:sz w:val="24"/>
          <w:szCs w:val="24"/>
          <w:highlight w:val="none"/>
          <w:lang w:val="en-US" w:eastAsia="zh-CN"/>
        </w:rPr>
        <w:t>项目</w:t>
      </w:r>
      <w:r>
        <w:rPr>
          <w:rFonts w:hint="default" w:ascii="Times New Roman" w:hAnsi="Times New Roman" w:eastAsia="仿宋" w:cs="Times New Roman"/>
          <w:color w:val="auto"/>
          <w:spacing w:val="0"/>
          <w:sz w:val="24"/>
          <w:szCs w:val="24"/>
          <w:highlight w:val="none"/>
        </w:rPr>
        <w:t>光伏电站升压站相近，主变压器最近距离厂界距离相同，类比220kV</w:t>
      </w:r>
      <w:r>
        <w:rPr>
          <w:rFonts w:hint="eastAsia" w:cs="Times New Roman"/>
          <w:color w:val="auto"/>
          <w:spacing w:val="0"/>
          <w:sz w:val="24"/>
          <w:szCs w:val="24"/>
          <w:highlight w:val="none"/>
          <w:lang w:val="en-US" w:eastAsia="zh-CN"/>
        </w:rPr>
        <w:t>平新升压站</w:t>
      </w:r>
      <w:r>
        <w:rPr>
          <w:rFonts w:hint="default" w:ascii="Times New Roman" w:hAnsi="Times New Roman" w:eastAsia="仿宋" w:cs="Times New Roman"/>
          <w:color w:val="auto"/>
          <w:spacing w:val="0"/>
          <w:sz w:val="24"/>
          <w:szCs w:val="24"/>
          <w:highlight w:val="none"/>
        </w:rPr>
        <w:t>主变规模均大于</w:t>
      </w:r>
      <w:r>
        <w:rPr>
          <w:rFonts w:hint="default" w:ascii="Times New Roman" w:hAnsi="Times New Roman" w:eastAsia="仿宋" w:cs="Times New Roman"/>
          <w:color w:val="auto"/>
          <w:spacing w:val="0"/>
          <w:sz w:val="24"/>
          <w:szCs w:val="24"/>
          <w:highlight w:val="none"/>
          <w:lang w:val="en-US" w:eastAsia="zh-CN"/>
        </w:rPr>
        <w:t>本项目</w:t>
      </w:r>
      <w:r>
        <w:rPr>
          <w:rFonts w:hint="default" w:ascii="Times New Roman" w:hAnsi="Times New Roman" w:eastAsia="仿宋" w:cs="Times New Roman"/>
          <w:color w:val="auto"/>
          <w:spacing w:val="0"/>
          <w:sz w:val="24"/>
          <w:szCs w:val="24"/>
          <w:highlight w:val="none"/>
        </w:rPr>
        <w:t>升压站主变，周边环境条件单一，无乔木。且根据上述监测结果可以看出，类比的220kV</w:t>
      </w:r>
      <w:r>
        <w:rPr>
          <w:rFonts w:hint="eastAsia" w:cs="Times New Roman"/>
          <w:color w:val="auto"/>
          <w:spacing w:val="0"/>
          <w:sz w:val="24"/>
          <w:szCs w:val="24"/>
          <w:highlight w:val="none"/>
          <w:lang w:val="en-US" w:eastAsia="zh-CN"/>
        </w:rPr>
        <w:t>平新升压站</w:t>
      </w:r>
      <w:r>
        <w:rPr>
          <w:rFonts w:hint="default" w:ascii="Times New Roman" w:hAnsi="Times New Roman" w:eastAsia="仿宋" w:cs="Times New Roman"/>
          <w:color w:val="auto"/>
          <w:spacing w:val="0"/>
          <w:sz w:val="24"/>
          <w:szCs w:val="24"/>
          <w:highlight w:val="none"/>
        </w:rPr>
        <w:t>在监测期间升压站厂界工频电场强度为1.363</w:t>
      </w:r>
      <w:r>
        <w:rPr>
          <w:rFonts w:hint="eastAsia" w:ascii="Times New Roman" w:hAnsi="Times New Roman" w:cs="Times New Roman"/>
          <w:color w:val="auto"/>
          <w:spacing w:val="0"/>
          <w:sz w:val="24"/>
          <w:szCs w:val="24"/>
          <w:highlight w:val="none"/>
          <w:lang w:val="en-US" w:eastAsia="zh-CN"/>
        </w:rPr>
        <w:t>-</w:t>
      </w:r>
      <w:r>
        <w:rPr>
          <w:rFonts w:hint="eastAsia" w:cs="Times New Roman"/>
          <w:color w:val="auto"/>
          <w:spacing w:val="0"/>
          <w:sz w:val="24"/>
          <w:szCs w:val="24"/>
          <w:highlight w:val="none"/>
          <w:lang w:eastAsia="zh-CN"/>
        </w:rPr>
        <w:t>715.984</w:t>
      </w:r>
      <w:r>
        <w:rPr>
          <w:rFonts w:hint="default" w:ascii="Times New Roman" w:hAnsi="Times New Roman" w:eastAsia="仿宋" w:cs="Times New Roman"/>
          <w:color w:val="auto"/>
          <w:spacing w:val="0"/>
          <w:sz w:val="24"/>
          <w:szCs w:val="24"/>
          <w:highlight w:val="none"/>
        </w:rPr>
        <w:t>V/m</w:t>
      </w:r>
      <w:r>
        <w:rPr>
          <w:rFonts w:hint="eastAsia" w:ascii="Times New Roman" w:hAnsi="Times New Roman"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工频磁感应强度为0.045</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1.141μT。升压站站界外断面电场强度为4.217</w:t>
      </w:r>
      <w:r>
        <w:rPr>
          <w:rFonts w:hint="eastAsia" w:ascii="Times New Roman" w:hAnsi="Times New Roman" w:cs="Times New Roman"/>
          <w:color w:val="auto"/>
          <w:spacing w:val="0"/>
          <w:sz w:val="24"/>
          <w:szCs w:val="24"/>
          <w:highlight w:val="none"/>
          <w:lang w:val="en-US" w:eastAsia="zh-CN"/>
        </w:rPr>
        <w:t>-</w:t>
      </w:r>
      <w:r>
        <w:rPr>
          <w:rFonts w:hint="eastAsia" w:cs="Times New Roman"/>
          <w:color w:val="auto"/>
          <w:spacing w:val="0"/>
          <w:sz w:val="24"/>
          <w:szCs w:val="24"/>
          <w:highlight w:val="none"/>
          <w:lang w:eastAsia="zh-CN"/>
        </w:rPr>
        <w:t>715.984</w:t>
      </w:r>
      <w:r>
        <w:rPr>
          <w:rFonts w:hint="default" w:ascii="Times New Roman" w:hAnsi="Times New Roman" w:eastAsia="仿宋" w:cs="Times New Roman"/>
          <w:color w:val="auto"/>
          <w:spacing w:val="0"/>
          <w:sz w:val="24"/>
          <w:szCs w:val="24"/>
          <w:highlight w:val="none"/>
        </w:rPr>
        <w:t>V/m</w:t>
      </w:r>
      <w:r>
        <w:rPr>
          <w:rFonts w:hint="eastAsia" w:ascii="Times New Roman" w:hAnsi="Times New Roman"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工频磁感应强度为0.067</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仿宋" w:cs="Times New Roman"/>
          <w:color w:val="auto"/>
          <w:spacing w:val="0"/>
          <w:sz w:val="24"/>
          <w:szCs w:val="24"/>
          <w:highlight w:val="none"/>
        </w:rPr>
        <w:t>1.141μT。符合《电磁环境控制限值》（GB8702-2014）规定的工频电场强度4000V/m、工频磁场强度100μT的公众曝露限值要求。</w:t>
      </w:r>
    </w:p>
    <w:p w14:paraId="0998404A">
      <w:pPr>
        <w:spacing w:before="78" w:beforeLines="0" w:afterLines="0" w:line="356" w:lineRule="auto"/>
        <w:ind w:left="5" w:firstLine="485"/>
        <w:jc w:val="both"/>
        <w:rPr>
          <w:rFonts w:hint="default" w:ascii="Times New Roman" w:hAnsi="Times New Roman" w:eastAsia="仿宋" w:cs="Times New Roman"/>
          <w:color w:val="auto"/>
          <w:sz w:val="25"/>
          <w:szCs w:val="25"/>
          <w:highlight w:val="none"/>
        </w:rPr>
      </w:pPr>
      <w:r>
        <w:rPr>
          <w:rFonts w:hint="default" w:ascii="Times New Roman" w:hAnsi="Times New Roman" w:eastAsia="仿宋" w:cs="Times New Roman"/>
          <w:color w:val="auto"/>
          <w:spacing w:val="0"/>
          <w:sz w:val="24"/>
          <w:szCs w:val="24"/>
          <w:highlight w:val="none"/>
        </w:rPr>
        <w:t>按照前述可比性分析，本</w:t>
      </w:r>
      <w:r>
        <w:rPr>
          <w:rFonts w:hint="default" w:ascii="Times New Roman" w:hAnsi="Times New Roman" w:eastAsia="仿宋" w:cs="Times New Roman"/>
          <w:color w:val="auto"/>
          <w:spacing w:val="0"/>
          <w:sz w:val="24"/>
          <w:szCs w:val="24"/>
          <w:highlight w:val="none"/>
          <w:lang w:val="en-US" w:eastAsia="zh-CN"/>
        </w:rPr>
        <w:t>项目</w:t>
      </w:r>
      <w:r>
        <w:rPr>
          <w:rFonts w:hint="default" w:ascii="Times New Roman" w:hAnsi="Times New Roman" w:eastAsia="仿宋" w:cs="Times New Roman"/>
          <w:color w:val="auto"/>
          <w:spacing w:val="0"/>
          <w:sz w:val="24"/>
          <w:szCs w:val="24"/>
          <w:highlight w:val="none"/>
        </w:rPr>
        <w:t>升压站运行</w:t>
      </w:r>
      <w:r>
        <w:rPr>
          <w:rFonts w:hint="default" w:ascii="Times New Roman" w:hAnsi="Times New Roman" w:eastAsia="仿宋" w:cs="Times New Roman"/>
          <w:color w:val="auto"/>
          <w:spacing w:val="0"/>
          <w:sz w:val="24"/>
          <w:szCs w:val="24"/>
          <w:highlight w:val="none"/>
          <w:lang w:val="en-US" w:eastAsia="zh-CN"/>
        </w:rPr>
        <w:t>后</w:t>
      </w:r>
      <w:r>
        <w:rPr>
          <w:rFonts w:hint="default" w:ascii="Times New Roman" w:hAnsi="Times New Roman" w:eastAsia="仿宋" w:cs="Times New Roman"/>
          <w:color w:val="auto"/>
          <w:spacing w:val="0"/>
          <w:sz w:val="24"/>
          <w:szCs w:val="24"/>
          <w:highlight w:val="none"/>
        </w:rPr>
        <w:t>厂界外工频电场强度、工频磁感应强度应小于上述220kV</w:t>
      </w:r>
      <w:r>
        <w:rPr>
          <w:rFonts w:hint="eastAsia" w:cs="Times New Roman"/>
          <w:color w:val="auto"/>
          <w:spacing w:val="0"/>
          <w:sz w:val="24"/>
          <w:szCs w:val="24"/>
          <w:highlight w:val="none"/>
          <w:lang w:val="en-US" w:eastAsia="zh-CN"/>
        </w:rPr>
        <w:t>平新升压站</w:t>
      </w:r>
      <w:r>
        <w:rPr>
          <w:rFonts w:hint="default" w:ascii="Times New Roman" w:hAnsi="Times New Roman" w:eastAsia="仿宋" w:cs="Times New Roman"/>
          <w:color w:val="auto"/>
          <w:spacing w:val="0"/>
          <w:sz w:val="24"/>
          <w:szCs w:val="24"/>
          <w:highlight w:val="none"/>
        </w:rPr>
        <w:t>厂界外电、磁场强度。且本</w:t>
      </w:r>
      <w:r>
        <w:rPr>
          <w:rFonts w:hint="default" w:ascii="Times New Roman" w:hAnsi="Times New Roman" w:eastAsia="仿宋" w:cs="Times New Roman"/>
          <w:color w:val="auto"/>
          <w:spacing w:val="0"/>
          <w:sz w:val="24"/>
          <w:szCs w:val="24"/>
          <w:highlight w:val="none"/>
          <w:lang w:val="en-US" w:eastAsia="zh-CN"/>
        </w:rPr>
        <w:t>项目</w:t>
      </w:r>
      <w:r>
        <w:rPr>
          <w:rFonts w:hint="default" w:ascii="Times New Roman" w:hAnsi="Times New Roman" w:eastAsia="仿宋" w:cs="Times New Roman"/>
          <w:color w:val="auto"/>
          <w:spacing w:val="0"/>
          <w:sz w:val="24"/>
          <w:szCs w:val="24"/>
          <w:highlight w:val="none"/>
        </w:rPr>
        <w:t>升压站厂界外40m范围内均无电磁环境保护目标。因此项目建设运行对周围电磁环境的影响不大。因此可以预测</w:t>
      </w:r>
      <w:r>
        <w:rPr>
          <w:rFonts w:hint="default" w:ascii="Times New Roman" w:hAnsi="Times New Roman" w:eastAsia="仿宋" w:cs="Times New Roman"/>
          <w:color w:val="auto"/>
          <w:spacing w:val="0"/>
          <w:sz w:val="24"/>
          <w:szCs w:val="24"/>
          <w:highlight w:val="none"/>
          <w:lang w:val="en-US" w:eastAsia="zh-CN"/>
        </w:rPr>
        <w:t>本项目</w:t>
      </w:r>
      <w:r>
        <w:rPr>
          <w:rFonts w:hint="default" w:ascii="Times New Roman" w:hAnsi="Times New Roman" w:eastAsia="仿宋" w:cs="Times New Roman"/>
          <w:color w:val="auto"/>
          <w:spacing w:val="0"/>
          <w:sz w:val="24"/>
          <w:szCs w:val="24"/>
          <w:highlight w:val="none"/>
        </w:rPr>
        <w:t>升压站厂界外工频电、磁场强度能够满足《电磁环境控制限值》（GB8702-2014）工频电场强度公众曝露控制限值4000V/m 、工频磁感应强度公众曝露控制限值100μT的要求。</w:t>
      </w:r>
    </w:p>
    <w:p w14:paraId="7ADD570C">
      <w:pPr>
        <w:spacing w:beforeLines="0" w:afterLines="0" w:line="357" w:lineRule="auto"/>
        <w:rPr>
          <w:rFonts w:hint="default" w:ascii="Times New Roman" w:hAnsi="Times New Roman" w:eastAsia="仿宋" w:cs="Times New Roman"/>
          <w:color w:val="auto"/>
          <w:sz w:val="24"/>
          <w:szCs w:val="24"/>
          <w:highlight w:val="none"/>
        </w:rPr>
        <w:sectPr>
          <w:footerReference r:id="rId13" w:type="default"/>
          <w:pgSz w:w="11907" w:h="16839"/>
          <w:pgMar w:top="1440" w:right="1803" w:bottom="1440" w:left="1803" w:header="0" w:footer="1042" w:gutter="0"/>
          <w:pgBorders w:offsetFrom="page">
            <w:top w:val="none" w:sz="0" w:space="0"/>
            <w:left w:val="none" w:sz="0" w:space="0"/>
            <w:bottom w:val="none" w:sz="0" w:space="0"/>
            <w:right w:val="none" w:sz="0" w:space="0"/>
          </w:pgBorders>
          <w:lnNumType w:countBy="0" w:distance="360"/>
          <w:pgNumType w:fmt="decimal"/>
          <w:cols w:space="720" w:num="1"/>
          <w:docGrid w:type="lines" w:linePitch="312" w:charSpace="0"/>
        </w:sectPr>
      </w:pPr>
    </w:p>
    <w:p w14:paraId="5EB0BDF3">
      <w:pPr>
        <w:keepNext/>
        <w:keepLines/>
        <w:widowControl w:val="0"/>
        <w:spacing w:line="360" w:lineRule="auto"/>
        <w:ind w:firstLine="0" w:firstLineChars="0"/>
        <w:jc w:val="both"/>
        <w:outlineLvl w:val="0"/>
        <w:rPr>
          <w:rFonts w:hint="default" w:ascii="Times New Roman" w:hAnsi="Times New Roman" w:eastAsia="仿宋" w:cs="Times New Roman"/>
          <w:color w:val="auto"/>
          <w:sz w:val="21"/>
          <w:szCs w:val="21"/>
          <w:highlight w:val="none"/>
        </w:rPr>
      </w:pPr>
      <w:bookmarkStart w:id="59" w:name="bookmark33"/>
      <w:bookmarkEnd w:id="59"/>
      <w:bookmarkStart w:id="60" w:name="bookmark34"/>
      <w:bookmarkEnd w:id="60"/>
      <w:r>
        <w:rPr>
          <w:rFonts w:hint="default" w:ascii="Times New Roman" w:hAnsi="Times New Roman" w:eastAsia="仿宋" w:cs="Times New Roman"/>
          <w:b/>
          <w:bCs/>
          <w:color w:val="auto"/>
          <w:kern w:val="44"/>
          <w:sz w:val="32"/>
          <w:szCs w:val="44"/>
          <w:highlight w:val="none"/>
          <w:lang w:val="en-US" w:eastAsia="zh-CN" w:bidi="ar-SA"/>
        </w:rPr>
        <w:t>5  电磁环境防治措施及监测计划</w:t>
      </w:r>
    </w:p>
    <w:p w14:paraId="717FE615">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5.1  电磁环境防治措施</w:t>
      </w:r>
    </w:p>
    <w:p w14:paraId="13F76F71">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5.1.1设计已采取的措施</w:t>
      </w:r>
    </w:p>
    <w:p w14:paraId="52680D08">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1、变电站内电气设备应采取集中布置方式，在设计中应按有关规程采</w:t>
      </w:r>
      <w:r>
        <w:rPr>
          <w:rFonts w:hint="eastAsia" w:cs="Times New Roman"/>
          <w:color w:val="auto"/>
          <w:spacing w:val="0"/>
          <w:sz w:val="24"/>
          <w:szCs w:val="24"/>
          <w:highlight w:val="none"/>
          <w:lang w:eastAsia="zh-CN"/>
        </w:rPr>
        <w:t>取一</w:t>
      </w:r>
      <w:r>
        <w:rPr>
          <w:rFonts w:hint="default" w:ascii="Times New Roman" w:hAnsi="Times New Roman" w:eastAsia="仿宋" w:cs="Times New Roman"/>
          <w:color w:val="auto"/>
          <w:spacing w:val="0"/>
          <w:sz w:val="24"/>
          <w:szCs w:val="24"/>
          <w:highlight w:val="none"/>
        </w:rPr>
        <w:t>系列的控制过电压、电磁感应场强水平的措施， 如保证导体和电气设备之间的电气安全距离，选用具有低辐射、抗干扰能力的设备， 设置防雷接地保护装置，选用带屏蔽层的电缆、屏蔽层接地等，将可以有效的降低电磁环境影响。</w:t>
      </w:r>
    </w:p>
    <w:p w14:paraId="39E122D5">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2、合理选用各种电气设备及金属配件（如保护环、垫片、接头等） ，以减少高电位梯度点引起的放电；使用合理、优良的绝缘子来减少绝缘子的表面放电， 尽量使用能改善绝缘子表面或沿绝缘子串电压分布的保护装置。</w:t>
      </w:r>
    </w:p>
    <w:p w14:paraId="728D1301">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3、对大功率的电磁振荡设备采取必要的屏蔽，密封机箱的孔、口、门缝的连接处；控制箱、断路器端子箱、设备的放油阀门及分接开关尽量布置在较低场强区， 以便于运行和检修人员接近。</w:t>
      </w:r>
    </w:p>
    <w:p w14:paraId="78641473">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4、电气设备应安装接地装置， 升压站内平行跨越的相序排列避免相同布置，减少</w:t>
      </w:r>
      <w:r>
        <w:rPr>
          <w:rFonts w:hint="eastAsia" w:cs="Times New Roman"/>
          <w:color w:val="auto"/>
          <w:spacing w:val="0"/>
          <w:sz w:val="24"/>
          <w:szCs w:val="24"/>
          <w:highlight w:val="none"/>
          <w:lang w:eastAsia="zh-CN"/>
        </w:rPr>
        <w:t>相同</w:t>
      </w:r>
      <w:r>
        <w:rPr>
          <w:rFonts w:hint="default" w:ascii="Times New Roman" w:hAnsi="Times New Roman" w:eastAsia="仿宋" w:cs="Times New Roman"/>
          <w:color w:val="auto"/>
          <w:spacing w:val="0"/>
          <w:sz w:val="24"/>
          <w:szCs w:val="24"/>
          <w:highlight w:val="none"/>
        </w:rPr>
        <w:t>母线交叉与相同转角布置，降低工频电场强度和工频磁感应强度。</w:t>
      </w:r>
    </w:p>
    <w:p w14:paraId="29FDBE49">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5、采用 GIS 装置有效控制了母线产生的电磁场强度。</w:t>
      </w:r>
    </w:p>
    <w:p w14:paraId="4FAE41D1">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6、升压站采用三相设备，充分利用三相电的特性将各相产生的电磁场相互抵消。</w:t>
      </w:r>
    </w:p>
    <w:p w14:paraId="305C2AC4">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7、金属构件做到表面光滑，避免毛刺</w:t>
      </w:r>
      <w:r>
        <w:rPr>
          <w:rFonts w:hint="eastAsia" w:cs="Times New Roman"/>
          <w:color w:val="auto"/>
          <w:spacing w:val="0"/>
          <w:sz w:val="24"/>
          <w:szCs w:val="24"/>
          <w:highlight w:val="none"/>
          <w:lang w:eastAsia="zh-CN"/>
        </w:rPr>
        <w:t>出现</w:t>
      </w:r>
      <w:r>
        <w:rPr>
          <w:rFonts w:hint="default" w:ascii="Times New Roman" w:hAnsi="Times New Roman" w:eastAsia="仿宋" w:cs="Times New Roman"/>
          <w:color w:val="auto"/>
          <w:spacing w:val="0"/>
          <w:sz w:val="24"/>
          <w:szCs w:val="24"/>
          <w:highlight w:val="none"/>
        </w:rPr>
        <w:t>。所有设备导电元件接触部位均已连接紧密，减少因接触不良而产生的火花放电。</w:t>
      </w:r>
    </w:p>
    <w:p w14:paraId="671B421A">
      <w:pPr>
        <w:keepNext/>
        <w:keepLines/>
        <w:widowControl w:val="0"/>
        <w:spacing w:line="360" w:lineRule="auto"/>
        <w:ind w:firstLine="0" w:firstLineChars="0"/>
        <w:jc w:val="both"/>
        <w:outlineLvl w:val="2"/>
        <w:rPr>
          <w:rFonts w:hint="default" w:ascii="Times New Roman" w:hAnsi="Times New Roman" w:eastAsia="仿宋" w:cs="Times New Roman"/>
          <w:b/>
          <w:bCs/>
          <w:color w:val="auto"/>
          <w:kern w:val="0"/>
          <w:sz w:val="24"/>
          <w:szCs w:val="24"/>
          <w:highlight w:val="none"/>
          <w:lang w:val="en-US" w:eastAsia="zh-CN" w:bidi="ar-SA"/>
        </w:rPr>
      </w:pPr>
      <w:bookmarkStart w:id="61" w:name="bookmark35"/>
      <w:bookmarkEnd w:id="61"/>
      <w:r>
        <w:rPr>
          <w:rFonts w:hint="default" w:ascii="Times New Roman" w:hAnsi="Times New Roman" w:eastAsia="仿宋" w:cs="Times New Roman"/>
          <w:b/>
          <w:bCs/>
          <w:color w:val="auto"/>
          <w:kern w:val="0"/>
          <w:sz w:val="24"/>
          <w:szCs w:val="24"/>
          <w:highlight w:val="none"/>
          <w:lang w:val="en-US" w:eastAsia="zh-CN" w:bidi="ar-SA"/>
        </w:rPr>
        <w:t>5.1.2  本报告提出的环保措施</w:t>
      </w:r>
    </w:p>
    <w:p w14:paraId="594384F1">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1、在运行期，应加强环境管理，定期进行环境监测工作，确保升压站周边敏感点处电磁环境达标。</w:t>
      </w:r>
    </w:p>
    <w:p w14:paraId="3230AC14">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2、对工程所在地区的居民进行有关输变电工程环境保护知识的宣传和教育，消除他们的畏惧心理。</w:t>
      </w:r>
    </w:p>
    <w:p w14:paraId="3ECEEF4F">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3、建立健全环保管理机构，完成环保竣工验收工作。</w:t>
      </w:r>
    </w:p>
    <w:p w14:paraId="251857EF">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4、在危险区域设立相应的警示标志， 并做好警示宣传工作，醒目位置设置安全警示图文标志。</w:t>
      </w:r>
    </w:p>
    <w:p w14:paraId="099207A1">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r>
        <w:rPr>
          <w:rFonts w:hint="default" w:ascii="Times New Roman" w:hAnsi="Times New Roman" w:eastAsia="仿宋" w:cs="Times New Roman"/>
          <w:b/>
          <w:bCs/>
          <w:color w:val="auto"/>
          <w:kern w:val="0"/>
          <w:sz w:val="30"/>
          <w:szCs w:val="32"/>
          <w:highlight w:val="none"/>
          <w:lang w:val="en-US" w:eastAsia="zh-CN" w:bidi="ar-SA"/>
        </w:rPr>
        <w:t>5.2 电磁环境监测计划</w:t>
      </w:r>
    </w:p>
    <w:p w14:paraId="0F927040">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项目的环境影响和环境管理要求，制定环境监测计划，环境监测计划的职责主要是测试、收集环境状况基本资料，整理、统计分析监测结果，上报生态环境行政主管部门。由建设单位委托有资质的环境监测单位进行监测，具体的环境监测计划见表</w:t>
      </w:r>
      <w:r>
        <w:rPr>
          <w:rFonts w:hint="default" w:ascii="Times New Roman" w:hAnsi="Times New Roman" w:eastAsia="仿宋" w:cs="Times New Roman"/>
          <w:color w:val="auto"/>
          <w:spacing w:val="0"/>
          <w:sz w:val="24"/>
          <w:szCs w:val="24"/>
          <w:highlight w:val="none"/>
          <w:lang w:val="en-US" w:eastAsia="zh-CN"/>
        </w:rPr>
        <w:t>5</w:t>
      </w:r>
      <w:r>
        <w:rPr>
          <w:rFonts w:hint="default" w:ascii="Times New Roman" w:hAnsi="Times New Roman" w:eastAsia="仿宋" w:cs="Times New Roman"/>
          <w:color w:val="auto"/>
          <w:spacing w:val="0"/>
          <w:sz w:val="24"/>
          <w:szCs w:val="24"/>
          <w:highlight w:val="none"/>
        </w:rPr>
        <w:t>.2-1。</w:t>
      </w:r>
    </w:p>
    <w:p w14:paraId="5D3FD285">
      <w:pPr>
        <w:spacing w:beforeLines="0" w:afterLines="0" w:line="360" w:lineRule="auto"/>
        <w:jc w:val="center"/>
        <w:rPr>
          <w:rFonts w:hint="default" w:ascii="Times New Roman" w:hAnsi="Times New Roman" w:eastAsia="仿宋" w:cs="Times New Roman"/>
          <w:b/>
          <w:color w:val="auto"/>
          <w:sz w:val="21"/>
          <w:szCs w:val="20"/>
          <w:highlight w:val="none"/>
        </w:rPr>
      </w:pPr>
      <w:r>
        <w:rPr>
          <w:rFonts w:hint="default" w:ascii="Times New Roman" w:hAnsi="Times New Roman" w:eastAsia="仿宋" w:cs="Times New Roman"/>
          <w:b/>
          <w:color w:val="auto"/>
          <w:sz w:val="21"/>
          <w:szCs w:val="20"/>
          <w:highlight w:val="none"/>
        </w:rPr>
        <w:t>表</w:t>
      </w:r>
      <w:r>
        <w:rPr>
          <w:rFonts w:hint="default" w:ascii="Times New Roman" w:hAnsi="Times New Roman" w:eastAsia="仿宋" w:cs="Times New Roman"/>
          <w:b/>
          <w:color w:val="auto"/>
          <w:sz w:val="21"/>
          <w:szCs w:val="20"/>
          <w:highlight w:val="none"/>
          <w:lang w:val="en-US" w:eastAsia="zh-CN"/>
        </w:rPr>
        <w:t>5</w:t>
      </w:r>
      <w:r>
        <w:rPr>
          <w:rFonts w:hint="default" w:ascii="Times New Roman" w:hAnsi="Times New Roman" w:eastAsia="仿宋" w:cs="Times New Roman"/>
          <w:b/>
          <w:color w:val="auto"/>
          <w:sz w:val="21"/>
          <w:szCs w:val="20"/>
          <w:highlight w:val="none"/>
        </w:rPr>
        <w:t>.2-1  电磁辐射监测计划及监测内容</w:t>
      </w:r>
    </w:p>
    <w:tbl>
      <w:tblPr>
        <w:tblStyle w:val="10"/>
        <w:tblW w:w="8523"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816"/>
        <w:gridCol w:w="3150"/>
        <w:gridCol w:w="2190"/>
        <w:gridCol w:w="1491"/>
      </w:tblGrid>
      <w:tr w14:paraId="2AC8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769B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b/>
                <w:color w:val="auto"/>
                <w:sz w:val="21"/>
                <w:szCs w:val="22"/>
                <w:highlight w:val="none"/>
              </w:rPr>
            </w:pPr>
            <w:r>
              <w:rPr>
                <w:rFonts w:hint="default" w:ascii="Times New Roman" w:hAnsi="Times New Roman" w:eastAsia="仿宋" w:cs="Times New Roman"/>
                <w:b/>
                <w:color w:val="auto"/>
                <w:sz w:val="21"/>
                <w:szCs w:val="22"/>
                <w:highlight w:val="none"/>
              </w:rPr>
              <w:t>项目</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59C88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b/>
                <w:color w:val="auto"/>
                <w:sz w:val="21"/>
                <w:szCs w:val="22"/>
                <w:highlight w:val="none"/>
              </w:rPr>
            </w:pPr>
            <w:r>
              <w:rPr>
                <w:rFonts w:hint="default" w:ascii="Times New Roman" w:hAnsi="Times New Roman" w:eastAsia="仿宋" w:cs="Times New Roman"/>
                <w:b/>
                <w:color w:val="auto"/>
                <w:sz w:val="21"/>
                <w:szCs w:val="22"/>
                <w:highlight w:val="none"/>
              </w:rPr>
              <w:t>监测因子</w:t>
            </w:r>
          </w:p>
        </w:tc>
        <w:tc>
          <w:tcPr>
            <w:tcW w:w="31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DD8FE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b/>
                <w:color w:val="auto"/>
                <w:sz w:val="21"/>
                <w:szCs w:val="22"/>
                <w:highlight w:val="none"/>
              </w:rPr>
            </w:pPr>
            <w:r>
              <w:rPr>
                <w:rFonts w:hint="default" w:ascii="Times New Roman" w:hAnsi="Times New Roman" w:eastAsia="仿宋" w:cs="Times New Roman"/>
                <w:b/>
                <w:color w:val="auto"/>
                <w:sz w:val="21"/>
                <w:szCs w:val="22"/>
                <w:highlight w:val="none"/>
              </w:rPr>
              <w:t>监测点位及数量</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AD92C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b/>
                <w:color w:val="auto"/>
                <w:sz w:val="21"/>
                <w:szCs w:val="22"/>
                <w:highlight w:val="none"/>
              </w:rPr>
            </w:pPr>
            <w:r>
              <w:rPr>
                <w:rFonts w:hint="default" w:ascii="Times New Roman" w:hAnsi="Times New Roman" w:eastAsia="仿宋" w:cs="Times New Roman"/>
                <w:b/>
                <w:color w:val="auto"/>
                <w:sz w:val="21"/>
                <w:szCs w:val="22"/>
                <w:highlight w:val="none"/>
              </w:rPr>
              <w:t>监测方法</w:t>
            </w: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4446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b/>
                <w:color w:val="auto"/>
                <w:sz w:val="21"/>
                <w:szCs w:val="22"/>
                <w:highlight w:val="none"/>
              </w:rPr>
            </w:pPr>
            <w:r>
              <w:rPr>
                <w:rFonts w:hint="default" w:ascii="Times New Roman" w:hAnsi="Times New Roman" w:eastAsia="仿宋" w:cs="Times New Roman"/>
                <w:b/>
                <w:color w:val="auto"/>
                <w:sz w:val="21"/>
                <w:szCs w:val="22"/>
                <w:highlight w:val="none"/>
              </w:rPr>
              <w:t>监测频次</w:t>
            </w:r>
          </w:p>
        </w:tc>
      </w:tr>
      <w:tr w14:paraId="5EC2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68ED5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2"/>
                <w:highlight w:val="none"/>
              </w:rPr>
            </w:pPr>
            <w:r>
              <w:rPr>
                <w:rFonts w:hint="default" w:ascii="Times New Roman" w:hAnsi="Times New Roman" w:eastAsia="仿宋" w:cs="Times New Roman"/>
                <w:color w:val="auto"/>
                <w:sz w:val="21"/>
                <w:szCs w:val="22"/>
                <w:highlight w:val="none"/>
              </w:rPr>
              <w:t>电磁环境</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1D984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2"/>
                <w:highlight w:val="none"/>
              </w:rPr>
            </w:pPr>
            <w:r>
              <w:rPr>
                <w:rFonts w:hint="default" w:ascii="Times New Roman" w:hAnsi="Times New Roman" w:eastAsia="仿宋" w:cs="Times New Roman"/>
                <w:color w:val="auto"/>
                <w:sz w:val="21"/>
                <w:szCs w:val="22"/>
                <w:highlight w:val="none"/>
              </w:rPr>
              <w:t>工频电场</w:t>
            </w:r>
          </w:p>
          <w:p w14:paraId="0FB2B32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2"/>
                <w:highlight w:val="none"/>
              </w:rPr>
            </w:pPr>
            <w:r>
              <w:rPr>
                <w:rFonts w:hint="default" w:ascii="Times New Roman" w:hAnsi="Times New Roman" w:eastAsia="仿宋" w:cs="Times New Roman"/>
                <w:color w:val="auto"/>
                <w:sz w:val="21"/>
                <w:szCs w:val="22"/>
                <w:highlight w:val="none"/>
              </w:rPr>
              <w:t>工频磁场</w:t>
            </w:r>
          </w:p>
        </w:tc>
        <w:tc>
          <w:tcPr>
            <w:tcW w:w="31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E7614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b w:val="0"/>
                <w:bCs/>
                <w:color w:val="auto"/>
                <w:sz w:val="21"/>
                <w:szCs w:val="22"/>
                <w:highlight w:val="none"/>
              </w:rPr>
            </w:pPr>
            <w:r>
              <w:rPr>
                <w:rFonts w:hint="default" w:ascii="Times New Roman" w:hAnsi="Times New Roman" w:eastAsia="仿宋" w:cs="Times New Roman"/>
                <w:b w:val="0"/>
                <w:bCs/>
                <w:color w:val="auto"/>
                <w:sz w:val="21"/>
                <w:szCs w:val="22"/>
                <w:highlight w:val="none"/>
              </w:rPr>
              <w:t>升压站厂界四周，围墙外5m。</w:t>
            </w:r>
          </w:p>
          <w:p w14:paraId="3291D83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2"/>
                <w:highlight w:val="none"/>
              </w:rPr>
            </w:pPr>
            <w:r>
              <w:rPr>
                <w:rFonts w:hint="default" w:ascii="Times New Roman" w:hAnsi="Times New Roman" w:eastAsia="仿宋" w:cs="Times New Roman"/>
                <w:b w:val="0"/>
                <w:bCs/>
                <w:color w:val="auto"/>
                <w:sz w:val="21"/>
                <w:szCs w:val="22"/>
                <w:highlight w:val="none"/>
              </w:rPr>
              <w:t>工频电场、工频磁感应强度最大值处间隔5m布设监测断面至50m处</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12796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2"/>
                <w:highlight w:val="none"/>
              </w:rPr>
            </w:pPr>
            <w:r>
              <w:rPr>
                <w:rFonts w:hint="default" w:ascii="Times New Roman" w:hAnsi="Times New Roman" w:eastAsia="仿宋" w:cs="Times New Roman"/>
                <w:color w:val="auto"/>
                <w:sz w:val="21"/>
                <w:szCs w:val="22"/>
                <w:highlight w:val="none"/>
              </w:rPr>
              <w:t>《交流输变电工程电磁环境监测方法（试行）》（HJ681-2013）</w:t>
            </w: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E2D95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验收阶段：监测1次</w:t>
            </w:r>
          </w:p>
          <w:p w14:paraId="67D6952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运营期：针对工程变化或投诉情况进行监测</w:t>
            </w:r>
          </w:p>
        </w:tc>
      </w:tr>
    </w:tbl>
    <w:p w14:paraId="761A4CAD">
      <w:pPr>
        <w:spacing w:beforeLines="0" w:afterLines="0" w:line="289" w:lineRule="auto"/>
        <w:rPr>
          <w:rFonts w:hint="default" w:ascii="Times New Roman" w:hAnsi="Times New Roman" w:eastAsia="仿宋" w:cs="Times New Roman"/>
          <w:color w:val="auto"/>
          <w:sz w:val="24"/>
          <w:szCs w:val="24"/>
          <w:highlight w:val="none"/>
        </w:rPr>
        <w:sectPr>
          <w:footerReference r:id="rId14" w:type="default"/>
          <w:pgSz w:w="11907" w:h="16839"/>
          <w:pgMar w:top="1440" w:right="1800" w:bottom="1440" w:left="1800" w:header="0" w:footer="1040" w:gutter="0"/>
          <w:pgBorders w:offsetFrom="page">
            <w:top w:val="none" w:sz="0" w:space="0"/>
            <w:left w:val="none" w:sz="0" w:space="0"/>
            <w:bottom w:val="none" w:sz="0" w:space="0"/>
            <w:right w:val="none" w:sz="0" w:space="0"/>
          </w:pgBorders>
          <w:lnNumType w:countBy="0" w:distance="360"/>
          <w:pgNumType w:fmt="decimal"/>
          <w:cols w:space="720" w:num="1"/>
          <w:docGrid w:type="lines" w:linePitch="312" w:charSpace="0"/>
        </w:sectPr>
      </w:pPr>
    </w:p>
    <w:p w14:paraId="463D84D7">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bookmarkStart w:id="62" w:name="bookmark36"/>
      <w:bookmarkEnd w:id="62"/>
      <w:r>
        <w:rPr>
          <w:rFonts w:hint="default" w:ascii="Times New Roman" w:hAnsi="Times New Roman" w:eastAsia="仿宋" w:cs="Times New Roman"/>
          <w:b/>
          <w:bCs/>
          <w:color w:val="auto"/>
          <w:kern w:val="0"/>
          <w:sz w:val="30"/>
          <w:szCs w:val="32"/>
          <w:highlight w:val="none"/>
          <w:lang w:val="en-US" w:eastAsia="zh-CN" w:bidi="ar-SA"/>
        </w:rPr>
        <w:t>5.3  措施有效性</w:t>
      </w:r>
    </w:p>
    <w:p w14:paraId="56CA2E16">
      <w:pPr>
        <w:spacing w:beforeLines="0" w:afterLines="0" w:line="249" w:lineRule="auto"/>
        <w:rPr>
          <w:rFonts w:hint="default" w:ascii="Times New Roman" w:hAnsi="Times New Roman" w:eastAsia="仿宋" w:cs="Times New Roman"/>
          <w:color w:val="auto"/>
          <w:sz w:val="21"/>
          <w:szCs w:val="21"/>
          <w:highlight w:val="none"/>
        </w:rPr>
      </w:pPr>
    </w:p>
    <w:p w14:paraId="5FF7AA41">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按照设计方案建设及采取上述防范措施后，本项工程变电站运行期产生的工频电场、工频磁场将能满足相应评价标准的要求。在运行期，还应加强环境管理和电磁环境影响的环境监测工作，建立健全环保管理机构；对工程所在地区的居民进行有关输变电工程环境保护知识的宣传和教育，消除他们的担忧心理。因此， 本工程采取的电磁环境影响防范措施可行。</w:t>
      </w:r>
    </w:p>
    <w:p w14:paraId="5FAF5B17">
      <w:pPr>
        <w:spacing w:beforeLines="0" w:afterLines="0" w:line="360" w:lineRule="auto"/>
        <w:rPr>
          <w:rFonts w:hint="default" w:ascii="Times New Roman" w:hAnsi="Times New Roman" w:eastAsia="仿宋" w:cs="Times New Roman"/>
          <w:color w:val="auto"/>
          <w:sz w:val="24"/>
          <w:szCs w:val="24"/>
          <w:highlight w:val="none"/>
        </w:rPr>
        <w:sectPr>
          <w:footerReference r:id="rId15" w:type="default"/>
          <w:pgSz w:w="11907" w:h="16839"/>
          <w:pgMar w:top="1440" w:right="1800" w:bottom="1440" w:left="1800" w:header="0" w:footer="1042" w:gutter="0"/>
          <w:pgBorders w:offsetFrom="page">
            <w:top w:val="none" w:sz="0" w:space="0"/>
            <w:left w:val="none" w:sz="0" w:space="0"/>
            <w:bottom w:val="none" w:sz="0" w:space="0"/>
            <w:right w:val="none" w:sz="0" w:space="0"/>
          </w:pgBorders>
          <w:lnNumType w:countBy="0" w:distance="360"/>
          <w:pgNumType w:fmt="decimal"/>
          <w:cols w:space="720" w:num="1"/>
          <w:docGrid w:type="lines" w:linePitch="312" w:charSpace="0"/>
        </w:sectPr>
      </w:pPr>
    </w:p>
    <w:p w14:paraId="7549FC0D">
      <w:pPr>
        <w:keepNext/>
        <w:keepLines/>
        <w:widowControl w:val="0"/>
        <w:spacing w:line="360" w:lineRule="auto"/>
        <w:ind w:firstLine="0" w:firstLineChars="0"/>
        <w:jc w:val="both"/>
        <w:outlineLvl w:val="0"/>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bCs/>
          <w:color w:val="auto"/>
          <w:kern w:val="44"/>
          <w:sz w:val="32"/>
          <w:szCs w:val="44"/>
          <w:highlight w:val="none"/>
          <w:lang w:val="en-US" w:eastAsia="zh-CN" w:bidi="ar-SA"/>
        </w:rPr>
        <w:t>6 电磁环境影响评价结论</w:t>
      </w:r>
    </w:p>
    <w:p w14:paraId="67F2C29D">
      <w:pPr>
        <w:keepNext/>
        <w:keepLines/>
        <w:widowControl w:val="0"/>
        <w:spacing w:line="360" w:lineRule="auto"/>
        <w:ind w:firstLine="0" w:firstLineChars="0"/>
        <w:jc w:val="both"/>
        <w:outlineLvl w:val="1"/>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bCs/>
          <w:color w:val="auto"/>
          <w:kern w:val="0"/>
          <w:sz w:val="30"/>
          <w:szCs w:val="32"/>
          <w:highlight w:val="none"/>
          <w:lang w:val="en-US" w:eastAsia="zh-CN" w:bidi="ar-SA"/>
        </w:rPr>
        <w:t>6.1 选址及布置合理性</w:t>
      </w:r>
    </w:p>
    <w:p w14:paraId="2D906CF9">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迤车镇中寨村委会竹子箐光伏项目（复合型光伏发电项目）</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lang w:val="en-US" w:eastAsia="zh-CN"/>
        </w:rPr>
        <w:t>重新报批</w:t>
      </w:r>
      <w:r>
        <w:rPr>
          <w:rFonts w:hint="default" w:ascii="Times New Roman" w:hAnsi="Times New Roman" w:eastAsia="仿宋" w:cs="Times New Roman"/>
          <w:color w:val="auto"/>
          <w:spacing w:val="0"/>
          <w:sz w:val="24"/>
          <w:szCs w:val="24"/>
          <w:highlight w:val="none"/>
          <w:lang w:eastAsia="zh-CN"/>
        </w:rPr>
        <w:t>）</w:t>
      </w:r>
      <w:r>
        <w:rPr>
          <w:rFonts w:hint="default" w:ascii="Times New Roman" w:hAnsi="Times New Roman" w:eastAsia="仿宋" w:cs="Times New Roman"/>
          <w:color w:val="auto"/>
          <w:spacing w:val="0"/>
          <w:sz w:val="24"/>
          <w:szCs w:val="24"/>
          <w:highlight w:val="none"/>
        </w:rPr>
        <w:t>新建升压站选址区为</w:t>
      </w:r>
      <w:r>
        <w:rPr>
          <w:rFonts w:hint="default" w:ascii="Times New Roman" w:hAnsi="Times New Roman" w:eastAsia="仿宋" w:cs="Times New Roman"/>
          <w:color w:val="auto"/>
          <w:spacing w:val="0"/>
          <w:sz w:val="24"/>
          <w:szCs w:val="24"/>
          <w:highlight w:val="none"/>
          <w:lang w:val="en-US" w:eastAsia="zh-CN"/>
        </w:rPr>
        <w:t>灌草丛和裸地</w:t>
      </w:r>
      <w:r>
        <w:rPr>
          <w:rFonts w:hint="default" w:ascii="Times New Roman" w:hAnsi="Times New Roman" w:eastAsia="仿宋" w:cs="Times New Roman"/>
          <w:color w:val="auto"/>
          <w:spacing w:val="0"/>
          <w:sz w:val="24"/>
          <w:szCs w:val="24"/>
          <w:highlight w:val="none"/>
        </w:rPr>
        <w:t>，项目建设过程中做好水环境保护措施及水土保持措施，对项目区的水土流失影响可控。从环境保护角度分析，升压站选址区基本无环境制约因素，布置满足环保及消防要求，升压站选址及布置较为合理。</w:t>
      </w:r>
    </w:p>
    <w:p w14:paraId="5BC020C0">
      <w:pPr>
        <w:keepNext/>
        <w:keepLines/>
        <w:widowControl w:val="0"/>
        <w:spacing w:line="360" w:lineRule="auto"/>
        <w:ind w:firstLine="0" w:firstLineChars="0"/>
        <w:jc w:val="both"/>
        <w:outlineLvl w:val="1"/>
        <w:rPr>
          <w:rFonts w:hint="default" w:ascii="Times New Roman" w:hAnsi="Times New Roman" w:eastAsia="仿宋" w:cs="Times New Roman"/>
          <w:b/>
          <w:bCs/>
          <w:color w:val="auto"/>
          <w:kern w:val="0"/>
          <w:sz w:val="30"/>
          <w:szCs w:val="32"/>
          <w:highlight w:val="none"/>
          <w:lang w:val="en-US" w:eastAsia="zh-CN" w:bidi="ar-SA"/>
        </w:rPr>
      </w:pPr>
      <w:bookmarkStart w:id="63" w:name="bookmark39"/>
      <w:bookmarkEnd w:id="63"/>
      <w:r>
        <w:rPr>
          <w:rFonts w:hint="default" w:ascii="Times New Roman" w:hAnsi="Times New Roman" w:eastAsia="仿宋" w:cs="Times New Roman"/>
          <w:b/>
          <w:bCs/>
          <w:color w:val="auto"/>
          <w:kern w:val="0"/>
          <w:sz w:val="30"/>
          <w:szCs w:val="32"/>
          <w:highlight w:val="none"/>
          <w:lang w:val="en-US" w:eastAsia="zh-CN" w:bidi="ar-SA"/>
        </w:rPr>
        <w:t>6.2 升压站所在地电磁环境现状</w:t>
      </w:r>
    </w:p>
    <w:p w14:paraId="7E78CED5">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根据现状监测结果，本项目 220kV 升压站站址区域工频电场、工频磁场满足《电磁环境控制限值》（GB8702-2014）中工频电场强度公众曝露控制限值 4kV/m 和工频磁感应强度公众曝露控制限值 100μT 的要求。</w:t>
      </w:r>
    </w:p>
    <w:p w14:paraId="75012FD9">
      <w:pPr>
        <w:keepNext/>
        <w:keepLines/>
        <w:widowControl w:val="0"/>
        <w:spacing w:line="360" w:lineRule="auto"/>
        <w:ind w:firstLine="0" w:firstLineChars="0"/>
        <w:jc w:val="both"/>
        <w:outlineLvl w:val="1"/>
        <w:rPr>
          <w:rFonts w:hint="default" w:ascii="Times New Roman" w:hAnsi="Times New Roman" w:eastAsia="仿宋" w:cs="Times New Roman"/>
          <w:color w:val="auto"/>
          <w:sz w:val="21"/>
          <w:szCs w:val="21"/>
          <w:highlight w:val="none"/>
        </w:rPr>
      </w:pPr>
      <w:bookmarkStart w:id="64" w:name="bookmark40"/>
      <w:bookmarkEnd w:id="64"/>
      <w:r>
        <w:rPr>
          <w:rFonts w:hint="default" w:ascii="Times New Roman" w:hAnsi="Times New Roman" w:eastAsia="仿宋" w:cs="Times New Roman"/>
          <w:b/>
          <w:bCs/>
          <w:color w:val="auto"/>
          <w:kern w:val="0"/>
          <w:sz w:val="30"/>
          <w:szCs w:val="32"/>
          <w:highlight w:val="none"/>
          <w:lang w:val="en-US" w:eastAsia="zh-CN" w:bidi="ar-SA"/>
        </w:rPr>
        <w:t>6.3 类比监测结果</w:t>
      </w:r>
    </w:p>
    <w:p w14:paraId="33315224">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根据类比预测结果，运营期项目升压站工频电磁场均满足《电磁环境控制限值》（GB8702-2014）中规定的标准限值要求，且本项目拟建升压站电磁环境评价范围内无敏感目标分布，故项目升压站的建设电磁环境影响较小。</w:t>
      </w:r>
    </w:p>
    <w:p w14:paraId="772A4F2A">
      <w:pPr>
        <w:keepNext/>
        <w:keepLines/>
        <w:widowControl w:val="0"/>
        <w:spacing w:line="360" w:lineRule="auto"/>
        <w:ind w:firstLine="0" w:firstLineChars="0"/>
        <w:jc w:val="both"/>
        <w:outlineLvl w:val="1"/>
        <w:rPr>
          <w:rFonts w:hint="default" w:ascii="Times New Roman" w:hAnsi="Times New Roman" w:eastAsia="仿宋" w:cs="Times New Roman"/>
          <w:color w:val="auto"/>
          <w:sz w:val="21"/>
          <w:szCs w:val="21"/>
          <w:highlight w:val="none"/>
        </w:rPr>
      </w:pPr>
      <w:bookmarkStart w:id="65" w:name="bookmark41"/>
      <w:bookmarkEnd w:id="65"/>
      <w:r>
        <w:rPr>
          <w:rFonts w:hint="default" w:ascii="Times New Roman" w:hAnsi="Times New Roman" w:eastAsia="仿宋" w:cs="Times New Roman"/>
          <w:b/>
          <w:bCs/>
          <w:color w:val="auto"/>
          <w:kern w:val="0"/>
          <w:sz w:val="30"/>
          <w:szCs w:val="32"/>
          <w:highlight w:val="none"/>
          <w:lang w:val="en-US" w:eastAsia="zh-CN" w:bidi="ar-SA"/>
        </w:rPr>
        <w:t>6.4 提出的主要防护措施</w:t>
      </w:r>
    </w:p>
    <w:p w14:paraId="013518FF">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1、在运行期，应加强环境管理，定期进行环境监测工作。</w:t>
      </w:r>
    </w:p>
    <w:p w14:paraId="639702A7">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2、对工程所在地区的居民进行有关输变电工程环境保护知识的宣传和教育。</w:t>
      </w:r>
    </w:p>
    <w:p w14:paraId="090E4BD3">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3、建立健全环保管理机构，完成环保竣工验收工作。</w:t>
      </w:r>
    </w:p>
    <w:p w14:paraId="1D6CCBB0">
      <w:pPr>
        <w:keepNext/>
        <w:keepLines/>
        <w:widowControl w:val="0"/>
        <w:spacing w:line="360" w:lineRule="auto"/>
        <w:ind w:firstLine="0" w:firstLineChars="0"/>
        <w:jc w:val="both"/>
        <w:outlineLvl w:val="1"/>
        <w:rPr>
          <w:rFonts w:hint="default" w:ascii="Times New Roman" w:hAnsi="Times New Roman" w:eastAsia="仿宋" w:cs="Times New Roman"/>
          <w:color w:val="auto"/>
          <w:sz w:val="21"/>
          <w:szCs w:val="21"/>
          <w:highlight w:val="none"/>
        </w:rPr>
      </w:pPr>
      <w:bookmarkStart w:id="66" w:name="bookmark42"/>
      <w:bookmarkEnd w:id="66"/>
      <w:r>
        <w:rPr>
          <w:rFonts w:hint="default" w:ascii="Times New Roman" w:hAnsi="Times New Roman" w:eastAsia="仿宋" w:cs="Times New Roman"/>
          <w:b/>
          <w:bCs/>
          <w:color w:val="auto"/>
          <w:kern w:val="0"/>
          <w:sz w:val="30"/>
          <w:szCs w:val="32"/>
          <w:highlight w:val="none"/>
          <w:lang w:val="en-US" w:eastAsia="zh-CN" w:bidi="ar-SA"/>
        </w:rPr>
        <w:t>6.5 评价结论</w:t>
      </w:r>
    </w:p>
    <w:p w14:paraId="284BDFE5">
      <w:pPr>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80" w:firstLineChars="200"/>
        <w:textAlignment w:val="auto"/>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rPr>
        <w:t>迤车镇中寨村委会竹子箐光伏项目（复合型光伏发电项目）新建的1座220kV升压站运行期将产生一定的电磁环境污染，但在厂界外均能满足相应标准要求，项目运行后，严格执行电磁环境影响专题及环境影响报告表批复中提出的相应电磁环境保护措施及要求，将有效控制升压站的运行对电磁环境的影响，从控制电磁环境影响角度而言，迤车镇中寨村委会竹子箐光伏项目（复合型光伏发电项目）新建1座220kV升压站的建设是可行的。</w:t>
      </w:r>
    </w:p>
    <w:p w14:paraId="32B7ED09">
      <w:pPr>
        <w:spacing w:line="360" w:lineRule="auto"/>
        <w:ind w:firstLine="480" w:firstLineChars="200"/>
        <w:rPr>
          <w:rFonts w:hint="default" w:ascii="Times New Roman" w:hAnsi="Times New Roman" w:eastAsia="仿宋" w:cs="Times New Roman"/>
          <w:color w:val="auto"/>
          <w:highlight w:val="none"/>
          <w:lang w:eastAsia="zh-CN"/>
        </w:rPr>
      </w:pPr>
    </w:p>
    <w:p w14:paraId="0CEE2EB6">
      <w:pPr>
        <w:adjustRightInd w:val="0"/>
        <w:snapToGrid w:val="0"/>
        <w:spacing w:before="0" w:beforeAutospacing="0" w:after="0" w:afterAutospacing="0" w:line="648" w:lineRule="auto"/>
        <w:outlineLvl w:val="0"/>
        <w:rPr>
          <w:rFonts w:hint="default" w:ascii="Times New Roman" w:hAnsi="Times New Roman" w:eastAsia="仿宋" w:cs="Times New Roman"/>
          <w:color w:val="auto"/>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8F620FE0-A24B-4566-9D2A-CA640265E9A1}"/>
  </w:font>
  <w:font w:name="Wingdings 2">
    <w:panose1 w:val="05020102010507070707"/>
    <w:charset w:val="00"/>
    <w:family w:val="auto"/>
    <w:pitch w:val="default"/>
    <w:sig w:usb0="00000000" w:usb1="00000000" w:usb2="00000000" w:usb3="00000000" w:csb0="80000000" w:csb1="00000000"/>
    <w:embedRegular r:id="rId2" w:fontKey="{C38999A9-80F1-4D40-A46B-6BFCCE007837}"/>
  </w:font>
  <w:font w:name="方正仿宋_GB2312">
    <w:panose1 w:val="02000000000000000000"/>
    <w:charset w:val="86"/>
    <w:family w:val="auto"/>
    <w:pitch w:val="default"/>
    <w:sig w:usb0="A00002BF" w:usb1="184F6CFA" w:usb2="00000012" w:usb3="00000000" w:csb0="00040001" w:csb1="00000000"/>
    <w:embedRegular r:id="rId3" w:fontKey="{7367E124-466B-4256-A78A-36D19D6BC28B}"/>
  </w:font>
  <w:font w:name="仿宋_GB2312">
    <w:panose1 w:val="02010609030101010101"/>
    <w:charset w:val="86"/>
    <w:family w:val="auto"/>
    <w:pitch w:val="default"/>
    <w:sig w:usb0="00000001" w:usb1="080E0000" w:usb2="00000000" w:usb3="00000000" w:csb0="00040000" w:csb1="00000000"/>
    <w:embedRegular r:id="rId4" w:fontKey="{15F95BFD-072B-48D7-B8DE-69B1604EC9C9}"/>
  </w:font>
  <w:font w:name="WPSEMBED1">
    <w:panose1 w:val="02000000000000000000"/>
    <w:charset w:val="86"/>
    <w:family w:val="auto"/>
    <w:pitch w:val="default"/>
    <w:sig w:usb0="A00002BF" w:usb1="184F6CFA" w:usb2="00000012" w:usb3="00000000" w:csb0="00040001"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2BF2A">
    <w:pPr>
      <w:framePr w:wrap="around" w:vAnchor="text" w:hAnchor="margin" w:xAlign="outside" w:y="1"/>
      <w:widowControl w:val="0"/>
      <w:snapToGrid w:val="0"/>
      <w:spacing w:line="360" w:lineRule="auto"/>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end"/>
    </w:r>
  </w:p>
  <w:p w14:paraId="458644F4">
    <w:pPr>
      <w:widowControl w:val="0"/>
      <w:snapToGrid w:val="0"/>
      <w:spacing w:line="360" w:lineRule="auto"/>
      <w:ind w:right="360" w:firstLine="360"/>
      <w:jc w:val="left"/>
      <w:rPr>
        <w:rFonts w:ascii="Times New Roman" w:hAnsi="Times New Roman" w:eastAsia="宋体" w:cs="Times New Roman"/>
        <w:kern w:val="2"/>
        <w:sz w:val="18"/>
        <w:szCs w:val="18"/>
        <w:lang w:val="en-US" w:eastAsia="zh-CN" w:bidi="ar-S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A354C">
    <w:pPr>
      <w:spacing w:beforeLines="0" w:afterLines="0" w:line="220" w:lineRule="auto"/>
      <w:ind w:left="4697"/>
      <w:rPr>
        <w:rFonts w:hint="eastAsia" w:ascii="Times New Roman" w:hAnsi="Times New Roman" w:eastAsia="Times New Roman" w:cs="Times New Roman"/>
        <w:sz w:val="18"/>
        <w:szCs w:val="18"/>
      </w:rPr>
    </w:pPr>
    <w:r>
      <w:rPr>
        <w:rFonts w:hint="eastAsia" w:ascii="Times New Roman" w:hAnsi="Times New Roman" w:eastAsia="Times New Roman" w:cs="Times New Roman"/>
        <w:spacing w:val="-5"/>
        <w:sz w:val="18"/>
        <w:szCs w:val="18"/>
      </w:rPr>
      <w:t>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7E34C">
    <w:pPr>
      <w:widowControl w:val="0"/>
      <w:tabs>
        <w:tab w:val="center" w:pos="4153"/>
        <w:tab w:val="right" w:pos="8306"/>
      </w:tabs>
      <w:snapToGrid w:val="0"/>
      <w:spacing w:line="240" w:lineRule="auto"/>
      <w:ind w:firstLine="360" w:firstLineChars="20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7A82">
    <w:pPr>
      <w:tabs>
        <w:tab w:val="center" w:pos="4153"/>
        <w:tab w:val="right" w:pos="8306"/>
      </w:tabs>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9B517">
                          <w:pPr>
                            <w:tabs>
                              <w:tab w:val="center" w:pos="4153"/>
                              <w:tab w:val="right" w:pos="8306"/>
                            </w:tabs>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A9B517">
                    <w:pPr>
                      <w:tabs>
                        <w:tab w:val="center" w:pos="4153"/>
                        <w:tab w:val="right" w:pos="8306"/>
                      </w:tabs>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EA449">
    <w:pPr>
      <w:spacing w:beforeLines="0" w:afterLines="0" w:line="223" w:lineRule="auto"/>
      <w:rPr>
        <w:rFonts w:hint="default" w:ascii="Times New Roman" w:hAnsi="Times New Roman" w:eastAsia="Times New Roman" w:cs="Times New Roman"/>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B31E">
    <w:pPr>
      <w:spacing w:beforeLines="0" w:afterLines="0" w:line="223" w:lineRule="auto"/>
      <w:rPr>
        <w:rFonts w:hint="default" w:ascii="Times New Roman" w:hAnsi="Times New Roman" w:eastAsia="Times New Roman" w:cs="Times New Roman"/>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F1D33">
                          <w:pPr>
                            <w:tabs>
                              <w:tab w:val="center" w:pos="4153"/>
                              <w:tab w:val="right" w:pos="8306"/>
                            </w:tabs>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76DF1D33">
                    <w:pPr>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0A64E">
    <w:pPr>
      <w:spacing w:beforeLines="0" w:afterLines="0" w:line="223" w:lineRule="auto"/>
      <w:ind w:left="4462"/>
      <w:rPr>
        <w:rFonts w:hint="default" w:ascii="Times New Roman" w:hAnsi="Times New Roman" w:eastAsia="Times New Roman" w:cs="Times New Roman"/>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A47DD">
                          <w:pPr>
                            <w:tabs>
                              <w:tab w:val="center" w:pos="4153"/>
                              <w:tab w:val="right" w:pos="8306"/>
                            </w:tabs>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48CA47DD">
                    <w:pPr>
                      <w:tabs>
                        <w:tab w:val="center" w:pos="4153"/>
                        <w:tab w:val="right" w:pos="8306"/>
                      </w:tabs>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8D2A0">
    <w:pPr>
      <w:spacing w:beforeLines="0" w:afterLines="0" w:line="220" w:lineRule="auto"/>
      <w:ind w:left="4706"/>
      <w:rPr>
        <w:rFonts w:hint="eastAsia" w:ascii="Times New Roman" w:hAnsi="Times New Roman" w:eastAsia="Times New Roman" w:cs="Times New Roman"/>
        <w:sz w:val="18"/>
        <w:szCs w:val="18"/>
      </w:rPr>
    </w:pPr>
    <w:r>
      <w:rPr>
        <w:rFonts w:hint="eastAsia" w:ascii="Times New Roman" w:hAnsi="Times New Roman" w:eastAsia="Times New Roman" w:cs="Times New Roman"/>
        <w:spacing w:val="-5"/>
        <w:sz w:val="18"/>
        <w:szCs w:val="18"/>
      </w:rPr>
      <w:t>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D8AE">
    <w:pPr>
      <w:spacing w:beforeLines="0" w:afterLines="0" w:line="220" w:lineRule="auto"/>
      <w:ind w:left="4706"/>
      <w:rPr>
        <w:rFonts w:hint="eastAsia" w:ascii="Times New Roman" w:hAnsi="Times New Roman" w:eastAsia="Times New Roman" w:cs="Times New Roman"/>
        <w:sz w:val="18"/>
        <w:szCs w:val="18"/>
      </w:rPr>
    </w:pPr>
    <w:r>
      <w:rPr>
        <w:rFonts w:hint="eastAsia" w:ascii="Times New Roman" w:hAnsi="Times New Roman" w:eastAsia="Times New Roman" w:cs="Times New Roman"/>
        <w:spacing w:val="-5"/>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A4B32">
    <w:pPr>
      <w:keepNext w:val="0"/>
      <w:keepLines w:val="0"/>
      <w:pageBreakBefore w:val="0"/>
      <w:widowControl w:val="0"/>
      <w:kinsoku/>
      <w:wordWrap/>
      <w:overflowPunct/>
      <w:topLinePunct w:val="0"/>
      <w:bidi w:val="0"/>
      <w:adjustRightInd/>
      <w:snapToGrid/>
      <w:spacing w:beforeLines="0" w:afterLines="0" w:line="224" w:lineRule="auto"/>
      <w:ind w:left="0"/>
      <w:jc w:val="center"/>
      <w:textAlignment w:val="auto"/>
      <w:rPr>
        <w:rFonts w:hint="eastAsia" w:ascii="Times New Roman" w:hAnsi="Times New Roman" w:eastAsia="Times New Roman" w:cs="Times New Roman"/>
        <w:sz w:val="18"/>
        <w:szCs w:val="18"/>
      </w:rPr>
    </w:pPr>
    <w:r>
      <w:rPr>
        <w:rFonts w:hint="eastAsia" w:ascii="Times New Roman" w:hAnsi="Times New Roman" w:eastAsia="Times New Roman" w:cs="Times New Roman"/>
        <w:spacing w:val="-5"/>
        <w:sz w:val="18"/>
        <w:szCs w:val="18"/>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4F7AD">
    <w:pPr>
      <w:widowControl w:val="0"/>
      <w:pBdr>
        <w:bottom w:val="none" w:color="auto" w:sz="0" w:space="0"/>
      </w:pBdr>
      <w:tabs>
        <w:tab w:val="center" w:pos="4153"/>
        <w:tab w:val="right" w:pos="8306"/>
      </w:tabs>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0BE518"/>
    <w:multiLevelType w:val="singleLevel"/>
    <w:tmpl w:val="D40BE518"/>
    <w:lvl w:ilvl="0" w:tentative="0">
      <w:start w:val="2"/>
      <w:numFmt w:val="decimal"/>
      <w:suff w:val="nothing"/>
      <w:lvlText w:val="%1、"/>
      <w:lvlJc w:val="left"/>
    </w:lvl>
  </w:abstractNum>
  <w:abstractNum w:abstractNumId="1">
    <w:nsid w:val="0A011FE5"/>
    <w:multiLevelType w:val="singleLevel"/>
    <w:tmpl w:val="0A011FE5"/>
    <w:lvl w:ilvl="0" w:tentative="0">
      <w:start w:val="1"/>
      <w:numFmt w:val="low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0NTU4MDk0MDYwYjYzNGNiY2I5YTE4Njk2MzI5NGEifQ=="/>
  </w:docVars>
  <w:rsids>
    <w:rsidRoot w:val="00172A27"/>
    <w:rsid w:val="00000979"/>
    <w:rsid w:val="00001CED"/>
    <w:rsid w:val="00001E67"/>
    <w:rsid w:val="00003CD8"/>
    <w:rsid w:val="00004804"/>
    <w:rsid w:val="0001125E"/>
    <w:rsid w:val="00012905"/>
    <w:rsid w:val="00012E48"/>
    <w:rsid w:val="00014965"/>
    <w:rsid w:val="0001523A"/>
    <w:rsid w:val="00015A08"/>
    <w:rsid w:val="00016ECB"/>
    <w:rsid w:val="00017521"/>
    <w:rsid w:val="000269F6"/>
    <w:rsid w:val="00027C66"/>
    <w:rsid w:val="00031939"/>
    <w:rsid w:val="00032D25"/>
    <w:rsid w:val="00032E87"/>
    <w:rsid w:val="000356F6"/>
    <w:rsid w:val="000414EF"/>
    <w:rsid w:val="0004750A"/>
    <w:rsid w:val="0005219D"/>
    <w:rsid w:val="0005254C"/>
    <w:rsid w:val="00052A14"/>
    <w:rsid w:val="00054AE3"/>
    <w:rsid w:val="00054C94"/>
    <w:rsid w:val="0005568F"/>
    <w:rsid w:val="00057D62"/>
    <w:rsid w:val="0006153D"/>
    <w:rsid w:val="00061831"/>
    <w:rsid w:val="00061B1F"/>
    <w:rsid w:val="000645DB"/>
    <w:rsid w:val="00064625"/>
    <w:rsid w:val="00064C62"/>
    <w:rsid w:val="000661C2"/>
    <w:rsid w:val="000664DB"/>
    <w:rsid w:val="00067000"/>
    <w:rsid w:val="0007127D"/>
    <w:rsid w:val="00071AE5"/>
    <w:rsid w:val="000732A2"/>
    <w:rsid w:val="00074783"/>
    <w:rsid w:val="00077DEB"/>
    <w:rsid w:val="000801E0"/>
    <w:rsid w:val="00082A29"/>
    <w:rsid w:val="0008331D"/>
    <w:rsid w:val="00083C18"/>
    <w:rsid w:val="00087701"/>
    <w:rsid w:val="0009110C"/>
    <w:rsid w:val="00092899"/>
    <w:rsid w:val="00094788"/>
    <w:rsid w:val="000A1133"/>
    <w:rsid w:val="000A1767"/>
    <w:rsid w:val="000A178E"/>
    <w:rsid w:val="000A19CF"/>
    <w:rsid w:val="000A557E"/>
    <w:rsid w:val="000B04EF"/>
    <w:rsid w:val="000B058F"/>
    <w:rsid w:val="000B246E"/>
    <w:rsid w:val="000B4287"/>
    <w:rsid w:val="000B693F"/>
    <w:rsid w:val="000C09AC"/>
    <w:rsid w:val="000C0A63"/>
    <w:rsid w:val="000C0D7C"/>
    <w:rsid w:val="000C31C2"/>
    <w:rsid w:val="000C437E"/>
    <w:rsid w:val="000C65FA"/>
    <w:rsid w:val="000D1F94"/>
    <w:rsid w:val="000D2B66"/>
    <w:rsid w:val="000D5EBE"/>
    <w:rsid w:val="000E0243"/>
    <w:rsid w:val="000E3138"/>
    <w:rsid w:val="000E5F16"/>
    <w:rsid w:val="000F4452"/>
    <w:rsid w:val="000F6DA1"/>
    <w:rsid w:val="000F701B"/>
    <w:rsid w:val="00100131"/>
    <w:rsid w:val="0010091A"/>
    <w:rsid w:val="00100C1A"/>
    <w:rsid w:val="00103DDF"/>
    <w:rsid w:val="001056A0"/>
    <w:rsid w:val="00110938"/>
    <w:rsid w:val="0011480E"/>
    <w:rsid w:val="00115279"/>
    <w:rsid w:val="00117459"/>
    <w:rsid w:val="0011749A"/>
    <w:rsid w:val="00120238"/>
    <w:rsid w:val="00121E0B"/>
    <w:rsid w:val="00122932"/>
    <w:rsid w:val="00124F25"/>
    <w:rsid w:val="00125EF2"/>
    <w:rsid w:val="00125F8E"/>
    <w:rsid w:val="00127A68"/>
    <w:rsid w:val="001308CC"/>
    <w:rsid w:val="00131E31"/>
    <w:rsid w:val="0013466B"/>
    <w:rsid w:val="00140B13"/>
    <w:rsid w:val="00141A24"/>
    <w:rsid w:val="00141B68"/>
    <w:rsid w:val="001466DA"/>
    <w:rsid w:val="00150666"/>
    <w:rsid w:val="00152F31"/>
    <w:rsid w:val="00154DE1"/>
    <w:rsid w:val="00155B40"/>
    <w:rsid w:val="00157435"/>
    <w:rsid w:val="00160BAA"/>
    <w:rsid w:val="001618E2"/>
    <w:rsid w:val="00163EEA"/>
    <w:rsid w:val="00164AB8"/>
    <w:rsid w:val="00167A07"/>
    <w:rsid w:val="0017046A"/>
    <w:rsid w:val="001704A3"/>
    <w:rsid w:val="00170AB3"/>
    <w:rsid w:val="00173EC2"/>
    <w:rsid w:val="0017504D"/>
    <w:rsid w:val="00177422"/>
    <w:rsid w:val="00177F50"/>
    <w:rsid w:val="00180910"/>
    <w:rsid w:val="00182745"/>
    <w:rsid w:val="00182B4A"/>
    <w:rsid w:val="00184F10"/>
    <w:rsid w:val="00185546"/>
    <w:rsid w:val="0019146B"/>
    <w:rsid w:val="00191A7B"/>
    <w:rsid w:val="00194398"/>
    <w:rsid w:val="00194CB4"/>
    <w:rsid w:val="001A426A"/>
    <w:rsid w:val="001A43A8"/>
    <w:rsid w:val="001A7D2A"/>
    <w:rsid w:val="001B574C"/>
    <w:rsid w:val="001B682F"/>
    <w:rsid w:val="001C0AF9"/>
    <w:rsid w:val="001C0FC6"/>
    <w:rsid w:val="001C155A"/>
    <w:rsid w:val="001C3FAF"/>
    <w:rsid w:val="001C48C0"/>
    <w:rsid w:val="001D2F40"/>
    <w:rsid w:val="001D3B76"/>
    <w:rsid w:val="001D5781"/>
    <w:rsid w:val="001D5C4B"/>
    <w:rsid w:val="001D6726"/>
    <w:rsid w:val="001E553E"/>
    <w:rsid w:val="001F1242"/>
    <w:rsid w:val="001F3347"/>
    <w:rsid w:val="001F4440"/>
    <w:rsid w:val="001F69E4"/>
    <w:rsid w:val="0020042E"/>
    <w:rsid w:val="00202286"/>
    <w:rsid w:val="002030D6"/>
    <w:rsid w:val="00205374"/>
    <w:rsid w:val="00206A65"/>
    <w:rsid w:val="0020772D"/>
    <w:rsid w:val="00212D31"/>
    <w:rsid w:val="002130C7"/>
    <w:rsid w:val="00213D4D"/>
    <w:rsid w:val="002151A3"/>
    <w:rsid w:val="002218A8"/>
    <w:rsid w:val="0022306D"/>
    <w:rsid w:val="00225AB9"/>
    <w:rsid w:val="00226574"/>
    <w:rsid w:val="00226B6D"/>
    <w:rsid w:val="002278EC"/>
    <w:rsid w:val="00227D42"/>
    <w:rsid w:val="00230921"/>
    <w:rsid w:val="002357C7"/>
    <w:rsid w:val="002367C4"/>
    <w:rsid w:val="00237256"/>
    <w:rsid w:val="00242E4E"/>
    <w:rsid w:val="00243383"/>
    <w:rsid w:val="00253A2C"/>
    <w:rsid w:val="0025679E"/>
    <w:rsid w:val="00260C68"/>
    <w:rsid w:val="0026396C"/>
    <w:rsid w:val="002648B0"/>
    <w:rsid w:val="00272662"/>
    <w:rsid w:val="002748D9"/>
    <w:rsid w:val="00275271"/>
    <w:rsid w:val="0027535E"/>
    <w:rsid w:val="00275AA6"/>
    <w:rsid w:val="002807D5"/>
    <w:rsid w:val="00280E9A"/>
    <w:rsid w:val="00282A3E"/>
    <w:rsid w:val="00282CCD"/>
    <w:rsid w:val="00284471"/>
    <w:rsid w:val="00296A5F"/>
    <w:rsid w:val="002A168C"/>
    <w:rsid w:val="002A2C48"/>
    <w:rsid w:val="002A2D8F"/>
    <w:rsid w:val="002A37B1"/>
    <w:rsid w:val="002A3EED"/>
    <w:rsid w:val="002A4A39"/>
    <w:rsid w:val="002A4E0F"/>
    <w:rsid w:val="002A5A17"/>
    <w:rsid w:val="002A6425"/>
    <w:rsid w:val="002A7F65"/>
    <w:rsid w:val="002B2BEA"/>
    <w:rsid w:val="002B49E2"/>
    <w:rsid w:val="002B58AD"/>
    <w:rsid w:val="002B6C05"/>
    <w:rsid w:val="002B7B00"/>
    <w:rsid w:val="002B7C44"/>
    <w:rsid w:val="002C1388"/>
    <w:rsid w:val="002C3C6A"/>
    <w:rsid w:val="002D42DB"/>
    <w:rsid w:val="002D43F1"/>
    <w:rsid w:val="002D56D9"/>
    <w:rsid w:val="002D6BF3"/>
    <w:rsid w:val="002E1F3A"/>
    <w:rsid w:val="002E298A"/>
    <w:rsid w:val="002E29A5"/>
    <w:rsid w:val="002F02A4"/>
    <w:rsid w:val="002F272B"/>
    <w:rsid w:val="002F2F88"/>
    <w:rsid w:val="002F73EE"/>
    <w:rsid w:val="002F7C6D"/>
    <w:rsid w:val="003027E4"/>
    <w:rsid w:val="0030332C"/>
    <w:rsid w:val="003049DC"/>
    <w:rsid w:val="003073C9"/>
    <w:rsid w:val="00312296"/>
    <w:rsid w:val="0031340E"/>
    <w:rsid w:val="0031640D"/>
    <w:rsid w:val="00316464"/>
    <w:rsid w:val="00320148"/>
    <w:rsid w:val="0032073A"/>
    <w:rsid w:val="00321D8E"/>
    <w:rsid w:val="003220B0"/>
    <w:rsid w:val="00333694"/>
    <w:rsid w:val="0033418B"/>
    <w:rsid w:val="00334996"/>
    <w:rsid w:val="0033685B"/>
    <w:rsid w:val="00336969"/>
    <w:rsid w:val="00336C52"/>
    <w:rsid w:val="0034083C"/>
    <w:rsid w:val="00341B3E"/>
    <w:rsid w:val="00341B42"/>
    <w:rsid w:val="003439D3"/>
    <w:rsid w:val="00345154"/>
    <w:rsid w:val="0034560E"/>
    <w:rsid w:val="0035042E"/>
    <w:rsid w:val="00350523"/>
    <w:rsid w:val="003507C9"/>
    <w:rsid w:val="0035130B"/>
    <w:rsid w:val="00351FA6"/>
    <w:rsid w:val="00352975"/>
    <w:rsid w:val="00352C11"/>
    <w:rsid w:val="00353836"/>
    <w:rsid w:val="00354F28"/>
    <w:rsid w:val="00356868"/>
    <w:rsid w:val="0036446C"/>
    <w:rsid w:val="0036485B"/>
    <w:rsid w:val="00365318"/>
    <w:rsid w:val="00365A0C"/>
    <w:rsid w:val="003709DB"/>
    <w:rsid w:val="00373B0D"/>
    <w:rsid w:val="00373EF8"/>
    <w:rsid w:val="00376988"/>
    <w:rsid w:val="00377683"/>
    <w:rsid w:val="00381A72"/>
    <w:rsid w:val="0038214C"/>
    <w:rsid w:val="00386259"/>
    <w:rsid w:val="0039114F"/>
    <w:rsid w:val="00394A46"/>
    <w:rsid w:val="003A128F"/>
    <w:rsid w:val="003A1948"/>
    <w:rsid w:val="003A633D"/>
    <w:rsid w:val="003A7E5E"/>
    <w:rsid w:val="003B089F"/>
    <w:rsid w:val="003B152A"/>
    <w:rsid w:val="003B17C2"/>
    <w:rsid w:val="003B545B"/>
    <w:rsid w:val="003B5BF6"/>
    <w:rsid w:val="003B6ED8"/>
    <w:rsid w:val="003B7117"/>
    <w:rsid w:val="003C39E9"/>
    <w:rsid w:val="003D04D5"/>
    <w:rsid w:val="003D260E"/>
    <w:rsid w:val="003D3EE9"/>
    <w:rsid w:val="003E7681"/>
    <w:rsid w:val="003F0809"/>
    <w:rsid w:val="003F611C"/>
    <w:rsid w:val="003F7042"/>
    <w:rsid w:val="003F755C"/>
    <w:rsid w:val="00404ED0"/>
    <w:rsid w:val="00406F01"/>
    <w:rsid w:val="00411B36"/>
    <w:rsid w:val="004121D7"/>
    <w:rsid w:val="00413130"/>
    <w:rsid w:val="004133D1"/>
    <w:rsid w:val="00416D50"/>
    <w:rsid w:val="00417772"/>
    <w:rsid w:val="00420672"/>
    <w:rsid w:val="00420E6A"/>
    <w:rsid w:val="00425BB7"/>
    <w:rsid w:val="004331D3"/>
    <w:rsid w:val="00433CA9"/>
    <w:rsid w:val="0043521D"/>
    <w:rsid w:val="00442024"/>
    <w:rsid w:val="0044254C"/>
    <w:rsid w:val="00443F6A"/>
    <w:rsid w:val="00447617"/>
    <w:rsid w:val="004503EE"/>
    <w:rsid w:val="00450A17"/>
    <w:rsid w:val="00454252"/>
    <w:rsid w:val="004567ED"/>
    <w:rsid w:val="00463930"/>
    <w:rsid w:val="00466321"/>
    <w:rsid w:val="004672AF"/>
    <w:rsid w:val="00467911"/>
    <w:rsid w:val="004727B0"/>
    <w:rsid w:val="00474FC6"/>
    <w:rsid w:val="00480247"/>
    <w:rsid w:val="0048081D"/>
    <w:rsid w:val="0048117E"/>
    <w:rsid w:val="00481BE7"/>
    <w:rsid w:val="004855F6"/>
    <w:rsid w:val="00485629"/>
    <w:rsid w:val="00485D42"/>
    <w:rsid w:val="00486F0C"/>
    <w:rsid w:val="004908ED"/>
    <w:rsid w:val="0049193B"/>
    <w:rsid w:val="0049396A"/>
    <w:rsid w:val="00494493"/>
    <w:rsid w:val="00494670"/>
    <w:rsid w:val="004A0EB4"/>
    <w:rsid w:val="004A26EC"/>
    <w:rsid w:val="004A36D0"/>
    <w:rsid w:val="004A3823"/>
    <w:rsid w:val="004A59BB"/>
    <w:rsid w:val="004A606E"/>
    <w:rsid w:val="004A7622"/>
    <w:rsid w:val="004B37DB"/>
    <w:rsid w:val="004B43A3"/>
    <w:rsid w:val="004B4C49"/>
    <w:rsid w:val="004B51AC"/>
    <w:rsid w:val="004B58A5"/>
    <w:rsid w:val="004B5F0F"/>
    <w:rsid w:val="004B63D9"/>
    <w:rsid w:val="004C0156"/>
    <w:rsid w:val="004C0882"/>
    <w:rsid w:val="004C36DE"/>
    <w:rsid w:val="004C55BE"/>
    <w:rsid w:val="004C7E16"/>
    <w:rsid w:val="004D23DB"/>
    <w:rsid w:val="004E42A2"/>
    <w:rsid w:val="004E5B30"/>
    <w:rsid w:val="004F0779"/>
    <w:rsid w:val="004F1230"/>
    <w:rsid w:val="004F173F"/>
    <w:rsid w:val="004F177C"/>
    <w:rsid w:val="004F2A39"/>
    <w:rsid w:val="004F2DCE"/>
    <w:rsid w:val="004F3497"/>
    <w:rsid w:val="004F7CF1"/>
    <w:rsid w:val="00500E70"/>
    <w:rsid w:val="005039CB"/>
    <w:rsid w:val="00504FAF"/>
    <w:rsid w:val="0050558F"/>
    <w:rsid w:val="005057E0"/>
    <w:rsid w:val="00506286"/>
    <w:rsid w:val="00506392"/>
    <w:rsid w:val="00506D16"/>
    <w:rsid w:val="00510813"/>
    <w:rsid w:val="00511BC1"/>
    <w:rsid w:val="00511DE0"/>
    <w:rsid w:val="005171BF"/>
    <w:rsid w:val="00517623"/>
    <w:rsid w:val="005179A8"/>
    <w:rsid w:val="005179F4"/>
    <w:rsid w:val="00517F02"/>
    <w:rsid w:val="00522F63"/>
    <w:rsid w:val="00524547"/>
    <w:rsid w:val="005258A2"/>
    <w:rsid w:val="00530970"/>
    <w:rsid w:val="00530F7C"/>
    <w:rsid w:val="005322BB"/>
    <w:rsid w:val="00532A67"/>
    <w:rsid w:val="00533EA2"/>
    <w:rsid w:val="00534567"/>
    <w:rsid w:val="00534F43"/>
    <w:rsid w:val="00535A84"/>
    <w:rsid w:val="00536889"/>
    <w:rsid w:val="00542E07"/>
    <w:rsid w:val="0054339B"/>
    <w:rsid w:val="00550F4F"/>
    <w:rsid w:val="005543E7"/>
    <w:rsid w:val="00554A7B"/>
    <w:rsid w:val="0055572C"/>
    <w:rsid w:val="0056064F"/>
    <w:rsid w:val="00561B84"/>
    <w:rsid w:val="00567AC2"/>
    <w:rsid w:val="00571D98"/>
    <w:rsid w:val="005720AE"/>
    <w:rsid w:val="00572D51"/>
    <w:rsid w:val="0058030D"/>
    <w:rsid w:val="00582045"/>
    <w:rsid w:val="00584F5D"/>
    <w:rsid w:val="00587651"/>
    <w:rsid w:val="00587FEC"/>
    <w:rsid w:val="00590AE3"/>
    <w:rsid w:val="005918F1"/>
    <w:rsid w:val="00596DBB"/>
    <w:rsid w:val="0059747B"/>
    <w:rsid w:val="005A06B7"/>
    <w:rsid w:val="005A1759"/>
    <w:rsid w:val="005A6750"/>
    <w:rsid w:val="005C1BFB"/>
    <w:rsid w:val="005C380D"/>
    <w:rsid w:val="005C49DE"/>
    <w:rsid w:val="005C77D1"/>
    <w:rsid w:val="005D0303"/>
    <w:rsid w:val="005D0369"/>
    <w:rsid w:val="005D19CD"/>
    <w:rsid w:val="005D3834"/>
    <w:rsid w:val="005D5103"/>
    <w:rsid w:val="005D53FE"/>
    <w:rsid w:val="005D544D"/>
    <w:rsid w:val="005D6670"/>
    <w:rsid w:val="005D7906"/>
    <w:rsid w:val="005D7A0F"/>
    <w:rsid w:val="005E0438"/>
    <w:rsid w:val="005E0C7B"/>
    <w:rsid w:val="005E1791"/>
    <w:rsid w:val="005E2AD0"/>
    <w:rsid w:val="005E2CE6"/>
    <w:rsid w:val="005E51C2"/>
    <w:rsid w:val="005E6324"/>
    <w:rsid w:val="005F228B"/>
    <w:rsid w:val="005F29CD"/>
    <w:rsid w:val="005F4DFB"/>
    <w:rsid w:val="005F6AB2"/>
    <w:rsid w:val="005F6CC0"/>
    <w:rsid w:val="00603E5B"/>
    <w:rsid w:val="00604BC8"/>
    <w:rsid w:val="006060AE"/>
    <w:rsid w:val="0061299C"/>
    <w:rsid w:val="0061391B"/>
    <w:rsid w:val="00615B4C"/>
    <w:rsid w:val="00615B5D"/>
    <w:rsid w:val="00616069"/>
    <w:rsid w:val="0062146F"/>
    <w:rsid w:val="0062361D"/>
    <w:rsid w:val="00623B23"/>
    <w:rsid w:val="0062467C"/>
    <w:rsid w:val="006259FD"/>
    <w:rsid w:val="0062644B"/>
    <w:rsid w:val="006343AF"/>
    <w:rsid w:val="00634E95"/>
    <w:rsid w:val="0063634A"/>
    <w:rsid w:val="0064250D"/>
    <w:rsid w:val="00643D40"/>
    <w:rsid w:val="00646848"/>
    <w:rsid w:val="00647D89"/>
    <w:rsid w:val="006516F6"/>
    <w:rsid w:val="006535EB"/>
    <w:rsid w:val="00656D9B"/>
    <w:rsid w:val="00660C0E"/>
    <w:rsid w:val="006620A8"/>
    <w:rsid w:val="00663016"/>
    <w:rsid w:val="0066558E"/>
    <w:rsid w:val="00674605"/>
    <w:rsid w:val="006748B8"/>
    <w:rsid w:val="0067656C"/>
    <w:rsid w:val="0068038F"/>
    <w:rsid w:val="006847C5"/>
    <w:rsid w:val="0068535B"/>
    <w:rsid w:val="0068595D"/>
    <w:rsid w:val="0068599B"/>
    <w:rsid w:val="0068736E"/>
    <w:rsid w:val="00691192"/>
    <w:rsid w:val="0069290A"/>
    <w:rsid w:val="006948E3"/>
    <w:rsid w:val="006949CD"/>
    <w:rsid w:val="00697032"/>
    <w:rsid w:val="006975AC"/>
    <w:rsid w:val="006A0D27"/>
    <w:rsid w:val="006A15FB"/>
    <w:rsid w:val="006A2653"/>
    <w:rsid w:val="006A2CB6"/>
    <w:rsid w:val="006A72BF"/>
    <w:rsid w:val="006B0249"/>
    <w:rsid w:val="006B0ADF"/>
    <w:rsid w:val="006B332A"/>
    <w:rsid w:val="006B33BD"/>
    <w:rsid w:val="006C3F75"/>
    <w:rsid w:val="006D0031"/>
    <w:rsid w:val="006D056E"/>
    <w:rsid w:val="006D170E"/>
    <w:rsid w:val="006D695A"/>
    <w:rsid w:val="006D70A4"/>
    <w:rsid w:val="006E06AF"/>
    <w:rsid w:val="006E3A0E"/>
    <w:rsid w:val="006F1789"/>
    <w:rsid w:val="00706C5D"/>
    <w:rsid w:val="007118E6"/>
    <w:rsid w:val="0071271E"/>
    <w:rsid w:val="00712AAD"/>
    <w:rsid w:val="00715E2C"/>
    <w:rsid w:val="0071678B"/>
    <w:rsid w:val="007170F2"/>
    <w:rsid w:val="007225C9"/>
    <w:rsid w:val="00724E76"/>
    <w:rsid w:val="00727E97"/>
    <w:rsid w:val="00731B92"/>
    <w:rsid w:val="00735CD7"/>
    <w:rsid w:val="007405D9"/>
    <w:rsid w:val="0074105F"/>
    <w:rsid w:val="00744A6C"/>
    <w:rsid w:val="007537F7"/>
    <w:rsid w:val="00754034"/>
    <w:rsid w:val="00754BF1"/>
    <w:rsid w:val="00755A30"/>
    <w:rsid w:val="00755DCB"/>
    <w:rsid w:val="00755E1C"/>
    <w:rsid w:val="00755FCC"/>
    <w:rsid w:val="00756556"/>
    <w:rsid w:val="00756E31"/>
    <w:rsid w:val="00761040"/>
    <w:rsid w:val="0076132B"/>
    <w:rsid w:val="007623AE"/>
    <w:rsid w:val="0076424D"/>
    <w:rsid w:val="0076526A"/>
    <w:rsid w:val="00765A9D"/>
    <w:rsid w:val="0076787F"/>
    <w:rsid w:val="00767C65"/>
    <w:rsid w:val="00770B19"/>
    <w:rsid w:val="00774FA0"/>
    <w:rsid w:val="00776620"/>
    <w:rsid w:val="00777269"/>
    <w:rsid w:val="00777484"/>
    <w:rsid w:val="00777B6D"/>
    <w:rsid w:val="00780CC8"/>
    <w:rsid w:val="00784855"/>
    <w:rsid w:val="00784F39"/>
    <w:rsid w:val="0078545C"/>
    <w:rsid w:val="007906C4"/>
    <w:rsid w:val="007910BE"/>
    <w:rsid w:val="007940EA"/>
    <w:rsid w:val="0079474E"/>
    <w:rsid w:val="007967E8"/>
    <w:rsid w:val="007A63F2"/>
    <w:rsid w:val="007A6F13"/>
    <w:rsid w:val="007B365C"/>
    <w:rsid w:val="007B68DE"/>
    <w:rsid w:val="007C1857"/>
    <w:rsid w:val="007C514F"/>
    <w:rsid w:val="007D0F95"/>
    <w:rsid w:val="007D38D9"/>
    <w:rsid w:val="007D7D4C"/>
    <w:rsid w:val="007D7ECB"/>
    <w:rsid w:val="007E2435"/>
    <w:rsid w:val="007E25A1"/>
    <w:rsid w:val="007E4BD2"/>
    <w:rsid w:val="007E66F8"/>
    <w:rsid w:val="007E7145"/>
    <w:rsid w:val="007E7833"/>
    <w:rsid w:val="007F0E43"/>
    <w:rsid w:val="007F18BE"/>
    <w:rsid w:val="007F3916"/>
    <w:rsid w:val="00801179"/>
    <w:rsid w:val="00801314"/>
    <w:rsid w:val="00802479"/>
    <w:rsid w:val="00805372"/>
    <w:rsid w:val="00805B7B"/>
    <w:rsid w:val="00807651"/>
    <w:rsid w:val="0081293E"/>
    <w:rsid w:val="00814FFB"/>
    <w:rsid w:val="00820168"/>
    <w:rsid w:val="00820568"/>
    <w:rsid w:val="008214F0"/>
    <w:rsid w:val="00824365"/>
    <w:rsid w:val="00830C23"/>
    <w:rsid w:val="00830FCD"/>
    <w:rsid w:val="008319FC"/>
    <w:rsid w:val="00831A80"/>
    <w:rsid w:val="008332C8"/>
    <w:rsid w:val="00833743"/>
    <w:rsid w:val="008340A4"/>
    <w:rsid w:val="00835D6D"/>
    <w:rsid w:val="00836799"/>
    <w:rsid w:val="00836BCD"/>
    <w:rsid w:val="00837028"/>
    <w:rsid w:val="00837131"/>
    <w:rsid w:val="0083797A"/>
    <w:rsid w:val="00845F57"/>
    <w:rsid w:val="008477C5"/>
    <w:rsid w:val="0084780B"/>
    <w:rsid w:val="008521AB"/>
    <w:rsid w:val="008521E0"/>
    <w:rsid w:val="008525B0"/>
    <w:rsid w:val="008537F6"/>
    <w:rsid w:val="0085790E"/>
    <w:rsid w:val="00863557"/>
    <w:rsid w:val="00867CBC"/>
    <w:rsid w:val="0087586E"/>
    <w:rsid w:val="00876C30"/>
    <w:rsid w:val="00877017"/>
    <w:rsid w:val="008773C0"/>
    <w:rsid w:val="00880364"/>
    <w:rsid w:val="008821BE"/>
    <w:rsid w:val="008837C1"/>
    <w:rsid w:val="00883853"/>
    <w:rsid w:val="00886C4C"/>
    <w:rsid w:val="0088711C"/>
    <w:rsid w:val="00892ECF"/>
    <w:rsid w:val="00892F06"/>
    <w:rsid w:val="00894285"/>
    <w:rsid w:val="00897EE2"/>
    <w:rsid w:val="008A40AE"/>
    <w:rsid w:val="008A46A0"/>
    <w:rsid w:val="008A4E19"/>
    <w:rsid w:val="008A67C5"/>
    <w:rsid w:val="008B22E1"/>
    <w:rsid w:val="008B3C78"/>
    <w:rsid w:val="008B4AE9"/>
    <w:rsid w:val="008B5AA0"/>
    <w:rsid w:val="008C0482"/>
    <w:rsid w:val="008C2F34"/>
    <w:rsid w:val="008C30AD"/>
    <w:rsid w:val="008D068E"/>
    <w:rsid w:val="008D0F7A"/>
    <w:rsid w:val="008D63BE"/>
    <w:rsid w:val="008E0CFF"/>
    <w:rsid w:val="008E4042"/>
    <w:rsid w:val="008E4E54"/>
    <w:rsid w:val="008E5D6B"/>
    <w:rsid w:val="008E689B"/>
    <w:rsid w:val="008E76F0"/>
    <w:rsid w:val="008F15FE"/>
    <w:rsid w:val="008F2A94"/>
    <w:rsid w:val="008F33C7"/>
    <w:rsid w:val="008F5187"/>
    <w:rsid w:val="008F56A1"/>
    <w:rsid w:val="008F709C"/>
    <w:rsid w:val="0090312B"/>
    <w:rsid w:val="00904961"/>
    <w:rsid w:val="0090550F"/>
    <w:rsid w:val="00906852"/>
    <w:rsid w:val="00907BB7"/>
    <w:rsid w:val="00911AC1"/>
    <w:rsid w:val="009120DF"/>
    <w:rsid w:val="00912C4B"/>
    <w:rsid w:val="0091410E"/>
    <w:rsid w:val="0091736D"/>
    <w:rsid w:val="00917848"/>
    <w:rsid w:val="00930EF7"/>
    <w:rsid w:val="00931001"/>
    <w:rsid w:val="00931863"/>
    <w:rsid w:val="00932D2F"/>
    <w:rsid w:val="00933524"/>
    <w:rsid w:val="00935090"/>
    <w:rsid w:val="009403F8"/>
    <w:rsid w:val="009421FC"/>
    <w:rsid w:val="0094278D"/>
    <w:rsid w:val="009474EC"/>
    <w:rsid w:val="009528C3"/>
    <w:rsid w:val="0095308A"/>
    <w:rsid w:val="00953672"/>
    <w:rsid w:val="00955AEE"/>
    <w:rsid w:val="00956F14"/>
    <w:rsid w:val="009620FD"/>
    <w:rsid w:val="0096247A"/>
    <w:rsid w:val="00964D61"/>
    <w:rsid w:val="00965F4B"/>
    <w:rsid w:val="00966463"/>
    <w:rsid w:val="009665C2"/>
    <w:rsid w:val="00970F8A"/>
    <w:rsid w:val="00971FB5"/>
    <w:rsid w:val="00972D2A"/>
    <w:rsid w:val="00975CC5"/>
    <w:rsid w:val="00976328"/>
    <w:rsid w:val="00976B4E"/>
    <w:rsid w:val="00980559"/>
    <w:rsid w:val="00980CF8"/>
    <w:rsid w:val="009837C2"/>
    <w:rsid w:val="00984458"/>
    <w:rsid w:val="00985283"/>
    <w:rsid w:val="00987322"/>
    <w:rsid w:val="00993F63"/>
    <w:rsid w:val="0099494F"/>
    <w:rsid w:val="00994A14"/>
    <w:rsid w:val="009A0F3B"/>
    <w:rsid w:val="009A72C7"/>
    <w:rsid w:val="009B0608"/>
    <w:rsid w:val="009B0897"/>
    <w:rsid w:val="009B60F6"/>
    <w:rsid w:val="009C2DF7"/>
    <w:rsid w:val="009C4ACB"/>
    <w:rsid w:val="009C6237"/>
    <w:rsid w:val="009C6803"/>
    <w:rsid w:val="009D0852"/>
    <w:rsid w:val="009D1979"/>
    <w:rsid w:val="009D19CA"/>
    <w:rsid w:val="009D1FBF"/>
    <w:rsid w:val="009D2B11"/>
    <w:rsid w:val="009E399C"/>
    <w:rsid w:val="009E43C1"/>
    <w:rsid w:val="009E4445"/>
    <w:rsid w:val="009E638E"/>
    <w:rsid w:val="009E7D5E"/>
    <w:rsid w:val="009E7E95"/>
    <w:rsid w:val="009F116F"/>
    <w:rsid w:val="009F329E"/>
    <w:rsid w:val="009F759A"/>
    <w:rsid w:val="009F7ED3"/>
    <w:rsid w:val="00A03607"/>
    <w:rsid w:val="00A047FF"/>
    <w:rsid w:val="00A04FEF"/>
    <w:rsid w:val="00A05C7C"/>
    <w:rsid w:val="00A122CD"/>
    <w:rsid w:val="00A12652"/>
    <w:rsid w:val="00A12A32"/>
    <w:rsid w:val="00A1419D"/>
    <w:rsid w:val="00A14248"/>
    <w:rsid w:val="00A145AC"/>
    <w:rsid w:val="00A14947"/>
    <w:rsid w:val="00A23DC5"/>
    <w:rsid w:val="00A25849"/>
    <w:rsid w:val="00A25982"/>
    <w:rsid w:val="00A32480"/>
    <w:rsid w:val="00A34028"/>
    <w:rsid w:val="00A35568"/>
    <w:rsid w:val="00A37056"/>
    <w:rsid w:val="00A4358F"/>
    <w:rsid w:val="00A46F67"/>
    <w:rsid w:val="00A47755"/>
    <w:rsid w:val="00A5072E"/>
    <w:rsid w:val="00A54AA1"/>
    <w:rsid w:val="00A568FF"/>
    <w:rsid w:val="00A57ACF"/>
    <w:rsid w:val="00A57F1A"/>
    <w:rsid w:val="00A61496"/>
    <w:rsid w:val="00A61833"/>
    <w:rsid w:val="00A624C6"/>
    <w:rsid w:val="00A63CEC"/>
    <w:rsid w:val="00A64B23"/>
    <w:rsid w:val="00A64D13"/>
    <w:rsid w:val="00A65E3F"/>
    <w:rsid w:val="00A668EE"/>
    <w:rsid w:val="00A7031E"/>
    <w:rsid w:val="00A7250F"/>
    <w:rsid w:val="00A728B1"/>
    <w:rsid w:val="00A743B8"/>
    <w:rsid w:val="00A74DC7"/>
    <w:rsid w:val="00A763DE"/>
    <w:rsid w:val="00A803D6"/>
    <w:rsid w:val="00A810E9"/>
    <w:rsid w:val="00A81282"/>
    <w:rsid w:val="00A83A22"/>
    <w:rsid w:val="00A8713F"/>
    <w:rsid w:val="00A91167"/>
    <w:rsid w:val="00A9171C"/>
    <w:rsid w:val="00A92FFD"/>
    <w:rsid w:val="00A95975"/>
    <w:rsid w:val="00A9708D"/>
    <w:rsid w:val="00AA0D66"/>
    <w:rsid w:val="00AA1643"/>
    <w:rsid w:val="00AA1A51"/>
    <w:rsid w:val="00AA1FBE"/>
    <w:rsid w:val="00AA2C17"/>
    <w:rsid w:val="00AA4172"/>
    <w:rsid w:val="00AA77E4"/>
    <w:rsid w:val="00AB043D"/>
    <w:rsid w:val="00AB12A7"/>
    <w:rsid w:val="00AB1914"/>
    <w:rsid w:val="00AB5330"/>
    <w:rsid w:val="00AB7747"/>
    <w:rsid w:val="00AC0B83"/>
    <w:rsid w:val="00AC2532"/>
    <w:rsid w:val="00AC32A4"/>
    <w:rsid w:val="00AC7356"/>
    <w:rsid w:val="00AC7358"/>
    <w:rsid w:val="00AC759B"/>
    <w:rsid w:val="00AD1507"/>
    <w:rsid w:val="00AD5A70"/>
    <w:rsid w:val="00AD738B"/>
    <w:rsid w:val="00AD740B"/>
    <w:rsid w:val="00AD7FB5"/>
    <w:rsid w:val="00AE1BF4"/>
    <w:rsid w:val="00AE3874"/>
    <w:rsid w:val="00AE5D97"/>
    <w:rsid w:val="00AE6794"/>
    <w:rsid w:val="00AF17DB"/>
    <w:rsid w:val="00AF2145"/>
    <w:rsid w:val="00AF4091"/>
    <w:rsid w:val="00AF40FA"/>
    <w:rsid w:val="00AF5D86"/>
    <w:rsid w:val="00B006A2"/>
    <w:rsid w:val="00B01110"/>
    <w:rsid w:val="00B02262"/>
    <w:rsid w:val="00B03B50"/>
    <w:rsid w:val="00B03CEC"/>
    <w:rsid w:val="00B049A0"/>
    <w:rsid w:val="00B06630"/>
    <w:rsid w:val="00B1209F"/>
    <w:rsid w:val="00B12AD0"/>
    <w:rsid w:val="00B13EEE"/>
    <w:rsid w:val="00B17827"/>
    <w:rsid w:val="00B210E8"/>
    <w:rsid w:val="00B2338F"/>
    <w:rsid w:val="00B24F30"/>
    <w:rsid w:val="00B2738B"/>
    <w:rsid w:val="00B31ABF"/>
    <w:rsid w:val="00B335AE"/>
    <w:rsid w:val="00B35E31"/>
    <w:rsid w:val="00B37CE1"/>
    <w:rsid w:val="00B40ACF"/>
    <w:rsid w:val="00B434BA"/>
    <w:rsid w:val="00B46BAA"/>
    <w:rsid w:val="00B50B5F"/>
    <w:rsid w:val="00B54128"/>
    <w:rsid w:val="00B55826"/>
    <w:rsid w:val="00B60426"/>
    <w:rsid w:val="00B622DD"/>
    <w:rsid w:val="00B63522"/>
    <w:rsid w:val="00B63BD5"/>
    <w:rsid w:val="00B70582"/>
    <w:rsid w:val="00B721E6"/>
    <w:rsid w:val="00B75D17"/>
    <w:rsid w:val="00B76F1D"/>
    <w:rsid w:val="00B77437"/>
    <w:rsid w:val="00B849D7"/>
    <w:rsid w:val="00B92606"/>
    <w:rsid w:val="00B92A19"/>
    <w:rsid w:val="00B946D8"/>
    <w:rsid w:val="00B9544C"/>
    <w:rsid w:val="00BA29E9"/>
    <w:rsid w:val="00BA2DDD"/>
    <w:rsid w:val="00BA5402"/>
    <w:rsid w:val="00BA6689"/>
    <w:rsid w:val="00BA7F5C"/>
    <w:rsid w:val="00BB04F0"/>
    <w:rsid w:val="00BB3618"/>
    <w:rsid w:val="00BB66BB"/>
    <w:rsid w:val="00BB6B2D"/>
    <w:rsid w:val="00BB7D52"/>
    <w:rsid w:val="00BC0C9E"/>
    <w:rsid w:val="00BC32DC"/>
    <w:rsid w:val="00BC3FD6"/>
    <w:rsid w:val="00BD1B51"/>
    <w:rsid w:val="00BD47F6"/>
    <w:rsid w:val="00BD53C7"/>
    <w:rsid w:val="00BD5B04"/>
    <w:rsid w:val="00BD627A"/>
    <w:rsid w:val="00BD75FC"/>
    <w:rsid w:val="00BE312D"/>
    <w:rsid w:val="00BE3DE6"/>
    <w:rsid w:val="00BE3FCA"/>
    <w:rsid w:val="00BE4EE7"/>
    <w:rsid w:val="00BE7441"/>
    <w:rsid w:val="00BF1543"/>
    <w:rsid w:val="00BF45B4"/>
    <w:rsid w:val="00BF502B"/>
    <w:rsid w:val="00BF5E49"/>
    <w:rsid w:val="00C029D6"/>
    <w:rsid w:val="00C05719"/>
    <w:rsid w:val="00C10578"/>
    <w:rsid w:val="00C16A3D"/>
    <w:rsid w:val="00C17D62"/>
    <w:rsid w:val="00C20B04"/>
    <w:rsid w:val="00C21FDC"/>
    <w:rsid w:val="00C24EE7"/>
    <w:rsid w:val="00C2596A"/>
    <w:rsid w:val="00C271BE"/>
    <w:rsid w:val="00C27425"/>
    <w:rsid w:val="00C328FE"/>
    <w:rsid w:val="00C32FAF"/>
    <w:rsid w:val="00C33A05"/>
    <w:rsid w:val="00C34DAD"/>
    <w:rsid w:val="00C351A2"/>
    <w:rsid w:val="00C40245"/>
    <w:rsid w:val="00C41434"/>
    <w:rsid w:val="00C42500"/>
    <w:rsid w:val="00C4409D"/>
    <w:rsid w:val="00C455BE"/>
    <w:rsid w:val="00C47F6A"/>
    <w:rsid w:val="00C51E5F"/>
    <w:rsid w:val="00C55F75"/>
    <w:rsid w:val="00C56F3B"/>
    <w:rsid w:val="00C619A2"/>
    <w:rsid w:val="00C61E4B"/>
    <w:rsid w:val="00C62C82"/>
    <w:rsid w:val="00C62E3A"/>
    <w:rsid w:val="00C64503"/>
    <w:rsid w:val="00C64A1F"/>
    <w:rsid w:val="00C64BFF"/>
    <w:rsid w:val="00C65D20"/>
    <w:rsid w:val="00C763C9"/>
    <w:rsid w:val="00C80057"/>
    <w:rsid w:val="00C82C79"/>
    <w:rsid w:val="00C84753"/>
    <w:rsid w:val="00C85FAD"/>
    <w:rsid w:val="00C91611"/>
    <w:rsid w:val="00C92E7B"/>
    <w:rsid w:val="00CA2ED7"/>
    <w:rsid w:val="00CA3585"/>
    <w:rsid w:val="00CA3D5A"/>
    <w:rsid w:val="00CA4C7C"/>
    <w:rsid w:val="00CB0183"/>
    <w:rsid w:val="00CB1EA3"/>
    <w:rsid w:val="00CB336F"/>
    <w:rsid w:val="00CB552C"/>
    <w:rsid w:val="00CB6A9E"/>
    <w:rsid w:val="00CC5BFA"/>
    <w:rsid w:val="00CC6181"/>
    <w:rsid w:val="00CC6C5E"/>
    <w:rsid w:val="00CC7805"/>
    <w:rsid w:val="00CC7DCB"/>
    <w:rsid w:val="00CD154A"/>
    <w:rsid w:val="00CD2BCD"/>
    <w:rsid w:val="00CD2C9A"/>
    <w:rsid w:val="00CD36AA"/>
    <w:rsid w:val="00CD3791"/>
    <w:rsid w:val="00CD475A"/>
    <w:rsid w:val="00CD65B0"/>
    <w:rsid w:val="00CD7320"/>
    <w:rsid w:val="00CD7FEE"/>
    <w:rsid w:val="00CE02CD"/>
    <w:rsid w:val="00CE0396"/>
    <w:rsid w:val="00CE10E9"/>
    <w:rsid w:val="00CE1544"/>
    <w:rsid w:val="00CE32E8"/>
    <w:rsid w:val="00CF0661"/>
    <w:rsid w:val="00CF2311"/>
    <w:rsid w:val="00CF4A4C"/>
    <w:rsid w:val="00CF7C8E"/>
    <w:rsid w:val="00D00607"/>
    <w:rsid w:val="00D0072E"/>
    <w:rsid w:val="00D0095A"/>
    <w:rsid w:val="00D044A9"/>
    <w:rsid w:val="00D06C75"/>
    <w:rsid w:val="00D12EC8"/>
    <w:rsid w:val="00D15727"/>
    <w:rsid w:val="00D157A8"/>
    <w:rsid w:val="00D16332"/>
    <w:rsid w:val="00D16CC9"/>
    <w:rsid w:val="00D22DD4"/>
    <w:rsid w:val="00D24972"/>
    <w:rsid w:val="00D2515E"/>
    <w:rsid w:val="00D271F7"/>
    <w:rsid w:val="00D276D1"/>
    <w:rsid w:val="00D308ED"/>
    <w:rsid w:val="00D3343A"/>
    <w:rsid w:val="00D37040"/>
    <w:rsid w:val="00D42692"/>
    <w:rsid w:val="00D43012"/>
    <w:rsid w:val="00D4475A"/>
    <w:rsid w:val="00D5491E"/>
    <w:rsid w:val="00D54CFA"/>
    <w:rsid w:val="00D56178"/>
    <w:rsid w:val="00D56CF0"/>
    <w:rsid w:val="00D56F5C"/>
    <w:rsid w:val="00D704B1"/>
    <w:rsid w:val="00D70B63"/>
    <w:rsid w:val="00D72B92"/>
    <w:rsid w:val="00D72ED4"/>
    <w:rsid w:val="00D73212"/>
    <w:rsid w:val="00D73F61"/>
    <w:rsid w:val="00D754C0"/>
    <w:rsid w:val="00D758CF"/>
    <w:rsid w:val="00D75C5A"/>
    <w:rsid w:val="00D776A2"/>
    <w:rsid w:val="00D77751"/>
    <w:rsid w:val="00D801C4"/>
    <w:rsid w:val="00D90836"/>
    <w:rsid w:val="00D90B73"/>
    <w:rsid w:val="00D91840"/>
    <w:rsid w:val="00D922B3"/>
    <w:rsid w:val="00D95896"/>
    <w:rsid w:val="00D95CC6"/>
    <w:rsid w:val="00DA0F24"/>
    <w:rsid w:val="00DA2DA3"/>
    <w:rsid w:val="00DA6155"/>
    <w:rsid w:val="00DA6615"/>
    <w:rsid w:val="00DA76AE"/>
    <w:rsid w:val="00DA7E53"/>
    <w:rsid w:val="00DA7FF2"/>
    <w:rsid w:val="00DB0F24"/>
    <w:rsid w:val="00DB181E"/>
    <w:rsid w:val="00DB1C7A"/>
    <w:rsid w:val="00DB24A7"/>
    <w:rsid w:val="00DB25F3"/>
    <w:rsid w:val="00DB2983"/>
    <w:rsid w:val="00DB343D"/>
    <w:rsid w:val="00DB47E6"/>
    <w:rsid w:val="00DB5579"/>
    <w:rsid w:val="00DB5C94"/>
    <w:rsid w:val="00DB5CFE"/>
    <w:rsid w:val="00DB7316"/>
    <w:rsid w:val="00DC5365"/>
    <w:rsid w:val="00DC72A6"/>
    <w:rsid w:val="00DD20A1"/>
    <w:rsid w:val="00DD2113"/>
    <w:rsid w:val="00DD265E"/>
    <w:rsid w:val="00DD2713"/>
    <w:rsid w:val="00DE5156"/>
    <w:rsid w:val="00DE6ECB"/>
    <w:rsid w:val="00DE7A20"/>
    <w:rsid w:val="00DE7CAD"/>
    <w:rsid w:val="00DF0B0B"/>
    <w:rsid w:val="00DF0B42"/>
    <w:rsid w:val="00DF1930"/>
    <w:rsid w:val="00DF514A"/>
    <w:rsid w:val="00E0358D"/>
    <w:rsid w:val="00E06327"/>
    <w:rsid w:val="00E110DE"/>
    <w:rsid w:val="00E111FE"/>
    <w:rsid w:val="00E170E4"/>
    <w:rsid w:val="00E17212"/>
    <w:rsid w:val="00E2039B"/>
    <w:rsid w:val="00E2064B"/>
    <w:rsid w:val="00E2334B"/>
    <w:rsid w:val="00E25239"/>
    <w:rsid w:val="00E265B1"/>
    <w:rsid w:val="00E275B0"/>
    <w:rsid w:val="00E309A5"/>
    <w:rsid w:val="00E32F66"/>
    <w:rsid w:val="00E412D0"/>
    <w:rsid w:val="00E429EC"/>
    <w:rsid w:val="00E43C14"/>
    <w:rsid w:val="00E47CDB"/>
    <w:rsid w:val="00E52DBA"/>
    <w:rsid w:val="00E5661B"/>
    <w:rsid w:val="00E566BC"/>
    <w:rsid w:val="00E60982"/>
    <w:rsid w:val="00E60C8D"/>
    <w:rsid w:val="00E6103C"/>
    <w:rsid w:val="00E6162F"/>
    <w:rsid w:val="00E6311B"/>
    <w:rsid w:val="00E64179"/>
    <w:rsid w:val="00E65D97"/>
    <w:rsid w:val="00E67EFD"/>
    <w:rsid w:val="00E702DC"/>
    <w:rsid w:val="00E713DF"/>
    <w:rsid w:val="00E71FFB"/>
    <w:rsid w:val="00E76D1D"/>
    <w:rsid w:val="00E806F8"/>
    <w:rsid w:val="00E81BB1"/>
    <w:rsid w:val="00E82865"/>
    <w:rsid w:val="00E87752"/>
    <w:rsid w:val="00E8793B"/>
    <w:rsid w:val="00E90F81"/>
    <w:rsid w:val="00E91A6D"/>
    <w:rsid w:val="00E91FB2"/>
    <w:rsid w:val="00E9242D"/>
    <w:rsid w:val="00EB041C"/>
    <w:rsid w:val="00EB1C6C"/>
    <w:rsid w:val="00EC1793"/>
    <w:rsid w:val="00EC4018"/>
    <w:rsid w:val="00EC5874"/>
    <w:rsid w:val="00ED07AC"/>
    <w:rsid w:val="00ED11F8"/>
    <w:rsid w:val="00ED192D"/>
    <w:rsid w:val="00ED30B4"/>
    <w:rsid w:val="00ED31F5"/>
    <w:rsid w:val="00ED6518"/>
    <w:rsid w:val="00ED6A82"/>
    <w:rsid w:val="00EE59C9"/>
    <w:rsid w:val="00EF0F65"/>
    <w:rsid w:val="00EF2759"/>
    <w:rsid w:val="00EF45EB"/>
    <w:rsid w:val="00EF5099"/>
    <w:rsid w:val="00EF5E33"/>
    <w:rsid w:val="00F00075"/>
    <w:rsid w:val="00F047CF"/>
    <w:rsid w:val="00F07822"/>
    <w:rsid w:val="00F15C95"/>
    <w:rsid w:val="00F22985"/>
    <w:rsid w:val="00F241AB"/>
    <w:rsid w:val="00F30EC6"/>
    <w:rsid w:val="00F31382"/>
    <w:rsid w:val="00F34947"/>
    <w:rsid w:val="00F35829"/>
    <w:rsid w:val="00F42868"/>
    <w:rsid w:val="00F42CA6"/>
    <w:rsid w:val="00F447BE"/>
    <w:rsid w:val="00F465A7"/>
    <w:rsid w:val="00F50692"/>
    <w:rsid w:val="00F50B7C"/>
    <w:rsid w:val="00F5202D"/>
    <w:rsid w:val="00F52CF6"/>
    <w:rsid w:val="00F54496"/>
    <w:rsid w:val="00F57EBD"/>
    <w:rsid w:val="00F61097"/>
    <w:rsid w:val="00F61A49"/>
    <w:rsid w:val="00F61FBF"/>
    <w:rsid w:val="00F623B8"/>
    <w:rsid w:val="00F73C11"/>
    <w:rsid w:val="00F74345"/>
    <w:rsid w:val="00F74441"/>
    <w:rsid w:val="00F77E09"/>
    <w:rsid w:val="00F77F30"/>
    <w:rsid w:val="00F82589"/>
    <w:rsid w:val="00F82B19"/>
    <w:rsid w:val="00F90AA7"/>
    <w:rsid w:val="00F9212D"/>
    <w:rsid w:val="00F92559"/>
    <w:rsid w:val="00F9460E"/>
    <w:rsid w:val="00F94DED"/>
    <w:rsid w:val="00F95796"/>
    <w:rsid w:val="00FA301A"/>
    <w:rsid w:val="00FA406A"/>
    <w:rsid w:val="00FA5424"/>
    <w:rsid w:val="00FA5C7C"/>
    <w:rsid w:val="00FA5CB6"/>
    <w:rsid w:val="00FB0223"/>
    <w:rsid w:val="00FB2E76"/>
    <w:rsid w:val="00FB57C2"/>
    <w:rsid w:val="00FC66AC"/>
    <w:rsid w:val="00FD18F4"/>
    <w:rsid w:val="00FD74B4"/>
    <w:rsid w:val="00FD78B3"/>
    <w:rsid w:val="00FE4261"/>
    <w:rsid w:val="00FE5115"/>
    <w:rsid w:val="00FE746B"/>
    <w:rsid w:val="00FF0D13"/>
    <w:rsid w:val="00FF2268"/>
    <w:rsid w:val="00FF6FCE"/>
    <w:rsid w:val="00FF7518"/>
    <w:rsid w:val="00FF7C2B"/>
    <w:rsid w:val="00FF7FD8"/>
    <w:rsid w:val="01250FE0"/>
    <w:rsid w:val="01BD35AB"/>
    <w:rsid w:val="01C506B1"/>
    <w:rsid w:val="01D32DCE"/>
    <w:rsid w:val="01D95F0B"/>
    <w:rsid w:val="021D5909"/>
    <w:rsid w:val="0231691E"/>
    <w:rsid w:val="02AA46E5"/>
    <w:rsid w:val="02C3612B"/>
    <w:rsid w:val="02EE60F6"/>
    <w:rsid w:val="031134B9"/>
    <w:rsid w:val="0354629A"/>
    <w:rsid w:val="037C62F2"/>
    <w:rsid w:val="038D72FA"/>
    <w:rsid w:val="03A569EC"/>
    <w:rsid w:val="03E456D7"/>
    <w:rsid w:val="03EF5A40"/>
    <w:rsid w:val="040E5DED"/>
    <w:rsid w:val="043B4AFE"/>
    <w:rsid w:val="046B2960"/>
    <w:rsid w:val="04777ED5"/>
    <w:rsid w:val="04B6136A"/>
    <w:rsid w:val="04F46484"/>
    <w:rsid w:val="052B64CE"/>
    <w:rsid w:val="056E5F33"/>
    <w:rsid w:val="05742AC8"/>
    <w:rsid w:val="05A02D1F"/>
    <w:rsid w:val="05A264FF"/>
    <w:rsid w:val="05A451C9"/>
    <w:rsid w:val="06097B72"/>
    <w:rsid w:val="0616597F"/>
    <w:rsid w:val="06301199"/>
    <w:rsid w:val="06352F05"/>
    <w:rsid w:val="063E7D85"/>
    <w:rsid w:val="066D57C2"/>
    <w:rsid w:val="067D1D70"/>
    <w:rsid w:val="070875E0"/>
    <w:rsid w:val="07156167"/>
    <w:rsid w:val="072225C7"/>
    <w:rsid w:val="07293586"/>
    <w:rsid w:val="07295285"/>
    <w:rsid w:val="075A2207"/>
    <w:rsid w:val="07770C56"/>
    <w:rsid w:val="07AB0349"/>
    <w:rsid w:val="07C248B6"/>
    <w:rsid w:val="07F22D11"/>
    <w:rsid w:val="08311EA7"/>
    <w:rsid w:val="090532FE"/>
    <w:rsid w:val="092217DD"/>
    <w:rsid w:val="093700E7"/>
    <w:rsid w:val="093A7294"/>
    <w:rsid w:val="095E5A91"/>
    <w:rsid w:val="09767825"/>
    <w:rsid w:val="09AB2EBD"/>
    <w:rsid w:val="09C44559"/>
    <w:rsid w:val="09C44AB1"/>
    <w:rsid w:val="09E3201C"/>
    <w:rsid w:val="0A934B89"/>
    <w:rsid w:val="0A961F83"/>
    <w:rsid w:val="0AC27C6A"/>
    <w:rsid w:val="0B402FC0"/>
    <w:rsid w:val="0B753DF0"/>
    <w:rsid w:val="0BBE17C0"/>
    <w:rsid w:val="0BD27BF6"/>
    <w:rsid w:val="0BFA6134"/>
    <w:rsid w:val="0C0F4AB4"/>
    <w:rsid w:val="0C2B2F46"/>
    <w:rsid w:val="0C474AE5"/>
    <w:rsid w:val="0C4B34A1"/>
    <w:rsid w:val="0C64719F"/>
    <w:rsid w:val="0C6B1821"/>
    <w:rsid w:val="0CC20F2F"/>
    <w:rsid w:val="0CD524B3"/>
    <w:rsid w:val="0D0276AA"/>
    <w:rsid w:val="0D5407C9"/>
    <w:rsid w:val="0D712431"/>
    <w:rsid w:val="0D746423"/>
    <w:rsid w:val="0DA10802"/>
    <w:rsid w:val="0DC652DC"/>
    <w:rsid w:val="0DCA5236"/>
    <w:rsid w:val="0E023EBD"/>
    <w:rsid w:val="0E110D06"/>
    <w:rsid w:val="0E412BFC"/>
    <w:rsid w:val="0EEA5BFB"/>
    <w:rsid w:val="0F13775A"/>
    <w:rsid w:val="0F257447"/>
    <w:rsid w:val="0F2A6A9C"/>
    <w:rsid w:val="0F2F0F35"/>
    <w:rsid w:val="0F4859CC"/>
    <w:rsid w:val="0F9A112B"/>
    <w:rsid w:val="0FA14EC4"/>
    <w:rsid w:val="106D2F64"/>
    <w:rsid w:val="10720B79"/>
    <w:rsid w:val="10B63710"/>
    <w:rsid w:val="10D076E1"/>
    <w:rsid w:val="11053C5C"/>
    <w:rsid w:val="111C2F7A"/>
    <w:rsid w:val="113013DE"/>
    <w:rsid w:val="113261B9"/>
    <w:rsid w:val="118732D8"/>
    <w:rsid w:val="11BD5366"/>
    <w:rsid w:val="12146EC7"/>
    <w:rsid w:val="12225E4E"/>
    <w:rsid w:val="122B06C2"/>
    <w:rsid w:val="12423273"/>
    <w:rsid w:val="12B010B3"/>
    <w:rsid w:val="12DC19C0"/>
    <w:rsid w:val="13331AE4"/>
    <w:rsid w:val="13434E12"/>
    <w:rsid w:val="13843B2F"/>
    <w:rsid w:val="13951726"/>
    <w:rsid w:val="14396509"/>
    <w:rsid w:val="1447165C"/>
    <w:rsid w:val="14525EA2"/>
    <w:rsid w:val="147B5329"/>
    <w:rsid w:val="14850CBB"/>
    <w:rsid w:val="148D1784"/>
    <w:rsid w:val="14AD648E"/>
    <w:rsid w:val="14AE1B61"/>
    <w:rsid w:val="15374D9E"/>
    <w:rsid w:val="15907E66"/>
    <w:rsid w:val="15A20FDE"/>
    <w:rsid w:val="15C02890"/>
    <w:rsid w:val="15DF4CFB"/>
    <w:rsid w:val="15E45F9C"/>
    <w:rsid w:val="163E2889"/>
    <w:rsid w:val="16412B1C"/>
    <w:rsid w:val="16442095"/>
    <w:rsid w:val="16514772"/>
    <w:rsid w:val="166F6685"/>
    <w:rsid w:val="168C35FE"/>
    <w:rsid w:val="169E79F7"/>
    <w:rsid w:val="16B54D41"/>
    <w:rsid w:val="17735226"/>
    <w:rsid w:val="178B1BDB"/>
    <w:rsid w:val="17A57A5A"/>
    <w:rsid w:val="17AD77C6"/>
    <w:rsid w:val="17B374D2"/>
    <w:rsid w:val="17DA07AD"/>
    <w:rsid w:val="17FA6EAF"/>
    <w:rsid w:val="1856495D"/>
    <w:rsid w:val="19440E12"/>
    <w:rsid w:val="19B532A3"/>
    <w:rsid w:val="19BD3957"/>
    <w:rsid w:val="19D85687"/>
    <w:rsid w:val="19DF45AE"/>
    <w:rsid w:val="19E465E6"/>
    <w:rsid w:val="1A1C66C0"/>
    <w:rsid w:val="1A33275A"/>
    <w:rsid w:val="1A42393B"/>
    <w:rsid w:val="1A506DC5"/>
    <w:rsid w:val="1A7B1B02"/>
    <w:rsid w:val="1ADC28CB"/>
    <w:rsid w:val="1B046F80"/>
    <w:rsid w:val="1B3267B5"/>
    <w:rsid w:val="1B4D4BD7"/>
    <w:rsid w:val="1B755365"/>
    <w:rsid w:val="1BC25DC8"/>
    <w:rsid w:val="1BC556EE"/>
    <w:rsid w:val="1BF407A4"/>
    <w:rsid w:val="1C3C37B0"/>
    <w:rsid w:val="1C4B50DC"/>
    <w:rsid w:val="1C5E7925"/>
    <w:rsid w:val="1C887FC8"/>
    <w:rsid w:val="1CCD2DCF"/>
    <w:rsid w:val="1CED50D2"/>
    <w:rsid w:val="1D42461F"/>
    <w:rsid w:val="1D5325A7"/>
    <w:rsid w:val="1D5F6196"/>
    <w:rsid w:val="1D6132A5"/>
    <w:rsid w:val="1D7B48CD"/>
    <w:rsid w:val="1D8E56D5"/>
    <w:rsid w:val="1DDA58DD"/>
    <w:rsid w:val="1E075B94"/>
    <w:rsid w:val="1E0C3498"/>
    <w:rsid w:val="1E5F5043"/>
    <w:rsid w:val="1E7A43DA"/>
    <w:rsid w:val="1E935B9A"/>
    <w:rsid w:val="1EB277FE"/>
    <w:rsid w:val="1EE12B77"/>
    <w:rsid w:val="1EF526EC"/>
    <w:rsid w:val="1F0A6CB0"/>
    <w:rsid w:val="1F4F081E"/>
    <w:rsid w:val="1F722361"/>
    <w:rsid w:val="1F906AC3"/>
    <w:rsid w:val="1FE7539E"/>
    <w:rsid w:val="1FF24910"/>
    <w:rsid w:val="202232EE"/>
    <w:rsid w:val="2028480F"/>
    <w:rsid w:val="203730FF"/>
    <w:rsid w:val="204F5C19"/>
    <w:rsid w:val="205F3200"/>
    <w:rsid w:val="205F55A4"/>
    <w:rsid w:val="2071263C"/>
    <w:rsid w:val="207812B9"/>
    <w:rsid w:val="208E5496"/>
    <w:rsid w:val="20963CB8"/>
    <w:rsid w:val="209B6C58"/>
    <w:rsid w:val="20A00F32"/>
    <w:rsid w:val="20B07FB6"/>
    <w:rsid w:val="20CE4EA0"/>
    <w:rsid w:val="20CF270E"/>
    <w:rsid w:val="20EC1D7C"/>
    <w:rsid w:val="211F34E2"/>
    <w:rsid w:val="213B74B1"/>
    <w:rsid w:val="2145331E"/>
    <w:rsid w:val="215A2310"/>
    <w:rsid w:val="219E3C42"/>
    <w:rsid w:val="21BB6A62"/>
    <w:rsid w:val="21DE318A"/>
    <w:rsid w:val="21EF5B80"/>
    <w:rsid w:val="21F4520C"/>
    <w:rsid w:val="22576990"/>
    <w:rsid w:val="22590C76"/>
    <w:rsid w:val="228B763B"/>
    <w:rsid w:val="229C4EAB"/>
    <w:rsid w:val="22D958CA"/>
    <w:rsid w:val="22E1616A"/>
    <w:rsid w:val="22E91FFA"/>
    <w:rsid w:val="23490CEA"/>
    <w:rsid w:val="234E2DF9"/>
    <w:rsid w:val="2375131B"/>
    <w:rsid w:val="238916C7"/>
    <w:rsid w:val="238E7E46"/>
    <w:rsid w:val="23C81E6E"/>
    <w:rsid w:val="23C87515"/>
    <w:rsid w:val="23E10F23"/>
    <w:rsid w:val="240A66CC"/>
    <w:rsid w:val="24160049"/>
    <w:rsid w:val="242425F3"/>
    <w:rsid w:val="242926CF"/>
    <w:rsid w:val="243F0C1B"/>
    <w:rsid w:val="249769ED"/>
    <w:rsid w:val="249B70C7"/>
    <w:rsid w:val="249D4E9E"/>
    <w:rsid w:val="24D3202E"/>
    <w:rsid w:val="252D53FE"/>
    <w:rsid w:val="253A2332"/>
    <w:rsid w:val="256D4C6D"/>
    <w:rsid w:val="25B36836"/>
    <w:rsid w:val="25EC2D81"/>
    <w:rsid w:val="26197000"/>
    <w:rsid w:val="263A59A6"/>
    <w:rsid w:val="264528BD"/>
    <w:rsid w:val="26491408"/>
    <w:rsid w:val="26B8266C"/>
    <w:rsid w:val="26BD23E5"/>
    <w:rsid w:val="27062C48"/>
    <w:rsid w:val="276E59E0"/>
    <w:rsid w:val="27735890"/>
    <w:rsid w:val="27A75872"/>
    <w:rsid w:val="27B33424"/>
    <w:rsid w:val="27C9696B"/>
    <w:rsid w:val="27D15DD1"/>
    <w:rsid w:val="28083D40"/>
    <w:rsid w:val="282F654D"/>
    <w:rsid w:val="28611CC3"/>
    <w:rsid w:val="287A36F4"/>
    <w:rsid w:val="288426EA"/>
    <w:rsid w:val="28A76295"/>
    <w:rsid w:val="28C037FD"/>
    <w:rsid w:val="29143B49"/>
    <w:rsid w:val="29206EB8"/>
    <w:rsid w:val="295F37ED"/>
    <w:rsid w:val="297017D2"/>
    <w:rsid w:val="29E325E0"/>
    <w:rsid w:val="29EB0D0D"/>
    <w:rsid w:val="2A452503"/>
    <w:rsid w:val="2A502E2C"/>
    <w:rsid w:val="2A6428AE"/>
    <w:rsid w:val="2AB6377E"/>
    <w:rsid w:val="2ABB0720"/>
    <w:rsid w:val="2AFA118F"/>
    <w:rsid w:val="2B241532"/>
    <w:rsid w:val="2B5244B4"/>
    <w:rsid w:val="2BA936A8"/>
    <w:rsid w:val="2C036E45"/>
    <w:rsid w:val="2C09703E"/>
    <w:rsid w:val="2C315A5A"/>
    <w:rsid w:val="2CEF5C4E"/>
    <w:rsid w:val="2D614684"/>
    <w:rsid w:val="2D9B106F"/>
    <w:rsid w:val="2D9E56F5"/>
    <w:rsid w:val="2DBF5D7B"/>
    <w:rsid w:val="2DD13DB6"/>
    <w:rsid w:val="2DED27B6"/>
    <w:rsid w:val="2E423450"/>
    <w:rsid w:val="2E667F96"/>
    <w:rsid w:val="2E6767B0"/>
    <w:rsid w:val="2E683490"/>
    <w:rsid w:val="2E8226AB"/>
    <w:rsid w:val="2EBF43C5"/>
    <w:rsid w:val="2EEE4FE5"/>
    <w:rsid w:val="2F447870"/>
    <w:rsid w:val="2F5C7FF7"/>
    <w:rsid w:val="2F624CCD"/>
    <w:rsid w:val="2F654645"/>
    <w:rsid w:val="2F6E1EFD"/>
    <w:rsid w:val="2F832C79"/>
    <w:rsid w:val="2F8B61E7"/>
    <w:rsid w:val="2FAB7601"/>
    <w:rsid w:val="2FEF2D58"/>
    <w:rsid w:val="302F3016"/>
    <w:rsid w:val="30421B6C"/>
    <w:rsid w:val="30580BC9"/>
    <w:rsid w:val="307F72CF"/>
    <w:rsid w:val="30870B16"/>
    <w:rsid w:val="308D38D3"/>
    <w:rsid w:val="30BD2DCB"/>
    <w:rsid w:val="310444A3"/>
    <w:rsid w:val="310D3357"/>
    <w:rsid w:val="311E2ED7"/>
    <w:rsid w:val="315C449C"/>
    <w:rsid w:val="3167297B"/>
    <w:rsid w:val="317A4765"/>
    <w:rsid w:val="31B82709"/>
    <w:rsid w:val="31B87461"/>
    <w:rsid w:val="31C5737A"/>
    <w:rsid w:val="31D42455"/>
    <w:rsid w:val="31E03127"/>
    <w:rsid w:val="32400B34"/>
    <w:rsid w:val="32476509"/>
    <w:rsid w:val="325167A4"/>
    <w:rsid w:val="326D3126"/>
    <w:rsid w:val="327C3A57"/>
    <w:rsid w:val="329E6876"/>
    <w:rsid w:val="32BB7584"/>
    <w:rsid w:val="33175803"/>
    <w:rsid w:val="331A1D5C"/>
    <w:rsid w:val="3333321A"/>
    <w:rsid w:val="335F12AA"/>
    <w:rsid w:val="33681B31"/>
    <w:rsid w:val="33C85F62"/>
    <w:rsid w:val="33D934D4"/>
    <w:rsid w:val="33FE2F6A"/>
    <w:rsid w:val="342D5ABF"/>
    <w:rsid w:val="348953EB"/>
    <w:rsid w:val="34C437C7"/>
    <w:rsid w:val="34E116D4"/>
    <w:rsid w:val="34E85205"/>
    <w:rsid w:val="35584EF3"/>
    <w:rsid w:val="355B1F1B"/>
    <w:rsid w:val="36074A7F"/>
    <w:rsid w:val="3613161C"/>
    <w:rsid w:val="36192AC4"/>
    <w:rsid w:val="36923549"/>
    <w:rsid w:val="36B75FBF"/>
    <w:rsid w:val="36B766B0"/>
    <w:rsid w:val="36DB1B5C"/>
    <w:rsid w:val="36FB4891"/>
    <w:rsid w:val="37494309"/>
    <w:rsid w:val="37E910CA"/>
    <w:rsid w:val="382C42B9"/>
    <w:rsid w:val="386F103A"/>
    <w:rsid w:val="3876024B"/>
    <w:rsid w:val="388859B9"/>
    <w:rsid w:val="38946FDB"/>
    <w:rsid w:val="38B25B49"/>
    <w:rsid w:val="38B83DAC"/>
    <w:rsid w:val="38EA0422"/>
    <w:rsid w:val="38F008B5"/>
    <w:rsid w:val="38F12CD3"/>
    <w:rsid w:val="38F94775"/>
    <w:rsid w:val="392971ED"/>
    <w:rsid w:val="395A650D"/>
    <w:rsid w:val="39693F65"/>
    <w:rsid w:val="39FC69D7"/>
    <w:rsid w:val="3A4678DA"/>
    <w:rsid w:val="3AAB38BF"/>
    <w:rsid w:val="3ADE1518"/>
    <w:rsid w:val="3B185F57"/>
    <w:rsid w:val="3B3763D1"/>
    <w:rsid w:val="3B420CF0"/>
    <w:rsid w:val="3B4777BE"/>
    <w:rsid w:val="3B514291"/>
    <w:rsid w:val="3B61568A"/>
    <w:rsid w:val="3B62588A"/>
    <w:rsid w:val="3B9437B8"/>
    <w:rsid w:val="3BC64B70"/>
    <w:rsid w:val="3C261771"/>
    <w:rsid w:val="3C31393E"/>
    <w:rsid w:val="3C3C6001"/>
    <w:rsid w:val="3C502B1C"/>
    <w:rsid w:val="3C6F0748"/>
    <w:rsid w:val="3CC05722"/>
    <w:rsid w:val="3CDA245A"/>
    <w:rsid w:val="3CEE0A37"/>
    <w:rsid w:val="3D2263DC"/>
    <w:rsid w:val="3D495AD6"/>
    <w:rsid w:val="3D5833DE"/>
    <w:rsid w:val="3DCC368A"/>
    <w:rsid w:val="3E027FBC"/>
    <w:rsid w:val="3E7E10F0"/>
    <w:rsid w:val="3EC74083"/>
    <w:rsid w:val="3F660E74"/>
    <w:rsid w:val="3F846386"/>
    <w:rsid w:val="3FD271F7"/>
    <w:rsid w:val="3FE417D8"/>
    <w:rsid w:val="3FF27D2C"/>
    <w:rsid w:val="402E32EA"/>
    <w:rsid w:val="404262FE"/>
    <w:rsid w:val="404E5895"/>
    <w:rsid w:val="407A6407"/>
    <w:rsid w:val="408B339B"/>
    <w:rsid w:val="408D6263"/>
    <w:rsid w:val="409C3257"/>
    <w:rsid w:val="40F70F17"/>
    <w:rsid w:val="40FF0E31"/>
    <w:rsid w:val="410E532C"/>
    <w:rsid w:val="411F22E4"/>
    <w:rsid w:val="4156018D"/>
    <w:rsid w:val="41642F23"/>
    <w:rsid w:val="41DC3921"/>
    <w:rsid w:val="4208474B"/>
    <w:rsid w:val="422E312E"/>
    <w:rsid w:val="423A3BCC"/>
    <w:rsid w:val="424C5BA2"/>
    <w:rsid w:val="427837EA"/>
    <w:rsid w:val="42D17872"/>
    <w:rsid w:val="433A6FE6"/>
    <w:rsid w:val="43452429"/>
    <w:rsid w:val="4350713C"/>
    <w:rsid w:val="43635804"/>
    <w:rsid w:val="436653E0"/>
    <w:rsid w:val="43811D98"/>
    <w:rsid w:val="43CF3AAE"/>
    <w:rsid w:val="440D489D"/>
    <w:rsid w:val="440E74E2"/>
    <w:rsid w:val="44243756"/>
    <w:rsid w:val="442D277D"/>
    <w:rsid w:val="445B74EF"/>
    <w:rsid w:val="445D419E"/>
    <w:rsid w:val="446948F1"/>
    <w:rsid w:val="447246AF"/>
    <w:rsid w:val="44775E78"/>
    <w:rsid w:val="448B5125"/>
    <w:rsid w:val="44A94D80"/>
    <w:rsid w:val="44CD14E0"/>
    <w:rsid w:val="44F05B9F"/>
    <w:rsid w:val="455A1A40"/>
    <w:rsid w:val="458614D2"/>
    <w:rsid w:val="458946E9"/>
    <w:rsid w:val="45B01A36"/>
    <w:rsid w:val="46370B98"/>
    <w:rsid w:val="465624BE"/>
    <w:rsid w:val="46D955A7"/>
    <w:rsid w:val="47133957"/>
    <w:rsid w:val="47146A13"/>
    <w:rsid w:val="47174A46"/>
    <w:rsid w:val="473A599F"/>
    <w:rsid w:val="475B1D5C"/>
    <w:rsid w:val="4779329E"/>
    <w:rsid w:val="478828D8"/>
    <w:rsid w:val="478B1022"/>
    <w:rsid w:val="47A07E0C"/>
    <w:rsid w:val="48052B82"/>
    <w:rsid w:val="480F440A"/>
    <w:rsid w:val="48241691"/>
    <w:rsid w:val="4870272E"/>
    <w:rsid w:val="48B941A9"/>
    <w:rsid w:val="48E667CF"/>
    <w:rsid w:val="490966A2"/>
    <w:rsid w:val="49163C1B"/>
    <w:rsid w:val="49537618"/>
    <w:rsid w:val="498B7F59"/>
    <w:rsid w:val="49966EE1"/>
    <w:rsid w:val="49BF146A"/>
    <w:rsid w:val="49D34CCD"/>
    <w:rsid w:val="49DC7715"/>
    <w:rsid w:val="4A023139"/>
    <w:rsid w:val="4A560560"/>
    <w:rsid w:val="4A653D61"/>
    <w:rsid w:val="4A716C85"/>
    <w:rsid w:val="4A7B576F"/>
    <w:rsid w:val="4A886ECE"/>
    <w:rsid w:val="4A95391C"/>
    <w:rsid w:val="4A996C28"/>
    <w:rsid w:val="4AA05CD6"/>
    <w:rsid w:val="4AA17960"/>
    <w:rsid w:val="4AA523FB"/>
    <w:rsid w:val="4AB270C2"/>
    <w:rsid w:val="4AE65E89"/>
    <w:rsid w:val="4B0312E8"/>
    <w:rsid w:val="4B877220"/>
    <w:rsid w:val="4B895E3C"/>
    <w:rsid w:val="4C027B28"/>
    <w:rsid w:val="4C1E7AB9"/>
    <w:rsid w:val="4C304E3D"/>
    <w:rsid w:val="4C43798B"/>
    <w:rsid w:val="4C4A0649"/>
    <w:rsid w:val="4CCE77A7"/>
    <w:rsid w:val="4CE470D3"/>
    <w:rsid w:val="4CF927C1"/>
    <w:rsid w:val="4CFF4044"/>
    <w:rsid w:val="4D164F68"/>
    <w:rsid w:val="4D235307"/>
    <w:rsid w:val="4D2F73FE"/>
    <w:rsid w:val="4D406F47"/>
    <w:rsid w:val="4D4A0917"/>
    <w:rsid w:val="4D662145"/>
    <w:rsid w:val="4D6F28A1"/>
    <w:rsid w:val="4D796F82"/>
    <w:rsid w:val="4D7F5185"/>
    <w:rsid w:val="4D8C5C10"/>
    <w:rsid w:val="4DB346EA"/>
    <w:rsid w:val="4DCC1D4C"/>
    <w:rsid w:val="4DEC4FB0"/>
    <w:rsid w:val="4E0121F7"/>
    <w:rsid w:val="4E0416DA"/>
    <w:rsid w:val="4E075D8A"/>
    <w:rsid w:val="4E5E7985"/>
    <w:rsid w:val="4EA45BF0"/>
    <w:rsid w:val="4F097C31"/>
    <w:rsid w:val="4F697426"/>
    <w:rsid w:val="4F715C96"/>
    <w:rsid w:val="4F87224D"/>
    <w:rsid w:val="4F9A4F86"/>
    <w:rsid w:val="4FC62A8C"/>
    <w:rsid w:val="4FE20F0D"/>
    <w:rsid w:val="50022297"/>
    <w:rsid w:val="50295E8C"/>
    <w:rsid w:val="50504C4B"/>
    <w:rsid w:val="50741533"/>
    <w:rsid w:val="509C6E7C"/>
    <w:rsid w:val="50C236AC"/>
    <w:rsid w:val="50D4520F"/>
    <w:rsid w:val="50DA07F9"/>
    <w:rsid w:val="50DB6B76"/>
    <w:rsid w:val="50E0418D"/>
    <w:rsid w:val="50EC65DC"/>
    <w:rsid w:val="51093B47"/>
    <w:rsid w:val="51182487"/>
    <w:rsid w:val="51242DA6"/>
    <w:rsid w:val="51532AF0"/>
    <w:rsid w:val="5162104E"/>
    <w:rsid w:val="519277D2"/>
    <w:rsid w:val="51CA63BA"/>
    <w:rsid w:val="51D96A18"/>
    <w:rsid w:val="52214A5D"/>
    <w:rsid w:val="52921D50"/>
    <w:rsid w:val="52D675F5"/>
    <w:rsid w:val="52EB0BC7"/>
    <w:rsid w:val="531279FF"/>
    <w:rsid w:val="53281E1B"/>
    <w:rsid w:val="534A3B3F"/>
    <w:rsid w:val="53697445"/>
    <w:rsid w:val="537F3CCE"/>
    <w:rsid w:val="53A039CC"/>
    <w:rsid w:val="53A1505A"/>
    <w:rsid w:val="53C31F4F"/>
    <w:rsid w:val="53DC50DF"/>
    <w:rsid w:val="53E775E0"/>
    <w:rsid w:val="54063E08"/>
    <w:rsid w:val="54301436"/>
    <w:rsid w:val="543437E8"/>
    <w:rsid w:val="545E68D1"/>
    <w:rsid w:val="546B06CC"/>
    <w:rsid w:val="54791DBA"/>
    <w:rsid w:val="54BA27E5"/>
    <w:rsid w:val="54C74D93"/>
    <w:rsid w:val="54C93AEE"/>
    <w:rsid w:val="559B174B"/>
    <w:rsid w:val="55CE0CF4"/>
    <w:rsid w:val="55E475E1"/>
    <w:rsid w:val="55FF50B5"/>
    <w:rsid w:val="56374E82"/>
    <w:rsid w:val="565D5E0E"/>
    <w:rsid w:val="56813D1C"/>
    <w:rsid w:val="568F4AA0"/>
    <w:rsid w:val="56B22A9C"/>
    <w:rsid w:val="56C96A22"/>
    <w:rsid w:val="57B72A76"/>
    <w:rsid w:val="57B819BF"/>
    <w:rsid w:val="57CD097C"/>
    <w:rsid w:val="57DB0DBC"/>
    <w:rsid w:val="57F66E76"/>
    <w:rsid w:val="58095D77"/>
    <w:rsid w:val="585134CB"/>
    <w:rsid w:val="59585C5C"/>
    <w:rsid w:val="59926240"/>
    <w:rsid w:val="5A186745"/>
    <w:rsid w:val="5A3C747D"/>
    <w:rsid w:val="5A931C71"/>
    <w:rsid w:val="5ABB31E5"/>
    <w:rsid w:val="5ABE2233"/>
    <w:rsid w:val="5ACB7C5C"/>
    <w:rsid w:val="5B1059F2"/>
    <w:rsid w:val="5B276D18"/>
    <w:rsid w:val="5B3033B8"/>
    <w:rsid w:val="5B3111FC"/>
    <w:rsid w:val="5B6C6420"/>
    <w:rsid w:val="5B764608"/>
    <w:rsid w:val="5B7C4FD9"/>
    <w:rsid w:val="5B7D7A78"/>
    <w:rsid w:val="5B9C428D"/>
    <w:rsid w:val="5BA30291"/>
    <w:rsid w:val="5BDF5D95"/>
    <w:rsid w:val="5C007B15"/>
    <w:rsid w:val="5C0351D3"/>
    <w:rsid w:val="5C7121B0"/>
    <w:rsid w:val="5C83602B"/>
    <w:rsid w:val="5D3A4B52"/>
    <w:rsid w:val="5D431D2B"/>
    <w:rsid w:val="5D5875D5"/>
    <w:rsid w:val="5DBF6D04"/>
    <w:rsid w:val="5DC75EC1"/>
    <w:rsid w:val="5DF87A0F"/>
    <w:rsid w:val="5E86320C"/>
    <w:rsid w:val="5ED417C8"/>
    <w:rsid w:val="5F1A2B43"/>
    <w:rsid w:val="5F29620C"/>
    <w:rsid w:val="5F385194"/>
    <w:rsid w:val="5F565E19"/>
    <w:rsid w:val="5F5D2892"/>
    <w:rsid w:val="5F7732EA"/>
    <w:rsid w:val="5F8351CE"/>
    <w:rsid w:val="5FA11313"/>
    <w:rsid w:val="5FB837BB"/>
    <w:rsid w:val="5FBE6BF9"/>
    <w:rsid w:val="60030158"/>
    <w:rsid w:val="60141FD2"/>
    <w:rsid w:val="602E60BA"/>
    <w:rsid w:val="605420F0"/>
    <w:rsid w:val="607C3123"/>
    <w:rsid w:val="60866FE9"/>
    <w:rsid w:val="60AC512B"/>
    <w:rsid w:val="60B54BA7"/>
    <w:rsid w:val="61082813"/>
    <w:rsid w:val="61093578"/>
    <w:rsid w:val="61167757"/>
    <w:rsid w:val="61534088"/>
    <w:rsid w:val="617804F1"/>
    <w:rsid w:val="619D5782"/>
    <w:rsid w:val="61A80749"/>
    <w:rsid w:val="61CC2F1B"/>
    <w:rsid w:val="61DE1CA5"/>
    <w:rsid w:val="62086ABE"/>
    <w:rsid w:val="62364782"/>
    <w:rsid w:val="623A42B8"/>
    <w:rsid w:val="62493ADB"/>
    <w:rsid w:val="624B605A"/>
    <w:rsid w:val="62B441BB"/>
    <w:rsid w:val="63142A6F"/>
    <w:rsid w:val="633B5E5C"/>
    <w:rsid w:val="6349692B"/>
    <w:rsid w:val="635045CA"/>
    <w:rsid w:val="63542496"/>
    <w:rsid w:val="63D40BE9"/>
    <w:rsid w:val="63E0211F"/>
    <w:rsid w:val="63FD075A"/>
    <w:rsid w:val="641E5F56"/>
    <w:rsid w:val="6441491D"/>
    <w:rsid w:val="64542A99"/>
    <w:rsid w:val="64841FED"/>
    <w:rsid w:val="64935D16"/>
    <w:rsid w:val="65122065"/>
    <w:rsid w:val="65187201"/>
    <w:rsid w:val="652478F0"/>
    <w:rsid w:val="65373578"/>
    <w:rsid w:val="654C3292"/>
    <w:rsid w:val="65C30EE8"/>
    <w:rsid w:val="65C459D3"/>
    <w:rsid w:val="65DB20C9"/>
    <w:rsid w:val="66260586"/>
    <w:rsid w:val="662D3578"/>
    <w:rsid w:val="663E489E"/>
    <w:rsid w:val="664640B9"/>
    <w:rsid w:val="668425F3"/>
    <w:rsid w:val="668F3341"/>
    <w:rsid w:val="66A75498"/>
    <w:rsid w:val="66D41C7F"/>
    <w:rsid w:val="66DF32CF"/>
    <w:rsid w:val="67124576"/>
    <w:rsid w:val="673F2C7A"/>
    <w:rsid w:val="679D472E"/>
    <w:rsid w:val="67A2501A"/>
    <w:rsid w:val="67A43DEB"/>
    <w:rsid w:val="67AB6E4B"/>
    <w:rsid w:val="67C0182A"/>
    <w:rsid w:val="67FD6D5D"/>
    <w:rsid w:val="681F6961"/>
    <w:rsid w:val="68597443"/>
    <w:rsid w:val="68610A2F"/>
    <w:rsid w:val="68805514"/>
    <w:rsid w:val="688352C7"/>
    <w:rsid w:val="68BA4E6C"/>
    <w:rsid w:val="68BF0A2B"/>
    <w:rsid w:val="68DF1B5F"/>
    <w:rsid w:val="68EA453B"/>
    <w:rsid w:val="690031C6"/>
    <w:rsid w:val="690627EB"/>
    <w:rsid w:val="690E05DE"/>
    <w:rsid w:val="692D04AA"/>
    <w:rsid w:val="692F4CC4"/>
    <w:rsid w:val="693E6023"/>
    <w:rsid w:val="694C2AB8"/>
    <w:rsid w:val="694E2071"/>
    <w:rsid w:val="697A3B33"/>
    <w:rsid w:val="69913E1E"/>
    <w:rsid w:val="699E2456"/>
    <w:rsid w:val="69CB4C2D"/>
    <w:rsid w:val="69E219D9"/>
    <w:rsid w:val="69F30635"/>
    <w:rsid w:val="6A443F7A"/>
    <w:rsid w:val="6A7E0847"/>
    <w:rsid w:val="6A9E2C97"/>
    <w:rsid w:val="6AC86C71"/>
    <w:rsid w:val="6AF6662F"/>
    <w:rsid w:val="6B157855"/>
    <w:rsid w:val="6B322639"/>
    <w:rsid w:val="6B430B2A"/>
    <w:rsid w:val="6BBA0E7A"/>
    <w:rsid w:val="6BDA0ACA"/>
    <w:rsid w:val="6BE72DB3"/>
    <w:rsid w:val="6BF13ECF"/>
    <w:rsid w:val="6C0A46DA"/>
    <w:rsid w:val="6C3513D9"/>
    <w:rsid w:val="6C495BF3"/>
    <w:rsid w:val="6C636C38"/>
    <w:rsid w:val="6C6B4EE9"/>
    <w:rsid w:val="6D0C1DAB"/>
    <w:rsid w:val="6D237A64"/>
    <w:rsid w:val="6D2E33DC"/>
    <w:rsid w:val="6D7C5405"/>
    <w:rsid w:val="6DB27BDF"/>
    <w:rsid w:val="6DB34098"/>
    <w:rsid w:val="6DB545B6"/>
    <w:rsid w:val="6DCE3FB5"/>
    <w:rsid w:val="6DF8782A"/>
    <w:rsid w:val="6E044EEB"/>
    <w:rsid w:val="6E0647E7"/>
    <w:rsid w:val="6E4375A0"/>
    <w:rsid w:val="6E514CED"/>
    <w:rsid w:val="6E676279"/>
    <w:rsid w:val="6E79491A"/>
    <w:rsid w:val="6E8A2918"/>
    <w:rsid w:val="6E905615"/>
    <w:rsid w:val="6EB563D5"/>
    <w:rsid w:val="6EC628D1"/>
    <w:rsid w:val="6F0917CE"/>
    <w:rsid w:val="6F0F4163"/>
    <w:rsid w:val="6F225983"/>
    <w:rsid w:val="6F541B76"/>
    <w:rsid w:val="6F914572"/>
    <w:rsid w:val="6F962A43"/>
    <w:rsid w:val="6FA265B8"/>
    <w:rsid w:val="6FB940CF"/>
    <w:rsid w:val="6FE23373"/>
    <w:rsid w:val="6FEC4D31"/>
    <w:rsid w:val="6FFC5590"/>
    <w:rsid w:val="70092FFD"/>
    <w:rsid w:val="701D1F8B"/>
    <w:rsid w:val="70301DA3"/>
    <w:rsid w:val="70400CB6"/>
    <w:rsid w:val="706D1DD0"/>
    <w:rsid w:val="70856B87"/>
    <w:rsid w:val="70945242"/>
    <w:rsid w:val="70A14D5A"/>
    <w:rsid w:val="70C05AB6"/>
    <w:rsid w:val="70D527EE"/>
    <w:rsid w:val="70DB4B29"/>
    <w:rsid w:val="71147636"/>
    <w:rsid w:val="715B5300"/>
    <w:rsid w:val="715F4BD7"/>
    <w:rsid w:val="71681022"/>
    <w:rsid w:val="719C7804"/>
    <w:rsid w:val="71D27F8A"/>
    <w:rsid w:val="71E371CE"/>
    <w:rsid w:val="71F744C6"/>
    <w:rsid w:val="71F960CF"/>
    <w:rsid w:val="722C0725"/>
    <w:rsid w:val="7249435C"/>
    <w:rsid w:val="72577D79"/>
    <w:rsid w:val="726A1D35"/>
    <w:rsid w:val="72C2329A"/>
    <w:rsid w:val="72E071B0"/>
    <w:rsid w:val="72E41463"/>
    <w:rsid w:val="7302364D"/>
    <w:rsid w:val="731F5D5E"/>
    <w:rsid w:val="736B09BB"/>
    <w:rsid w:val="737113FE"/>
    <w:rsid w:val="73851E20"/>
    <w:rsid w:val="738A0F4D"/>
    <w:rsid w:val="741B1BE7"/>
    <w:rsid w:val="741B2C62"/>
    <w:rsid w:val="741E793C"/>
    <w:rsid w:val="74770944"/>
    <w:rsid w:val="74D25A45"/>
    <w:rsid w:val="74D84FF7"/>
    <w:rsid w:val="74F6543C"/>
    <w:rsid w:val="752441D1"/>
    <w:rsid w:val="75854A3B"/>
    <w:rsid w:val="758962F1"/>
    <w:rsid w:val="758D75E2"/>
    <w:rsid w:val="75BD79CA"/>
    <w:rsid w:val="75E51CC3"/>
    <w:rsid w:val="75EF6D3B"/>
    <w:rsid w:val="76291CAB"/>
    <w:rsid w:val="762B0254"/>
    <w:rsid w:val="76A20436"/>
    <w:rsid w:val="76AE39D5"/>
    <w:rsid w:val="76B86E8E"/>
    <w:rsid w:val="76BE1902"/>
    <w:rsid w:val="76E13119"/>
    <w:rsid w:val="76F3229D"/>
    <w:rsid w:val="77033F48"/>
    <w:rsid w:val="77084DE4"/>
    <w:rsid w:val="77762421"/>
    <w:rsid w:val="77D575CC"/>
    <w:rsid w:val="780F09F4"/>
    <w:rsid w:val="782D11A0"/>
    <w:rsid w:val="782E411B"/>
    <w:rsid w:val="78312487"/>
    <w:rsid w:val="78546ABA"/>
    <w:rsid w:val="78743604"/>
    <w:rsid w:val="787E7C64"/>
    <w:rsid w:val="789C4F47"/>
    <w:rsid w:val="78A90480"/>
    <w:rsid w:val="78FC53AB"/>
    <w:rsid w:val="7907499D"/>
    <w:rsid w:val="79315E47"/>
    <w:rsid w:val="79811327"/>
    <w:rsid w:val="79A25E1B"/>
    <w:rsid w:val="79D36A6E"/>
    <w:rsid w:val="79F857F4"/>
    <w:rsid w:val="7A1A62FC"/>
    <w:rsid w:val="7A23069B"/>
    <w:rsid w:val="7A364017"/>
    <w:rsid w:val="7A4723AB"/>
    <w:rsid w:val="7A8265E1"/>
    <w:rsid w:val="7A923E9A"/>
    <w:rsid w:val="7AC541EA"/>
    <w:rsid w:val="7AFF13CC"/>
    <w:rsid w:val="7B686D42"/>
    <w:rsid w:val="7B841746"/>
    <w:rsid w:val="7B8C1950"/>
    <w:rsid w:val="7BEF37A1"/>
    <w:rsid w:val="7C591EFB"/>
    <w:rsid w:val="7C66113B"/>
    <w:rsid w:val="7CD62D5C"/>
    <w:rsid w:val="7D0239FF"/>
    <w:rsid w:val="7D2B6168"/>
    <w:rsid w:val="7D2B734F"/>
    <w:rsid w:val="7D5E40CD"/>
    <w:rsid w:val="7D693BED"/>
    <w:rsid w:val="7D6D2A5F"/>
    <w:rsid w:val="7D886EB6"/>
    <w:rsid w:val="7D8B70AB"/>
    <w:rsid w:val="7DD722F0"/>
    <w:rsid w:val="7E675DA9"/>
    <w:rsid w:val="7E782CA2"/>
    <w:rsid w:val="7F286B7B"/>
    <w:rsid w:val="7F930498"/>
    <w:rsid w:val="7FA57F0C"/>
    <w:rsid w:val="7FB45E86"/>
    <w:rsid w:val="7FDC7825"/>
    <w:rsid w:val="7FE47E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unhideWhenUsed="0" w:uiPriority="0" w:semiHidden="0" w:name="toc 2" w:locked="1"/>
    <w:lsdException w:unhideWhenUsed="0" w:uiPriority="0"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仿宋" w:cs="Times New Roman"/>
      <w:kern w:val="2"/>
      <w:sz w:val="24"/>
      <w:szCs w:val="24"/>
      <w:lang w:val="en-US" w:eastAsia="zh-CN" w:bidi="ar-SA"/>
    </w:rPr>
  </w:style>
  <w:style w:type="paragraph" w:styleId="2">
    <w:name w:val="heading 1"/>
    <w:basedOn w:val="1"/>
    <w:next w:val="1"/>
    <w:link w:val="14"/>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9"/>
    <w:pPr>
      <w:keepNext/>
      <w:keepLines/>
      <w:ind w:firstLine="0" w:firstLineChars="0"/>
      <w:outlineLvl w:val="1"/>
    </w:pPr>
    <w:rPr>
      <w:b/>
      <w:bCs/>
      <w:kern w:val="0"/>
      <w:sz w:val="30"/>
      <w:szCs w:val="32"/>
    </w:rPr>
  </w:style>
  <w:style w:type="paragraph" w:styleId="4">
    <w:name w:val="heading 3"/>
    <w:basedOn w:val="1"/>
    <w:next w:val="1"/>
    <w:link w:val="13"/>
    <w:autoRedefine/>
    <w:unhideWhenUsed/>
    <w:qFormat/>
    <w:locked/>
    <w:uiPriority w:val="0"/>
    <w:pPr>
      <w:keepNext/>
      <w:keepLines/>
      <w:spacing w:before="260" w:after="260" w:line="416" w:lineRule="auto"/>
      <w:outlineLvl w:val="2"/>
    </w:pPr>
    <w:rPr>
      <w:b/>
      <w:bCs/>
      <w:sz w:val="32"/>
      <w:szCs w:val="32"/>
    </w:rPr>
  </w:style>
  <w:style w:type="character" w:default="1" w:styleId="12">
    <w:name w:val="Default Paragraph Font"/>
    <w:autoRedefine/>
    <w:unhideWhenUsed/>
    <w:qFormat/>
    <w:uiPriority w:val="1"/>
  </w:style>
  <w:style w:type="table" w:default="1" w:styleId="10">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next w:val="1"/>
    <w:autoRedefine/>
    <w:qFormat/>
    <w:locked/>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标题 3 Char"/>
    <w:link w:val="4"/>
    <w:autoRedefine/>
    <w:semiHidden/>
    <w:qFormat/>
    <w:uiPriority w:val="0"/>
    <w:rPr>
      <w:b/>
      <w:bCs/>
      <w:kern w:val="2"/>
      <w:sz w:val="32"/>
      <w:szCs w:val="32"/>
    </w:rPr>
  </w:style>
  <w:style w:type="character" w:customStyle="1" w:styleId="14">
    <w:name w:val="标题 1 Char"/>
    <w:basedOn w:val="12"/>
    <w:link w:val="2"/>
    <w:autoRedefine/>
    <w:qFormat/>
    <w:uiPriority w:val="0"/>
    <w:rPr>
      <w:rFonts w:hint="eastAsia" w:ascii="黑体" w:hAnsi="宋体" w:eastAsia="黑体" w:cs="黑体"/>
      <w:b/>
      <w:bCs/>
      <w:color w:val="000000"/>
      <w:kern w:val="44"/>
      <w:sz w:val="30"/>
      <w:szCs w:val="30"/>
    </w:rPr>
  </w:style>
  <w:style w:type="character" w:customStyle="1" w:styleId="15">
    <w:name w:val="页眉 Char"/>
    <w:link w:val="7"/>
    <w:autoRedefine/>
    <w:qFormat/>
    <w:locked/>
    <w:uiPriority w:val="0"/>
    <w:rPr>
      <w:rFonts w:cs="Times New Roman"/>
      <w:sz w:val="18"/>
      <w:szCs w:val="18"/>
    </w:rPr>
  </w:style>
  <w:style w:type="table" w:customStyle="1" w:styleId="16">
    <w:name w:val="yk520"/>
    <w:basedOn w:val="10"/>
    <w:qFormat/>
    <w:uiPriority w:val="0"/>
    <w:pPr>
      <w:jc w:val="center"/>
    </w:pPr>
    <w:rPr>
      <w:rFonts w:ascii="Times New Roman" w:hAnsi="Times New Roman" w:eastAsia="宋体" w:cs="Times New Roman"/>
      <w:kern w:val="0"/>
      <w:sz w:val="20"/>
      <w:szCs w:val="20"/>
    </w:rPr>
    <w:tblPr>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57" w:type="dxa"/>
        <w:right w:w="57" w:type="dxa"/>
      </w:tblCellMar>
    </w:tblPr>
    <w:trPr>
      <w:jc w:val="center"/>
    </w:trPr>
    <w:tcPr>
      <w:vAlign w:val="center"/>
    </w:tc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9" Type="http://schemas.openxmlformats.org/officeDocument/2006/relationships/fontTable" Target="fontTable.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32.png"/><Relationship Id="rId54" Type="http://schemas.openxmlformats.org/officeDocument/2006/relationships/image" Target="media/image31.jpeg"/><Relationship Id="rId53" Type="http://schemas.openxmlformats.org/officeDocument/2006/relationships/image" Target="media/image30.jpeg"/><Relationship Id="rId52" Type="http://schemas.openxmlformats.org/officeDocument/2006/relationships/image" Target="media/image29.emf"/><Relationship Id="rId51" Type="http://schemas.openxmlformats.org/officeDocument/2006/relationships/oleObject" Target="embeddings/oleObject7.bin"/><Relationship Id="rId50" Type="http://schemas.openxmlformats.org/officeDocument/2006/relationships/image" Target="media/image28.emf"/><Relationship Id="rId5" Type="http://schemas.openxmlformats.org/officeDocument/2006/relationships/footer" Target="footer1.xml"/><Relationship Id="rId49" Type="http://schemas.openxmlformats.org/officeDocument/2006/relationships/oleObject" Target="embeddings/oleObject6.bin"/><Relationship Id="rId48" Type="http://schemas.openxmlformats.org/officeDocument/2006/relationships/image" Target="media/image27.emf"/><Relationship Id="rId47" Type="http://schemas.openxmlformats.org/officeDocument/2006/relationships/oleObject" Target="embeddings/oleObject5.bin"/><Relationship Id="rId46" Type="http://schemas.openxmlformats.org/officeDocument/2006/relationships/image" Target="media/image26.wmf"/><Relationship Id="rId45" Type="http://schemas.openxmlformats.org/officeDocument/2006/relationships/oleObject" Target="embeddings/oleObject4.bin"/><Relationship Id="rId44" Type="http://schemas.openxmlformats.org/officeDocument/2006/relationships/image" Target="media/image25.png"/><Relationship Id="rId43" Type="http://schemas.openxmlformats.org/officeDocument/2006/relationships/image" Target="media/image24.emf"/><Relationship Id="rId42" Type="http://schemas.openxmlformats.org/officeDocument/2006/relationships/oleObject" Target="embeddings/oleObject3.bin"/><Relationship Id="rId41" Type="http://schemas.openxmlformats.org/officeDocument/2006/relationships/image" Target="media/image23.emf"/><Relationship Id="rId40" Type="http://schemas.openxmlformats.org/officeDocument/2006/relationships/oleObject" Target="embeddings/oleObject2.bin"/><Relationship Id="rId4" Type="http://schemas.openxmlformats.org/officeDocument/2006/relationships/endnotes" Target="endnotes.xml"/><Relationship Id="rId39" Type="http://schemas.openxmlformats.org/officeDocument/2006/relationships/image" Target="media/image22.emf"/><Relationship Id="rId38" Type="http://schemas.openxmlformats.org/officeDocument/2006/relationships/oleObject" Target="embeddings/oleObject1.bin"/><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c6c8b7ad-fa3b-4d7b-bda8-34eb41f3259e</errorID>
      <errorWord>（</errorWord>
      <group>L1_Punc</group>
      <groupName>标点问题</groupName>
      <ability>L2_Punc_CN</ability>
      <abilityName>标点符号问题</abilityName>
      <candidateList/>
      <explain>同一形式括号套用。</explain>
      <paraID>7867AB0E</paraID>
      <start>20</start>
      <end>21</end>
      <status>ignored</status>
      <modifiedWord/>
      <trackRevisions>false</trackRevisions>
    </reviewItem>
    <reviewItem>
      <errorID>ba73f582-2062-4bf7-8a7d-540462cf0eec</errorID>
      <errorWord>）</errorWord>
      <group>L1_Punc</group>
      <groupName>标点问题</groupName>
      <ability>L2_Punc_CN</ability>
      <abilityName>标点符号问题</abilityName>
      <candidateList/>
      <explain>同一形式括号套用。</explain>
      <paraID>7867AB0E</paraID>
      <start>22</start>
      <end>23</end>
      <status>ignored</status>
      <modifiedWord/>
      <trackRevisions>false</trackRevisions>
    </reviewItem>
    <reviewItem>
      <errorID>8ad25b7e-41d4-4245-b1cb-be148a34ab1d</errorID>
      <errorWord>（</errorWord>
      <group>L1_Punc</group>
      <groupName>标点问题</groupName>
      <ability>L2_Punc_CN</ability>
      <abilityName>标点符号问题</abilityName>
      <candidateList/>
      <explain>同一形式括号套用。</explain>
      <paraID>642E3E39</paraID>
      <start>19</start>
      <end>20</end>
      <status>ignored</status>
      <modifiedWord/>
      <trackRevisions>false</trackRevisions>
    </reviewItem>
    <reviewItem>
      <errorID>5bb101d4-b5dc-4cca-9960-ff53194669b5</errorID>
      <errorWord>）</errorWord>
      <group>L1_Punc</group>
      <groupName>标点问题</groupName>
      <ability>L2_Punc_CN</ability>
      <abilityName>标点符号问题</abilityName>
      <candidateList/>
      <explain>同一形式括号套用。</explain>
      <paraID>642E3E39</paraID>
      <start>21</start>
      <end>22</end>
      <status>ignored</status>
      <modifiedWord/>
      <trackRevisions>false</trackRevisions>
    </reviewItem>
    <reviewItem>
      <errorID>9781b643-29d7-4a49-8b4e-4cd24fe9e6da</errorID>
      <errorWord>&gt;》</errorWord>
      <group>L1_Punc</group>
      <groupName>标点问题</groupName>
      <ability>L2_Punc_CN</ability>
      <abilityName>标点符号问题</abilityName>
      <candidateList>
        <item>》</item>
      </candidateList>
      <explain/>
      <paraID>15FBC847</paraID>
      <start>137</start>
      <end>139</end>
      <status>unmodified</status>
      <modifiedWord/>
      <trackRevisions>false</trackRevisions>
    </reviewItem>
    <reviewItem>
      <errorID>d46bb231-8791-49fc-be34-4eb8a039f548</errorID>
      <errorWord>"</errorWord>
      <group>L1_Format</group>
      <groupName>格式问题</groupName>
      <ability>L2_HalfPunc_CN</ability>
      <abilityName>全半角问题</abilityName>
      <candidateList/>
      <explain>文本全半角错误。</explain>
      <paraID>4FFFA96E</paraID>
      <start>23</start>
      <end>24</end>
      <status>unmodified</status>
      <modifiedWord/>
      <trackRevisions>false</trackRevisions>
    </reviewItem>
    <reviewItem>
      <errorID>67fa99df-0d19-4ce3-a014-cc67dc07f637</errorID>
      <errorWord>水利发电</errorWord>
      <group>L1_Word</group>
      <groupName>字词问题</groupName>
      <ability>L2_Typo</ability>
      <abilityName>字词错误</abilityName>
      <candidateList>
        <item>水力发电</item>
      </candidateList>
      <explain/>
      <paraID>2FEE48F0</paraID>
      <start>0</start>
      <end>4</end>
      <status>unmodified</status>
      <modifiedWord/>
      <trackRevisions>false</trackRevisions>
    </reviewItem>
    <reviewItem>
      <errorID>bb23d5b0-3658-420a-86fe-3db4d68ff58b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5DC72734</paraID>
      <start>0</start>
      <end>2</end>
      <status>unmodified</status>
      <modifiedWord/>
      <trackRevisions>false</trackRevisions>
    </reviewItem>
    <reviewItem>
      <errorID>d7a8cd20-d388-4613-bace-43413b10d236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5CB1F900</paraID>
      <start>0</start>
      <end>2</end>
      <status>unmodified</status>
      <modifiedWord/>
      <trackRevisions>false</trackRevisions>
    </reviewItem>
    <reviewItem>
      <errorID>3c568bb2-5b31-41d0-93a1-291f9f3d2515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78951DA7</paraID>
      <start>0</start>
      <end>2</end>
      <status>unmodified</status>
      <modifiedWord/>
      <trackRevisions>false</trackRevisions>
    </reviewItem>
    <reviewItem>
      <errorID>c1ae2a62-d3c4-40a7-b0b5-b548e0242dd2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1C5BC370</paraID>
      <start>0</start>
      <end>2</end>
      <status>unmodified</status>
      <modifiedWord/>
      <trackRevisions>false</trackRevisions>
    </reviewItem>
    <reviewItem>
      <errorID>832debed-581e-439d-99e7-5dd3ce32a160</errorID>
      <errorWord>（</errorWord>
      <group>L1_Punc</group>
      <groupName>标点问题</groupName>
      <ability>L2_Punc_CN</ability>
      <abilityName>标点符号问题</abilityName>
      <candidateList/>
      <explain>同一形式括号套用。</explain>
      <paraID>29CD9A0E</paraID>
      <start>57</start>
      <end>58</end>
      <status>ignored</status>
      <modifiedWord/>
      <trackRevisions>false</trackRevisions>
    </reviewItem>
    <reviewItem>
      <errorID>13949970-c975-49ed-b39c-3c1608468467</errorID>
      <errorWord>）</errorWord>
      <group>L1_Punc</group>
      <groupName>标点问题</groupName>
      <ability>L2_Punc_CN</ability>
      <abilityName>标点符号问题</abilityName>
      <candidateList/>
      <explain>同一形式括号套用。</explain>
      <paraID>29CD9A0E</paraID>
      <start>59</start>
      <end>60</end>
      <status>ignored</status>
      <modifiedWord/>
      <trackRevisions>false</trackRevisions>
    </reviewItem>
    <reviewItem>
      <errorID>b446b211-ed72-429f-908b-880580ddeddf</errorID>
      <errorWord>（</errorWord>
      <group>L1_Punc</group>
      <groupName>标点问题</groupName>
      <ability>L2_Punc_CN</ability>
      <abilityName>标点符号问题</abilityName>
      <candidateList/>
      <explain>同一形式括号套用。</explain>
      <paraID>29CD9A0E</paraID>
      <start>192</start>
      <end>193</end>
      <status>ignored</status>
      <modifiedWord/>
      <trackRevisions>false</trackRevisions>
    </reviewItem>
    <reviewItem>
      <errorID>068a15fb-5e96-4436-900f-ddda93b9fce1</errorID>
      <errorWord>）</errorWord>
      <group>L1_Punc</group>
      <groupName>标点问题</groupName>
      <ability>L2_Punc_CN</ability>
      <abilityName>标点符号问题</abilityName>
      <candidateList/>
      <explain>同一形式括号套用。</explain>
      <paraID>29CD9A0E</paraID>
      <start>194</start>
      <end>195</end>
      <status>ignored</status>
      <modifiedWord/>
      <trackRevisions>false</trackRevisions>
    </reviewItem>
    <reviewItem>
      <errorID>c0cb86c0-5713-41fd-ab25-052540765173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4D9EC821</paraID>
      <start>0</start>
      <end>2</end>
      <status>unmodified</status>
      <modifiedWord/>
      <trackRevisions>false</trackRevisions>
    </reviewItem>
    <reviewItem>
      <errorID>61cb4b85-50fd-4534-92a6-40a8668f71c3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57DA0987</paraID>
      <start>69</start>
      <end>72</end>
      <status>unmodified</status>
      <modifiedWord/>
      <trackRevisions>false</trackRevisions>
    </reviewItem>
    <reviewItem>
      <errorID>6156f344-b4c8-48b0-8af2-e712ddf5de25</errorID>
      <errorWord>国家投资主管部门</errorWord>
      <group>L1_Political</group>
      <groupName>政治性问题</groupName>
      <ability>L2_Keyword</ability>
      <abilityName>固定表述</abilityName>
      <candidateList>
        <item>国务院投资主管部门</item>
      </candidateList>
      <explain>词汇“国务院投资主管部门”在特定场景下为固定表述形式，请确认此处的“国家投资主管部门”是否存在不当。</explain>
      <paraID>53694DFF</paraID>
      <start>30</start>
      <end>38</end>
      <status>unmodified</status>
      <modifiedWord/>
      <trackRevisions>false</trackRevisions>
    </reviewItem>
    <reviewItem>
      <errorID>f8c539b1-e754-40e9-883f-b91dd4b1f2da</errorID>
      <errorWord>，</errorWord>
      <group>L1_Word</group>
      <groupName>字词问题</groupName>
      <ability>L2_Typo</ability>
      <abilityName>字词错误</abilityName>
      <candidateList>
        <item>，在</item>
      </candidateList>
      <explain/>
      <paraID> FDE3551</paraID>
      <start>90</start>
      <end>91</end>
      <status>unmodified</status>
      <modifiedWord/>
      <trackRevisions>false</trackRevisions>
    </reviewItem>
    <reviewItem>
      <errorID>ab9ec02e-3531-42fb-9827-97afa025b09e</errorID>
      <errorWord>（</errorWord>
      <group>L1_Punc</group>
      <groupName>标点问题</groupName>
      <ability>L2_Punc_CN</ability>
      <abilityName>标点符号问题</abilityName>
      <candidateList/>
      <explain>同一形式括号套用。</explain>
      <paraID>4D7D137E</paraID>
      <start>224</start>
      <end>225</end>
      <status>ignored</status>
      <modifiedWord/>
      <trackRevisions>false</trackRevisions>
    </reviewItem>
    <reviewItem>
      <errorID>cd9a7394-c4a2-446b-a371-62247ca4302b</errorID>
      <errorWord>）</errorWord>
      <group>L1_Punc</group>
      <groupName>标点问题</groupName>
      <ability>L2_Punc_CN</ability>
      <abilityName>标点符号问题</abilityName>
      <candidateList/>
      <explain>同一形式括号套用。</explain>
      <paraID>4D7D137E</paraID>
      <start>250</start>
      <end>251</end>
      <status>ignored</status>
      <modifiedWord/>
      <trackRevisions>false</trackRevisions>
    </reviewItem>
    <reviewItem>
      <errorID>cd49b8f7-8b0f-4e3e-972e-f48648f733d0</errorID>
      <errorWord>农田灌溉水利用系数</errorWord>
      <group>L1_Political</group>
      <groupName>政治性问题</groupName>
      <ability>L2_Keyword</ability>
      <abilityName>固定表述</abilityName>
      <candidateList>
        <item>农田灌溉水有效利用系数</item>
      </candidateList>
      <explain>词汇“农田灌溉水有效利用系数”在特定场景下为固定表述形式，请确认此处的“农田灌溉水利用系数”是否存在不当。</explain>
      <paraID>6A21BD91</paraID>
      <start>69</start>
      <end>78</end>
      <status>unmodified</status>
      <modifiedWord/>
      <trackRevisions>false</trackRevisions>
    </reviewItem>
    <reviewItem>
      <errorID>93d1493b-b891-41f1-b389-241a3c67c623</errorID>
      <errorWord>规模化</errorWord>
      <group>L1_Word</group>
      <groupName>字词问题</groupName>
      <ability>L2_Typo</ability>
      <abilityName>字词错误</abilityName>
      <candidateList>
        <item>规模</item>
      </candidateList>
      <explain/>
      <paraID>58818B6C</paraID>
      <start>11</start>
      <end>14</end>
      <status>unmodified</status>
      <modifiedWord/>
      <trackRevisions>false</trackRevisions>
    </reviewItem>
    <reviewItem>
      <errorID>ebd089f0-3ee2-4523-92f0-0ce5f6985ed3</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66BC8D50</paraID>
      <start>160</start>
      <end>165</end>
      <status>unmodified</status>
      <modifiedWord/>
      <trackRevisions>false</trackRevisions>
    </reviewItem>
    <reviewItem>
      <errorID>42d812fc-f413-479c-9ebb-b7dcd80799d4</errorID>
      <errorWord>战略性能源资源</errorWord>
      <group>L1_Political</group>
      <groupName>政治性问题</groupName>
      <ability>L2_Keyword</ability>
      <abilityName>固定表述</abilityName>
      <candidateList>
        <item>战略性矿产资源</item>
      </candidateList>
      <explain>词汇“战略性矿产资源”在特定场景下为固定表述形式，请确认此处的“战略性能源资源”是否存在不当。</explain>
      <paraID>5C636C67</paraID>
      <start>198</start>
      <end>205</end>
      <status>unmodified</status>
      <modifiedWord/>
      <trackRevisions>false</trackRevisions>
    </reviewItem>
    <reviewItem>
      <errorID>d1d2ef2a-85e7-4e7d-97db-feec2b7603b4</errorID>
      <errorWord>（</errorWord>
      <group>L1_Punc</group>
      <groupName>标点问题</groupName>
      <ability>L2_Punc_CN</ability>
      <abilityName>标点符号问题</abilityName>
      <candidateList/>
      <explain>同一形式括号套用。</explain>
      <paraID>1AC00ED9</paraID>
      <start>158</start>
      <end>159</end>
      <status>ignored</status>
      <modifiedWord/>
      <trackRevisions>false</trackRevisions>
    </reviewItem>
    <reviewItem>
      <errorID>62350726-6d0d-4a6e-9d95-0006fe19ecef</errorID>
      <errorWord>）</errorWord>
      <group>L1_Punc</group>
      <groupName>标点问题</groupName>
      <ability>L2_Punc_CN</ability>
      <abilityName>标点符号问题</abilityName>
      <candidateList/>
      <explain>同一形式括号套用。</explain>
      <paraID>1AC00ED9</paraID>
      <start>160</start>
      <end>161</end>
      <status>ignored</status>
      <modifiedWord/>
      <trackRevisions>false</trackRevisions>
    </reviewItem>
    <reviewItem>
      <errorID>62fe84c5-3d0f-47b0-9461-dcff147449b3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7F0ABA36</paraID>
      <start>27</start>
      <end>30</end>
      <status>unmodified</status>
      <modifiedWord/>
      <trackRevisions>false</trackRevisions>
    </reviewItem>
    <reviewItem>
      <errorID>1b0663b8-27b8-4178-b446-b60656a63fd2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7F0ABA36</paraID>
      <start>39</start>
      <end>42</end>
      <status>unmodified</status>
      <modifiedWord/>
      <trackRevisions>false</trackRevisions>
    </reviewItem>
    <reviewItem>
      <errorID>db1ab6af-2761-46c4-b9b6-e468753abd49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7F0ABA36</paraID>
      <start>106</start>
      <end>109</end>
      <status>unmodified</status>
      <modifiedWord/>
      <trackRevisions>false</trackRevisions>
    </reviewItem>
    <reviewItem>
      <errorID>913300bd-a0a5-4bb5-8ed5-5eee63aaa14e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7F0ABA36</paraID>
      <start>138</start>
      <end>141</end>
      <status>unmodified</status>
      <modifiedWord/>
      <trackRevisions>false</trackRevisions>
    </reviewItem>
    <reviewItem>
      <errorID>415bfe01-db1e-4ce4-acc8-73c15c4ab581</errorID>
      <errorWord>生物多样性保护工程</errorWord>
      <group>L1_Political</group>
      <groupName>政治性问题</groupName>
      <ability>L2_Keyword</ability>
      <abilityName>固定表述</abilityName>
      <candidateList>
        <item>生物多样性保护重大工程</item>
      </candidateList>
      <explain>词汇“生物多样性保护重大工程”在特定场景下为固定表述形式，请确认此处的“生物多样性保护工程”是否存在不当。</explain>
      <paraID>25B4954E</paraID>
      <start>7</start>
      <end>16</end>
      <status>unmodified</status>
      <modifiedWord/>
      <trackRevisions>false</trackRevisions>
    </reviewItem>
    <reviewItem>
      <errorID>97bbd059-137a-4f51-854a-a43a72a4322f</errorID>
      <errorWord>加强</errorWord>
      <group>L1_Grammar</group>
      <groupName>语法问题</groupName>
      <ability>L2_Grammar</ability>
      <abilityName>语法错误</abilityName>
      <candidateList>
        <item>加大</item>
      </candidateList>
      <explain>“加强～力度”搭配不当，建议修改为“加大～力度”。</explain>
      <paraID>13C8EF37</paraID>
      <start>27</start>
      <end>29</end>
      <status>unmodified</status>
      <modifiedWord/>
      <trackRevisions>false</trackRevisions>
    </reviewItem>
    <reviewItem>
      <errorID>14c51a9a-2853-4d71-95f6-7b93bb4c89da</errorID>
      <errorWord>生态环境保护区</errorWord>
      <group>L1_Political</group>
      <groupName>政治性问题</groupName>
      <ability>L2_Keyword</ability>
      <abilityName>固定表述</abilityName>
      <candidateList>
        <item>生态功能保护区</item>
      </candidateList>
      <explain>词汇“生态功能保护区”在特定场景下为固定表述形式，请确认此处的“生态环境保护区”是否存在不当。</explain>
      <paraID>1F611A1F</paraID>
      <start>54</start>
      <end>61</end>
      <status>unmodified</status>
      <modifiedWord/>
      <trackRevisions>false</trackRevisions>
    </reviewItem>
    <reviewItem>
      <errorID>42c8f7fb-36b2-48b6-8299-bffe3e02849e</errorID>
      <errorWord>农村面源污染</errorWord>
      <group>L1_Political</group>
      <groupName>政治性问题</groupName>
      <ability>L2_Keyword</ability>
      <abilityName>固定表述</abilityName>
      <candidateList>
        <item>农业面源污染</item>
      </candidateList>
      <explain>词汇“农业面源污染”在特定场景下为固定表述形式，请确认此处的“农村面源污染”是否存在不当。</explain>
      <paraID>14B52CA3</paraID>
      <start>52</start>
      <end>58</end>
      <status>unmodified</status>
      <modifiedWord/>
      <trackRevisions>false</trackRevisions>
    </reviewItem>
    <reviewItem>
      <errorID>102e8935-a8f6-4ba2-8b2c-0528d33d2c0f</errorID>
      <errorWord>农村面源污染</errorWord>
      <group>L1_Political</group>
      <groupName>政治性问题</groupName>
      <ability>L2_Keyword</ability>
      <abilityName>固定表述</abilityName>
      <candidateList>
        <item>农业面源污染</item>
      </candidateList>
      <explain>词汇“农业面源污染”在特定场景下为固定表述形式，请确认此处的“农村面源污染”是否存在不当。</explain>
      <paraID>69FE7107</paraID>
      <start>36</start>
      <end>42</end>
      <status>unmodified</status>
      <modifiedWord/>
      <trackRevisions>false</trackRevisions>
    </reviewItem>
    <reviewItem>
      <errorID>4715c59b-78a6-42f5-b749-9460debaf295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3381B428</paraID>
      <start>0</start>
      <end>2</end>
      <status>unmodified</status>
      <modifiedWord/>
      <trackRevisions>false</trackRevisions>
    </reviewItem>
    <reviewItem>
      <errorID>f4f6a759-53d4-46e4-8125-f08847b9f7f0</errorID>
      <errorWord>坚持</errorWord>
      <group>L1_Word</group>
      <groupName>字词问题</groupName>
      <ability>L2_Typo</ability>
      <abilityName>字词错误</abilityName>
      <candidateList>
        <item>坚决</item>
      </candidateList>
      <explain/>
      <paraID>241EAF16</paraID>
      <start>69</start>
      <end>71</end>
      <status>unmodified</status>
      <modifiedWord/>
      <trackRevisions>false</trackRevisions>
    </reviewItem>
    <reviewItem>
      <errorID>19652c3e-65c3-468d-938f-09a6e021d93f</errorID>
      <errorWord>念湖</errorWord>
      <group>L1_Word</group>
      <groupName>字词问题</groupName>
      <ability>L2_Typo</ability>
      <abilityName>字词错误</abilityName>
      <candidateList>
        <item>南湖</item>
      </candidateList>
      <explain>存在发音相近字词的误用。</explain>
      <paraID>787ABCE5</paraID>
      <start>46</start>
      <end>48</end>
      <status>unmodified</status>
      <modifiedWord/>
      <trackRevisions>false</trackRevisions>
    </reviewItem>
    <reviewItem>
      <errorID>05bba64e-7de9-484b-97da-4d3f4718bfba</errorID>
      <errorWord>二项</errorWord>
      <group>L1_Word</group>
      <groupName>字词问题</groupName>
      <ability>L2_Typo</ability>
      <abilityName>字词错误</abilityName>
      <candidateList>
        <item>两项</item>
      </candidateList>
      <explain/>
      <paraID>75F58965</paraID>
      <start>144</start>
      <end>146</end>
      <status>unmodified</status>
      <modifiedWord/>
      <trackRevisions>false</trackRevisions>
    </reviewItem>
    <reviewItem>
      <errorID>5daf3b74-e3fd-4398-801b-0cb88905771f</errorID>
      <errorWord>月1日施行</errorWord>
      <group>L1_Word</group>
      <groupName>字词问题</groupName>
      <ability>L2_Typo</ability>
      <abilityName>字词错误</abilityName>
      <candidateList>
        <item>月1日起施行</item>
      </candidateList>
      <explain/>
      <paraID>5F56BACF</paraID>
      <start>64</start>
      <end>69</end>
      <status>unmodified</status>
      <modifiedWord/>
      <trackRevisions>false</trackRevisions>
    </reviewItem>
    <reviewItem>
      <errorID>f4119721-101e-405d-b375-404d67256f5b</errorID>
      <errorWord>（</errorWord>
      <group>L1_Punc</group>
      <groupName>标点问题</groupName>
      <ability>L2_Punc_CN</ability>
      <abilityName>标点符号问题</abilityName>
      <candidateList/>
      <explain>同一形式括号套用。</explain>
      <paraID>52D39443</paraID>
      <start>35</start>
      <end>36</end>
      <status>ignored</status>
      <modifiedWord/>
      <trackRevisions>false</trackRevisions>
    </reviewItem>
    <reviewItem>
      <errorID>242b6ebd-f928-4693-8d0b-1c916cb8b7b3</errorID>
      <errorWord>）</errorWord>
      <group>L1_Punc</group>
      <groupName>标点问题</groupName>
      <ability>L2_Punc_CN</ability>
      <abilityName>标点符号问题</abilityName>
      <candidateList/>
      <explain>同一形式括号套用。</explain>
      <paraID>52D39443</paraID>
      <start>37</start>
      <end>38</end>
      <status>ignored</status>
      <modifiedWord/>
      <trackRevisions>false</trackRevisions>
    </reviewItem>
    <reviewItem>
      <errorID>a29d07dc-4b5a-477b-814d-10463d0fcb6a</errorID>
      <errorWord>（</errorWord>
      <group>L1_Punc</group>
      <groupName>标点问题</groupName>
      <ability>L2_Punc_CN</ability>
      <abilityName>标点符号问题</abilityName>
      <candidateList/>
      <explain>同一形式括号套用。</explain>
      <paraID>6FCBB5DD</paraID>
      <start>44</start>
      <end>45</end>
      <status>ignored</status>
      <modifiedWord/>
      <trackRevisions>false</trackRevisions>
    </reviewItem>
    <reviewItem>
      <errorID>977c354a-1ca5-4926-ab30-8c16748e0633</errorID>
      <errorWord>）</errorWord>
      <group>L1_Punc</group>
      <groupName>标点问题</groupName>
      <ability>L2_Punc_CN</ability>
      <abilityName>标点符号问题</abilityName>
      <candidateList/>
      <explain>同一形式括号套用。</explain>
      <paraID>6FCBB5DD</paraID>
      <start>54</start>
      <end>55</end>
      <status>ignored</status>
      <modifiedWord/>
      <trackRevisions>false</trackRevisions>
    </reviewItem>
    <reviewItem>
      <errorID>c68a572b-ecbb-402f-a62d-7d77928c84b2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1F37DCB7</paraID>
      <start>38</start>
      <end>39</end>
      <status>unmodified</status>
      <modifiedWord/>
      <trackRevisions>false</trackRevisions>
    </reviewItem>
    <reviewItem>
      <errorID>603c3831-4dde-4d61-afda-24f20c8e4fa8</errorID>
      <errorWord>拌合站</errorWord>
      <group>L1_Word</group>
      <groupName>字词问题</groupName>
      <ability>L2_Typo</ability>
      <abilityName>字词错误</abilityName>
      <candidateList>
        <item>拌和站</item>
      </candidateList>
      <explain>存在发音相同字词的误用。</explain>
      <paraID>31C516CD</paraID>
      <start>114</start>
      <end>117</end>
      <status>unmodified</status>
      <modifiedWord/>
      <trackRevisions>false</trackRevisions>
    </reviewItem>
    <reviewItem>
      <errorID>13bf9ef4-15c1-48fa-a2a3-e9f4320ec87b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1B3D5FD8</paraID>
      <start>38</start>
      <end>39</end>
      <status>unmodified</status>
      <modifiedWord/>
      <trackRevisions>false</trackRevisions>
    </reviewItem>
    <reviewItem>
      <errorID>eaae4b5a-8a98-45aa-808d-f4ceb6c54a90</errorID>
      <errorWord>拌合站</errorWord>
      <group>L1_Word</group>
      <groupName>字词问题</groupName>
      <ability>L2_Typo</ability>
      <abilityName>字词错误</abilityName>
      <candidateList>
        <item>拌和站</item>
      </candidateList>
      <explain>存在发音相同字词的误用。</explain>
      <paraID>3FE407AD</paraID>
      <start>128</start>
      <end>131</end>
      <status>unmodified</status>
      <modifiedWord/>
      <trackRevisions>false</trackRevisions>
    </reviewItem>
    <reviewItem>
      <errorID>65b10dab-363f-406b-b37a-062c168bd7d3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4B100BFB</paraID>
      <start>41</start>
      <end>42</end>
      <status>unmodified</status>
      <modifiedWord/>
      <trackRevisions>false</trackRevisions>
    </reviewItem>
    <reviewItem>
      <errorID>25b4a8b8-5f1c-45e9-8707-6b655a678bb4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261989A8</paraID>
      <start>34</start>
      <end>35</end>
      <status>unmodified</status>
      <modifiedWord/>
      <trackRevisions>false</trackRevisions>
    </reviewItem>
    <reviewItem>
      <errorID>989ea0da-75af-495a-aab3-42e99c9a60fd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7D2945CC</paraID>
      <start>36</start>
      <end>37</end>
      <status>unmodified</status>
      <modifiedWord/>
      <trackRevisions>false</trackRevisions>
    </reviewItem>
    <reviewItem>
      <errorID>f9093549-78cf-4aa0-92a3-4b5e7cd3ae4a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4423A319</paraID>
      <start>145</start>
      <end>148</end>
      <status>unmodified</status>
      <modifiedWord/>
      <trackRevisions>false</trackRevisions>
    </reviewItem>
    <reviewItem>
      <errorID>a669ce13-13b3-4122-8167-3fcb445008f7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4423A319</paraID>
      <start>157</start>
      <end>160</end>
      <status>unmodified</status>
      <modifiedWord/>
      <trackRevisions>false</trackRevisions>
    </reviewItem>
    <reviewItem>
      <errorID>74fb92fd-a1a5-460f-bc23-194422064c5e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4423A319</paraID>
      <start>234</start>
      <end>237</end>
      <status>unmodified</status>
      <modifiedWord/>
      <trackRevisions>false</trackRevisions>
    </reviewItem>
    <reviewItem>
      <errorID>95bb766d-404e-4df8-87ab-f5f98db079f4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4423A319</paraID>
      <start>248</start>
      <end>251</end>
      <status>unmodified</status>
      <modifiedWord/>
      <trackRevisions>false</trackRevisions>
    </reviewItem>
    <reviewItem>
      <errorID>b880c4bb-ee64-4594-8c90-53e787c52ff6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4423A319</paraID>
      <start>266</start>
      <end>269</end>
      <status>unmodified</status>
      <modifiedWord/>
      <trackRevisions>false</trackRevisions>
    </reviewItem>
    <reviewItem>
      <errorID>b380aed1-6db5-4d91-babb-1822b3a0dfad</errorID>
      <errorWord>&lt;</errorWord>
      <group>L1_Format</group>
      <groupName>格式问题</groupName>
      <ability>L2_HalfPunc_CN</ability>
      <abilityName>全半角问题</abilityName>
      <candidateList>
        <item>〈</item>
      </candidateList>
      <explain>文本全半角错误。</explain>
      <paraID>221804CF</paraID>
      <start>124</start>
      <end>124</end>
      <status>modified</status>
      <modifiedWord>〈</modifiedWord>
      <trackRevisions>false</trackRevisions>
    </reviewItem>
    <reviewItem>
      <errorID>4817ac00-f631-4c79-aa25-0f69709de436</errorID>
      <errorWord>&gt;》</errorWord>
      <group>L1_Punc</group>
      <groupName>标点问题</groupName>
      <ability>L2_Punc_CN</ability>
      <abilityName>标点符号问题</abilityName>
      <candidateList>
        <item>》</item>
      </candidateList>
      <explain/>
      <paraID>221804CF</paraID>
      <start>142</start>
      <end>144</end>
      <status>unmodified</status>
      <modifiedWord/>
      <trackRevisions>false</trackRevisions>
    </reviewItem>
    <reviewItem>
      <errorID>dd3b7a7c-7fc4-4817-9d15-9c551e3f7eba</errorID>
      <errorWord>"</errorWord>
      <group>L1_Format</group>
      <groupName>格式问题</groupName>
      <ability>L2_HalfPunc_CN</ability>
      <abilityName>全半角问题</abilityName>
      <candidateList/>
      <explain>文本全半角错误。</explain>
      <paraID>1351286F</paraID>
      <start>23</start>
      <end>24</end>
      <status>unmodified</status>
      <modifiedWord/>
      <trackRevisions>false</trackRevisions>
    </reviewItem>
    <reviewItem>
      <errorID>5978aeec-39fe-4100-b28c-9e5adaf906de</errorID>
      <errorWord>"</errorWord>
      <group>L1_Format</group>
      <groupName>格式问题</groupName>
      <ability>L2_HalfPunc_CN</ability>
      <abilityName>全半角问题</abilityName>
      <candidateList/>
      <explain>文本全半角错误。</explain>
      <paraID>4742E35D</paraID>
      <start>23</start>
      <end>24</end>
      <status>unmodified</status>
      <modifiedWord/>
      <trackRevisions>false</trackRevisions>
    </reviewItem>
    <reviewItem>
      <errorID>b462f83e-d4a7-4df2-bf6e-3c60b2d16bc9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2E724E39</paraID>
      <start>53</start>
      <end>54</end>
      <status>unmodified</status>
      <modifiedWord/>
      <trackRevisions>false</trackRevisions>
    </reviewItem>
    <reviewItem>
      <errorID>5c47d12e-f399-4a19-948b-4d1c80af71ce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597BB910</paraID>
      <start>0</start>
      <end>2</end>
      <status>unmodified</status>
      <modifiedWord/>
      <trackRevisions>false</trackRevisions>
    </reviewItem>
    <reviewItem>
      <errorID>3810ca45-2979-4d4d-8ea3-a7e7e209d86b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2F2AA8B0</paraID>
      <start>0</start>
      <end>2</end>
      <status>unmodified</status>
      <modifiedWord/>
      <trackRevisions>false</trackRevisions>
    </reviewItem>
    <reviewItem>
      <errorID>207b59a1-b0e8-4c3b-b417-843c110c2e58</errorID>
      <errorWord>海拔高度</errorWord>
      <group>L1_Word</group>
      <groupName>字词问题</groupName>
      <ability>L2_Typo</ability>
      <abilityName>字词错误</abilityName>
      <candidateList>
        <item>海拔</item>
      </candidateList>
      <explain/>
      <paraID>65BE6947</paraID>
      <start>0</start>
      <end>4</end>
      <status>unmodified</status>
      <modifiedWord/>
      <trackRevisions>false</trackRevisions>
    </reviewItem>
    <reviewItem>
      <errorID>1a70c266-c88d-4b87-be1f-9eb79a0ce06f</errorID>
      <errorWord>Vmppt</errorWord>
      <group>L1_English</group>
      <groupName>英文问题</groupName>
      <ability>L2_Spell</ability>
      <abilityName>拼写问题</abilityName>
      <candidateList>
        <item>Vmpp</item>
      </candidateList>
      <explain>疑似单词拼写有误，建议将Vmppt修改为Vmpp</explain>
      <paraID>21F9A74E</paraID>
      <start>4</start>
      <end>9</end>
      <status>unmodified</status>
      <modifiedWord/>
      <trackRevisions>false</trackRevisions>
    </reviewItem>
    <reviewItem>
      <errorID>e507a466-307c-4c50-827b-975ede1c3359</errorID>
      <errorWord>Imppt</errorWord>
      <group>L1_English</group>
      <groupName>英文问题</groupName>
      <ability>L2_Other_Grammar</ability>
      <abilityName>其他语法问题</abilityName>
      <candidateList>
        <item>Impedance</item>
      </candidateList>
      <explain>名词使用不当, 建议将Imppt修改为Impedance</explain>
      <paraID>2BEE3672</paraID>
      <start>4</start>
      <end>9</end>
      <status>unmodified</status>
      <modifiedWord/>
      <trackRevisions>false</trackRevisions>
    </reviewItem>
    <reviewItem>
      <errorID>0dd33f7b-b047-4bad-b473-0fb96228b535</errorID>
      <errorWord>&gt;</errorWord>
      <group>L1_Punc</group>
      <groupName>标点问题</groupName>
      <ability>L2_Punc_CN</ability>
      <abilityName>标点符号问题</abilityName>
      <candidateList/>
      <explain/>
      <paraID>421C60FB</paraID>
      <start>0</start>
      <end>1</end>
      <status>unmodified</status>
      <modifiedWord/>
      <trackRevisions>false</trackRevisions>
    </reviewItem>
    <reviewItem>
      <errorID>2e3d4fd1-2129-4b8a-928e-85a76af3b1b3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2C8DE2D</paraID>
      <start>0</start>
      <end>2</end>
      <status>unmodified</status>
      <modifiedWord/>
      <trackRevisions>false</trackRevisions>
    </reviewItem>
    <reviewItem>
      <errorID>4ec922e8-6e29-43e7-a724-db45abf7017e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123C6E88</paraID>
      <start>0</start>
      <end>2</end>
      <status>unmodified</status>
      <modifiedWord/>
      <trackRevisions>false</trackRevisions>
    </reviewItem>
    <reviewItem>
      <errorID>999f10b8-059b-47cd-8f89-73742ffaf53c</errorID>
      <errorWord>场</errorWord>
      <group>L1_Word</group>
      <groupName>字词问题</groupName>
      <ability>L2_Typo</ability>
      <abilityName>字词错误</abilityName>
      <candidateList>
        <item>厂</item>
      </candidateList>
      <explain/>
      <paraID> 68E2F05</paraID>
      <start>0</start>
      <end>1</end>
      <status>unmodified</status>
      <modifiedWord/>
      <trackRevisions>false</trackRevisions>
    </reviewItem>
    <reviewItem>
      <errorID>9294c188-b930-40fb-9699-7cb4842dc9c2</errorID>
      <errorWord>站站</errorWord>
      <group>L1_Word</group>
      <groupName>字词问题</groupName>
      <ability>L2_Typo</ability>
      <abilityName>字词错误</abilityName>
      <candidateList>
        <item>站</item>
      </candidateList>
      <explain/>
      <paraID>50EAF22C</paraID>
      <start>2</start>
      <end>4</end>
      <status>unmodified</status>
      <modifiedWord/>
      <trackRevisions>false</trackRevisions>
    </reviewItem>
    <reviewItem>
      <errorID>bdb4a845-f973-431f-bf44-dcbdac0d0581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5DE92259</paraID>
      <start>0</start>
      <end>2</end>
      <status>unmodified</status>
      <modifiedWord/>
      <trackRevisions>false</trackRevisions>
    </reviewItem>
    <reviewItem>
      <errorID>1bad7d8b-79a3-4150-a305-bba93a8ce1dd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304AFDF7</paraID>
      <start>0</start>
      <end>2</end>
      <status>unmodified</status>
      <modifiedWord/>
      <trackRevisions>false</trackRevisions>
    </reviewItem>
    <reviewItem>
      <errorID>5844bdbc-6666-4db7-be2c-de8755492174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4B53702F</paraID>
      <start>0</start>
      <end>2</end>
      <status>unmodified</status>
      <modifiedWord/>
      <trackRevisions>false</trackRevisions>
    </reviewItem>
    <reviewItem>
      <errorID>608fd46e-6024-4073-bd6d-3ee8cccbaf49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5418040F</paraID>
      <start>0</start>
      <end>2</end>
      <status>unmodified</status>
      <modifiedWord/>
      <trackRevisions>false</trackRevisions>
    </reviewItem>
    <reviewItem>
      <errorID>34b13736-2d5e-4e42-9bb7-6ad4f54e1eea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640F3BAD</paraID>
      <start>0</start>
      <end>2</end>
      <status>unmodified</status>
      <modifiedWord/>
      <trackRevisions>false</trackRevisions>
    </reviewItem>
    <reviewItem>
      <errorID>2f177a1a-9c60-487b-9430-a0fd3a86252c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72400E39</paraID>
      <start>0</start>
      <end>2</end>
      <status>unmodified</status>
      <modifiedWord/>
      <trackRevisions>false</trackRevisions>
    </reviewItem>
    <reviewItem>
      <errorID>ff18bb63-2eb9-48ee-8a1f-a907444c1aa8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72274A4D</paraID>
      <start>50</start>
      <end>51</end>
      <status>unmodified</status>
      <modifiedWord/>
      <trackRevisions>false</trackRevisions>
    </reviewItem>
    <reviewItem>
      <errorID>eae648cd-3519-44ad-ada2-ac0bddc9d722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362CDDEF</paraID>
      <start>0</start>
      <end>2</end>
      <status>unmodified</status>
      <modifiedWord/>
      <trackRevisions>false</trackRevisions>
    </reviewItem>
    <reviewItem>
      <errorID>a1fc1627-24df-4053-b521-54e45776ff5b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63FE2D75</paraID>
      <start>22</start>
      <end>23</end>
      <status>unmodified</status>
      <modifiedWord/>
      <trackRevisions>false</trackRevisions>
    </reviewItem>
    <reviewItem>
      <errorID>b25ca906-2b2c-40e1-ae3b-0d4b8fbb94ba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63FE2D75</paraID>
      <start>38</start>
      <end>39</end>
      <status>unmodified</status>
      <modifiedWord/>
      <trackRevisions>false</trackRevisions>
    </reviewItem>
    <reviewItem>
      <errorID>06e3fdff-aa2d-4940-9da5-d89bbdec9ed1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4F4F0403</paraID>
      <start>24</start>
      <end>27</end>
      <status>unmodified</status>
      <modifiedWord/>
      <trackRevisions>false</trackRevisions>
    </reviewItem>
    <reviewItem>
      <errorID>793c3611-f4d2-49e2-af36-302a57686aa6</errorID>
      <errorWord>群从</errorWord>
      <group>L1_Word</group>
      <groupName>字词问题</groupName>
      <ability>L2_Typo</ability>
      <abilityName>字词错误</abilityName>
      <candidateList>
        <item>群众</item>
      </candidateList>
      <explain/>
      <paraID>4049B362</paraID>
      <start>0</start>
      <end>2</end>
      <status>unmodified</status>
      <modifiedWord/>
      <trackRevisions>false</trackRevisions>
    </reviewItem>
    <reviewItem>
      <errorID>0ff60b3a-4902-46cb-b3ad-3ed18384840d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6404F3A</paraID>
      <start>0</start>
      <end>2</end>
      <status>unmodified</status>
      <modifiedWord/>
      <trackRevisions>false</trackRevisions>
    </reviewItem>
    <reviewItem>
      <errorID>9ebbb5cd-33f4-403d-b2c0-895c44a6287b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4A8C635A</paraID>
      <start>0</start>
      <end>2</end>
      <status>unmodified</status>
      <modifiedWord/>
      <trackRevisions>false</trackRevisions>
    </reviewItem>
    <reviewItem>
      <errorID>1d540758-93fc-4397-b5d5-c010d58cbb78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68835DC0</paraID>
      <start>0</start>
      <end>2</end>
      <status>unmodified</status>
      <modifiedWord/>
      <trackRevisions>false</trackRevisions>
    </reviewItem>
    <reviewItem>
      <errorID>24d1b601-941b-4df1-a575-27bd5a7f65f4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6FC6EA95</paraID>
      <start>0</start>
      <end>2</end>
      <status>unmodified</status>
      <modifiedWord/>
      <trackRevisions>false</trackRevisions>
    </reviewItem>
    <reviewItem>
      <errorID>e03e82f8-704e-4e83-8772-4f3de9ae9569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2A7447A7</paraID>
      <start>0</start>
      <end>2</end>
      <status>unmodified</status>
      <modifiedWord/>
      <trackRevisions>false</trackRevisions>
    </reviewItem>
    <reviewItem>
      <errorID>d1dd9376-0b87-4127-b9f8-5c82c9790bce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F6F7BC9</paraID>
      <start>0</start>
      <end>2</end>
      <status>unmodified</status>
      <modifiedWord/>
      <trackRevisions>false</trackRevisions>
    </reviewItem>
    <reviewItem>
      <errorID>5e4fe6a9-3be6-48d8-b368-4a1e9e0627d6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60A006A</paraID>
      <start>0</start>
      <end>2</end>
      <status>unmodified</status>
      <modifiedWord/>
      <trackRevisions>false</trackRevisions>
    </reviewItem>
    <reviewItem>
      <errorID>7bd07d6c-efd5-4732-9f90-1b9c17b48381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3D0FD96B</paraID>
      <start>0</start>
      <end>2</end>
      <status>unmodified</status>
      <modifiedWord/>
      <trackRevisions>false</trackRevisions>
    </reviewItem>
    <reviewItem>
      <errorID>d9421344-1529-4b2a-8ed5-1161a2bac1c9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327B89D3</paraID>
      <start>0</start>
      <end>2</end>
      <status>unmodified</status>
      <modifiedWord/>
      <trackRevisions>false</trackRevisions>
    </reviewItem>
    <reviewItem>
      <errorID>8d51b89c-d898-4268-9a60-e5f1f782cd02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1A50D4CE</paraID>
      <start>0</start>
      <end>2</end>
      <status>unmodified</status>
      <modifiedWord/>
      <trackRevisions>false</trackRevisions>
    </reviewItem>
    <reviewItem>
      <errorID>fb3ce17a-fb3a-481f-ace7-5f788a7063fd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14E46164</paraID>
      <start>0</start>
      <end>2</end>
      <status>unmodified</status>
      <modifiedWord/>
      <trackRevisions>false</trackRevisions>
    </reviewItem>
    <reviewItem>
      <errorID>85194693-ed8f-42f2-bf09-a39567fea85a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2B48A04C</paraID>
      <start>0</start>
      <end>2</end>
      <status>unmodified</status>
      <modifiedWord/>
      <trackRevisions>false</trackRevisions>
    </reviewItem>
    <reviewItem>
      <errorID>f9e68785-68db-40db-bdf5-33a2ccf62aef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2C1F9500</paraID>
      <start>0</start>
      <end>2</end>
      <status>unmodified</status>
      <modifiedWord/>
      <trackRevisions>false</trackRevisions>
    </reviewItem>
    <reviewItem>
      <errorID>4b862859-efbc-4339-aa28-de94f1debd0f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55C8E47F</paraID>
      <start>0</start>
      <end>2</end>
      <status>unmodified</status>
      <modifiedWord/>
      <trackRevisions>false</trackRevisions>
    </reviewItem>
    <reviewItem>
      <errorID>9d581a61-6c3c-46e9-bf8c-7e5298ccfad5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70F918A1</paraID>
      <start>0</start>
      <end>2</end>
      <status>unmodified</status>
      <modifiedWord/>
      <trackRevisions>false</trackRevisions>
    </reviewItem>
    <reviewItem>
      <errorID>12b9c368-c4f9-446b-9c51-f2f3e5ad7b5e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362D57CC</paraID>
      <start>0</start>
      <end>2</end>
      <status>unmodified</status>
      <modifiedWord/>
      <trackRevisions>false</trackRevisions>
    </reviewItem>
    <reviewItem>
      <errorID>61d3becc-a065-4ed0-9f72-b6af22082889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2D34CE58</paraID>
      <start>173</start>
      <end>174</end>
      <status>unmodified</status>
      <modifiedWord/>
      <trackRevisions>false</trackRevisions>
    </reviewItem>
    <reviewItem>
      <errorID>80a4dceb-43ff-4955-9446-ec8a15fa35f6</errorID>
      <errorWord>(</errorWord>
      <group>L1_Format</group>
      <groupName>格式问题</groupName>
      <ability>L2_HalfPunc_CN</ability>
      <abilityName>全半角问题</abilityName>
      <candidateList>
        <item>（</item>
      </candidateList>
      <explain>文本全半角错误。</explain>
      <paraID>2D34CE58</paraID>
      <start>432</start>
      <end>433</end>
      <status>unmodified</status>
      <modifiedWord/>
      <trackRevisions>false</trackRevisions>
    </reviewItem>
    <reviewItem>
      <errorID>6d00e80e-8141-40f6-98be-c941c6e817e7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566295C4</paraID>
      <start>60</start>
      <end>61</end>
      <status>unmodified</status>
      <modifiedWord/>
      <trackRevisions>false</trackRevisions>
    </reviewItem>
    <reviewItem>
      <errorID>6929ef69-6eab-497c-8315-fa93dbdb02d2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566295C4</paraID>
      <start>196</start>
      <end>197</end>
      <status>unmodified</status>
      <modifiedWord/>
      <trackRevisions>false</trackRevisions>
    </reviewItem>
    <reviewItem>
      <errorID>73a3c071-8993-492f-a02f-1a23f828f6be</errorID>
      <errorWord>(</errorWord>
      <group>L1_Format</group>
      <groupName>格式问题</groupName>
      <ability>L2_HalfPunc_CN</ability>
      <abilityName>全半角问题</abilityName>
      <candidateList>
        <item>（</item>
      </candidateList>
      <explain>文本全半角错误。</explain>
      <paraID>566295C4</paraID>
      <start>523</start>
      <end>524</end>
      <status>unmodified</status>
      <modifiedWord/>
      <trackRevisions>false</trackRevisions>
    </reviewItem>
    <reviewItem>
      <errorID>1db7c6d5-1ed7-43b8-b490-73f5e7467198</errorID>
      <errorWord>esculente</errorWord>
      <group>L1_English</group>
      <groupName>英文问题</groupName>
      <ability>L2_Spell</ability>
      <abilityName>拼写问题</abilityName>
      <candidateList>
        <item>esculenta</item>
      </candidateList>
      <explain>疑似单词拼写有误，建议将esculente修改为esculenta</explain>
      <paraID>20917334</paraID>
      <start>25</start>
      <end>34</end>
      <status>unmodified</status>
      <modifiedWord/>
      <trackRevisions>false</trackRevisions>
    </reviewItem>
    <reviewItem>
      <errorID>b036444d-17b3-4f4f-94ed-00a82eea02da</errorID>
      <errorWord>拔子</errorWord>
      <group>L1_Word</group>
      <groupName>字词问题</groupName>
      <ability>L2_Typo</ability>
      <abilityName>字词错误</abilityName>
      <candidateList>
        <item>栀子</item>
      </candidateList>
      <explain/>
      <paraID> 25AA76D</paraID>
      <start>1303</start>
      <end>1305</end>
      <status>unmodified</status>
      <modifiedWord/>
      <trackRevisions>false</trackRevisions>
    </reviewItem>
    <reviewItem>
      <errorID>376c54b5-cbdb-4b42-ae85-ac47785be0ad</errorID>
      <errorWord>根据对</errorWord>
      <group>L1_Word</group>
      <groupName>字词问题</groupName>
      <ability>L2_Typo</ability>
      <abilityName>字词错误</abilityName>
      <candidateList>
        <item>根据</item>
      </candidateList>
      <explain/>
      <paraID>1EB48645</paraID>
      <start>0</start>
      <end>3</end>
      <status>unmodified</status>
      <modifiedWord/>
      <trackRevisions>false</trackRevisions>
    </reviewItem>
    <reviewItem>
      <errorID>2acc5587-c895-4623-aab8-348aeb039fbb</errorID>
      <errorWord>下体</errorWord>
      <group>L1_Sensitive</group>
      <groupName>敏感问题</groupName>
      <ability>L2_Yellow</ability>
      <abilityName>涉黄内容</abilityName>
      <candidateList/>
      <explain>【涉黄词条】句中包含涉黄敏感词条，请注意甄别。</explain>
      <paraID>6AA4CEC2</paraID>
      <start>57</start>
      <end>59</end>
      <status>unmodified</status>
      <modifiedWord/>
      <trackRevisions>false</trackRevisions>
    </reviewItem>
    <reviewItem>
      <errorID>6ebb5fd7-63d9-46e3-a4cd-deb876beb2e2</errorID>
      <errorWord>下体</errorWord>
      <group>L1_Sensitive</group>
      <groupName>敏感问题</groupName>
      <ability>L2_Yellow</ability>
      <abilityName>涉黄内容</abilityName>
      <candidateList/>
      <explain>【涉黄词条】句中包含涉黄敏感词条，请注意甄别。</explain>
      <paraID>7EC148C1</paraID>
      <start>292</start>
      <end>294</end>
      <status>unmodified</status>
      <modifiedWord/>
      <trackRevisions>false</trackRevisions>
    </reviewItem>
    <reviewItem>
      <errorID>38d44360-baf1-41b7-9f20-9e8062be319c</errorID>
      <errorWord>主要与评价区的生境主要以农耕景观为主</errorWord>
      <group>L1_Grammar</group>
      <groupName>语法问题</groupName>
      <ability>L2_Grammar</ability>
      <abilityName>语法错误</abilityName>
      <candidateList>
        <item>与评价区的生境主要以农耕景观为主</item>
      </candidateList>
      <explain>该表达中的“主要与评价区的生境主要以农耕景观为主”存在语义重复。</explain>
      <paraID>2A0B9F79</paraID>
      <start>39</start>
      <end>57</end>
      <status>unmodified</status>
      <modifiedWord/>
      <trackRevisions>false</trackRevisions>
    </reviewItem>
    <reviewItem>
      <errorID>65118431-beec-4feb-b48e-5df0f38a686c</errorID>
      <errorWord>（</errorWord>
      <group>L1_Punc</group>
      <groupName>标点问题</groupName>
      <ability>L2_Punc_CN</ability>
      <abilityName>标点符号问题</abilityName>
      <candidateList/>
      <explain>同一形式括号套用。</explain>
      <paraID>79DFE033</paraID>
      <start>16</start>
      <end>17</end>
      <status>ignored</status>
      <modifiedWord/>
      <trackRevisions>false</trackRevisions>
    </reviewItem>
    <reviewItem>
      <errorID>7a27532e-12fd-4edf-abb6-ec2353b44c6a</errorID>
      <errorWord>）</errorWord>
      <group>L1_Punc</group>
      <groupName>标点问题</groupName>
      <ability>L2_Punc_CN</ability>
      <abilityName>标点符号问题</abilityName>
      <candidateList/>
      <explain>同一形式括号套用。</explain>
      <paraID>79DFE033</paraID>
      <start>18</start>
      <end>19</end>
      <status>ignored</status>
      <modifiedWord/>
      <trackRevisions>false</trackRevisions>
    </reviewItem>
    <reviewItem>
      <errorID>66da4746-b61c-47c4-9f62-373ac2a91c3e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2DD72D3E</paraID>
      <start>0</start>
      <end>2</end>
      <status>unmodified</status>
      <modifiedWord/>
      <trackRevisions>false</trackRevisions>
    </reviewItem>
    <reviewItem>
      <errorID>9e409aa8-f1ba-4eee-90bd-8c704e25ec1e</errorID>
      <errorWord>"</errorWord>
      <group>L1_Format</group>
      <groupName>格式问题</groupName>
      <ability>L2_HalfPunc_CN</ability>
      <abilityName>全半角问题</abilityName>
      <candidateList/>
      <explain>文本全半角错误。</explain>
      <paraID>7188A8C9</paraID>
      <start>89</start>
      <end>90</end>
      <status>unmodified</status>
      <modifiedWord/>
      <trackRevisions>false</trackRevisions>
    </reviewItem>
    <reviewItem>
      <errorID>9a0afa71-2eee-4dbd-ab39-2d8f1c4f46d8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7E68388E</paraID>
      <start>0</start>
      <end>2</end>
      <status>unmodified</status>
      <modifiedWord/>
      <trackRevisions>false</trackRevisions>
    </reviewItem>
    <reviewItem>
      <errorID>8f291e9c-3951-44f6-b773-fcbd5d6525e3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524D13F7</paraID>
      <start>0</start>
      <end>2</end>
      <status>unmodified</status>
      <modifiedWord/>
      <trackRevisions>false</trackRevisions>
    </reviewItem>
    <reviewItem>
      <errorID>41f2fb3d-ec17-4d4c-a7ee-aadce7d9a098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492CC085</paraID>
      <start>0</start>
      <end>2</end>
      <status>unmodified</status>
      <modifiedWord/>
      <trackRevisions>false</trackRevisions>
    </reviewItem>
    <reviewItem>
      <errorID>a2a20add-dda0-4af3-b2c4-76049cc104a1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4AB0D43</paraID>
      <start>48</start>
      <end>49</end>
      <status>ignored</status>
      <modifiedWord/>
      <trackRevisions>false</trackRevisions>
    </reviewItem>
    <reviewItem>
      <errorID>2592358a-4fef-4d50-9bd7-522c541d671f</errorID>
      <errorWord>)</errorWord>
      <group>L1_Format</group>
      <groupName>格式问题</groupName>
      <ability>L2_HalfPunc_CN</ability>
      <abilityName>全半角问题</abilityName>
      <candidateList>
        <item>）</item>
      </candidateList>
      <explain>文本全半角错误。</explain>
      <paraID> 99E535E</paraID>
      <start>61</start>
      <end>62</end>
      <status>unmodified</status>
      <modifiedWord/>
      <trackRevisions>false</trackRevisions>
    </reviewItem>
    <reviewItem>
      <errorID>e44a2d94-c54a-4697-9b66-01e11ab5a9a3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67A45CF2</paraID>
      <start>60</start>
      <end>61</end>
      <status>ignored</status>
      <modifiedWord/>
      <trackRevisions>false</trackRevisions>
    </reviewItem>
    <reviewItem>
      <errorID>d04a4b18-710e-4eb6-ba79-f9d10b313d41</errorID>
      <errorWord>无不</errorWord>
      <group>L1_Word</group>
      <groupName>字词问题</groupName>
      <ability>L2_Typo</ability>
      <abilityName>字词错误</abilityName>
      <candidateList>
        <item>无比</item>
      </candidateList>
      <explain>存在发音相近字词的误用。</explain>
      <paraID>5112E86B</paraID>
      <start>0</start>
      <end>2</end>
      <status>unmodified</status>
      <modifiedWord/>
      <trackRevisions>false</trackRevisions>
    </reviewItem>
    <reviewItem>
      <errorID>4de9dc21-98db-4d9a-bdf7-63b947f8f12e</errorID>
      <errorWord>无不</errorWord>
      <group>L1_Word</group>
      <groupName>字词问题</groupName>
      <ability>L2_Typo</ability>
      <abilityName>字词错误</abilityName>
      <candidateList>
        <item>无比</item>
      </candidateList>
      <explain>存在发音相近字词的误用。</explain>
      <paraID>300BD54D</paraID>
      <start>0</start>
      <end>2</end>
      <status>unmodified</status>
      <modifiedWord/>
      <trackRevisions>false</trackRevisions>
    </reviewItem>
    <reviewItem>
      <errorID>ce82f479-2844-4d6f-828e-fbbe4a3f683d</errorID>
      <errorWord>～</errorWord>
      <group>L1_Format</group>
      <groupName>格式问题</groupName>
      <ability>L2_HalfPunc_CN</ability>
      <abilityName>全半角问题</abilityName>
      <candidateList>
        <item>~</item>
      </candidateList>
      <explain>文本全半角错误。</explain>
      <paraID>601C27E0</paraID>
      <start>4</start>
      <end>5</end>
      <status>unmodified</status>
      <modifiedWord/>
      <trackRevisions>false</trackRevisions>
    </reviewItem>
    <reviewItem>
      <errorID>2d044259-a95d-4562-bafb-2f5186072c1e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5C1BC4EC</paraID>
      <start>38</start>
      <end>41</end>
      <status>unmodified</status>
      <modifiedWord/>
      <trackRevisions>false</trackRevisions>
    </reviewItem>
    <reviewItem>
      <errorID>22331a7b-44cf-444a-b0a0-72c701f23fae</errorID>
      <errorWord>导线对</errorWord>
      <group>L1_Word</group>
      <groupName>字词问题</groupName>
      <ability>L2_Typo</ability>
      <abilityName>字词错误</abilityName>
      <candidateList>
        <item>导线</item>
      </candidateList>
      <explain/>
      <paraID>1EED8274</paraID>
      <start>167</start>
      <end>170</end>
      <status>unmodified</status>
      <modifiedWord/>
      <trackRevisions>false</trackRevisions>
    </reviewItem>
    <reviewItem>
      <errorID>80f7ca3e-4c39-4dd0-8951-7c6e48ff0832</errorID>
      <errorWord>几率</errorWord>
      <group>L1_Word</group>
      <groupName>字词问题</groupName>
      <ability>L2_Typo</ability>
      <abilityName>字词错误</abilityName>
      <candidateList>
        <item>概率</item>
      </candidateList>
      <explain/>
      <paraID>1E3D3834</paraID>
      <start>295</start>
      <end>297</end>
      <status>unmodified</status>
      <modifiedWord/>
      <trackRevisions>false</trackRevisions>
    </reviewItem>
    <reviewItem>
      <errorID>f870bb26-6e80-43f3-a24c-17631577144c</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65DD714C</paraID>
      <start>46</start>
      <end>49</end>
      <status>unmodified</status>
      <modifiedWord/>
      <trackRevisions>false</trackRevisions>
    </reviewItem>
    <reviewItem>
      <errorID>03891bbb-c81d-4caa-9ee7-10f274228dd3</errorID>
      <errorWord>滥砍滥伐</errorWord>
      <group>L1_Word</group>
      <groupName>字词问题</groupName>
      <ability>L2_Typo</ability>
      <abilityName>字词错误</abilityName>
      <candidateList>
        <item>乱砍滥伐</item>
      </candidateList>
      <explain/>
      <paraID>581E4B41</paraID>
      <start>38</start>
      <end>42</end>
      <status>unmodified</status>
      <modifiedWord/>
      <trackRevisions>false</trackRevisions>
    </reviewItem>
    <reviewItem>
      <errorID>86a9a342-5182-41a8-81e2-6209f0ca6f64</errorID>
      <errorWord>程</errorWord>
      <group>L1_Word</group>
      <groupName>字词问题</groupName>
      <ability>L2_Typo</ability>
      <abilityName>字词错误</abilityName>
      <candidateList>
        <item>程中</item>
      </candidateList>
      <explain/>
      <paraID>319F3B31</paraID>
      <start>63</start>
      <end>64</end>
      <status>unmodified</status>
      <modifiedWord/>
      <trackRevisions>false</trackRevisions>
    </reviewItem>
    <reviewItem>
      <errorID>9779135c-3e20-4f62-9db5-7f10aa072329</errorID>
      <errorWord>沉砂池</errorWord>
      <group>L1_Word</group>
      <groupName>字词问题</groupName>
      <ability>L2_Typo</ability>
      <abilityName>字词错误</abilityName>
      <candidateList>
        <item>沉沙池</item>
      </candidateList>
      <explain>存在发音相同字词的误用。</explain>
      <paraID>5E3C58B3</paraID>
      <start>19</start>
      <end>22</end>
      <status>unmodified</status>
      <modifiedWord/>
      <trackRevisions>false</trackRevisions>
    </reviewItem>
    <reviewItem>
      <errorID>c73e776f-1bdf-4d45-acc9-e3f5bc78b2db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328A49E9</paraID>
      <start>0</start>
      <end>2</end>
      <status>unmodified</status>
      <modifiedWord/>
      <trackRevisions>false</trackRevisions>
    </reviewItem>
    <reviewItem>
      <errorID>64358335-fe43-490c-a501-39b2d85157e6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31385E10</paraID>
      <start>0</start>
      <end>2</end>
      <status>unmodified</status>
      <modifiedWord/>
      <trackRevisions>false</trackRevisions>
    </reviewItem>
    <reviewItem>
      <errorID>4aef15b6-d34a-49e7-ac74-d7c63e6934c6</errorID>
      <errorWord>程</errorWord>
      <group>L1_Word</group>
      <groupName>字词问题</groupName>
      <ability>L2_Typo</ability>
      <abilityName>字词错误</abilityName>
      <candidateList>
        <item>程中</item>
      </candidateList>
      <explain/>
      <paraID>2A8872B7</paraID>
      <start>10</start>
      <end>11</end>
      <status>unmodified</status>
      <modifiedWord/>
      <trackRevisions>false</trackRevisions>
    </reviewItem>
    <reviewItem>
      <errorID>2da209fa-9602-4980-b0e0-1a7a6355df64</errorID>
      <errorWord>程</errorWord>
      <group>L1_Word</group>
      <groupName>字词问题</groupName>
      <ability>L2_Typo</ability>
      <abilityName>字词错误</abilityName>
      <candidateList>
        <item>程中</item>
      </candidateList>
      <explain/>
      <paraID>7C7288B8</paraID>
      <start>148</start>
      <end>149</end>
      <status>unmodified</status>
      <modifiedWord/>
      <trackRevisions>false</trackRevisions>
    </reviewItem>
    <reviewItem>
      <errorID>979b64df-da6e-4b97-9316-b52ece101a74</errorID>
      <errorWord>期</errorWord>
      <group>L1_Word</group>
      <groupName>字词问题</groupName>
      <ability>L2_Typo</ability>
      <abilityName>字词错误</abilityName>
      <candidateList>
        <item>期间</item>
      </candidateList>
      <explain/>
      <paraID>23B55B1C</paraID>
      <start>100</start>
      <end>101</end>
      <status>unmodified</status>
      <modifiedWord/>
      <trackRevisions>false</trackRevisions>
    </reviewItem>
    <reviewItem>
      <errorID>24df1412-e35f-4476-aca7-961d7ad03f50</errorID>
      <errorWord>、</errorWord>
      <group>L1_Punc</group>
      <groupName>标点问题</groupName>
      <ability>L2_Punc_CN</ability>
      <abilityName>标点符号问题</abilityName>
      <candidateList>
        <item>.</item>
      </candidateList>
      <explain/>
      <paraID>6E72E4B2</paraID>
      <start>1</start>
      <end>2</end>
      <status>unmodified</status>
      <modifiedWord/>
      <trackRevisions>false</trackRevisions>
    </reviewItem>
    <reviewItem>
      <errorID>592ac50d-e760-4d5b-ad02-51edf32797d0</errorID>
      <errorWord>、</errorWord>
      <group>L1_Punc</group>
      <groupName>标点问题</groupName>
      <ability>L2_Punc_CN</ability>
      <abilityName>标点符号问题</abilityName>
      <candidateList>
        <item>.</item>
      </candidateList>
      <explain/>
      <paraID>16B97D9C</paraID>
      <start>1</start>
      <end>2</end>
      <status>unmodified</status>
      <modifiedWord/>
      <trackRevisions>false</trackRevisions>
    </reviewItem>
    <reviewItem>
      <errorID>da174c59-eb59-41e0-9f72-b4cec5395654</errorID>
      <errorWord>）</errorWord>
      <group>L1_Format</group>
      <groupName>格式问题</groupName>
      <ability>L2_HalfPunc_CN</ability>
      <abilityName>全半角问题</abilityName>
      <candidateList>
        <item>)</item>
      </candidateList>
      <explain>文本全半角错误。</explain>
      <paraID>3590D234</paraID>
      <start>94</start>
      <end>95</end>
      <status>unmodified</status>
      <modifiedWord/>
      <trackRevisions>false</trackRevisions>
    </reviewItem>
    <reviewItem>
      <errorID>d8b8c805-15ad-4b65-a089-6eb035bce082</errorID>
      <errorWord>(</errorWord>
      <group>L1_Format</group>
      <groupName>格式问题</groupName>
      <ability>L2_HalfPunc_CN</ability>
      <abilityName>全半角问题</abilityName>
      <candidateList>
        <item>（</item>
      </candidateList>
      <explain>文本全半角错误。</explain>
      <paraID>3590D234</paraID>
      <start>103</start>
      <end>104</end>
      <status>unmodified</status>
      <modifiedWord/>
      <trackRevisions>false</trackRevisions>
    </reviewItem>
    <reviewItem>
      <errorID>18fbbe27-43bf-40a6-879e-35cc21aa74ef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1CAA4E1</paraID>
      <start>82</start>
      <end>83</end>
      <status>unmodified</status>
      <modifiedWord/>
      <trackRevisions>false</trackRevisions>
    </reviewItem>
    <reviewItem>
      <errorID>5bae73ea-d05b-4045-bb83-6668384dcc78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1CAA4E1</paraID>
      <start>121</start>
      <end>122</end>
      <status>unmodified</status>
      <modifiedWord/>
      <trackRevisions>false</trackRevisions>
    </reviewItem>
    <reviewItem>
      <errorID>947df806-e779-4747-b503-fbf85e559c87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53172AE3</paraID>
      <start>184</start>
      <end>185</end>
      <status>unmodified</status>
      <modifiedWord/>
      <trackRevisions>false</trackRevisions>
    </reviewItem>
    <reviewItem>
      <errorID>923bef53-c80b-4920-b294-3ffab3829680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53172AE3</paraID>
      <start>223</start>
      <end>224</end>
      <status>unmodified</status>
      <modifiedWord/>
      <trackRevisions>false</trackRevisions>
    </reviewItem>
    <reviewItem>
      <errorID>6df84bea-29fb-459b-b4ec-4cce7c30cd31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1F33EB3E</paraID>
      <start>36</start>
      <end>37</end>
      <status>unmodified</status>
      <modifiedWord/>
      <trackRevisions>false</trackRevisions>
    </reviewItem>
    <reviewItem>
      <errorID>aa042ae2-82bf-49f2-97b1-d3975f45ac4f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1F33EB3E</paraID>
      <start>88</start>
      <end>89</end>
      <status>unmodified</status>
      <modifiedWord/>
      <trackRevisions>false</trackRevisions>
    </reviewItem>
    <reviewItem>
      <errorID>ae1b3038-85f7-4d10-bdf0-e09eab81e187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3156D6FD</paraID>
      <start>77</start>
      <end>78</end>
      <status>unmodified</status>
      <modifiedWord/>
      <trackRevisions>false</trackRevisions>
    </reviewItem>
    <reviewItem>
      <errorID>4c952513-a497-4e49-bd53-25a24da7923b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3156D6FD</paraID>
      <start>116</start>
      <end>117</end>
      <status>unmodified</status>
      <modifiedWord/>
      <trackRevisions>false</trackRevisions>
    </reviewItem>
    <reviewItem>
      <errorID>9ebb1305-8052-40ba-be87-04d241434119</errorID>
      <errorWord>，</errorWord>
      <group>L1_Word</group>
      <groupName>字词问题</groupName>
      <ability>L2_Typo</ability>
      <abilityName>字词错误</abilityName>
      <candidateList>
        <item>，在</item>
      </candidateList>
      <explain/>
      <paraID>3156D6FD</paraID>
      <start>165</start>
      <end>166</end>
      <status>unmodified</status>
      <modifiedWord/>
      <trackRevisions>false</trackRevisions>
    </reviewItem>
    <reviewItem>
      <errorID>4cb16be6-a0a4-4443-b082-d16b02a7e928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758FC362</paraID>
      <start>82</start>
      <end>83</end>
      <status>unmodified</status>
      <modifiedWord/>
      <trackRevisions>false</trackRevisions>
    </reviewItem>
    <reviewItem>
      <errorID>2596c071-afb1-49f4-8dc5-05cf6661f665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758FC362</paraID>
      <start>121</start>
      <end>122</end>
      <status>unmodified</status>
      <modifiedWord/>
      <trackRevisions>false</trackRevisions>
    </reviewItem>
    <reviewItem>
      <errorID>780aa47d-4405-41a9-a04b-5380926132bb</errorID>
      <errorWord>（</errorWord>
      <group>L1_Punc</group>
      <groupName>标点问题</groupName>
      <ability>L2_Punc_CN</ability>
      <abilityName>标点符号问题</abilityName>
      <candidateList/>
      <explain>同一形式括号套用。</explain>
      <paraID>7C336547</paraID>
      <start>37</start>
      <end>38</end>
      <status>ignored</status>
      <modifiedWord/>
      <trackRevisions>false</trackRevisions>
    </reviewItem>
    <reviewItem>
      <errorID>ccc555bb-b0b7-4430-b56b-5f81a9b74bac</errorID>
      <errorWord>）</errorWord>
      <group>L1_Punc</group>
      <groupName>标点问题</groupName>
      <ability>L2_Punc_CN</ability>
      <abilityName>标点符号问题</abilityName>
      <candidateList/>
      <explain>同一形式括号套用。</explain>
      <paraID>7C336547</paraID>
      <start>39</start>
      <end>40</end>
      <status>ignored</status>
      <modifiedWord/>
      <trackRevisions>false</trackRevisions>
    </reviewItem>
    <reviewItem>
      <errorID>39bed4c7-6dce-4fad-bd50-dfff6458d29d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6A2FC5F2</paraID>
      <start>0</start>
      <end>2</end>
      <status>unmodified</status>
      <modifiedWord/>
      <trackRevisions>false</trackRevisions>
    </reviewItem>
    <reviewItem>
      <errorID>d6b0d413-ca3b-4739-980e-aa0b3133f4c6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7E1A26BF</paraID>
      <start>0</start>
      <end>2</end>
      <status>unmodified</status>
      <modifiedWord/>
      <trackRevisions>false</trackRevisions>
    </reviewItem>
    <reviewItem>
      <errorID>6ee8086b-efcd-4c9e-8ac2-c24c5b072a16</errorID>
      <errorWord>森林防火条例</errorWord>
      <group>L1_Knowledge</group>
      <groupName>知识性问题</groupName>
      <ability>L2_Knowledge</ability>
      <abilityName>其他知识</abilityName>
      <candidateList/>
      <explain>该法规已废止，请注意检查引用是否正确。</explain>
      <paraID>37D530C6</paraID>
      <start>97</start>
      <end>103</end>
      <status>unmodified</status>
      <modifiedWord/>
      <trackRevisions>false</trackRevisions>
    </reviewItem>
    <reviewItem>
      <errorID>15f62c59-2e54-4112-85bf-7cf722b7eeb5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56DE87D4</paraID>
      <start>0</start>
      <end>2</end>
      <status>unmodified</status>
      <modifiedWord/>
      <trackRevisions>false</trackRevisions>
    </reviewItem>
    <reviewItem>
      <errorID>f810c97e-5c54-4c75-ac13-715438e44091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27B38BCB</paraID>
      <start>0</start>
      <end>2</end>
      <status>unmodified</status>
      <modifiedWord/>
      <trackRevisions>false</trackRevisions>
    </reviewItem>
    <reviewItem>
      <errorID>dba7f117-d58e-4c1e-8ed6-74a29d7a7e01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53346877</paraID>
      <start>157</start>
      <end>158</end>
      <status>unmodified</status>
      <modifiedWord/>
      <trackRevisions>false</trackRevisions>
    </reviewItem>
    <reviewItem>
      <errorID>bbc94c71-c0f6-4952-b1fd-637f447ee4c1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53346877</paraID>
      <start>342</start>
      <end>343</end>
      <status>ignored</status>
      <modifiedWord/>
      <trackRevisions>false</trackRevisions>
    </reviewItem>
    <reviewItem>
      <errorID>f0484e45-1076-4578-8175-a826e498d056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4F7A19DF</paraID>
      <start>123</start>
      <end>124</end>
      <status>ignored</status>
      <modifiedWord/>
      <trackRevisions>false</trackRevisions>
    </reviewItem>
    <reviewItem>
      <errorID>9489f7bc-c2aa-4276-8fd5-31cca1a127da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4F7A19DF</paraID>
      <start>308</start>
      <end>309</end>
      <status>unmodified</status>
      <modifiedWord/>
      <trackRevisions>false</trackRevisions>
    </reviewItem>
    <reviewItem>
      <errorID>73d2b6c3-66b9-410e-a106-961d442d625a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3AD0117E</paraID>
      <start>110</start>
      <end>111</end>
      <status>unmodified</status>
      <modifiedWord/>
      <trackRevisions>false</trackRevisions>
    </reviewItem>
    <reviewItem>
      <errorID>cf6fef03-2a78-4a63-80c8-9a6cfbc860ed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436C08B4</paraID>
      <start>723</start>
      <end>724</end>
      <status>unmodified</status>
      <modifiedWord/>
      <trackRevisions>false</trackRevisions>
    </reviewItem>
    <reviewItem>
      <errorID>d072fe88-525e-4b6b-9792-c980de8fb3b3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37EF63E3</paraID>
      <start>11</start>
      <end>12</end>
      <status>unmodified</status>
      <modifiedWord/>
      <trackRevisions>false</trackRevisions>
    </reviewItem>
    <reviewItem>
      <errorID>7e7e661f-536b-46aa-a040-6da4cacd5d71</errorID>
      <errorWord>工程</errorWord>
      <group>L1_Word</group>
      <groupName>字词问题</groupName>
      <ability>L2_Typo</ability>
      <abilityName>字词错误</abilityName>
      <candidateList>
        <item>过程</item>
      </candidateList>
      <explain/>
      <paraID>7C336549</paraID>
      <start>34</start>
      <end>36</end>
      <status>unmodified</status>
      <modifiedWord/>
      <trackRevisions>false</trackRevisions>
    </reviewItem>
    <reviewItem>
      <errorID>423a8c6b-958f-4c38-ba14-4072bd12b139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516DBEED</paraID>
      <start>0</start>
      <end>2</end>
      <status>unmodified</status>
      <modifiedWord/>
      <trackRevisions>false</trackRevisions>
    </reviewItem>
    <reviewItem>
      <errorID>d8c9f31f-a526-4d69-bd58-c4028e392e52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67D5C761</paraID>
      <start>48</start>
      <end>49</end>
      <status>ignored</status>
      <modifiedWord/>
      <trackRevisions>false</trackRevisions>
    </reviewItem>
    <reviewItem>
      <errorID>59a9c361-e8f8-46a2-9277-2b2caf346798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7C026162</paraID>
      <start>0</start>
      <end>2</end>
      <status>unmodified</status>
      <modifiedWord/>
      <trackRevisions>false</trackRevisions>
    </reviewItem>
    <reviewItem>
      <errorID>2cbb0137-c1e8-42ec-be43-2664c64a7b19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24C440F</paraID>
      <start>175</start>
      <end>176</end>
      <status>unmodified</status>
      <modifiedWord/>
      <trackRevisions>false</trackRevisions>
    </reviewItem>
    <reviewItem>
      <errorID>48efb516-a36e-41a5-9eb6-68e3e3d4f390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24C440F</paraID>
      <start>214</start>
      <end>215</end>
      <status>unmodified</status>
      <modifiedWord/>
      <trackRevisions>false</trackRevisions>
    </reviewItem>
    <reviewItem>
      <errorID>cdd930d2-95b2-49fa-9684-51c038a5647e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2B513D36</paraID>
      <start>81</start>
      <end>82</end>
      <status>unmodified</status>
      <modifiedWord/>
      <trackRevisions>false</trackRevisions>
    </reviewItem>
    <reviewItem>
      <errorID>a7288649-3afe-4d3c-a752-d69b7a60ddc1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2B513D36</paraID>
      <start>120</start>
      <end>121</end>
      <status>unmodified</status>
      <modifiedWord/>
      <trackRevisions>false</trackRevisions>
    </reviewItem>
    <reviewItem>
      <errorID>02d73027-3f00-4c0f-8446-529005f43f89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4FFA7F52</paraID>
      <start>95</start>
      <end>96</end>
      <status>unmodified</status>
      <modifiedWord/>
      <trackRevisions>false</trackRevisions>
    </reviewItem>
    <reviewItem>
      <errorID>77b8b0e3-441c-48c9-afe9-df7baf4c53e8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247C4D59</paraID>
      <start>33</start>
      <end>36</end>
      <status>unmodified</status>
      <modifiedWord/>
      <trackRevisions>false</trackRevisions>
    </reviewItem>
    <reviewItem>
      <errorID>f1a37656-3a79-4a8a-8f53-02c1cc9eecda</errorID>
      <errorWord>，</errorWord>
      <group>L1_Word</group>
      <groupName>字词问题</groupName>
      <ability>L2_Typo</ability>
      <abilityName>字词错误</abilityName>
      <candidateList>
        <item>，在</item>
      </candidateList>
      <explain/>
      <paraID>1A3E6CE6</paraID>
      <start>27</start>
      <end>28</end>
      <status>unmodified</status>
      <modifiedWord/>
      <trackRevisions>false</trackRevisions>
    </reviewItem>
    <reviewItem>
      <errorID>eba730a6-9320-4b97-87a9-d535fee9dbe7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5BA2B183</paraID>
      <start>0</start>
      <end>2</end>
      <status>unmodified</status>
      <modifiedWord/>
      <trackRevisions>false</trackRevisions>
    </reviewItem>
    <reviewItem>
      <errorID>9720a0ac-826a-423d-99f1-2a98e65f3baa</errorID>
      <errorWord>森林防火条例</errorWord>
      <group>L1_Knowledge</group>
      <groupName>知识性问题</groupName>
      <ability>L2_Knowledge</ability>
      <abilityName>其他知识</abilityName>
      <candidateList/>
      <explain>该法规已废止，请注意检查引用是否正确。</explain>
      <paraID>2890CAB3</paraID>
      <start>97</start>
      <end>103</end>
      <status>unmodified</status>
      <modifiedWord/>
      <trackRevisions>false</trackRevisions>
    </reviewItem>
    <reviewItem>
      <errorID>b11ec530-93a1-49e8-8df4-0e3a2a1ea0ae</errorID>
      <errorWord>滥砍滥伐</errorWord>
      <group>L1_Word</group>
      <groupName>字词问题</groupName>
      <ability>L2_Typo</ability>
      <abilityName>字词错误</abilityName>
      <candidateList>
        <item>乱砍滥伐</item>
      </candidateList>
      <explain/>
      <paraID>4BBE73CE</paraID>
      <start>34</start>
      <end>38</end>
      <status>unmodified</status>
      <modifiedWord/>
      <trackRevisions>false</trackRevisions>
    </reviewItem>
    <reviewItem>
      <errorID>9fb3dbd6-92e8-4639-95ae-b1a27313ca8c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486CAD1A</paraID>
      <start>29</start>
      <end>30</end>
      <status>unmodified</status>
      <modifiedWord/>
      <trackRevisions>false</trackRevisions>
    </reviewItem>
    <reviewItem>
      <errorID>949aed30-118e-40fd-b3e8-0d1c3948ab31</errorID>
      <errorWord>荫</errorWord>
      <group>L1_Word</group>
      <groupName>字词问题</groupName>
      <ability>L2_Typo</ability>
      <abilityName>字词错误</abilityName>
      <candidateList>
        <item>阴</item>
      </candidateList>
      <explain>存在发音相同字词的误用。</explain>
      <paraID>46F37AF1</paraID>
      <start>26</start>
      <end>27</end>
      <status>unmodified</status>
      <modifiedWord/>
      <trackRevisions>false</trackRevisions>
    </reviewItem>
    <reviewItem>
      <errorID>f3b4fc57-95a4-4275-83f4-5b540c5b6aa3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7928B4AA</paraID>
      <start>77</start>
      <end>78</end>
      <status>unmodified</status>
      <modifiedWord/>
      <trackRevisions>false</trackRevisions>
    </reviewItem>
    <reviewItem>
      <errorID>f8f4412d-cfc7-437a-bb7c-6d37833ed1bc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7928B4AA</paraID>
      <start>116</start>
      <end>117</end>
      <status>unmodified</status>
      <modifiedWord/>
      <trackRevisions>false</trackRevisions>
    </reviewItem>
    <reviewItem>
      <errorID>40f42bae-a316-483f-bd45-544af306600a</errorID>
      <errorWord>年1月1日施行</errorWord>
      <group>L1_Word</group>
      <groupName>字词问题</groupName>
      <ability>L2_Typo</ability>
      <abilityName>字词错误</abilityName>
      <candidateList>
        <item>年1月1日起施行</item>
      </candidateList>
      <explain/>
      <paraID>5995C0EA</paraID>
      <start>22</start>
      <end>29</end>
      <status>unmodified</status>
      <modifiedWord/>
      <trackRevisions>false</trackRevisions>
    </reviewItem>
    <reviewItem>
      <errorID>5a3a2e32-5c97-481f-802c-6e8f47a678aa</errorID>
      <errorWord>年1月1日施行</errorWord>
      <group>L1_Word</group>
      <groupName>字词问题</groupName>
      <ability>L2_Typo</ability>
      <abilityName>字词错误</abilityName>
      <candidateList>
        <item>年1月1日起施行</item>
      </candidateList>
      <explain/>
      <paraID>153FD021</paraID>
      <start>45</start>
      <end>52</end>
      <status>unmodified</status>
      <modifiedWord/>
      <trackRevisions>false</trackRevisions>
    </reviewItem>
    <reviewItem>
      <errorID>f31fa1b7-42c5-4674-b017-14512e33025b</errorID>
      <errorWord>月1日施行</errorWord>
      <group>L1_Word</group>
      <groupName>字词问题</groupName>
      <ability>L2_Typo</ability>
      <abilityName>字词错误</abilityName>
      <candidateList>
        <item>月1日起施行</item>
      </candidateList>
      <explain/>
      <paraID>731EABC2</paraID>
      <start>42</start>
      <end>47</end>
      <status>unmodified</status>
      <modifiedWord/>
      <trackRevisions>false</trackRevisions>
    </reviewItem>
    <reviewItem>
      <errorID>8e04df81-f695-4623-abc0-45cd6007e3c6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3E155581</paraID>
      <start>0</start>
      <end>2</end>
      <status>unmodified</status>
      <modifiedWord/>
      <trackRevisions>false</trackRevisions>
    </reviewItem>
    <reviewItem>
      <errorID>cb2f431e-90b5-49d1-a0a3-27ca41a9bde1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8DB7512</paraID>
      <start>0</start>
      <end>2</end>
      <status>unmodified</status>
      <modifiedWord/>
      <trackRevisions>false</trackRevisions>
    </reviewItem>
    <reviewItem>
      <errorID>c26d5ad1-f77e-4399-b8f9-5ae8f42a4d26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5482E159</paraID>
      <start>0</start>
      <end>2</end>
      <status>unmodified</status>
      <modifiedWord/>
      <trackRevisions>false</trackRevisions>
    </reviewItem>
    <reviewItem>
      <errorID>a42f9d10-549d-4d8f-aea7-2c85ed84fd32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1B7BF042</paraID>
      <start>161</start>
      <end>162</end>
      <status>unmodified</status>
      <modifiedWord/>
      <trackRevisions>false</trackRevisions>
    </reviewItem>
    <reviewItem>
      <errorID>8614e1ea-a68f-44e3-95ac-cca45c8e2a6e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1B7BF042</paraID>
      <start>213</start>
      <end>214</end>
      <status>unmodified</status>
      <modifiedWord/>
      <trackRevisions>false</trackRevisions>
    </reviewItem>
    <reviewItem>
      <errorID>ea4b941a-ffc7-4a95-b6a0-6241be524ccf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52680D08</paraID>
      <start>0</start>
      <end>2</end>
      <status>unmodified</status>
      <modifiedWord/>
      <trackRevisions>false</trackRevisions>
    </reviewItem>
    <reviewItem>
      <errorID>8f97c66f-9c82-4498-a16c-e1c8bac876cf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39E122D5</paraID>
      <start>0</start>
      <end>2</end>
      <status>unmodified</status>
      <modifiedWord/>
      <trackRevisions>false</trackRevisions>
    </reviewItem>
    <reviewItem>
      <errorID>a4b33fdd-1ae7-4f3b-8965-d478c9f86d6b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728D1301</paraID>
      <start>0</start>
      <end>2</end>
      <status>unmodified</status>
      <modifiedWord/>
      <trackRevisions>false</trackRevisions>
    </reviewItem>
    <reviewItem>
      <errorID>bbee98bf-7d65-481b-9571-8338815ba140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78641473</paraID>
      <start>0</start>
      <end>2</end>
      <status>unmodified</status>
      <modifiedWord/>
      <trackRevisions>false</trackRevisions>
    </reviewItem>
    <reviewItem>
      <errorID>bc9bd42f-a4f5-4515-b875-a52d10c7a784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29FDBE49</paraID>
      <start>0</start>
      <end>2</end>
      <status>unmodified</status>
      <modifiedWord/>
      <trackRevisions>false</trackRevisions>
    </reviewItem>
    <reviewItem>
      <errorID>8abc1ce8-0816-4208-94e1-49887ba6aac5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4FAE41D1</paraID>
      <start>0</start>
      <end>2</end>
      <status>unmodified</status>
      <modifiedWord/>
      <trackRevisions>false</trackRevisions>
    </reviewItem>
    <reviewItem>
      <errorID>f96f3147-a863-4453-80a1-42e640cf14ac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305C2AC4</paraID>
      <start>0</start>
      <end>2</end>
      <status>unmodified</status>
      <modifiedWord/>
      <trackRevisions>false</trackRevisions>
    </reviewItem>
    <reviewItem>
      <errorID>3514373c-3ed3-4652-923c-defcb79e9c3e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594384F1</paraID>
      <start>0</start>
      <end>2</end>
      <status>unmodified</status>
      <modifiedWord/>
      <trackRevisions>false</trackRevisions>
    </reviewItem>
    <reviewItem>
      <errorID>1990a564-4383-42f1-8be1-722bedb9b337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3230AC14</paraID>
      <start>0</start>
      <end>2</end>
      <status>unmodified</status>
      <modifiedWord/>
      <trackRevisions>false</trackRevisions>
    </reviewItem>
    <reviewItem>
      <errorID>d4180875-a8a7-44fc-b37b-55a41b528e84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3ECEEF4F</paraID>
      <start>0</start>
      <end>2</end>
      <status>unmodified</status>
      <modifiedWord/>
      <trackRevisions>false</trackRevisions>
    </reviewItem>
    <reviewItem>
      <errorID>8aeadf69-af8b-41e5-999b-8ec97e191b2d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251857EF</paraID>
      <start>0</start>
      <end>2</end>
      <status>unmodified</status>
      <modifiedWord/>
      <trackRevisions>false</trackRevisions>
    </reviewItem>
    <reviewItem>
      <errorID>93cc1f60-afed-467d-a0d5-fda7c11a02cd</errorID>
      <errorWord>，</errorWord>
      <group>L1_Word</group>
      <groupName>字词问题</groupName>
      <ability>L2_Typo</ability>
      <abilityName>字词错误</abilityName>
      <candidateList>
        <item>，在</item>
      </candidateList>
      <explain/>
      <paraID>251857EF</paraID>
      <start>27</start>
      <end>28</end>
      <status>unmodified</status>
      <modifiedWord/>
      <trackRevisions>false</trackRevisions>
    </reviewItem>
    <reviewItem>
      <errorID>756bbf66-8c12-494e-80d5-75c6eba4b674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13518FF</paraID>
      <start>0</start>
      <end>2</end>
      <status>unmodified</status>
      <modifiedWord/>
      <trackRevisions>false</trackRevisions>
    </reviewItem>
    <reviewItem>
      <errorID>8065d268-012f-44b4-a231-f3b46bdc2d08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639702A7</paraID>
      <start>0</start>
      <end>2</end>
      <status>unmodified</status>
      <modifiedWord/>
      <trackRevisions>false</trackRevisions>
    </reviewItem>
    <reviewItem>
      <errorID>5dedba7a-cc5a-4901-b65e-ff145aedfa89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90E4BD3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fe9923-6e7f-4edf-b90e-2947f00e060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211</Pages>
  <Words>41322</Words>
  <Characters>43241</Characters>
  <Lines>1</Lines>
  <Paragraphs>1</Paragraphs>
  <TotalTime>11</TotalTime>
  <ScaleCrop>false</ScaleCrop>
  <LinksUpToDate>false</LinksUpToDate>
  <CharactersWithSpaces>43492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2021-04-15T09:27:00Z</dcterms:created>
  <dc:creator>lhj</dc:creator>
  <cp:lastModifiedBy>郭丽娜</cp:lastModifiedBy>
  <cp:lastPrinted>2026-05-06T10:00:00Z</cp:lastPrinted>
  <dcterms:modified xsi:type="dcterms:W3CDTF">2026-08-12T03:17:26Z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0E1F01B5426A4547B93BDD7EECACEE1D_13</vt:lpwstr>
  </property>
  <property fmtid="{D5CDD505-2E9C-101B-9397-08002B2CF9AE}" pid="4" name="commondata">
    <vt:lpwstr>eyJoZGlkIjoiZDFhNTI4ZGUxZjc0NDM3OTM5OWUyZjRlOTAzMDE2ZDAifQ==</vt:lpwstr>
  </property>
  <property fmtid="{D5CDD505-2E9C-101B-9397-08002B2CF9AE}" pid="5" name="KSOTemplateDocerSaveRecord">
    <vt:lpwstr>eyJoZGlkIjoiYTA0OTFiNTllN2E3YTc2MDc5ZTIwYTg0ZjFlZjFlMWQiLCJ1c2VySWQiOiIzNzMyMDUyODEifQ==</vt:lpwstr>
  </property>
</Properties>
</file>