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0" w:type="auto"/>
        <w:tblInd w:w="-208" w:type="dxa"/>
        <w:tblLayout w:type="fixed"/>
        <w:tblCellMar>
          <w:top w:w="0" w:type="dxa"/>
          <w:left w:w="108" w:type="dxa"/>
          <w:bottom w:w="0" w:type="dxa"/>
          <w:right w:w="108" w:type="dxa"/>
        </w:tblCellMar>
      </w:tblPr>
      <w:tblGrid>
        <w:gridCol w:w="1756"/>
        <w:gridCol w:w="2246"/>
        <w:gridCol w:w="1276"/>
        <w:gridCol w:w="1559"/>
        <w:gridCol w:w="1276"/>
        <w:gridCol w:w="1701"/>
      </w:tblGrid>
      <w:tr w14:paraId="64A856F1">
        <w:tblPrEx>
          <w:tblCellMar>
            <w:top w:w="0" w:type="dxa"/>
            <w:left w:w="108" w:type="dxa"/>
            <w:bottom w:w="0" w:type="dxa"/>
            <w:right w:w="108" w:type="dxa"/>
          </w:tblCellMar>
        </w:tblPrEx>
        <w:trPr>
          <w:trHeight w:val="571" w:hRule="atLeast"/>
        </w:trPr>
        <w:tc>
          <w:tcPr>
            <w:tcW w:w="1756" w:type="dxa"/>
            <w:tcBorders>
              <w:top w:val="single" w:color="auto" w:sz="4" w:space="0"/>
              <w:left w:val="single" w:color="auto" w:sz="4" w:space="0"/>
              <w:bottom w:val="single" w:color="auto" w:sz="4" w:space="0"/>
              <w:right w:val="single" w:color="auto" w:sz="4" w:space="0"/>
            </w:tcBorders>
            <w:shd w:val="clear" w:color="auto" w:fill="C0C0C0"/>
            <w:vAlign w:val="center"/>
          </w:tcPr>
          <w:p w14:paraId="41EAAC26">
            <w:pPr>
              <w:widowControl/>
              <w:spacing w:line="280" w:lineRule="exact"/>
              <w:jc w:val="left"/>
              <w:rPr>
                <w:rFonts w:ascii="宋体"/>
                <w:kern w:val="0"/>
                <w:sz w:val="24"/>
                <w:szCs w:val="24"/>
              </w:rPr>
            </w:pPr>
            <w:bookmarkStart w:id="0" w:name="_GoBack"/>
            <w:bookmarkEnd w:id="0"/>
            <w:r>
              <w:rPr>
                <w:rFonts w:hint="eastAsia" w:ascii="宋体"/>
                <w:sz w:val="24"/>
                <w:szCs w:val="24"/>
              </w:rPr>
              <w:t xml:space="preserve"> </w:t>
            </w:r>
            <w:r>
              <w:rPr>
                <w:rFonts w:hint="eastAsia" w:ascii="宋体" w:hAnsi="宋体"/>
                <w:kern w:val="0"/>
                <w:sz w:val="24"/>
                <w:szCs w:val="24"/>
              </w:rPr>
              <w:t>项目名称</w:t>
            </w:r>
          </w:p>
        </w:tc>
        <w:tc>
          <w:tcPr>
            <w:tcW w:w="2246" w:type="dxa"/>
            <w:tcBorders>
              <w:top w:val="single" w:color="auto" w:sz="4" w:space="0"/>
              <w:left w:val="nil"/>
              <w:bottom w:val="single" w:color="auto" w:sz="4" w:space="0"/>
              <w:right w:val="single" w:color="auto" w:sz="4" w:space="0"/>
            </w:tcBorders>
            <w:shd w:val="clear" w:color="auto" w:fill="auto"/>
            <w:vAlign w:val="center"/>
          </w:tcPr>
          <w:p w14:paraId="6882C3E6">
            <w:pPr>
              <w:widowControl/>
              <w:spacing w:line="280" w:lineRule="exact"/>
              <w:jc w:val="left"/>
              <w:rPr>
                <w:rFonts w:hint="eastAsia" w:ascii="Times New Roman" w:hAnsi="Times New Roman"/>
                <w:sz w:val="24"/>
                <w:szCs w:val="24"/>
              </w:rPr>
            </w:pPr>
            <w:r>
              <w:rPr>
                <w:rFonts w:hint="eastAsia" w:ascii="Times New Roman" w:hAnsi="Times New Roman"/>
                <w:sz w:val="24"/>
                <w:szCs w:val="24"/>
                <w:lang w:val="en-US" w:eastAsia="zh-CN"/>
              </w:rPr>
              <w:t>罗平县人民医院新增1台DSA项目</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76D5AC81">
            <w:pPr>
              <w:widowControl/>
              <w:spacing w:line="280" w:lineRule="exact"/>
              <w:jc w:val="left"/>
              <w:rPr>
                <w:rFonts w:ascii="宋体"/>
                <w:kern w:val="0"/>
                <w:sz w:val="24"/>
                <w:szCs w:val="24"/>
              </w:rPr>
            </w:pPr>
            <w:r>
              <w:rPr>
                <w:rFonts w:hint="eastAsia" w:ascii="宋体" w:hAnsi="宋体"/>
                <w:kern w:val="0"/>
                <w:sz w:val="24"/>
                <w:szCs w:val="24"/>
              </w:rPr>
              <w:t>建设地点</w:t>
            </w:r>
          </w:p>
        </w:tc>
        <w:tc>
          <w:tcPr>
            <w:tcW w:w="1559" w:type="dxa"/>
            <w:tcBorders>
              <w:top w:val="single" w:color="auto" w:sz="4" w:space="0"/>
              <w:left w:val="nil"/>
              <w:bottom w:val="single" w:color="auto" w:sz="4" w:space="0"/>
              <w:right w:val="single" w:color="auto" w:sz="4" w:space="0"/>
            </w:tcBorders>
            <w:shd w:val="clear" w:color="auto" w:fill="auto"/>
            <w:vAlign w:val="center"/>
          </w:tcPr>
          <w:p w14:paraId="5DBD3622">
            <w:pPr>
              <w:widowControl/>
              <w:spacing w:line="280" w:lineRule="exact"/>
              <w:jc w:val="left"/>
              <w:rPr>
                <w:rFonts w:hint="eastAsia" w:ascii="Times New Roman" w:hAnsi="Times New Roman"/>
                <w:sz w:val="24"/>
                <w:szCs w:val="24"/>
              </w:rPr>
            </w:pPr>
            <w:r>
              <w:rPr>
                <w:rFonts w:hint="eastAsia" w:cs="Times New Roman"/>
                <w:caps w:val="0"/>
                <w:color w:val="auto"/>
                <w:sz w:val="24"/>
                <w:lang w:val="en-US" w:eastAsia="zh-CN"/>
              </w:rPr>
              <w:t>罗平县人民医院6号楼1层附楼</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2EDE2D6E">
            <w:pPr>
              <w:widowControl/>
              <w:spacing w:line="280" w:lineRule="exact"/>
              <w:jc w:val="left"/>
              <w:rPr>
                <w:rFonts w:ascii="宋体"/>
                <w:kern w:val="0"/>
                <w:sz w:val="24"/>
                <w:szCs w:val="24"/>
              </w:rPr>
            </w:pPr>
            <w:r>
              <w:rPr>
                <w:rFonts w:hint="eastAsia" w:ascii="宋体" w:hAnsi="宋体"/>
                <w:kern w:val="0"/>
                <w:sz w:val="24"/>
                <w:szCs w:val="24"/>
              </w:rPr>
              <w:t>建设单位</w:t>
            </w:r>
          </w:p>
        </w:tc>
        <w:tc>
          <w:tcPr>
            <w:tcW w:w="1701" w:type="dxa"/>
            <w:tcBorders>
              <w:top w:val="single" w:color="auto" w:sz="4" w:space="0"/>
              <w:left w:val="nil"/>
              <w:bottom w:val="single" w:color="auto" w:sz="4" w:space="0"/>
              <w:right w:val="single" w:color="auto" w:sz="4" w:space="0"/>
            </w:tcBorders>
            <w:vAlign w:val="center"/>
          </w:tcPr>
          <w:p w14:paraId="7C0EAFDD">
            <w:pPr>
              <w:widowControl/>
              <w:spacing w:line="280" w:lineRule="exact"/>
              <w:jc w:val="center"/>
              <w:rPr>
                <w:rFonts w:hint="eastAsia" w:ascii="Times New Roman" w:hAnsi="Times New Roman"/>
                <w:sz w:val="24"/>
                <w:szCs w:val="24"/>
              </w:rPr>
            </w:pPr>
            <w:r>
              <w:rPr>
                <w:rFonts w:hint="eastAsia" w:ascii="Times New Roman" w:hAnsi="Times New Roman"/>
                <w:sz w:val="24"/>
                <w:szCs w:val="24"/>
                <w:lang w:val="en-US" w:eastAsia="zh-CN"/>
              </w:rPr>
              <w:t>罗平县人民医院</w:t>
            </w:r>
          </w:p>
        </w:tc>
      </w:tr>
      <w:tr w14:paraId="01121CF6">
        <w:tblPrEx>
          <w:tblCellMar>
            <w:top w:w="0" w:type="dxa"/>
            <w:left w:w="108" w:type="dxa"/>
            <w:bottom w:w="0" w:type="dxa"/>
            <w:right w:w="108" w:type="dxa"/>
          </w:tblCellMar>
        </w:tblPrEx>
        <w:trPr>
          <w:trHeight w:val="762" w:hRule="atLeast"/>
        </w:trPr>
        <w:tc>
          <w:tcPr>
            <w:tcW w:w="1756" w:type="dxa"/>
            <w:tcBorders>
              <w:top w:val="nil"/>
              <w:left w:val="single" w:color="auto" w:sz="4" w:space="0"/>
              <w:bottom w:val="single" w:color="auto" w:sz="4" w:space="0"/>
              <w:right w:val="single" w:color="auto" w:sz="4" w:space="0"/>
            </w:tcBorders>
            <w:shd w:val="clear" w:color="auto" w:fill="C0C0C0"/>
            <w:vAlign w:val="center"/>
          </w:tcPr>
          <w:p w14:paraId="5012EFCD">
            <w:pPr>
              <w:widowControl/>
              <w:spacing w:line="280" w:lineRule="exact"/>
              <w:jc w:val="left"/>
              <w:rPr>
                <w:rFonts w:ascii="宋体"/>
                <w:kern w:val="0"/>
                <w:sz w:val="24"/>
                <w:szCs w:val="24"/>
              </w:rPr>
            </w:pPr>
            <w:r>
              <w:rPr>
                <w:rFonts w:hint="eastAsia" w:ascii="宋体" w:hAnsi="宋体"/>
                <w:kern w:val="0"/>
                <w:sz w:val="24"/>
                <w:szCs w:val="24"/>
              </w:rPr>
              <w:t>环评文件类型</w:t>
            </w:r>
          </w:p>
        </w:tc>
        <w:tc>
          <w:tcPr>
            <w:tcW w:w="2246" w:type="dxa"/>
            <w:tcBorders>
              <w:top w:val="nil"/>
              <w:left w:val="nil"/>
              <w:bottom w:val="single" w:color="auto" w:sz="4" w:space="0"/>
              <w:right w:val="single" w:color="auto" w:sz="4" w:space="0"/>
            </w:tcBorders>
            <w:shd w:val="clear" w:color="auto" w:fill="auto"/>
            <w:vAlign w:val="center"/>
          </w:tcPr>
          <w:p w14:paraId="1EE1E9A8">
            <w:pPr>
              <w:widowControl/>
              <w:spacing w:line="280" w:lineRule="exact"/>
              <w:jc w:val="center"/>
              <w:rPr>
                <w:rFonts w:hint="default" w:ascii="宋体" w:hAnsi="宋体" w:eastAsia="宋体" w:cs="华文仿宋"/>
                <w:kern w:val="0"/>
                <w:sz w:val="24"/>
                <w:szCs w:val="24"/>
                <w:lang w:val="en-US" w:eastAsia="zh-CN"/>
              </w:rPr>
            </w:pPr>
            <w:r>
              <w:rPr>
                <w:rFonts w:hint="eastAsia" w:ascii="Times New Roman" w:hAnsi="Times New Roman" w:cs="Times New Roman"/>
                <w:sz w:val="24"/>
                <w:szCs w:val="24"/>
                <w:lang w:val="en-US" w:eastAsia="zh-CN"/>
              </w:rPr>
              <w:t>报告表</w:t>
            </w:r>
          </w:p>
        </w:tc>
        <w:tc>
          <w:tcPr>
            <w:tcW w:w="1276" w:type="dxa"/>
            <w:tcBorders>
              <w:top w:val="nil"/>
              <w:left w:val="nil"/>
              <w:bottom w:val="single" w:color="auto" w:sz="4" w:space="0"/>
              <w:right w:val="single" w:color="auto" w:sz="4" w:space="0"/>
            </w:tcBorders>
            <w:shd w:val="clear" w:color="auto" w:fill="C0C0C0"/>
            <w:vAlign w:val="center"/>
          </w:tcPr>
          <w:p w14:paraId="0536848E">
            <w:pPr>
              <w:widowControl/>
              <w:spacing w:line="280" w:lineRule="exact"/>
              <w:jc w:val="left"/>
              <w:rPr>
                <w:rFonts w:ascii="宋体"/>
                <w:kern w:val="0"/>
                <w:sz w:val="24"/>
                <w:szCs w:val="24"/>
              </w:rPr>
            </w:pPr>
            <w:r>
              <w:rPr>
                <w:rFonts w:hint="eastAsia" w:ascii="宋体" w:hAnsi="宋体"/>
                <w:kern w:val="0"/>
                <w:sz w:val="24"/>
                <w:szCs w:val="24"/>
              </w:rPr>
              <w:t>环境影响评价机构</w:t>
            </w:r>
          </w:p>
        </w:tc>
        <w:tc>
          <w:tcPr>
            <w:tcW w:w="4536" w:type="dxa"/>
            <w:gridSpan w:val="3"/>
            <w:tcBorders>
              <w:top w:val="single" w:color="auto" w:sz="4" w:space="0"/>
              <w:left w:val="nil"/>
              <w:bottom w:val="single" w:color="auto" w:sz="4" w:space="0"/>
              <w:right w:val="single" w:color="000000" w:sz="4" w:space="0"/>
            </w:tcBorders>
            <w:vAlign w:val="center"/>
          </w:tcPr>
          <w:p w14:paraId="3B1FA12D">
            <w:pPr>
              <w:widowControl/>
              <w:spacing w:line="280" w:lineRule="exact"/>
              <w:jc w:val="center"/>
              <w:rPr>
                <w:rFonts w:ascii="宋体"/>
                <w:kern w:val="0"/>
                <w:sz w:val="24"/>
                <w:szCs w:val="24"/>
              </w:rPr>
            </w:pPr>
            <w:r>
              <w:rPr>
                <w:rFonts w:hint="default" w:ascii="宋体"/>
                <w:kern w:val="0"/>
                <w:sz w:val="24"/>
                <w:szCs w:val="24"/>
                <w:lang w:val="en-US" w:eastAsia="zh-CN"/>
              </w:rPr>
              <w:t>云南卓淮检测技术有限公司</w:t>
            </w:r>
          </w:p>
        </w:tc>
      </w:tr>
      <w:tr w14:paraId="4AF7F11A">
        <w:tblPrEx>
          <w:tblCellMar>
            <w:top w:w="0" w:type="dxa"/>
            <w:left w:w="108" w:type="dxa"/>
            <w:bottom w:w="0" w:type="dxa"/>
            <w:right w:w="108" w:type="dxa"/>
          </w:tblCellMar>
        </w:tblPrEx>
        <w:trPr>
          <w:trHeight w:val="46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38D7104A">
            <w:pPr>
              <w:widowControl/>
              <w:spacing w:line="280" w:lineRule="exact"/>
              <w:jc w:val="center"/>
              <w:rPr>
                <w:rFonts w:ascii="宋体"/>
                <w:kern w:val="0"/>
                <w:sz w:val="24"/>
                <w:szCs w:val="24"/>
              </w:rPr>
            </w:pPr>
            <w:r>
              <w:rPr>
                <w:rFonts w:hint="eastAsia" w:ascii="宋体" w:hAnsi="宋体"/>
                <w:kern w:val="0"/>
                <w:sz w:val="24"/>
                <w:szCs w:val="24"/>
              </w:rPr>
              <w:t>项目概况</w:t>
            </w:r>
          </w:p>
        </w:tc>
      </w:tr>
      <w:tr w14:paraId="0A29EA58">
        <w:tblPrEx>
          <w:tblCellMar>
            <w:top w:w="0" w:type="dxa"/>
            <w:left w:w="108" w:type="dxa"/>
            <w:bottom w:w="0" w:type="dxa"/>
            <w:right w:w="108" w:type="dxa"/>
          </w:tblCellMar>
        </w:tblPrEx>
        <w:trPr>
          <w:trHeight w:val="606"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0A392711">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rPr>
            </w:pPr>
            <w:r>
              <w:rPr>
                <w:rFonts w:hint="eastAsia" w:ascii="Times New Roman" w:hAnsi="Times New Roman" w:cs="Times New Roman"/>
                <w:sz w:val="24"/>
                <w:szCs w:val="24"/>
                <w:lang w:val="en-US" w:eastAsia="zh-CN"/>
              </w:rPr>
              <w:t>本项目拟在罗平县人民医院6号楼1层附楼建设1间DSA手术室及其辅助用房，新增1台DSA，型号：uAngio AVIVA CX，最大管电压125kV、最大管电流1000mA，属于Ⅱ类射线装置。</w:t>
            </w:r>
          </w:p>
        </w:tc>
      </w:tr>
      <w:tr w14:paraId="5B3B237B">
        <w:tblPrEx>
          <w:tblCellMar>
            <w:top w:w="0" w:type="dxa"/>
            <w:left w:w="108" w:type="dxa"/>
            <w:bottom w:w="0" w:type="dxa"/>
            <w:right w:w="108" w:type="dxa"/>
          </w:tblCellMar>
        </w:tblPrEx>
        <w:trPr>
          <w:trHeight w:val="448"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7DBCF08E">
            <w:pPr>
              <w:widowControl/>
              <w:spacing w:line="280" w:lineRule="exact"/>
              <w:jc w:val="center"/>
              <w:rPr>
                <w:rFonts w:ascii="宋体"/>
                <w:kern w:val="0"/>
                <w:sz w:val="24"/>
                <w:szCs w:val="24"/>
              </w:rPr>
            </w:pPr>
            <w:r>
              <w:rPr>
                <w:rFonts w:hint="eastAsia" w:ascii="宋体" w:hAnsi="宋体"/>
                <w:kern w:val="0"/>
                <w:sz w:val="24"/>
                <w:szCs w:val="24"/>
              </w:rPr>
              <w:t>项目主要环境影响</w:t>
            </w:r>
          </w:p>
        </w:tc>
      </w:tr>
      <w:tr w14:paraId="124424C9">
        <w:tblPrEx>
          <w:tblCellMar>
            <w:top w:w="0" w:type="dxa"/>
            <w:left w:w="108" w:type="dxa"/>
            <w:bottom w:w="0" w:type="dxa"/>
            <w:right w:w="108" w:type="dxa"/>
          </w:tblCellMar>
        </w:tblPrEx>
        <w:trPr>
          <w:trHeight w:val="535"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7E478D8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一、施工期</w:t>
            </w:r>
          </w:p>
          <w:p w14:paraId="293AECA3">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本项目施工内容为DSA机房及其辅助用房拆除原墙体粉白表层、新砌墙体、新开门洞；四周墙体硫酸钡防护施工、楼顶硫酸钡防护施工、地面电缆沟开槽、铅门安装、铅玻璃安装、风管安装，装饰层安装等、设备安装及调试，主要污染物有施工噪声、固体废弃物、扬尘、施工人员产生少量生活污水、少量电离辐射和臭氧。</w:t>
            </w:r>
          </w:p>
          <w:p w14:paraId="0C10704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二、运营期</w:t>
            </w:r>
          </w:p>
          <w:p w14:paraId="1DB817B3">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（1）X射线：X射线装置只有在开机并处于出束状态时才会发出X射线。在开机出束时，有用束和漏射、散射的X射线对周围环境造成辐射污染。X射线随设备的开机而产生，关机而消失。</w:t>
            </w:r>
          </w:p>
          <w:p w14:paraId="2E2F4D65">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（2）废气（臭氧、氮氧化物）：在X射线装置开机及曝光过程中，X射线穿过空气会导致空气中的O</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、N</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发生一系列化学反应，产生臭氧和氮氧化物。</w:t>
            </w:r>
          </w:p>
          <w:p w14:paraId="62270371">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（3）废水：本项目</w:t>
            </w:r>
            <w:r>
              <w:rPr>
                <w:rFonts w:hint="default" w:ascii="Times New Roman" w:hAnsi="Times New Roman" w:cs="Times New Roman"/>
                <w:caps w:val="0"/>
                <w:color w:val="auto"/>
                <w:sz w:val="24"/>
                <w:szCs w:val="24"/>
              </w:rPr>
              <w:t>DSA射线装置</w:t>
            </w:r>
            <w:r>
              <w:rPr>
                <w:rFonts w:hint="eastAsia" w:ascii="Times New Roman" w:hAnsi="Times New Roman" w:cs="Times New Roman"/>
                <w:sz w:val="24"/>
                <w:szCs w:val="24"/>
                <w:lang w:val="en-US" w:eastAsia="zh-CN"/>
              </w:rPr>
              <w:t>采用数字成像，不使用显影液和定影液，无洗片过程，无废显、定影液产生。医务人员工作时产生少量的生活废水，介入手术、清洗器械产生少量医疗废水。</w:t>
            </w:r>
          </w:p>
          <w:p w14:paraId="300D5486">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（4）噪声：</w:t>
            </w:r>
            <w:r>
              <w:rPr>
                <w:rFonts w:hint="default" w:ascii="Times New Roman" w:hAnsi="Times New Roman" w:cs="Times New Roman"/>
                <w:sz w:val="24"/>
                <w:szCs w:val="24"/>
                <w:lang w:val="en-US" w:eastAsia="zh-CN"/>
              </w:rPr>
              <w:t>本项目</w:t>
            </w:r>
            <w:r>
              <w:rPr>
                <w:rFonts w:hint="eastAsia" w:ascii="Times New Roman" w:hAnsi="Times New Roman" w:cs="Times New Roman"/>
                <w:sz w:val="24"/>
                <w:szCs w:val="24"/>
                <w:lang w:val="en-US" w:eastAsia="zh-CN"/>
              </w:rPr>
              <w:t>DSA</w:t>
            </w:r>
            <w:r>
              <w:rPr>
                <w:rFonts w:hint="default" w:ascii="Times New Roman" w:hAnsi="Times New Roman" w:cs="Times New Roman"/>
                <w:sz w:val="24"/>
                <w:szCs w:val="24"/>
                <w:lang w:val="en-US" w:eastAsia="zh-CN"/>
              </w:rPr>
              <w:t>机房</w:t>
            </w:r>
            <w:r>
              <w:rPr>
                <w:rFonts w:hint="eastAsia" w:ascii="Times New Roman" w:hAnsi="Times New Roman" w:cs="Times New Roman"/>
                <w:sz w:val="24"/>
                <w:szCs w:val="24"/>
                <w:lang w:val="en-US" w:eastAsia="zh-CN"/>
              </w:rPr>
              <w:t>统一安装1套通排风系统。</w:t>
            </w:r>
            <w:r>
              <w:rPr>
                <w:rFonts w:hint="default" w:ascii="Times New Roman" w:hAnsi="Times New Roman" w:cs="Times New Roman"/>
                <w:sz w:val="24"/>
                <w:szCs w:val="24"/>
                <w:lang w:val="en-US" w:eastAsia="zh-CN"/>
              </w:rPr>
              <w:t>排气风机选用低噪音类型设备，噪声值≤50dB(A)，排风、新风(送风)管道上设置有消音器，外机支架上面使用减振器处理，风机噪声通过降噪措施降噪后，经过墙体阻隔和距离衰减。</w:t>
            </w:r>
          </w:p>
          <w:p w14:paraId="3B78BBB0">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rPr>
            </w:pPr>
            <w:r>
              <w:rPr>
                <w:rFonts w:hint="eastAsia" w:ascii="Times New Roman" w:hAnsi="Times New Roman" w:cs="Times New Roman"/>
                <w:sz w:val="24"/>
                <w:szCs w:val="24"/>
                <w:lang w:val="en-US" w:eastAsia="zh-CN"/>
              </w:rPr>
              <w:t>（5）固体废物：</w:t>
            </w:r>
            <w:r>
              <w:rPr>
                <w:rFonts w:hint="default" w:ascii="Times New Roman" w:hAnsi="Times New Roman" w:cs="Times New Roman"/>
                <w:caps w:val="0"/>
                <w:color w:val="auto"/>
                <w:sz w:val="24"/>
                <w:szCs w:val="24"/>
              </w:rPr>
              <w:t>本项目DSA</w:t>
            </w:r>
            <w:r>
              <w:rPr>
                <w:rFonts w:hint="eastAsia" w:ascii="Times New Roman" w:hAnsi="Times New Roman" w:cs="Times New Roman"/>
                <w:sz w:val="24"/>
                <w:szCs w:val="24"/>
                <w:lang w:val="en-US" w:eastAsia="zh-CN"/>
              </w:rPr>
              <w:t>采用数字成像，不打印胶片，会根据病人的需要刻录光盘，光盘由病人带走并自行处理，无废胶片产生；介入手术时会产生少量纱布、手套等医疗废物；医护人员在工作中会产生少量生活垃圾。</w:t>
            </w:r>
          </w:p>
        </w:tc>
      </w:tr>
      <w:tr w14:paraId="7A4A5CE5">
        <w:tblPrEx>
          <w:tblCellMar>
            <w:top w:w="0" w:type="dxa"/>
            <w:left w:w="108" w:type="dxa"/>
            <w:bottom w:w="0" w:type="dxa"/>
            <w:right w:w="108" w:type="dxa"/>
          </w:tblCellMar>
        </w:tblPrEx>
        <w:trPr>
          <w:trHeight w:val="38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2652DC93">
            <w:pPr>
              <w:widowControl/>
              <w:spacing w:line="280" w:lineRule="exact"/>
              <w:jc w:val="center"/>
              <w:rPr>
                <w:rFonts w:ascii="宋体"/>
                <w:kern w:val="0"/>
                <w:sz w:val="24"/>
                <w:szCs w:val="24"/>
              </w:rPr>
            </w:pPr>
            <w:r>
              <w:rPr>
                <w:rFonts w:hint="eastAsia" w:ascii="宋体" w:hAnsi="宋体"/>
                <w:kern w:val="0"/>
                <w:sz w:val="24"/>
                <w:szCs w:val="24"/>
              </w:rPr>
              <w:t>项目预防及减轻不良环境影响的对策和措施</w:t>
            </w:r>
          </w:p>
        </w:tc>
      </w:tr>
      <w:tr w14:paraId="1E8EE4E4">
        <w:tblPrEx>
          <w:tblCellMar>
            <w:top w:w="0" w:type="dxa"/>
            <w:left w:w="108" w:type="dxa"/>
            <w:bottom w:w="0" w:type="dxa"/>
            <w:right w:w="108" w:type="dxa"/>
          </w:tblCellMar>
        </w:tblPrEx>
        <w:trPr>
          <w:trHeight w:val="437"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0C7C819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一、辐射影响对策和措施</w:t>
            </w:r>
          </w:p>
          <w:p w14:paraId="5E4501C1">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1、工作区域管理</w:t>
            </w:r>
          </w:p>
          <w:p w14:paraId="3A96B643">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为了便于加强管理，切实做好辐射安全防范工作，按《电离辐射防护与辐射源安全基本标准》（GB18871-2002），辐射工作场所分为控制区和监督区，以便于辐射防护管理和职业照射控制。控制区内禁止外来人员进入，职业工作人员在进行日常工作时尽量不要在控制区内停留，以减少不必要的照射。监督区范围内应限制无关人员进入。</w:t>
            </w:r>
          </w:p>
          <w:p w14:paraId="20319ADB">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2、辐射安全及防护措施</w:t>
            </w:r>
          </w:p>
          <w:p w14:paraId="38B6D9EA">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（1）设备固有措施</w:t>
            </w:r>
          </w:p>
          <w:p w14:paraId="343B8BD3">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①本建设项目DSA装有可调限束装置，使装置发射的线束宽度尽量减小，以减少泄漏辐射。</w:t>
            </w:r>
          </w:p>
          <w:p w14:paraId="6BA02FFB">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②采用栅控技术：在每次脉冲曝光间隔向旋转阳极加一负电压，抵消曝光脉冲的启辉与余辉，起到消除软X射线、提高有用射线品质并减小脉冲宽度作用。</w:t>
            </w:r>
          </w:p>
          <w:p w14:paraId="1B862AD0">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③采用光谱过滤技术：在X射线管头或影像增强器的窗口处放置合适铝过滤板，以消除软X射线以及减少二次散射，优化有用X射线谱。设备已提供适应DSA不同应用时所可以选用的各种形状与规格的准直器隔板和铝过滤板。影像增强器前面已配置滤线栅，以减少散射影响。</w:t>
            </w:r>
          </w:p>
          <w:p w14:paraId="1F9A60FC">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④采用脉冲透视技术：在透视图像数字化基础上实现脉冲透视（如每秒25帧、12.5帧、6帧等可供选择），改善图像清晰度；并能明显地减少透视剂量。</w:t>
            </w:r>
          </w:p>
          <w:p w14:paraId="56761128">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⑤采用图像冻结技术：每次透视的最后一帧图像被暂存并保留于监视器上显示，即称之为图像冻结（last image hold，LIH）。充分利用此方法可以明显缩短总透视时间，达到减少不必要的照射。</w:t>
            </w:r>
          </w:p>
          <w:p w14:paraId="4408E896">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⑥配备相应的表征剂量的指示装置：DSA设备已配备有能在线监测表征输出剂量的指示装置。</w:t>
            </w:r>
          </w:p>
          <w:p w14:paraId="5F4BC4E7">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⑦配备辅助防护设施：DSA设备配备有铅悬挂防护屏和床侧防护帘等辅助防护用品与设施，在设备运行中可用于加强对有关人员采取辐射防护与安全措施。</w:t>
            </w:r>
          </w:p>
          <w:p w14:paraId="01E68039">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（2）场所设计安全措施</w:t>
            </w:r>
          </w:p>
          <w:p w14:paraId="5C792350">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本项目按照《放射诊断放射防护要求》（GBZ130—2020）中X射线设备机房屏蔽防护要求进行设计建设，</w:t>
            </w:r>
            <w:r>
              <w:rPr>
                <w:rFonts w:hint="eastAsia" w:ascii="Times New Roman" w:hAnsi="Times New Roman" w:cs="Times New Roman"/>
                <w:sz w:val="24"/>
                <w:szCs w:val="24"/>
                <w:lang w:val="en-US" w:eastAsia="zh-CN"/>
              </w:rPr>
              <w:t>DSA手术室</w:t>
            </w:r>
            <w:r>
              <w:rPr>
                <w:rFonts w:hint="default" w:ascii="Times New Roman" w:hAnsi="Times New Roman" w:cs="Times New Roman"/>
                <w:sz w:val="24"/>
                <w:szCs w:val="24"/>
                <w:lang w:val="en-US" w:eastAsia="zh-CN"/>
              </w:rPr>
              <w:t>机房最小单边长</w:t>
            </w:r>
            <w:r>
              <w:rPr>
                <w:rFonts w:hint="eastAsia" w:ascii="Times New Roman" w:hAnsi="Times New Roman" w:cs="Times New Roman"/>
                <w:sz w:val="24"/>
                <w:szCs w:val="24"/>
                <w:lang w:val="en-US" w:eastAsia="zh-CN"/>
              </w:rPr>
              <w:t>5.3m</w:t>
            </w:r>
            <w:r>
              <w:rPr>
                <w:rFonts w:hint="default" w:ascii="Times New Roman" w:hAnsi="Times New Roman" w:cs="Times New Roman"/>
                <w:sz w:val="24"/>
                <w:szCs w:val="24"/>
                <w:lang w:val="en-US" w:eastAsia="zh-CN"/>
              </w:rPr>
              <w:t>，机房有效面积</w:t>
            </w:r>
            <w:r>
              <w:rPr>
                <w:rFonts w:hint="eastAsia" w:ascii="Times New Roman" w:hAnsi="Times New Roman" w:cs="Times New Roman"/>
                <w:sz w:val="24"/>
                <w:szCs w:val="24"/>
                <w:lang w:val="en-US" w:eastAsia="zh-CN"/>
              </w:rPr>
              <w:t>45.05m</w:t>
            </w:r>
            <w:r>
              <w:rPr>
                <w:rFonts w:hint="eastAsia" w:ascii="Times New Roman" w:hAnsi="Times New Roman" w:cs="Times New Roman"/>
                <w:sz w:val="24"/>
                <w:szCs w:val="24"/>
                <w:vertAlign w:val="superscript"/>
                <w:lang w:val="en-US" w:eastAsia="zh-CN"/>
              </w:rPr>
              <w:t>2</w:t>
            </w:r>
            <w:r>
              <w:rPr>
                <w:rFonts w:hint="default" w:ascii="Times New Roman" w:hAnsi="Times New Roman" w:cs="Times New Roman"/>
                <w:sz w:val="24"/>
                <w:szCs w:val="24"/>
                <w:lang w:val="en-US" w:eastAsia="zh-CN"/>
              </w:rPr>
              <w:t>，满足《放射诊断放射防护要求》（GBZ130—2020）中规定的“单管头X射线机设备机房内最小有效使用面积20m</w:t>
            </w:r>
            <w:r>
              <w:rPr>
                <w:rFonts w:hint="default" w:ascii="Times New Roman" w:hAnsi="Times New Roman" w:cs="Times New Roman"/>
                <w:sz w:val="24"/>
                <w:szCs w:val="24"/>
                <w:vertAlign w:val="superscript"/>
                <w:lang w:val="en-US" w:eastAsia="zh-CN"/>
              </w:rPr>
              <w:t>2</w:t>
            </w:r>
            <w:r>
              <w:rPr>
                <w:rFonts w:hint="default" w:ascii="Times New Roman" w:hAnsi="Times New Roman" w:cs="Times New Roman"/>
                <w:sz w:val="24"/>
                <w:szCs w:val="24"/>
                <w:lang w:val="en-US" w:eastAsia="zh-CN"/>
              </w:rPr>
              <w:t>，机房内最小单边长度3.5m”的要求。</w:t>
            </w:r>
            <w:r>
              <w:rPr>
                <w:rFonts w:hint="eastAsia" w:ascii="Times New Roman" w:hAnsi="Times New Roman" w:cs="Times New Roman"/>
                <w:sz w:val="24"/>
                <w:szCs w:val="24"/>
                <w:lang w:val="en-US" w:eastAsia="zh-CN"/>
              </w:rPr>
              <w:t>DSA手术室机房</w:t>
            </w:r>
            <w:r>
              <w:rPr>
                <w:rFonts w:hint="default" w:ascii="Times New Roman" w:hAnsi="Times New Roman" w:cs="Times New Roman"/>
                <w:sz w:val="24"/>
                <w:szCs w:val="24"/>
                <w:lang w:val="en-US" w:eastAsia="zh-CN"/>
              </w:rPr>
              <w:t>防护铅当量均满足《放射诊断放射防护要求》（GBZ130—2020）中规定的“有用线束方向铅当量2mm，非有用线束方向铅当量2mm”的要求。</w:t>
            </w:r>
          </w:p>
          <w:p w14:paraId="190FF050">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（3）紧急停机按钮</w:t>
            </w:r>
          </w:p>
          <w:p w14:paraId="46749BE3">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caps w:val="0"/>
                <w:color w:val="auto"/>
                <w:sz w:val="24"/>
                <w:szCs w:val="24"/>
                <w:highlight w:val="none"/>
              </w:rPr>
            </w:pPr>
            <w:r>
              <w:rPr>
                <w:rFonts w:hint="eastAsia" w:ascii="Times New Roman" w:hAnsi="Times New Roman" w:cs="Times New Roman"/>
                <w:caps w:val="0"/>
                <w:color w:val="auto"/>
                <w:sz w:val="24"/>
                <w:szCs w:val="24"/>
                <w:highlight w:val="none"/>
                <w:lang w:val="en-US" w:eastAsia="zh-CN"/>
              </w:rPr>
              <w:t>DSA</w:t>
            </w:r>
            <w:r>
              <w:rPr>
                <w:rFonts w:hint="default" w:ascii="Times New Roman" w:hAnsi="Times New Roman" w:cs="Times New Roman"/>
                <w:caps w:val="0"/>
                <w:color w:val="auto"/>
                <w:sz w:val="24"/>
                <w:szCs w:val="24"/>
                <w:highlight w:val="none"/>
              </w:rPr>
              <w:t>拟</w:t>
            </w:r>
            <w:r>
              <w:rPr>
                <w:rFonts w:hint="default" w:ascii="Times New Roman" w:hAnsi="Times New Roman" w:cs="Times New Roman"/>
                <w:caps w:val="0"/>
                <w:color w:val="auto"/>
                <w:sz w:val="24"/>
                <w:szCs w:val="24"/>
                <w:highlight w:val="none"/>
                <w:lang w:eastAsia="zh-CN"/>
              </w:rPr>
              <w:t>设置紧急停机按钮</w:t>
            </w:r>
            <w:r>
              <w:rPr>
                <w:rFonts w:hint="default" w:ascii="Times New Roman" w:hAnsi="Times New Roman" w:cs="Times New Roman"/>
                <w:caps w:val="0"/>
                <w:color w:val="auto"/>
                <w:sz w:val="24"/>
                <w:szCs w:val="24"/>
                <w:highlight w:val="none"/>
                <w:lang w:val="en-US" w:eastAsia="zh-CN"/>
              </w:rPr>
              <w:t>2个，主要用于</w:t>
            </w:r>
            <w:r>
              <w:rPr>
                <w:rFonts w:hint="default" w:ascii="Times New Roman" w:hAnsi="Times New Roman" w:cs="Times New Roman"/>
                <w:caps w:val="0"/>
                <w:color w:val="auto"/>
                <w:sz w:val="24"/>
                <w:szCs w:val="24"/>
                <w:highlight w:val="none"/>
              </w:rPr>
              <w:t>异常</w:t>
            </w:r>
            <w:r>
              <w:rPr>
                <w:rFonts w:hint="default" w:ascii="Times New Roman" w:hAnsi="Times New Roman" w:cs="Times New Roman"/>
                <w:caps w:val="0"/>
                <w:color w:val="auto"/>
                <w:sz w:val="24"/>
                <w:szCs w:val="24"/>
                <w:highlight w:val="none"/>
                <w:lang w:eastAsia="zh-CN"/>
              </w:rPr>
              <w:t>情况下设备紧急停止，</w:t>
            </w:r>
            <w:r>
              <w:rPr>
                <w:rFonts w:hint="default" w:ascii="Times New Roman" w:hAnsi="Times New Roman" w:cs="Times New Roman"/>
                <w:caps w:val="0"/>
                <w:color w:val="auto"/>
                <w:sz w:val="24"/>
                <w:szCs w:val="24"/>
                <w:highlight w:val="none"/>
                <w:lang w:val="en-US" w:eastAsia="zh-CN"/>
              </w:rPr>
              <w:t>1个位于</w:t>
            </w:r>
            <w:r>
              <w:rPr>
                <w:rFonts w:hint="default" w:ascii="Times New Roman" w:hAnsi="Times New Roman" w:cs="Times New Roman"/>
                <w:caps w:val="0"/>
                <w:color w:val="auto"/>
                <w:sz w:val="24"/>
                <w:szCs w:val="24"/>
                <w:highlight w:val="none"/>
              </w:rPr>
              <w:t>射线装置控制台上、</w:t>
            </w:r>
            <w:r>
              <w:rPr>
                <w:rFonts w:hint="default" w:ascii="Times New Roman" w:hAnsi="Times New Roman" w:cs="Times New Roman"/>
                <w:caps w:val="0"/>
                <w:color w:val="auto"/>
                <w:sz w:val="24"/>
                <w:szCs w:val="24"/>
                <w:highlight w:val="none"/>
                <w:lang w:val="en-US" w:eastAsia="zh-CN"/>
              </w:rPr>
              <w:t>1个位于</w:t>
            </w:r>
            <w:r>
              <w:rPr>
                <w:rFonts w:hint="default" w:ascii="Times New Roman" w:hAnsi="Times New Roman" w:cs="Times New Roman"/>
                <w:caps w:val="0"/>
                <w:color w:val="auto"/>
                <w:sz w:val="24"/>
                <w:szCs w:val="24"/>
                <w:highlight w:val="none"/>
              </w:rPr>
              <w:t>诊疗床操作面板上</w:t>
            </w:r>
            <w:r>
              <w:rPr>
                <w:rFonts w:hint="default" w:ascii="Times New Roman" w:hAnsi="Times New Roman" w:cs="Times New Roman"/>
                <w:caps w:val="0"/>
                <w:color w:val="auto"/>
                <w:sz w:val="24"/>
                <w:szCs w:val="24"/>
                <w:highlight w:val="none"/>
                <w:lang w:eastAsia="zh-CN"/>
              </w:rPr>
              <w:t>，</w:t>
            </w:r>
            <w:r>
              <w:rPr>
                <w:rFonts w:hint="default" w:ascii="Times New Roman" w:hAnsi="Times New Roman" w:cs="Times New Roman"/>
                <w:caps w:val="0"/>
                <w:color w:val="auto"/>
                <w:sz w:val="24"/>
                <w:szCs w:val="24"/>
                <w:highlight w:val="none"/>
              </w:rPr>
              <w:t>各按钮与DSA连接。DSA的X线管出束过程中，一旦出现异常，按动任一紧急停止按钮，均可停止出束。</w:t>
            </w:r>
          </w:p>
          <w:p w14:paraId="1C4B34A8">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（4）门灯联锁装置、电离辐射警示标志</w:t>
            </w:r>
          </w:p>
          <w:p w14:paraId="7CD3AAAD">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eastAsia="方正仿宋_GBK" w:cs="Times New Roman"/>
                <w:bCs/>
                <w:caps w:val="0"/>
                <w:color w:val="auto"/>
                <w:sz w:val="24"/>
                <w:szCs w:val="24"/>
                <w:highlight w:val="none"/>
                <w:lang w:eastAsia="zh-CN"/>
              </w:rPr>
            </w:pPr>
            <w:r>
              <w:rPr>
                <w:rFonts w:hint="default" w:ascii="Times New Roman" w:hAnsi="Times New Roman" w:cs="Times New Roman"/>
                <w:caps w:val="0"/>
                <w:color w:val="auto"/>
                <w:sz w:val="24"/>
                <w:szCs w:val="24"/>
                <w:highlight w:val="none"/>
              </w:rPr>
              <w:t>门灯联锁装置、电离辐射警示标志</w:t>
            </w:r>
            <w:r>
              <w:rPr>
                <w:rFonts w:hint="default" w:ascii="Times New Roman" w:hAnsi="Times New Roman" w:cs="Times New Roman"/>
                <w:caps w:val="0"/>
                <w:color w:val="auto"/>
                <w:sz w:val="24"/>
                <w:szCs w:val="24"/>
                <w:highlight w:val="none"/>
                <w:lang w:eastAsia="zh-CN"/>
              </w:rPr>
              <w:t>主要警示和</w:t>
            </w:r>
            <w:r>
              <w:rPr>
                <w:rFonts w:hint="eastAsia" w:cs="Times New Roman"/>
                <w:caps w:val="0"/>
                <w:color w:val="auto"/>
                <w:sz w:val="24"/>
                <w:szCs w:val="24"/>
                <w:highlight w:val="none"/>
                <w:lang w:val="en-US" w:eastAsia="zh-CN"/>
              </w:rPr>
              <w:t>防止</w:t>
            </w:r>
            <w:r>
              <w:rPr>
                <w:rFonts w:hint="default" w:ascii="Times New Roman" w:hAnsi="Times New Roman" w:cs="Times New Roman"/>
                <w:caps w:val="0"/>
                <w:color w:val="auto"/>
                <w:sz w:val="24"/>
                <w:szCs w:val="24"/>
                <w:highlight w:val="none"/>
                <w:lang w:eastAsia="zh-CN"/>
              </w:rPr>
              <w:t>无关人员误入手术室造成受到误照射。</w:t>
            </w:r>
            <w:r>
              <w:rPr>
                <w:rFonts w:hint="default" w:ascii="Times New Roman" w:hAnsi="Times New Roman" w:cs="Times New Roman"/>
                <w:caps w:val="0"/>
                <w:color w:val="auto"/>
                <w:sz w:val="24"/>
                <w:szCs w:val="24"/>
                <w:highlight w:val="none"/>
              </w:rPr>
              <w:t>拟</w:t>
            </w:r>
            <w:r>
              <w:rPr>
                <w:rFonts w:hint="default" w:ascii="Times New Roman" w:hAnsi="Times New Roman" w:cs="Times New Roman"/>
                <w:caps w:val="0"/>
                <w:color w:val="auto"/>
                <w:sz w:val="24"/>
                <w:szCs w:val="24"/>
                <w:highlight w:val="none"/>
                <w:lang w:eastAsia="zh-CN"/>
              </w:rPr>
              <w:t>设置门灯联锁装置、电离辐射警示标志</w:t>
            </w:r>
            <w:r>
              <w:rPr>
                <w:rFonts w:hint="eastAsia" w:cs="Times New Roman"/>
                <w:caps w:val="0"/>
                <w:color w:val="auto"/>
                <w:sz w:val="24"/>
                <w:szCs w:val="24"/>
                <w:highlight w:val="none"/>
                <w:lang w:val="en-US" w:eastAsia="zh-CN"/>
              </w:rPr>
              <w:t>4</w:t>
            </w:r>
            <w:r>
              <w:rPr>
                <w:rFonts w:hint="default" w:ascii="Times New Roman" w:hAnsi="Times New Roman" w:cs="Times New Roman"/>
                <w:caps w:val="0"/>
                <w:color w:val="auto"/>
                <w:sz w:val="24"/>
                <w:szCs w:val="24"/>
                <w:highlight w:val="none"/>
                <w:lang w:val="en-US" w:eastAsia="zh-CN"/>
              </w:rPr>
              <w:t>套，分别设置在</w:t>
            </w:r>
            <w:r>
              <w:rPr>
                <w:rFonts w:hint="default" w:ascii="Times New Roman" w:hAnsi="Times New Roman" w:cs="Times New Roman"/>
                <w:caps w:val="0"/>
                <w:color w:val="auto"/>
                <w:sz w:val="24"/>
                <w:szCs w:val="24"/>
                <w:highlight w:val="none"/>
              </w:rPr>
              <w:t>患者通道防护门、医护通道防护门</w:t>
            </w:r>
            <w:r>
              <w:rPr>
                <w:rFonts w:hint="eastAsia" w:cs="Times New Roman"/>
                <w:caps w:val="0"/>
                <w:color w:val="auto"/>
                <w:sz w:val="24"/>
                <w:szCs w:val="24"/>
                <w:highlight w:val="none"/>
                <w:lang w:val="en-US" w:eastAsia="zh-CN"/>
              </w:rPr>
              <w:t>、</w:t>
            </w:r>
            <w:r>
              <w:rPr>
                <w:rFonts w:hint="default" w:ascii="Times New Roman" w:hAnsi="Times New Roman" w:cs="Times New Roman"/>
                <w:caps w:val="0"/>
                <w:color w:val="auto"/>
                <w:sz w:val="24"/>
                <w:szCs w:val="24"/>
                <w:highlight w:val="none"/>
                <w:lang w:val="en-US" w:eastAsia="zh-CN"/>
              </w:rPr>
              <w:t>污物通道防护门</w:t>
            </w:r>
            <w:r>
              <w:rPr>
                <w:rFonts w:hint="eastAsia" w:cs="Times New Roman"/>
                <w:caps w:val="0"/>
                <w:color w:val="auto"/>
                <w:sz w:val="24"/>
                <w:szCs w:val="24"/>
                <w:highlight w:val="none"/>
                <w:lang w:val="en-US" w:eastAsia="zh-CN"/>
              </w:rPr>
              <w:t>和谈话间防护门</w:t>
            </w:r>
            <w:r>
              <w:rPr>
                <w:rFonts w:hint="default" w:ascii="Times New Roman" w:hAnsi="Times New Roman" w:cs="Times New Roman"/>
                <w:caps w:val="0"/>
                <w:color w:val="auto"/>
                <w:sz w:val="24"/>
                <w:szCs w:val="24"/>
                <w:highlight w:val="none"/>
                <w:lang w:val="en-US" w:eastAsia="zh-CN"/>
              </w:rPr>
              <w:t>处，</w:t>
            </w:r>
            <w:r>
              <w:rPr>
                <w:rFonts w:hint="default" w:ascii="Times New Roman" w:hAnsi="Times New Roman" w:cs="Times New Roman"/>
                <w:bCs/>
                <w:caps w:val="0"/>
                <w:color w:val="auto"/>
                <w:sz w:val="24"/>
                <w:szCs w:val="24"/>
                <w:highlight w:val="none"/>
              </w:rPr>
              <w:t>“当心电离辐射”警示标志，</w:t>
            </w:r>
            <w:r>
              <w:rPr>
                <w:rFonts w:hint="default" w:ascii="Times New Roman" w:hAnsi="Times New Roman" w:cs="Times New Roman"/>
                <w:bCs/>
                <w:caps w:val="0"/>
                <w:color w:val="auto"/>
                <w:sz w:val="24"/>
                <w:szCs w:val="24"/>
                <w:highlight w:val="none"/>
                <w:lang w:eastAsia="zh-CN"/>
              </w:rPr>
              <w:t>主要</w:t>
            </w:r>
            <w:r>
              <w:rPr>
                <w:rFonts w:hint="default" w:ascii="Times New Roman" w:hAnsi="Times New Roman" w:cs="Times New Roman"/>
                <w:bCs/>
                <w:caps w:val="0"/>
                <w:color w:val="auto"/>
                <w:sz w:val="24"/>
                <w:szCs w:val="24"/>
                <w:highlight w:val="none"/>
              </w:rPr>
              <w:t>警示人们注意可能发生的危险。</w:t>
            </w:r>
            <w:r>
              <w:rPr>
                <w:rFonts w:hint="default" w:ascii="Times New Roman" w:hAnsi="Times New Roman" w:cs="Times New Roman"/>
                <w:caps w:val="0"/>
                <w:color w:val="auto"/>
                <w:sz w:val="24"/>
                <w:szCs w:val="24"/>
                <w:highlight w:val="none"/>
                <w:lang w:eastAsia="zh-CN"/>
              </w:rPr>
              <w:t>门灯联锁装置主要在</w:t>
            </w:r>
            <w:r>
              <w:rPr>
                <w:rFonts w:hint="default" w:ascii="Times New Roman" w:hAnsi="Times New Roman" w:cs="Times New Roman"/>
                <w:bCs/>
                <w:caps w:val="0"/>
                <w:color w:val="auto"/>
                <w:sz w:val="24"/>
                <w:szCs w:val="24"/>
                <w:highlight w:val="none"/>
              </w:rPr>
              <w:t>机房门上方设置醒目的工作状态指示灯，灯箱上设置如“射线有害、灯亮勿入”的可视警示语句，同时，工作状态指示灯能与机房门有效关联。当机房门开启时，警示灯熄灭，机房门关闭时，警示灯开启。严格遵守DSA操作规程，加强门灯联锁装置维护，只有在机房完全关闭，工作状态指示灯亮时DSA才可出束诊疗，避免医务人员及公众受到误照射</w:t>
            </w:r>
            <w:r>
              <w:rPr>
                <w:rFonts w:hint="eastAsia" w:ascii="Times New Roman" w:hAnsi="Times New Roman" w:cs="Times New Roman"/>
                <w:bCs/>
                <w:caps w:val="0"/>
                <w:color w:val="auto"/>
                <w:sz w:val="24"/>
                <w:szCs w:val="24"/>
                <w:highlight w:val="none"/>
                <w:lang w:eastAsia="zh-CN"/>
              </w:rPr>
              <w:t>。</w:t>
            </w:r>
          </w:p>
          <w:p w14:paraId="287BAC41">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（5）个人防护用品、监测仪器</w:t>
            </w:r>
          </w:p>
          <w:p w14:paraId="19EAC079">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eastAsia="方正仿宋_GBK" w:cs="Times New Roman"/>
                <w:sz w:val="24"/>
                <w:szCs w:val="24"/>
                <w:lang w:val="en-US" w:eastAsia="zh-CN"/>
              </w:rPr>
            </w:pPr>
            <w:r>
              <w:rPr>
                <w:rFonts w:hint="default" w:ascii="Times New Roman" w:hAnsi="Times New Roman" w:cs="Times New Roman"/>
                <w:bCs/>
                <w:caps w:val="0"/>
                <w:color w:val="auto"/>
                <w:sz w:val="24"/>
                <w:szCs w:val="24"/>
                <w:highlight w:val="none"/>
              </w:rPr>
              <w:t>本项目拟为辐射工作人员配备0.5mmPb的铅衣、铅围脖、铅眼镜、铅围裙、铅帽等个人防护用品各</w:t>
            </w:r>
            <w:r>
              <w:rPr>
                <w:rFonts w:hint="eastAsia" w:cs="Times New Roman"/>
                <w:bCs/>
                <w:caps w:val="0"/>
                <w:color w:val="auto"/>
                <w:sz w:val="24"/>
                <w:szCs w:val="24"/>
                <w:highlight w:val="none"/>
                <w:lang w:val="en-US" w:eastAsia="zh-CN"/>
              </w:rPr>
              <w:t>19</w:t>
            </w:r>
            <w:r>
              <w:rPr>
                <w:rFonts w:hint="default" w:ascii="Times New Roman" w:hAnsi="Times New Roman" w:cs="Times New Roman"/>
                <w:bCs/>
                <w:caps w:val="0"/>
                <w:color w:val="auto"/>
                <w:sz w:val="24"/>
                <w:szCs w:val="24"/>
                <w:highlight w:val="none"/>
              </w:rPr>
              <w:t>套，</w:t>
            </w:r>
            <w:r>
              <w:rPr>
                <w:rFonts w:hint="default" w:ascii="Times New Roman" w:hAnsi="Times New Roman" w:cs="Times New Roman"/>
                <w:caps w:val="0"/>
                <w:color w:val="auto"/>
                <w:sz w:val="24"/>
                <w:szCs w:val="24"/>
                <w:highlight w:val="none"/>
              </w:rPr>
              <w:t>为受检者配备0.5mmPb围裙或方巾</w:t>
            </w:r>
            <w:r>
              <w:rPr>
                <w:rFonts w:hint="eastAsia" w:cs="Times New Roman"/>
                <w:caps w:val="0"/>
                <w:color w:val="auto"/>
                <w:sz w:val="24"/>
                <w:szCs w:val="24"/>
                <w:highlight w:val="none"/>
                <w:lang w:val="en-US" w:eastAsia="zh-CN"/>
              </w:rPr>
              <w:t>2</w:t>
            </w:r>
            <w:r>
              <w:rPr>
                <w:rFonts w:hint="default" w:ascii="Times New Roman" w:hAnsi="Times New Roman" w:cs="Times New Roman"/>
                <w:caps w:val="0"/>
                <w:color w:val="auto"/>
                <w:sz w:val="24"/>
                <w:szCs w:val="24"/>
                <w:highlight w:val="none"/>
              </w:rPr>
              <w:t>套、颈套</w:t>
            </w:r>
            <w:r>
              <w:rPr>
                <w:rFonts w:hint="eastAsia" w:cs="Times New Roman"/>
                <w:caps w:val="0"/>
                <w:color w:val="auto"/>
                <w:sz w:val="24"/>
                <w:szCs w:val="24"/>
                <w:highlight w:val="none"/>
                <w:lang w:val="en-US" w:eastAsia="zh-CN"/>
              </w:rPr>
              <w:t>2</w:t>
            </w:r>
            <w:r>
              <w:rPr>
                <w:rFonts w:hint="default" w:ascii="Times New Roman" w:hAnsi="Times New Roman" w:cs="Times New Roman"/>
                <w:caps w:val="0"/>
                <w:color w:val="auto"/>
                <w:sz w:val="24"/>
                <w:szCs w:val="24"/>
                <w:highlight w:val="none"/>
              </w:rPr>
              <w:t>套，铅橡胶帽子</w:t>
            </w:r>
            <w:r>
              <w:rPr>
                <w:rFonts w:hint="eastAsia" w:cs="Times New Roman"/>
                <w:caps w:val="0"/>
                <w:color w:val="auto"/>
                <w:sz w:val="24"/>
                <w:szCs w:val="24"/>
                <w:highlight w:val="none"/>
                <w:lang w:val="en-US" w:eastAsia="zh-CN"/>
              </w:rPr>
              <w:t>2</w:t>
            </w:r>
            <w:r>
              <w:rPr>
                <w:rFonts w:hint="default" w:ascii="Times New Roman" w:hAnsi="Times New Roman" w:cs="Times New Roman"/>
                <w:caps w:val="0"/>
                <w:color w:val="auto"/>
                <w:sz w:val="24"/>
                <w:szCs w:val="24"/>
                <w:highlight w:val="none"/>
              </w:rPr>
              <w:t>个</w:t>
            </w:r>
            <w:r>
              <w:rPr>
                <w:rFonts w:hint="eastAsia" w:ascii="Times New Roman" w:hAnsi="Times New Roman" w:cs="Times New Roman"/>
                <w:caps w:val="0"/>
                <w:color w:val="auto"/>
                <w:sz w:val="24"/>
                <w:szCs w:val="24"/>
                <w:highlight w:val="none"/>
                <w:lang w:eastAsia="zh-CN"/>
              </w:rPr>
              <w:t>。</w:t>
            </w:r>
          </w:p>
          <w:p w14:paraId="3F4C0D4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二、“三废”的治理</w:t>
            </w:r>
          </w:p>
          <w:p w14:paraId="11FBB95B">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1、废气治理措施</w:t>
            </w:r>
          </w:p>
          <w:p w14:paraId="2122DD97">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DSA机房安装1套通排风系统，采用上进下排的通风系统，排气风机选用低噪音类型设备，噪声值≤50dB(A)，采用上进下排的方式。新风机送风量大于3000m</w:t>
            </w:r>
            <w:r>
              <w:rPr>
                <w:rFonts w:hint="default" w:ascii="Times New Roman" w:hAnsi="Times New Roman" w:cs="Times New Roman"/>
                <w:sz w:val="24"/>
                <w:szCs w:val="24"/>
                <w:vertAlign w:val="superscript"/>
                <w:lang w:val="en-US" w:eastAsia="zh-CN"/>
              </w:rPr>
              <w:t>3</w:t>
            </w:r>
            <w:r>
              <w:rPr>
                <w:rFonts w:hint="default" w:ascii="Times New Roman" w:hAnsi="Times New Roman" w:cs="Times New Roman"/>
                <w:sz w:val="24"/>
                <w:szCs w:val="24"/>
                <w:lang w:val="en-US" w:eastAsia="zh-CN"/>
              </w:rPr>
              <w:t>/h，排风机风量大于800m</w:t>
            </w:r>
            <w:r>
              <w:rPr>
                <w:rFonts w:hint="default" w:ascii="Times New Roman" w:hAnsi="Times New Roman" w:cs="Times New Roman"/>
                <w:sz w:val="24"/>
                <w:szCs w:val="24"/>
                <w:vertAlign w:val="superscript"/>
                <w:lang w:val="en-US" w:eastAsia="zh-CN"/>
              </w:rPr>
              <w:t>3</w:t>
            </w:r>
            <w:r>
              <w:rPr>
                <w:rFonts w:hint="default" w:ascii="Times New Roman" w:hAnsi="Times New Roman" w:cs="Times New Roman"/>
                <w:sz w:val="24"/>
                <w:szCs w:val="24"/>
                <w:lang w:val="en-US" w:eastAsia="zh-CN"/>
              </w:rPr>
              <w:t>/h。新风机位于DSA机房楼顶露台，DSA机房内两个进风口位于机房北侧顶部吊顶处，DSA机房两个出风口位于机房南侧墙面两侧距地面高约30cm处，废气经排风机外排至6号楼楼顶，经自然稀释后对周围环境影响不大。</w:t>
            </w:r>
          </w:p>
          <w:p w14:paraId="61CE187F">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2、废水治理措施</w:t>
            </w:r>
          </w:p>
          <w:p w14:paraId="576FBAE8">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本建设项目DSA采用数字成像，无废显、定影液产生；医护人员产生的生活污水和介入手术及清洗器械产生的医疗废水依托医院的污水处理站预处理达标后排入九龙大道市政管网，最终排入罗平县学田污水处理厂处理。</w:t>
            </w:r>
          </w:p>
          <w:p w14:paraId="6480AC9A">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3、固体废弃物治理措施</w:t>
            </w:r>
          </w:p>
          <w:p w14:paraId="3113ACE6">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本建设项目DSA采用数字成像，无需胶片，会根据患者的需要刻录光盘，光盘由患者带走并自行处理。介入手术过程中产生的医疗废物暂存于医疗废物暂存间，依托医院医疗废物管理制度统一处置。医护人员产生的生活垃圾经医院垃圾桶收集后委托环卫部门定期清运。</w:t>
            </w:r>
          </w:p>
          <w:p w14:paraId="7F1BB36D">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4、噪声治理措施</w:t>
            </w:r>
          </w:p>
          <w:p w14:paraId="1A7013AA">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pPr>
            <w:r>
              <w:rPr>
                <w:rFonts w:hint="eastAsia" w:ascii="Times New Roman" w:hAnsi="Times New Roman" w:cs="Times New Roman"/>
                <w:sz w:val="24"/>
                <w:szCs w:val="24"/>
                <w:lang w:val="en-US" w:eastAsia="zh-CN"/>
              </w:rPr>
              <w:t>DSA</w:t>
            </w:r>
            <w:r>
              <w:rPr>
                <w:rFonts w:hint="default" w:ascii="Times New Roman" w:hAnsi="Times New Roman" w:cs="Times New Roman"/>
                <w:sz w:val="24"/>
                <w:szCs w:val="24"/>
                <w:lang w:val="en-US" w:eastAsia="zh-CN"/>
              </w:rPr>
              <w:t>机房</w:t>
            </w:r>
            <w:r>
              <w:rPr>
                <w:rFonts w:hint="eastAsia" w:ascii="Times New Roman" w:hAnsi="Times New Roman" w:cs="Times New Roman"/>
                <w:sz w:val="24"/>
                <w:szCs w:val="24"/>
                <w:lang w:val="en-US" w:eastAsia="zh-CN"/>
              </w:rPr>
              <w:t>统一安装1套通排风系统。</w:t>
            </w:r>
            <w:r>
              <w:rPr>
                <w:rFonts w:hint="default" w:ascii="Times New Roman" w:hAnsi="Times New Roman" w:cs="Times New Roman"/>
                <w:sz w:val="24"/>
                <w:szCs w:val="24"/>
                <w:lang w:val="en-US" w:eastAsia="zh-CN"/>
              </w:rPr>
              <w:t>排气风机选用低噪音类型设备，噪声值≤50dB(A)，排风、新风(送风)管道上设置有消音器，外机支架上面使用减振器处理，风机噪声通过降噪措施降噪后，经过墙体阻隔和距离衰减后，对周围环境影响不大。</w:t>
            </w:r>
          </w:p>
        </w:tc>
      </w:tr>
      <w:tr w14:paraId="188C29DA">
        <w:tblPrEx>
          <w:tblCellMar>
            <w:top w:w="0" w:type="dxa"/>
            <w:left w:w="108" w:type="dxa"/>
            <w:bottom w:w="0" w:type="dxa"/>
            <w:right w:w="108" w:type="dxa"/>
          </w:tblCellMar>
        </w:tblPrEx>
        <w:trPr>
          <w:trHeight w:val="386"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5BCA91AC">
            <w:pPr>
              <w:widowControl/>
              <w:spacing w:line="280" w:lineRule="exact"/>
              <w:jc w:val="center"/>
              <w:rPr>
                <w:rFonts w:ascii="宋体"/>
                <w:kern w:val="0"/>
                <w:sz w:val="24"/>
                <w:szCs w:val="24"/>
              </w:rPr>
            </w:pPr>
            <w:r>
              <w:rPr>
                <w:rFonts w:hint="eastAsia" w:ascii="宋体" w:hAnsi="宋体"/>
                <w:kern w:val="0"/>
                <w:sz w:val="24"/>
                <w:szCs w:val="24"/>
              </w:rPr>
              <w:t>公众参与情况</w:t>
            </w:r>
          </w:p>
        </w:tc>
      </w:tr>
      <w:tr w14:paraId="53A3A3CF">
        <w:tblPrEx>
          <w:tblCellMar>
            <w:top w:w="0" w:type="dxa"/>
            <w:left w:w="108" w:type="dxa"/>
            <w:bottom w:w="0" w:type="dxa"/>
            <w:right w:w="108" w:type="dxa"/>
          </w:tblCellMar>
        </w:tblPrEx>
        <w:trPr>
          <w:trHeight w:val="743"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2A4360F3">
            <w:pPr>
              <w:pStyle w:val="7"/>
              <w:ind w:firstLine="480" w:firstLineChars="200"/>
            </w:pPr>
            <w:r>
              <w:rPr>
                <w:rFonts w:hint="eastAsia" w:ascii="Times New Roman" w:hAnsi="Times New Roman" w:eastAsia="方正仿宋_GBK" w:cs="Times New Roman"/>
                <w:snapToGrid/>
                <w:kern w:val="32"/>
                <w:sz w:val="24"/>
                <w:szCs w:val="24"/>
                <w:lang w:val="en-US" w:eastAsia="zh-CN" w:bidi="ar-SA"/>
              </w:rPr>
              <w:t>无。</w:t>
            </w:r>
          </w:p>
        </w:tc>
      </w:tr>
      <w:tr w14:paraId="648E6F9F">
        <w:tblPrEx>
          <w:tblCellMar>
            <w:top w:w="0" w:type="dxa"/>
            <w:left w:w="108" w:type="dxa"/>
            <w:bottom w:w="0" w:type="dxa"/>
            <w:right w:w="108" w:type="dxa"/>
          </w:tblCellMar>
        </w:tblPrEx>
        <w:trPr>
          <w:trHeight w:val="429" w:hRule="atLeast"/>
        </w:trPr>
        <w:tc>
          <w:tcPr>
            <w:tcW w:w="4002" w:type="dxa"/>
            <w:gridSpan w:val="2"/>
            <w:tcBorders>
              <w:top w:val="single" w:color="auto" w:sz="4" w:space="0"/>
              <w:left w:val="single" w:color="auto" w:sz="4" w:space="0"/>
              <w:bottom w:val="single" w:color="auto" w:sz="4" w:space="0"/>
              <w:right w:val="single" w:color="auto" w:sz="4" w:space="0"/>
            </w:tcBorders>
            <w:shd w:val="clear" w:color="auto" w:fill="C0C0C0"/>
            <w:vAlign w:val="center"/>
          </w:tcPr>
          <w:p w14:paraId="24FDDCE4">
            <w:pPr>
              <w:widowControl/>
              <w:spacing w:line="280" w:lineRule="exact"/>
              <w:jc w:val="left"/>
              <w:rPr>
                <w:rFonts w:ascii="宋体"/>
                <w:kern w:val="0"/>
                <w:sz w:val="24"/>
                <w:szCs w:val="24"/>
              </w:rPr>
            </w:pPr>
            <w:r>
              <w:rPr>
                <w:rFonts w:hint="eastAsia" w:ascii="宋体" w:hAnsi="宋体"/>
                <w:kern w:val="0"/>
                <w:sz w:val="24"/>
                <w:szCs w:val="24"/>
              </w:rPr>
              <w:t>建设单位或地方政府所作出的相关承诺文件</w:t>
            </w:r>
          </w:p>
        </w:tc>
        <w:tc>
          <w:tcPr>
            <w:tcW w:w="5812" w:type="dxa"/>
            <w:gridSpan w:val="4"/>
            <w:tcBorders>
              <w:top w:val="single" w:color="auto" w:sz="4" w:space="0"/>
              <w:left w:val="nil"/>
              <w:bottom w:val="single" w:color="auto" w:sz="4" w:space="0"/>
              <w:right w:val="single" w:color="auto" w:sz="4" w:space="0"/>
            </w:tcBorders>
            <w:vAlign w:val="center"/>
          </w:tcPr>
          <w:p w14:paraId="0CD64214">
            <w:pPr>
              <w:pStyle w:val="7"/>
              <w:ind w:firstLine="480" w:firstLineChars="200"/>
              <w:rPr>
                <w:rFonts w:hint="eastAsia" w:eastAsia="方正仿宋_GBK"/>
                <w:lang w:eastAsia="zh-CN"/>
              </w:rPr>
            </w:pPr>
            <w:r>
              <w:rPr>
                <w:rFonts w:hint="eastAsia" w:ascii="Times New Roman" w:hAnsi="Times New Roman" w:eastAsia="方正仿宋_GBK" w:cs="Times New Roman"/>
                <w:snapToGrid/>
                <w:kern w:val="32"/>
                <w:sz w:val="24"/>
                <w:szCs w:val="24"/>
                <w:lang w:val="en-US" w:eastAsia="zh-CN" w:bidi="ar-SA"/>
              </w:rPr>
              <w:t>信息公开同意函</w:t>
            </w:r>
            <w:r>
              <w:rPr>
                <w:rFonts w:hint="eastAsia" w:ascii="Times New Roman" w:hAnsi="Times New Roman" w:cs="Times New Roman"/>
                <w:snapToGrid/>
                <w:kern w:val="32"/>
                <w:sz w:val="24"/>
                <w:szCs w:val="24"/>
                <w:lang w:val="en-US" w:eastAsia="zh-CN" w:bidi="ar-SA"/>
              </w:rPr>
              <w:t>。</w:t>
            </w:r>
          </w:p>
        </w:tc>
      </w:tr>
      <w:tr w14:paraId="115A0E70">
        <w:tblPrEx>
          <w:tblCellMar>
            <w:top w:w="0" w:type="dxa"/>
            <w:left w:w="108" w:type="dxa"/>
            <w:bottom w:w="0" w:type="dxa"/>
            <w:right w:w="108" w:type="dxa"/>
          </w:tblCellMar>
        </w:tblPrEx>
        <w:trPr>
          <w:trHeight w:val="570" w:hRule="atLeast"/>
        </w:trPr>
        <w:tc>
          <w:tcPr>
            <w:tcW w:w="9814" w:type="dxa"/>
            <w:gridSpan w:val="6"/>
            <w:tcBorders>
              <w:top w:val="single" w:color="auto" w:sz="4" w:space="0"/>
              <w:left w:val="nil"/>
              <w:bottom w:val="nil"/>
              <w:right w:val="nil"/>
            </w:tcBorders>
            <w:vAlign w:val="center"/>
          </w:tcPr>
          <w:p w14:paraId="629C1CAC">
            <w:pPr>
              <w:widowControl/>
              <w:spacing w:line="280" w:lineRule="exact"/>
              <w:jc w:val="left"/>
              <w:rPr>
                <w:rFonts w:ascii="宋体"/>
                <w:kern w:val="0"/>
                <w:sz w:val="24"/>
                <w:szCs w:val="24"/>
              </w:rPr>
            </w:pPr>
            <w:r>
              <w:rPr>
                <w:rFonts w:hint="eastAsia" w:ascii="宋体" w:hAnsi="宋体"/>
                <w:kern w:val="0"/>
                <w:sz w:val="24"/>
                <w:szCs w:val="24"/>
              </w:rPr>
              <w:t>注:项目概况、项目主要环境影响、项目预防及减轻不良环境影响的对策和措施、公众参与情况、建设单位或地方政府所作出的相关承诺文件部分由建设单位填写。公众反馈意见联系方式部分由行政审批机关填写。</w:t>
            </w:r>
          </w:p>
        </w:tc>
      </w:tr>
    </w:tbl>
    <w:p w14:paraId="194B98EC">
      <w:pPr>
        <w:rPr>
          <w:color w:val="FF000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392E2078"/>
    <w:rsid w:val="0007389C"/>
    <w:rsid w:val="00150BE9"/>
    <w:rsid w:val="00156B39"/>
    <w:rsid w:val="001A0782"/>
    <w:rsid w:val="001A6B62"/>
    <w:rsid w:val="001B3A2B"/>
    <w:rsid w:val="001F034E"/>
    <w:rsid w:val="001F679B"/>
    <w:rsid w:val="00294DBA"/>
    <w:rsid w:val="002B6C2D"/>
    <w:rsid w:val="002C62B4"/>
    <w:rsid w:val="00322D57"/>
    <w:rsid w:val="00327286"/>
    <w:rsid w:val="00330F90"/>
    <w:rsid w:val="00335349"/>
    <w:rsid w:val="003C1AD7"/>
    <w:rsid w:val="003C4CF8"/>
    <w:rsid w:val="003C6F96"/>
    <w:rsid w:val="003E6693"/>
    <w:rsid w:val="00473C47"/>
    <w:rsid w:val="00485878"/>
    <w:rsid w:val="004A6061"/>
    <w:rsid w:val="004D701F"/>
    <w:rsid w:val="004E159E"/>
    <w:rsid w:val="005010C4"/>
    <w:rsid w:val="005107E1"/>
    <w:rsid w:val="005370B8"/>
    <w:rsid w:val="00542698"/>
    <w:rsid w:val="005A0DCF"/>
    <w:rsid w:val="005B283A"/>
    <w:rsid w:val="0060088D"/>
    <w:rsid w:val="0061485D"/>
    <w:rsid w:val="0062265A"/>
    <w:rsid w:val="006C6412"/>
    <w:rsid w:val="006D5270"/>
    <w:rsid w:val="006E4B40"/>
    <w:rsid w:val="006E5771"/>
    <w:rsid w:val="00702618"/>
    <w:rsid w:val="00705F2D"/>
    <w:rsid w:val="00773626"/>
    <w:rsid w:val="007A0516"/>
    <w:rsid w:val="007C11E2"/>
    <w:rsid w:val="0081762D"/>
    <w:rsid w:val="00833B43"/>
    <w:rsid w:val="00841044"/>
    <w:rsid w:val="00863CCD"/>
    <w:rsid w:val="00871427"/>
    <w:rsid w:val="00872120"/>
    <w:rsid w:val="00873527"/>
    <w:rsid w:val="008A3643"/>
    <w:rsid w:val="008A7183"/>
    <w:rsid w:val="008C224E"/>
    <w:rsid w:val="008C796D"/>
    <w:rsid w:val="008C7996"/>
    <w:rsid w:val="008C7D47"/>
    <w:rsid w:val="008D6010"/>
    <w:rsid w:val="00906E2D"/>
    <w:rsid w:val="009B5EE1"/>
    <w:rsid w:val="009D1793"/>
    <w:rsid w:val="009D3485"/>
    <w:rsid w:val="009D5CDC"/>
    <w:rsid w:val="00A560A2"/>
    <w:rsid w:val="00A7390A"/>
    <w:rsid w:val="00A752B3"/>
    <w:rsid w:val="00A84CD0"/>
    <w:rsid w:val="00AA08DA"/>
    <w:rsid w:val="00B22E4F"/>
    <w:rsid w:val="00B4670A"/>
    <w:rsid w:val="00B547C9"/>
    <w:rsid w:val="00B55F2A"/>
    <w:rsid w:val="00BA1007"/>
    <w:rsid w:val="00BA59BE"/>
    <w:rsid w:val="00BA7231"/>
    <w:rsid w:val="00BC32D8"/>
    <w:rsid w:val="00BD0857"/>
    <w:rsid w:val="00BD1407"/>
    <w:rsid w:val="00C36231"/>
    <w:rsid w:val="00C71183"/>
    <w:rsid w:val="00C96052"/>
    <w:rsid w:val="00CC1BB9"/>
    <w:rsid w:val="00CD2BAA"/>
    <w:rsid w:val="00CD608E"/>
    <w:rsid w:val="00D233CF"/>
    <w:rsid w:val="00DA65D2"/>
    <w:rsid w:val="00DC4E67"/>
    <w:rsid w:val="00DC7CEE"/>
    <w:rsid w:val="00E46C95"/>
    <w:rsid w:val="00E90C9E"/>
    <w:rsid w:val="00ED0EFF"/>
    <w:rsid w:val="00EE1F18"/>
    <w:rsid w:val="00EE5CE6"/>
    <w:rsid w:val="00F530BA"/>
    <w:rsid w:val="00F86E32"/>
    <w:rsid w:val="00FD24C7"/>
    <w:rsid w:val="00FD5740"/>
    <w:rsid w:val="00FF23D3"/>
    <w:rsid w:val="013830D2"/>
    <w:rsid w:val="01437794"/>
    <w:rsid w:val="03344A05"/>
    <w:rsid w:val="05275651"/>
    <w:rsid w:val="05B86C53"/>
    <w:rsid w:val="081E3E37"/>
    <w:rsid w:val="13B34670"/>
    <w:rsid w:val="15EF39E3"/>
    <w:rsid w:val="1A3C46BC"/>
    <w:rsid w:val="1B020E5E"/>
    <w:rsid w:val="1C8733A0"/>
    <w:rsid w:val="201D4921"/>
    <w:rsid w:val="20547DB6"/>
    <w:rsid w:val="21602F6F"/>
    <w:rsid w:val="22862C6A"/>
    <w:rsid w:val="245D4345"/>
    <w:rsid w:val="24694EB2"/>
    <w:rsid w:val="25502092"/>
    <w:rsid w:val="2B002CE4"/>
    <w:rsid w:val="2CA10B4F"/>
    <w:rsid w:val="2CAD1D69"/>
    <w:rsid w:val="2EE11733"/>
    <w:rsid w:val="2F923676"/>
    <w:rsid w:val="2FC57EA9"/>
    <w:rsid w:val="301D5EC7"/>
    <w:rsid w:val="33682ACB"/>
    <w:rsid w:val="34185686"/>
    <w:rsid w:val="35313D1A"/>
    <w:rsid w:val="359A3628"/>
    <w:rsid w:val="38002C65"/>
    <w:rsid w:val="392E2078"/>
    <w:rsid w:val="39984AC7"/>
    <w:rsid w:val="3B020811"/>
    <w:rsid w:val="3B2E26FF"/>
    <w:rsid w:val="3C272C37"/>
    <w:rsid w:val="3EDD372A"/>
    <w:rsid w:val="4155672C"/>
    <w:rsid w:val="43BD5ED1"/>
    <w:rsid w:val="449625B7"/>
    <w:rsid w:val="45BD33BC"/>
    <w:rsid w:val="47F24AD5"/>
    <w:rsid w:val="4866291F"/>
    <w:rsid w:val="4B402719"/>
    <w:rsid w:val="4B9C7ABA"/>
    <w:rsid w:val="4C985FBF"/>
    <w:rsid w:val="4D2F5EED"/>
    <w:rsid w:val="4DC60339"/>
    <w:rsid w:val="4EC40453"/>
    <w:rsid w:val="4F7B2ACC"/>
    <w:rsid w:val="50153BC8"/>
    <w:rsid w:val="51E81108"/>
    <w:rsid w:val="52385E17"/>
    <w:rsid w:val="54752240"/>
    <w:rsid w:val="54D166C0"/>
    <w:rsid w:val="555D267C"/>
    <w:rsid w:val="5653575C"/>
    <w:rsid w:val="577942AD"/>
    <w:rsid w:val="58FF0EBE"/>
    <w:rsid w:val="5998453C"/>
    <w:rsid w:val="5A834766"/>
    <w:rsid w:val="5BED57C7"/>
    <w:rsid w:val="5D2E69AB"/>
    <w:rsid w:val="5DCC4393"/>
    <w:rsid w:val="5F257633"/>
    <w:rsid w:val="60EA0DC0"/>
    <w:rsid w:val="614E3CA3"/>
    <w:rsid w:val="64CE0A00"/>
    <w:rsid w:val="66B00A67"/>
    <w:rsid w:val="6AB93F9D"/>
    <w:rsid w:val="6C044E5F"/>
    <w:rsid w:val="6C8A7DA4"/>
    <w:rsid w:val="714078D6"/>
    <w:rsid w:val="715F713D"/>
    <w:rsid w:val="747E39E9"/>
    <w:rsid w:val="74857523"/>
    <w:rsid w:val="77533B6A"/>
    <w:rsid w:val="78CD4DAD"/>
    <w:rsid w:val="79377A43"/>
    <w:rsid w:val="79CC62C5"/>
    <w:rsid w:val="79EF4D86"/>
    <w:rsid w:val="7E5F2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_GBK" w:cs="Times New Roman"/>
      <w:kern w:val="32"/>
      <w:sz w:val="32"/>
      <w:szCs w:val="32"/>
      <w:lang w:val="en-US" w:eastAsia="zh-CN" w:bidi="ar-SA"/>
    </w:rPr>
  </w:style>
  <w:style w:type="paragraph" w:styleId="2">
    <w:name w:val="heading 2"/>
    <w:basedOn w:val="1"/>
    <w:next w:val="1"/>
    <w:link w:val="24"/>
    <w:qFormat/>
    <w:uiPriority w:val="0"/>
    <w:pPr>
      <w:tabs>
        <w:tab w:val="left" w:pos="5882"/>
      </w:tabs>
      <w:adjustRightInd w:val="0"/>
      <w:snapToGrid w:val="0"/>
      <w:spacing w:beforeLines="50"/>
      <w:jc w:val="left"/>
      <w:outlineLvl w:val="1"/>
    </w:pPr>
    <w:rPr>
      <w:rFonts w:ascii="Times New Roman" w:hAnsi="Times New Roman" w:eastAsia="宋体"/>
      <w:b/>
      <w:kern w:val="0"/>
      <w:sz w:val="24"/>
      <w:szCs w:val="24"/>
    </w:rPr>
  </w:style>
  <w:style w:type="paragraph" w:styleId="3">
    <w:name w:val="heading 3"/>
    <w:basedOn w:val="1"/>
    <w:next w:val="1"/>
    <w:link w:val="19"/>
    <w:qFormat/>
    <w:uiPriority w:val="0"/>
    <w:pPr>
      <w:topLinePunct/>
      <w:spacing w:before="120" w:line="480" w:lineRule="exact"/>
      <w:outlineLvl w:val="2"/>
    </w:pPr>
    <w:rPr>
      <w:rFonts w:ascii="Times New Roman" w:hAnsi="Times New Roman" w:eastAsia="楷体_GB2312"/>
      <w:b/>
      <w:bCs/>
      <w:color w:val="000000"/>
      <w:kern w:val="2"/>
      <w:sz w:val="28"/>
      <w:szCs w:val="28"/>
    </w:rPr>
  </w:style>
  <w:style w:type="paragraph" w:styleId="4">
    <w:name w:val="heading 4"/>
    <w:basedOn w:val="1"/>
    <w:next w:val="1"/>
    <w:link w:val="22"/>
    <w:qFormat/>
    <w:uiPriority w:val="0"/>
    <w:pPr>
      <w:keepNext/>
      <w:keepLines/>
      <w:spacing w:before="280" w:after="290" w:line="376" w:lineRule="auto"/>
      <w:outlineLvl w:val="3"/>
    </w:pPr>
    <w:rPr>
      <w:rFonts w:ascii="Arial" w:hAnsi="Arial" w:eastAsia="黑体"/>
      <w:b/>
      <w:bCs/>
      <w:kern w:val="2"/>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6"/>
    <w:next w:val="6"/>
    <w:qFormat/>
    <w:uiPriority w:val="1"/>
    <w:rPr>
      <w:sz w:val="24"/>
      <w:szCs w:val="24"/>
    </w:rPr>
  </w:style>
  <w:style w:type="paragraph" w:styleId="6">
    <w:name w:val="Title"/>
    <w:basedOn w:val="1"/>
    <w:qFormat/>
    <w:uiPriority w:val="0"/>
    <w:pPr>
      <w:adjustRightInd w:val="0"/>
      <w:snapToGrid w:val="0"/>
      <w:spacing w:before="240" w:after="60" w:line="360" w:lineRule="auto"/>
      <w:ind w:firstLine="200" w:firstLineChars="200"/>
      <w:jc w:val="center"/>
      <w:outlineLvl w:val="0"/>
    </w:pPr>
    <w:rPr>
      <w:rFonts w:ascii="Cambria" w:hAnsi="Cambria"/>
      <w:b/>
      <w:bCs/>
    </w:rPr>
  </w:style>
  <w:style w:type="paragraph" w:styleId="7">
    <w:name w:val="Plain Text"/>
    <w:basedOn w:val="1"/>
    <w:qFormat/>
    <w:uiPriority w:val="0"/>
    <w:rPr>
      <w:rFonts w:ascii="宋体"/>
      <w:snapToGrid w:val="0"/>
      <w:kern w:val="0"/>
      <w:szCs w:val="20"/>
    </w:rPr>
  </w:style>
  <w:style w:type="paragraph" w:styleId="8">
    <w:name w:val="footer"/>
    <w:basedOn w:val="1"/>
    <w:link w:val="23"/>
    <w:qFormat/>
    <w:uiPriority w:val="0"/>
    <w:pPr>
      <w:tabs>
        <w:tab w:val="center" w:pos="4153"/>
        <w:tab w:val="right" w:pos="8306"/>
      </w:tabs>
      <w:snapToGrid w:val="0"/>
      <w:jc w:val="left"/>
    </w:pPr>
    <w:rPr>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jc w:val="left"/>
    </w:pPr>
    <w:rPr>
      <w:rFonts w:eastAsia="宋体"/>
      <w:kern w:val="0"/>
      <w:sz w:val="24"/>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customStyle="1" w:styleId="15">
    <w:name w:val="Normal Indent1"/>
    <w:basedOn w:val="1"/>
    <w:next w:val="1"/>
    <w:qFormat/>
    <w:uiPriority w:val="99"/>
    <w:pPr>
      <w:ind w:firstLine="420"/>
    </w:pPr>
  </w:style>
  <w:style w:type="paragraph" w:customStyle="1" w:styleId="16">
    <w:name w:val="Default"/>
    <w:basedOn w:val="17"/>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17">
    <w:name w:val="纯文本1"/>
    <w:basedOn w:val="1"/>
    <w:qFormat/>
    <w:uiPriority w:val="0"/>
    <w:pPr>
      <w:suppressAutoHyphens/>
    </w:pPr>
    <w:rPr>
      <w:rFonts w:ascii="宋体" w:hAnsi="宋体" w:eastAsia="宋体" w:cs="Times New Roman"/>
      <w:kern w:val="1"/>
      <w:sz w:val="28"/>
      <w:lang w:eastAsia="ar-SA"/>
    </w:rPr>
  </w:style>
  <w:style w:type="paragraph" w:customStyle="1" w:styleId="18">
    <w:name w:val="正本文字"/>
    <w:basedOn w:val="1"/>
    <w:autoRedefine/>
    <w:qFormat/>
    <w:uiPriority w:val="0"/>
    <w:pPr>
      <w:adjustRightInd w:val="0"/>
      <w:snapToGrid w:val="0"/>
      <w:spacing w:line="360" w:lineRule="auto"/>
      <w:ind w:firstLine="480" w:firstLineChars="200"/>
      <w:jc w:val="left"/>
    </w:pPr>
    <w:rPr>
      <w:rFonts w:cs="宋体"/>
      <w:kern w:val="18"/>
      <w:sz w:val="24"/>
    </w:rPr>
  </w:style>
  <w:style w:type="character" w:customStyle="1" w:styleId="19">
    <w:name w:val="标题 3 字符"/>
    <w:link w:val="3"/>
    <w:qFormat/>
    <w:uiPriority w:val="0"/>
    <w:rPr>
      <w:rFonts w:eastAsia="楷体_GB2312"/>
      <w:b/>
      <w:bCs/>
      <w:color w:val="000000"/>
      <w:kern w:val="2"/>
      <w:sz w:val="28"/>
      <w:szCs w:val="28"/>
    </w:rPr>
  </w:style>
  <w:style w:type="character" w:customStyle="1" w:styleId="20">
    <w:name w:val="标题 3 Char"/>
    <w:semiHidden/>
    <w:qFormat/>
    <w:uiPriority w:val="0"/>
    <w:rPr>
      <w:rFonts w:ascii="Calibri" w:hAnsi="Calibri" w:eastAsia="方正仿宋_GBK"/>
      <w:b/>
      <w:bCs/>
      <w:kern w:val="32"/>
      <w:sz w:val="32"/>
      <w:szCs w:val="32"/>
    </w:rPr>
  </w:style>
  <w:style w:type="character" w:customStyle="1" w:styleId="21">
    <w:name w:val="页眉 字符"/>
    <w:link w:val="9"/>
    <w:qFormat/>
    <w:uiPriority w:val="0"/>
    <w:rPr>
      <w:rFonts w:ascii="Calibri" w:hAnsi="Calibri" w:eastAsia="方正仿宋_GBK"/>
      <w:kern w:val="32"/>
      <w:sz w:val="18"/>
      <w:szCs w:val="18"/>
    </w:rPr>
  </w:style>
  <w:style w:type="character" w:customStyle="1" w:styleId="22">
    <w:name w:val="标题 4 字符"/>
    <w:link w:val="4"/>
    <w:qFormat/>
    <w:uiPriority w:val="0"/>
    <w:rPr>
      <w:rFonts w:ascii="Arial" w:hAnsi="Arial" w:eastAsia="黑体"/>
      <w:b/>
      <w:bCs/>
      <w:kern w:val="2"/>
      <w:sz w:val="28"/>
      <w:szCs w:val="28"/>
    </w:rPr>
  </w:style>
  <w:style w:type="character" w:customStyle="1" w:styleId="23">
    <w:name w:val="页脚 字符"/>
    <w:link w:val="8"/>
    <w:qFormat/>
    <w:uiPriority w:val="0"/>
    <w:rPr>
      <w:rFonts w:ascii="Calibri" w:hAnsi="Calibri" w:eastAsia="方正仿宋_GBK"/>
      <w:kern w:val="32"/>
      <w:sz w:val="18"/>
      <w:szCs w:val="18"/>
    </w:rPr>
  </w:style>
  <w:style w:type="character" w:customStyle="1" w:styleId="24">
    <w:name w:val="标题 2 字符"/>
    <w:link w:val="2"/>
    <w:qFormat/>
    <w:uiPriority w:val="0"/>
    <w:rPr>
      <w:rFonts w:eastAsia="宋体"/>
      <w:b/>
      <w:sz w:val="24"/>
      <w:szCs w:val="24"/>
    </w:rPr>
  </w:style>
  <w:style w:type="character" w:customStyle="1" w:styleId="25">
    <w:name w:val="标题 4 Char"/>
    <w:semiHidden/>
    <w:qFormat/>
    <w:uiPriority w:val="0"/>
    <w:rPr>
      <w:rFonts w:ascii="Cambria" w:hAnsi="Cambria" w:eastAsia="宋体" w:cs="Times New Roman"/>
      <w:b/>
      <w:bCs/>
      <w:kern w:val="32"/>
      <w:sz w:val="28"/>
      <w:szCs w:val="28"/>
    </w:rPr>
  </w:style>
  <w:style w:type="character" w:customStyle="1" w:styleId="26">
    <w:name w:val="正文 旺源文字段落 Char"/>
    <w:link w:val="27"/>
    <w:qFormat/>
    <w:uiPriority w:val="0"/>
    <w:rPr>
      <w:rFonts w:ascii="宋体" w:hAnsi="宋体" w:cs="宋体"/>
      <w:kern w:val="24"/>
      <w:sz w:val="24"/>
      <w:szCs w:val="24"/>
    </w:rPr>
  </w:style>
  <w:style w:type="paragraph" w:customStyle="1" w:styleId="27">
    <w:name w:val="正文 旺源文字段落"/>
    <w:basedOn w:val="1"/>
    <w:link w:val="26"/>
    <w:qFormat/>
    <w:uiPriority w:val="0"/>
    <w:pPr>
      <w:spacing w:line="500" w:lineRule="exact"/>
      <w:ind w:firstLine="420"/>
    </w:pPr>
    <w:rPr>
      <w:rFonts w:ascii="宋体" w:hAnsi="宋体" w:eastAsia="宋体"/>
      <w:kern w:val="24"/>
      <w:sz w:val="24"/>
      <w:szCs w:val="24"/>
    </w:rPr>
  </w:style>
  <w:style w:type="paragraph" w:customStyle="1" w:styleId="28">
    <w:name w:val="LH样式"/>
    <w:basedOn w:val="1"/>
    <w:qFormat/>
    <w:uiPriority w:val="0"/>
    <w:pPr>
      <w:spacing w:line="480" w:lineRule="exact"/>
      <w:ind w:firstLine="520" w:firstLineChars="200"/>
    </w:pPr>
    <w:rPr>
      <w:rFonts w:ascii="Times New Roman" w:hAnsi="Times New Roman" w:eastAsia="宋体"/>
      <w:color w:val="00B0F0"/>
      <w:kern w:val="2"/>
      <w:sz w:val="26"/>
      <w:szCs w:val="26"/>
    </w:rPr>
  </w:style>
  <w:style w:type="paragraph" w:customStyle="1" w:styleId="29">
    <w:name w:val="正文2"/>
    <w:basedOn w:val="1"/>
    <w:qFormat/>
    <w:uiPriority w:val="0"/>
    <w:pPr>
      <w:spacing w:line="360" w:lineRule="auto"/>
      <w:ind w:firstLine="200" w:firstLineChars="200"/>
    </w:pPr>
    <w:rPr>
      <w:rFonts w:ascii="Times New Roman" w:hAnsi="Times New Roman" w:eastAsia="宋体"/>
      <w:sz w:val="24"/>
      <w:szCs w:val="20"/>
    </w:rPr>
  </w:style>
  <w:style w:type="paragraph" w:customStyle="1" w:styleId="30">
    <w:name w:val="Table Text"/>
    <w:basedOn w:val="1"/>
    <w:semiHidden/>
    <w:qFormat/>
    <w:uiPriority w:val="0"/>
    <w:rPr>
      <w:rFonts w:ascii="宋体" w:hAnsi="宋体" w:eastAsia="宋体" w:cs="宋体"/>
      <w:sz w:val="21"/>
      <w:szCs w:val="21"/>
      <w:lang w:val="en-US" w:eastAsia="en-US" w:bidi="ar-SA"/>
    </w:rPr>
  </w:style>
  <w:style w:type="paragraph" w:customStyle="1" w:styleId="31">
    <w:name w:val="H正文"/>
    <w:basedOn w:val="1"/>
    <w:qFormat/>
    <w:uiPriority w:val="0"/>
    <w:pPr>
      <w:adjustRightInd w:val="0"/>
      <w:spacing w:line="400" w:lineRule="exact"/>
      <w:ind w:firstLine="200" w:firstLineChars="200"/>
      <w:textAlignment w:val="baseline"/>
    </w:pPr>
    <w:rPr>
      <w:rFonts w:ascii="Times New Roman" w:hAnsi="Times New Roman" w:eastAsia="宋体"/>
      <w:snapToGrid w:val="0"/>
      <w:spacing w:val="6"/>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3012</Words>
  <Characters>3243</Characters>
  <Lines>97</Lines>
  <Paragraphs>85</Paragraphs>
  <TotalTime>1</TotalTime>
  <ScaleCrop>false</ScaleCrop>
  <LinksUpToDate>false</LinksUpToDate>
  <CharactersWithSpaces>3249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2019-10-22T01:39:00Z</dcterms:created>
  <dc:creator>lenovo</dc:creator>
  <cp:lastModifiedBy>郭丽娜</cp:lastModifiedBy>
  <cp:lastPrinted>2016-09-13T03:08:00Z</cp:lastPrinted>
  <dcterms:modified xsi:type="dcterms:W3CDTF">2026-08-11T09:09:53Z</dcterms:modified>
  <dc:title>曲靖市环境保护局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BA0001A596D9471F87855DDAAF32C0F9_13</vt:lpwstr>
  </property>
  <property fmtid="{D5CDD505-2E9C-101B-9397-08002B2CF9AE}" pid="4" name="KSOTemplateDocerSaveRecord">
    <vt:lpwstr>eyJoZGlkIjoiYTA0OTFiNTllN2E3YTc2MDc5ZTIwYTg0ZjFlZjFlMWQiLCJ1c2VySWQiOiIzNzMyMDUyODEifQ==</vt:lpwstr>
  </property>
</Properties>
</file>