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1"/>
        <w:tblW w:w="0" w:type="auto"/>
        <w:tblInd w:w="-208" w:type="dxa"/>
        <w:tblLayout w:type="fixed"/>
        <w:tblCellMar>
          <w:top w:w="0" w:type="dxa"/>
          <w:left w:w="108" w:type="dxa"/>
          <w:bottom w:w="0" w:type="dxa"/>
          <w:right w:w="108" w:type="dxa"/>
        </w:tblCellMar>
      </w:tblPr>
      <w:tblGrid>
        <w:gridCol w:w="1756"/>
        <w:gridCol w:w="2246"/>
        <w:gridCol w:w="1276"/>
        <w:gridCol w:w="1559"/>
        <w:gridCol w:w="1276"/>
        <w:gridCol w:w="1701"/>
      </w:tblGrid>
      <w:tr w14:paraId="2E6E6376">
        <w:tblPrEx>
          <w:tblCellMar>
            <w:top w:w="0" w:type="dxa"/>
            <w:left w:w="108" w:type="dxa"/>
            <w:bottom w:w="0" w:type="dxa"/>
            <w:right w:w="108" w:type="dxa"/>
          </w:tblCellMar>
        </w:tblPrEx>
        <w:trPr>
          <w:trHeight w:val="571" w:hRule="atLeast"/>
        </w:trPr>
        <w:tc>
          <w:tcPr>
            <w:tcW w:w="1756" w:type="dxa"/>
            <w:tcBorders>
              <w:top w:val="single" w:color="auto" w:sz="4" w:space="0"/>
              <w:left w:val="single" w:color="auto" w:sz="4" w:space="0"/>
              <w:bottom w:val="single" w:color="auto" w:sz="4" w:space="0"/>
              <w:right w:val="single" w:color="auto" w:sz="4" w:space="0"/>
            </w:tcBorders>
            <w:shd w:val="clear" w:color="auto" w:fill="C0C0C0"/>
            <w:vAlign w:val="center"/>
          </w:tcPr>
          <w:p w14:paraId="1D8569AF">
            <w:pPr>
              <w:widowControl/>
              <w:spacing w:line="280" w:lineRule="exact"/>
              <w:jc w:val="left"/>
              <w:rPr>
                <w:rFonts w:hint="default" w:ascii="Times New Roman" w:hAnsi="Times New Roman" w:cs="Times New Roman"/>
                <w:kern w:val="0"/>
                <w:sz w:val="24"/>
                <w:szCs w:val="24"/>
              </w:rPr>
            </w:pPr>
            <w:bookmarkStart w:id="0" w:name="_GoBack"/>
            <w:bookmarkEnd w:id="0"/>
            <w:r>
              <w:rPr>
                <w:rFonts w:hint="default" w:ascii="Times New Roman" w:hAnsi="Times New Roman" w:cs="Times New Roman"/>
                <w:sz w:val="24"/>
                <w:szCs w:val="24"/>
              </w:rPr>
              <w:t xml:space="preserve"> </w:t>
            </w:r>
            <w:r>
              <w:rPr>
                <w:rFonts w:hint="default" w:ascii="Times New Roman" w:hAnsi="Times New Roman" w:cs="Times New Roman"/>
                <w:kern w:val="0"/>
                <w:sz w:val="24"/>
                <w:szCs w:val="24"/>
              </w:rPr>
              <w:t>项目名称</w:t>
            </w:r>
          </w:p>
        </w:tc>
        <w:tc>
          <w:tcPr>
            <w:tcW w:w="2246" w:type="dxa"/>
            <w:tcBorders>
              <w:top w:val="single" w:color="auto" w:sz="4" w:space="0"/>
              <w:left w:val="nil"/>
              <w:bottom w:val="single" w:color="auto" w:sz="4" w:space="0"/>
              <w:right w:val="single" w:color="auto" w:sz="4" w:space="0"/>
            </w:tcBorders>
            <w:shd w:val="clear" w:color="auto" w:fill="auto"/>
            <w:vAlign w:val="center"/>
          </w:tcPr>
          <w:p w14:paraId="4937C58A">
            <w:pPr>
              <w:widowControl/>
              <w:spacing w:line="280" w:lineRule="exact"/>
              <w:jc w:val="left"/>
              <w:rPr>
                <w:rFonts w:hint="default" w:ascii="Times New Roman" w:hAnsi="Times New Roman" w:cs="Times New Roman"/>
                <w:sz w:val="24"/>
                <w:szCs w:val="24"/>
              </w:rPr>
            </w:pPr>
            <w:r>
              <w:rPr>
                <w:rFonts w:hint="default" w:ascii="Times New Roman" w:hAnsi="Times New Roman" w:cs="Times New Roman"/>
                <w:kern w:val="0"/>
                <w:sz w:val="24"/>
                <w:szCs w:val="24"/>
                <w:lang w:eastAsia="zh-CN"/>
              </w:rPr>
              <w:t>西泽风电场（二期）</w:t>
            </w:r>
          </w:p>
        </w:tc>
        <w:tc>
          <w:tcPr>
            <w:tcW w:w="1276" w:type="dxa"/>
            <w:tcBorders>
              <w:top w:val="single" w:color="auto" w:sz="4" w:space="0"/>
              <w:left w:val="nil"/>
              <w:bottom w:val="single" w:color="auto" w:sz="4" w:space="0"/>
              <w:right w:val="single" w:color="auto" w:sz="4" w:space="0"/>
            </w:tcBorders>
            <w:shd w:val="clear" w:color="auto" w:fill="C0C0C0"/>
            <w:vAlign w:val="center"/>
          </w:tcPr>
          <w:p w14:paraId="557EA87A">
            <w:pPr>
              <w:widowControl/>
              <w:spacing w:line="280" w:lineRule="exact"/>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建设地点</w:t>
            </w:r>
          </w:p>
        </w:tc>
        <w:tc>
          <w:tcPr>
            <w:tcW w:w="1559" w:type="dxa"/>
            <w:tcBorders>
              <w:top w:val="single" w:color="auto" w:sz="4" w:space="0"/>
              <w:left w:val="nil"/>
              <w:bottom w:val="single" w:color="auto" w:sz="4" w:space="0"/>
              <w:right w:val="single" w:color="auto" w:sz="4" w:space="0"/>
            </w:tcBorders>
            <w:shd w:val="clear" w:color="auto" w:fill="auto"/>
            <w:vAlign w:val="center"/>
          </w:tcPr>
          <w:p w14:paraId="5B3ECEF6">
            <w:pPr>
              <w:widowControl/>
              <w:spacing w:line="280" w:lineRule="exact"/>
              <w:jc w:val="left"/>
              <w:rPr>
                <w:rFonts w:hint="default" w:ascii="Times New Roman" w:hAnsi="Times New Roman" w:cs="Times New Roman"/>
                <w:sz w:val="24"/>
                <w:szCs w:val="24"/>
              </w:rPr>
            </w:pPr>
            <w:r>
              <w:rPr>
                <w:rFonts w:hint="default" w:ascii="Times New Roman" w:hAnsi="Times New Roman" w:cs="Times New Roman"/>
                <w:sz w:val="24"/>
                <w:szCs w:val="24"/>
              </w:rPr>
              <w:t>宣威市热水镇</w:t>
            </w:r>
          </w:p>
        </w:tc>
        <w:tc>
          <w:tcPr>
            <w:tcW w:w="1276" w:type="dxa"/>
            <w:tcBorders>
              <w:top w:val="single" w:color="auto" w:sz="4" w:space="0"/>
              <w:left w:val="nil"/>
              <w:bottom w:val="single" w:color="auto" w:sz="4" w:space="0"/>
              <w:right w:val="single" w:color="auto" w:sz="4" w:space="0"/>
            </w:tcBorders>
            <w:shd w:val="clear" w:color="auto" w:fill="C0C0C0"/>
            <w:vAlign w:val="center"/>
          </w:tcPr>
          <w:p w14:paraId="30375919">
            <w:pPr>
              <w:widowControl/>
              <w:spacing w:line="280" w:lineRule="exact"/>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建设单位</w:t>
            </w:r>
          </w:p>
        </w:tc>
        <w:tc>
          <w:tcPr>
            <w:tcW w:w="1701" w:type="dxa"/>
            <w:tcBorders>
              <w:top w:val="single" w:color="auto" w:sz="4" w:space="0"/>
              <w:left w:val="nil"/>
              <w:bottom w:val="single" w:color="auto" w:sz="4" w:space="0"/>
              <w:right w:val="single" w:color="auto" w:sz="4" w:space="0"/>
            </w:tcBorders>
            <w:vAlign w:val="center"/>
          </w:tcPr>
          <w:p w14:paraId="7FAC3FEA">
            <w:pPr>
              <w:widowControl/>
              <w:spacing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国电电力云南新能源开发有限公司</w:t>
            </w:r>
          </w:p>
        </w:tc>
      </w:tr>
      <w:tr w14:paraId="0C28C87D">
        <w:tblPrEx>
          <w:tblCellMar>
            <w:top w:w="0" w:type="dxa"/>
            <w:left w:w="108" w:type="dxa"/>
            <w:bottom w:w="0" w:type="dxa"/>
            <w:right w:w="108" w:type="dxa"/>
          </w:tblCellMar>
        </w:tblPrEx>
        <w:trPr>
          <w:trHeight w:val="762" w:hRule="atLeast"/>
        </w:trPr>
        <w:tc>
          <w:tcPr>
            <w:tcW w:w="1756" w:type="dxa"/>
            <w:tcBorders>
              <w:top w:val="nil"/>
              <w:left w:val="single" w:color="auto" w:sz="4" w:space="0"/>
              <w:bottom w:val="single" w:color="auto" w:sz="4" w:space="0"/>
              <w:right w:val="single" w:color="auto" w:sz="4" w:space="0"/>
            </w:tcBorders>
            <w:shd w:val="clear" w:color="auto" w:fill="C0C0C0"/>
            <w:vAlign w:val="center"/>
          </w:tcPr>
          <w:p w14:paraId="285487F0">
            <w:pPr>
              <w:widowControl/>
              <w:spacing w:line="280" w:lineRule="exact"/>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环评文件类型</w:t>
            </w:r>
          </w:p>
        </w:tc>
        <w:tc>
          <w:tcPr>
            <w:tcW w:w="2246" w:type="dxa"/>
            <w:tcBorders>
              <w:top w:val="nil"/>
              <w:left w:val="nil"/>
              <w:bottom w:val="single" w:color="auto" w:sz="4" w:space="0"/>
              <w:right w:val="single" w:color="auto" w:sz="4" w:space="0"/>
            </w:tcBorders>
            <w:shd w:val="clear" w:color="auto" w:fill="auto"/>
            <w:vAlign w:val="center"/>
          </w:tcPr>
          <w:p w14:paraId="001E7694">
            <w:pPr>
              <w:widowControl/>
              <w:spacing w:line="280" w:lineRule="exact"/>
              <w:jc w:val="center"/>
              <w:rPr>
                <w:rFonts w:hint="default" w:ascii="Times New Roman" w:hAnsi="Times New Roman" w:eastAsia="宋体" w:cs="Times New Roman"/>
                <w:kern w:val="0"/>
                <w:sz w:val="24"/>
                <w:szCs w:val="24"/>
                <w:lang w:val="en-US" w:eastAsia="zh-CN"/>
              </w:rPr>
            </w:pPr>
            <w:r>
              <w:rPr>
                <w:rFonts w:hint="default" w:ascii="Times New Roman" w:hAnsi="Times New Roman" w:cs="Times New Roman"/>
                <w:kern w:val="0"/>
                <w:sz w:val="24"/>
                <w:szCs w:val="24"/>
                <w:lang w:val="en-US" w:eastAsia="zh-CN"/>
              </w:rPr>
              <w:t>报告表</w:t>
            </w:r>
          </w:p>
        </w:tc>
        <w:tc>
          <w:tcPr>
            <w:tcW w:w="1276" w:type="dxa"/>
            <w:tcBorders>
              <w:top w:val="nil"/>
              <w:left w:val="nil"/>
              <w:bottom w:val="single" w:color="auto" w:sz="4" w:space="0"/>
              <w:right w:val="single" w:color="auto" w:sz="4" w:space="0"/>
            </w:tcBorders>
            <w:shd w:val="clear" w:color="auto" w:fill="C0C0C0"/>
            <w:vAlign w:val="center"/>
          </w:tcPr>
          <w:p w14:paraId="63FD5744">
            <w:pPr>
              <w:widowControl/>
              <w:spacing w:line="280" w:lineRule="exact"/>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环境影响评价机构</w:t>
            </w:r>
          </w:p>
        </w:tc>
        <w:tc>
          <w:tcPr>
            <w:tcW w:w="4536" w:type="dxa"/>
            <w:gridSpan w:val="3"/>
            <w:tcBorders>
              <w:top w:val="single" w:color="auto" w:sz="4" w:space="0"/>
              <w:left w:val="nil"/>
              <w:bottom w:val="single" w:color="auto" w:sz="4" w:space="0"/>
              <w:right w:val="single" w:color="000000" w:sz="4" w:space="0"/>
            </w:tcBorders>
            <w:vAlign w:val="center"/>
          </w:tcPr>
          <w:p w14:paraId="70CD292A">
            <w:pPr>
              <w:widowControl/>
              <w:spacing w:line="280" w:lineRule="exact"/>
              <w:jc w:val="center"/>
              <w:rPr>
                <w:rFonts w:hint="default" w:ascii="Times New Roman" w:hAnsi="Times New Roman" w:eastAsia="方正仿宋_GBK" w:cs="Times New Roman"/>
                <w:kern w:val="0"/>
                <w:sz w:val="24"/>
                <w:szCs w:val="24"/>
                <w:lang w:val="en-US" w:eastAsia="zh-CN"/>
              </w:rPr>
            </w:pPr>
            <w:r>
              <w:rPr>
                <w:rFonts w:hint="default" w:ascii="Times New Roman" w:hAnsi="Times New Roman" w:cs="Times New Roman"/>
                <w:kern w:val="0"/>
                <w:sz w:val="24"/>
                <w:szCs w:val="24"/>
                <w:lang w:val="en-US" w:eastAsia="zh-CN"/>
              </w:rPr>
              <w:t>昆明龙慧工程设计咨询有限公司</w:t>
            </w:r>
          </w:p>
        </w:tc>
      </w:tr>
      <w:tr w14:paraId="45D43C84">
        <w:tblPrEx>
          <w:tblCellMar>
            <w:top w:w="0" w:type="dxa"/>
            <w:left w:w="108" w:type="dxa"/>
            <w:bottom w:w="0" w:type="dxa"/>
            <w:right w:w="108" w:type="dxa"/>
          </w:tblCellMar>
        </w:tblPrEx>
        <w:trPr>
          <w:trHeight w:val="461" w:hRule="atLeast"/>
        </w:trPr>
        <w:tc>
          <w:tcPr>
            <w:tcW w:w="9814"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4017439E">
            <w:pPr>
              <w:widowControl/>
              <w:spacing w:line="280" w:lineRule="exact"/>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项目概况</w:t>
            </w:r>
          </w:p>
        </w:tc>
      </w:tr>
      <w:tr w14:paraId="6CBE06D0">
        <w:tblPrEx>
          <w:tblCellMar>
            <w:top w:w="0" w:type="dxa"/>
            <w:left w:w="108" w:type="dxa"/>
            <w:bottom w:w="0" w:type="dxa"/>
            <w:right w:w="108" w:type="dxa"/>
          </w:tblCellMar>
        </w:tblPrEx>
        <w:trPr>
          <w:trHeight w:val="606" w:hRule="atLeast"/>
        </w:trPr>
        <w:tc>
          <w:tcPr>
            <w:tcW w:w="9814" w:type="dxa"/>
            <w:gridSpan w:val="6"/>
            <w:tcBorders>
              <w:top w:val="single" w:color="auto" w:sz="4" w:space="0"/>
              <w:left w:val="single" w:color="auto" w:sz="4" w:space="0"/>
              <w:bottom w:val="single" w:color="auto" w:sz="4" w:space="0"/>
              <w:right w:val="single" w:color="auto" w:sz="4" w:space="0"/>
            </w:tcBorders>
            <w:vAlign w:val="center"/>
          </w:tcPr>
          <w:p w14:paraId="143A24BC">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cs="Times New Roman"/>
              </w:rPr>
            </w:pPr>
            <w:r>
              <w:rPr>
                <w:rFonts w:hint="default" w:ascii="Times New Roman" w:hAnsi="Times New Roman" w:cs="Times New Roman"/>
                <w:sz w:val="24"/>
                <w:szCs w:val="24"/>
              </w:rPr>
              <w:t>西泽风电场（二期）工程在原西泽风电场一期B片区附近新开发4台风机机位，装机规模为30MW，通过1回35kV集电线路接入原西泽风电场220kV升压站进行消纳。在原有的西泽风电场升压站配套建设安装1台30MVA的主变，220kV升压站汇集所有风机电能后以1回220kV出线接入500kV多乐变。</w:t>
            </w:r>
          </w:p>
        </w:tc>
      </w:tr>
      <w:tr w14:paraId="088DA8D9">
        <w:tblPrEx>
          <w:tblCellMar>
            <w:top w:w="0" w:type="dxa"/>
            <w:left w:w="108" w:type="dxa"/>
            <w:bottom w:w="0" w:type="dxa"/>
            <w:right w:w="108" w:type="dxa"/>
          </w:tblCellMar>
        </w:tblPrEx>
        <w:trPr>
          <w:trHeight w:val="448" w:hRule="atLeast"/>
        </w:trPr>
        <w:tc>
          <w:tcPr>
            <w:tcW w:w="9814"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1AD5ADA0">
            <w:pPr>
              <w:widowControl/>
              <w:spacing w:line="360" w:lineRule="auto"/>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项目主要环境影响</w:t>
            </w:r>
          </w:p>
        </w:tc>
      </w:tr>
      <w:tr w14:paraId="6AD1242C">
        <w:tblPrEx>
          <w:tblCellMar>
            <w:top w:w="0" w:type="dxa"/>
            <w:left w:w="108" w:type="dxa"/>
            <w:bottom w:w="0" w:type="dxa"/>
            <w:right w:w="108" w:type="dxa"/>
          </w:tblCellMar>
        </w:tblPrEx>
        <w:trPr>
          <w:trHeight w:val="535" w:hRule="atLeast"/>
        </w:trPr>
        <w:tc>
          <w:tcPr>
            <w:tcW w:w="9814" w:type="dxa"/>
            <w:gridSpan w:val="6"/>
            <w:tcBorders>
              <w:top w:val="single" w:color="auto" w:sz="4" w:space="0"/>
              <w:left w:val="single" w:color="auto" w:sz="4" w:space="0"/>
              <w:bottom w:val="single" w:color="auto" w:sz="4" w:space="0"/>
              <w:right w:val="single" w:color="auto" w:sz="4" w:space="0"/>
            </w:tcBorders>
            <w:vAlign w:val="center"/>
          </w:tcPr>
          <w:p w14:paraId="1B3CC134">
            <w:pPr>
              <w:pStyle w:val="7"/>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cs="Times New Roman"/>
                <w:b/>
                <w:bCs/>
                <w:kern w:val="0"/>
                <w:sz w:val="24"/>
                <w:szCs w:val="24"/>
                <w:lang w:val="en-US" w:eastAsia="zh-CN"/>
              </w:rPr>
            </w:pPr>
            <w:r>
              <w:rPr>
                <w:rFonts w:hint="default" w:ascii="Times New Roman" w:hAnsi="Times New Roman" w:cs="Times New Roman"/>
                <w:b/>
                <w:bCs/>
                <w:kern w:val="0"/>
                <w:sz w:val="24"/>
                <w:szCs w:val="24"/>
                <w:lang w:val="en-US" w:eastAsia="zh-CN"/>
              </w:rPr>
              <w:t>（1）噪声</w:t>
            </w:r>
          </w:p>
          <w:p w14:paraId="418D4722">
            <w:pPr>
              <w:pStyle w:val="7"/>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施工期噪声主要来自施工场地平整、风电机组和箱式变压站基础开挖，新建生产辅助设施施工时的施工机械噪声，运输车辆的交通噪声，风电机组吊装机械噪声等。</w:t>
            </w:r>
          </w:p>
          <w:p w14:paraId="515B2A9B">
            <w:pPr>
              <w:pStyle w:val="7"/>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cs="Times New Roman"/>
                <w:kern w:val="0"/>
                <w:sz w:val="24"/>
                <w:szCs w:val="24"/>
                <w:lang w:val="en-US" w:eastAsia="zh-CN"/>
              </w:rPr>
            </w:pPr>
            <w:r>
              <w:rPr>
                <w:rFonts w:hint="eastAsia" w:ascii="Times New Roman" w:hAnsi="Times New Roman" w:cs="Times New Roman"/>
                <w:kern w:val="0"/>
                <w:sz w:val="24"/>
                <w:szCs w:val="24"/>
                <w:lang w:val="en-US" w:eastAsia="zh-CN"/>
              </w:rPr>
              <w:t>运营期产生的噪声为风机机组和主变压器运行时产生的噪声。</w:t>
            </w:r>
          </w:p>
          <w:p w14:paraId="186DB985">
            <w:pPr>
              <w:pStyle w:val="7"/>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b/>
                <w:bCs/>
                <w:kern w:val="0"/>
                <w:sz w:val="24"/>
                <w:szCs w:val="24"/>
                <w:lang w:val="en-US" w:eastAsia="zh-CN"/>
              </w:rPr>
              <w:t>（2）环境空气</w:t>
            </w:r>
          </w:p>
          <w:p w14:paraId="25AE8F28">
            <w:pPr>
              <w:pStyle w:val="7"/>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cs="Times New Roman"/>
                <w:kern w:val="0"/>
                <w:sz w:val="24"/>
                <w:szCs w:val="24"/>
                <w:lang w:val="en-US" w:eastAsia="zh-CN"/>
              </w:rPr>
            </w:pPr>
            <w:r>
              <w:rPr>
                <w:rFonts w:hint="eastAsia" w:ascii="Times New Roman" w:hAnsi="Times New Roman" w:cs="Times New Roman"/>
                <w:kern w:val="0"/>
                <w:sz w:val="24"/>
                <w:szCs w:val="24"/>
                <w:lang w:val="en-US" w:eastAsia="zh-CN"/>
              </w:rPr>
              <w:t>施工期</w:t>
            </w:r>
            <w:r>
              <w:rPr>
                <w:rFonts w:hint="default" w:ascii="Times New Roman" w:hAnsi="Times New Roman" w:cs="Times New Roman"/>
                <w:kern w:val="0"/>
                <w:sz w:val="24"/>
                <w:szCs w:val="24"/>
                <w:lang w:val="en-US" w:eastAsia="zh-CN"/>
              </w:rPr>
              <w:t>大气污染源来自车辆运输、土石方开挖、弃渣以及物料运输等，产生的污染物主要有粉尘、SO</w:t>
            </w:r>
            <w:r>
              <w:rPr>
                <w:rFonts w:hint="default" w:ascii="Times New Roman" w:hAnsi="Times New Roman" w:cs="Times New Roman"/>
                <w:kern w:val="0"/>
                <w:sz w:val="24"/>
                <w:szCs w:val="24"/>
                <w:vertAlign w:val="subscript"/>
                <w:lang w:val="en-US" w:eastAsia="zh-CN"/>
              </w:rPr>
              <w:t>2</w:t>
            </w:r>
            <w:r>
              <w:rPr>
                <w:rFonts w:hint="default" w:ascii="Times New Roman" w:hAnsi="Times New Roman" w:cs="Times New Roman"/>
                <w:kern w:val="0"/>
                <w:sz w:val="24"/>
                <w:szCs w:val="24"/>
                <w:lang w:val="en-US" w:eastAsia="zh-CN"/>
              </w:rPr>
              <w:t>、NO</w:t>
            </w:r>
            <w:r>
              <w:rPr>
                <w:rFonts w:hint="default" w:ascii="Times New Roman" w:hAnsi="Times New Roman" w:cs="Times New Roman"/>
                <w:kern w:val="0"/>
                <w:sz w:val="24"/>
                <w:szCs w:val="24"/>
                <w:vertAlign w:val="subscript"/>
                <w:lang w:val="en-US" w:eastAsia="zh-CN"/>
              </w:rPr>
              <w:t>x</w:t>
            </w:r>
            <w:r>
              <w:rPr>
                <w:rFonts w:hint="default" w:ascii="Times New Roman" w:hAnsi="Times New Roman" w:cs="Times New Roman"/>
                <w:kern w:val="0"/>
                <w:sz w:val="24"/>
                <w:szCs w:val="24"/>
                <w:lang w:val="en-US" w:eastAsia="zh-CN"/>
              </w:rPr>
              <w:t>、CmHn等。</w:t>
            </w:r>
          </w:p>
          <w:p w14:paraId="36849A6C">
            <w:pPr>
              <w:pStyle w:val="7"/>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cs="Times New Roman"/>
                <w:kern w:val="0"/>
                <w:sz w:val="24"/>
                <w:szCs w:val="24"/>
                <w:lang w:val="en-US" w:eastAsia="zh-CN"/>
              </w:rPr>
            </w:pPr>
            <w:r>
              <w:rPr>
                <w:rFonts w:hint="eastAsia" w:ascii="Times New Roman" w:hAnsi="Times New Roman" w:cs="Times New Roman"/>
                <w:kern w:val="0"/>
                <w:sz w:val="24"/>
                <w:szCs w:val="24"/>
                <w:lang w:val="en-US" w:eastAsia="zh-CN"/>
              </w:rPr>
              <w:t>运营期无废气产生。</w:t>
            </w:r>
          </w:p>
          <w:p w14:paraId="0062E6B2">
            <w:pPr>
              <w:pStyle w:val="7"/>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b/>
                <w:bCs/>
                <w:kern w:val="0"/>
                <w:sz w:val="24"/>
                <w:szCs w:val="24"/>
                <w:lang w:val="en-US" w:eastAsia="zh-CN"/>
              </w:rPr>
              <w:t>（3）地表水</w:t>
            </w:r>
          </w:p>
          <w:p w14:paraId="035EFCDD">
            <w:pPr>
              <w:pStyle w:val="7"/>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项目施工期产生的废水为机械设备冲洗废水、施工人员生活污水。</w:t>
            </w:r>
          </w:p>
          <w:p w14:paraId="49C00568">
            <w:pPr>
              <w:pStyle w:val="7"/>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运营期无废水产生。</w:t>
            </w:r>
          </w:p>
          <w:p w14:paraId="144B6001">
            <w:pPr>
              <w:pStyle w:val="7"/>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cs="Times New Roman"/>
                <w:b/>
                <w:bCs/>
                <w:kern w:val="0"/>
                <w:sz w:val="24"/>
                <w:szCs w:val="24"/>
                <w:lang w:val="en-US" w:eastAsia="zh-CN"/>
              </w:rPr>
            </w:pPr>
            <w:r>
              <w:rPr>
                <w:rFonts w:hint="default" w:ascii="Times New Roman" w:hAnsi="Times New Roman" w:cs="Times New Roman"/>
                <w:b/>
                <w:bCs/>
                <w:kern w:val="0"/>
                <w:sz w:val="24"/>
                <w:szCs w:val="24"/>
                <w:lang w:val="en-US" w:eastAsia="zh-CN"/>
              </w:rPr>
              <w:t>（4）固体废物</w:t>
            </w:r>
          </w:p>
          <w:p w14:paraId="19708096">
            <w:pPr>
              <w:pStyle w:val="7"/>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施工期主要产生的故体废物为施工建筑垃圾和生活垃圾。</w:t>
            </w:r>
          </w:p>
          <w:p w14:paraId="132E0F93">
            <w:pPr>
              <w:pStyle w:val="7"/>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运营期主要产生的固体废物为风机机组和主变压器运行时产生的废旧电器元件、检修费油和事故废油。</w:t>
            </w:r>
          </w:p>
          <w:p w14:paraId="7D87A26E">
            <w:pPr>
              <w:pStyle w:val="7"/>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cs="Times New Roman"/>
                <w:b/>
                <w:bCs/>
                <w:kern w:val="0"/>
                <w:sz w:val="24"/>
                <w:szCs w:val="24"/>
                <w:lang w:val="en-US" w:eastAsia="zh-CN"/>
              </w:rPr>
            </w:pPr>
            <w:r>
              <w:rPr>
                <w:rFonts w:hint="default" w:ascii="Times New Roman" w:hAnsi="Times New Roman" w:cs="Times New Roman"/>
                <w:b/>
                <w:bCs/>
                <w:kern w:val="0"/>
                <w:sz w:val="24"/>
                <w:szCs w:val="24"/>
                <w:lang w:val="en-US" w:eastAsia="zh-CN"/>
              </w:rPr>
              <w:t>（5）生态环境</w:t>
            </w:r>
          </w:p>
          <w:p w14:paraId="52249F65">
            <w:pPr>
              <w:pStyle w:val="7"/>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施工期环境影响为土石方的挖填，原有地表植被破坏，造成该区域植被组成与结构发生改变，植物生物量损失，施工噪声和扬尘对动物的干扰。</w:t>
            </w:r>
          </w:p>
          <w:p w14:paraId="0A79E09B">
            <w:pPr>
              <w:pStyle w:val="7"/>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运营期主要的生态影响为风机运行时的鸟撞影响。</w:t>
            </w:r>
          </w:p>
          <w:p w14:paraId="691DA047">
            <w:pPr>
              <w:pStyle w:val="7"/>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imes New Roman" w:hAnsi="Times New Roman" w:cs="Times New Roman"/>
                <w:b/>
                <w:bCs/>
                <w:kern w:val="0"/>
                <w:sz w:val="24"/>
                <w:szCs w:val="24"/>
                <w:lang w:val="en-US" w:eastAsia="zh-CN"/>
              </w:rPr>
            </w:pPr>
            <w:r>
              <w:rPr>
                <w:rFonts w:hint="eastAsia" w:ascii="Times New Roman" w:hAnsi="Times New Roman" w:cs="Times New Roman"/>
                <w:b/>
                <w:bCs/>
                <w:kern w:val="0"/>
                <w:sz w:val="24"/>
                <w:szCs w:val="24"/>
                <w:lang w:val="en-US" w:eastAsia="zh-CN"/>
              </w:rPr>
              <w:t>（6）电磁环境</w:t>
            </w:r>
          </w:p>
          <w:p w14:paraId="0C7801D4">
            <w:pPr>
              <w:pStyle w:val="7"/>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项目施工期无电磁辐射影响。</w:t>
            </w:r>
          </w:p>
          <w:p w14:paraId="65CCA4BD">
            <w:pPr>
              <w:pStyle w:val="7"/>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项目运营期电磁辐射主要来自</w:t>
            </w:r>
            <w:r>
              <w:rPr>
                <w:rFonts w:hint="eastAsia" w:ascii="Times New Roman" w:hAnsi="Times New Roman" w:cs="Times New Roman"/>
                <w:kern w:val="0"/>
                <w:sz w:val="24"/>
                <w:szCs w:val="24"/>
                <w:lang w:val="en-US" w:eastAsia="zh-CN"/>
              </w:rPr>
              <w:t>主变压器</w:t>
            </w:r>
            <w:r>
              <w:rPr>
                <w:rFonts w:hint="default" w:ascii="Times New Roman" w:hAnsi="Times New Roman" w:cs="Times New Roman"/>
                <w:kern w:val="0"/>
                <w:sz w:val="24"/>
                <w:szCs w:val="24"/>
                <w:lang w:val="en-US" w:eastAsia="zh-CN"/>
              </w:rPr>
              <w:t>运行产生的工频电场和工频磁场。</w:t>
            </w:r>
          </w:p>
        </w:tc>
      </w:tr>
      <w:tr w14:paraId="77157C98">
        <w:tblPrEx>
          <w:tblCellMar>
            <w:top w:w="0" w:type="dxa"/>
            <w:left w:w="108" w:type="dxa"/>
            <w:bottom w:w="0" w:type="dxa"/>
            <w:right w:w="108" w:type="dxa"/>
          </w:tblCellMar>
        </w:tblPrEx>
        <w:trPr>
          <w:trHeight w:val="381" w:hRule="atLeast"/>
        </w:trPr>
        <w:tc>
          <w:tcPr>
            <w:tcW w:w="9814"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3730556A">
            <w:pPr>
              <w:widowControl/>
              <w:spacing w:line="360" w:lineRule="auto"/>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项目预防及减轻不良环境影响的对策和措施</w:t>
            </w:r>
          </w:p>
        </w:tc>
      </w:tr>
      <w:tr w14:paraId="4D28A8A1">
        <w:tblPrEx>
          <w:tblCellMar>
            <w:top w:w="0" w:type="dxa"/>
            <w:left w:w="108" w:type="dxa"/>
            <w:bottom w:w="0" w:type="dxa"/>
            <w:right w:w="108" w:type="dxa"/>
          </w:tblCellMar>
        </w:tblPrEx>
        <w:trPr>
          <w:trHeight w:val="437" w:hRule="atLeast"/>
        </w:trPr>
        <w:tc>
          <w:tcPr>
            <w:tcW w:w="9814" w:type="dxa"/>
            <w:gridSpan w:val="6"/>
            <w:tcBorders>
              <w:top w:val="single" w:color="auto" w:sz="4" w:space="0"/>
              <w:left w:val="single" w:color="auto" w:sz="4" w:space="0"/>
              <w:bottom w:val="single" w:color="auto" w:sz="4" w:space="0"/>
              <w:right w:val="single" w:color="auto" w:sz="4" w:space="0"/>
            </w:tcBorders>
            <w:vAlign w:val="center"/>
          </w:tcPr>
          <w:p w14:paraId="4628C04D">
            <w:pPr>
              <w:keepNext w:val="0"/>
              <w:keepLines w:val="0"/>
              <w:pageBreakBefore w:val="0"/>
              <w:widowControl/>
              <w:numPr>
                <w:ilvl w:val="0"/>
                <w:numId w:val="0"/>
              </w:numPr>
              <w:kinsoku/>
              <w:wordWrap/>
              <w:overflowPunct/>
              <w:topLinePunct w:val="0"/>
              <w:autoSpaceDE/>
              <w:autoSpaceDN/>
              <w:bidi w:val="0"/>
              <w:adjustRightInd/>
              <w:snapToGrid/>
              <w:spacing w:line="360" w:lineRule="exact"/>
              <w:jc w:val="left"/>
              <w:textAlignment w:val="auto"/>
              <w:rPr>
                <w:rFonts w:hint="default" w:ascii="Times New Roman" w:hAnsi="Times New Roman" w:cs="Times New Roman"/>
                <w:b/>
                <w:bCs/>
                <w:sz w:val="24"/>
                <w:szCs w:val="24"/>
                <w:lang w:val="en-US" w:eastAsia="zh-CN"/>
              </w:rPr>
            </w:pPr>
            <w:r>
              <w:rPr>
                <w:rFonts w:hint="default" w:ascii="Times New Roman" w:hAnsi="Times New Roman" w:eastAsia="方正仿宋_GBK" w:cs="Times New Roman"/>
                <w:b/>
                <w:bCs/>
                <w:kern w:val="32"/>
                <w:sz w:val="24"/>
                <w:szCs w:val="24"/>
                <w:lang w:val="en-US" w:eastAsia="zh-CN" w:bidi="ar-SA"/>
              </w:rPr>
              <w:t>（1）</w:t>
            </w:r>
            <w:r>
              <w:rPr>
                <w:rFonts w:hint="eastAsia" w:ascii="Times New Roman" w:hAnsi="Times New Roman" w:cs="Times New Roman"/>
                <w:b/>
                <w:bCs/>
                <w:kern w:val="32"/>
                <w:sz w:val="24"/>
                <w:szCs w:val="24"/>
                <w:lang w:val="en-US" w:eastAsia="zh-CN" w:bidi="ar-SA"/>
              </w:rPr>
              <w:t>声环境</w:t>
            </w:r>
          </w:p>
          <w:p w14:paraId="511E32C2">
            <w:pPr>
              <w:keepNext w:val="0"/>
              <w:keepLines w:val="0"/>
              <w:pageBreakBefore w:val="0"/>
              <w:widowControl/>
              <w:numPr>
                <w:ilvl w:val="0"/>
                <w:numId w:val="0"/>
              </w:numPr>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项目施工期施工区域与居民点距离较远，施工噪声对周边环境影响较小</w:t>
            </w:r>
            <w:r>
              <w:rPr>
                <w:rFonts w:hint="eastAsia" w:ascii="Times New Roman" w:hAnsi="Times New Roman" w:cs="Times New Roman"/>
                <w:sz w:val="24"/>
                <w:szCs w:val="24"/>
                <w:lang w:val="en-US" w:eastAsia="zh-CN"/>
              </w:rPr>
              <w:t>；</w:t>
            </w:r>
          </w:p>
          <w:p w14:paraId="79BF066B">
            <w:pPr>
              <w:keepNext w:val="0"/>
              <w:keepLines w:val="0"/>
              <w:pageBreakBefore w:val="0"/>
              <w:widowControl/>
              <w:numPr>
                <w:ilvl w:val="0"/>
                <w:numId w:val="0"/>
              </w:numPr>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eastAsia="方正仿宋_GBK" w:cs="Times New Roman"/>
                <w:sz w:val="24"/>
                <w:szCs w:val="24"/>
                <w:lang w:val="en-US" w:eastAsia="zh-CN"/>
              </w:rPr>
            </w:pPr>
            <w:r>
              <w:rPr>
                <w:rFonts w:hint="default" w:ascii="Times New Roman" w:hAnsi="Times New Roman" w:cs="Times New Roman"/>
                <w:sz w:val="24"/>
                <w:lang w:val="en-US" w:eastAsia="zh-CN"/>
              </w:rPr>
              <w:t>运营期经预测，风机噪声至最近的居民点处达标</w:t>
            </w:r>
            <w:r>
              <w:rPr>
                <w:rFonts w:hint="eastAsia" w:ascii="Times New Roman" w:hAnsi="Times New Roman" w:cs="Times New Roman"/>
                <w:sz w:val="24"/>
                <w:lang w:val="en-US" w:eastAsia="zh-CN"/>
              </w:rPr>
              <w:t>，升压站厂界噪声达标。</w:t>
            </w:r>
          </w:p>
          <w:p w14:paraId="50CF85C8">
            <w:pPr>
              <w:keepNext w:val="0"/>
              <w:keepLines w:val="0"/>
              <w:pageBreakBefore w:val="0"/>
              <w:widowControl/>
              <w:numPr>
                <w:ilvl w:val="0"/>
                <w:numId w:val="0"/>
              </w:numPr>
              <w:kinsoku/>
              <w:wordWrap/>
              <w:overflowPunct/>
              <w:topLinePunct w:val="0"/>
              <w:autoSpaceDE/>
              <w:autoSpaceDN/>
              <w:bidi w:val="0"/>
              <w:adjustRightInd/>
              <w:snapToGrid/>
              <w:spacing w:line="360" w:lineRule="exact"/>
              <w:jc w:val="left"/>
              <w:textAlignment w:val="auto"/>
              <w:rPr>
                <w:rFonts w:hint="eastAsia" w:ascii="Times New Roman" w:hAnsi="Times New Roman" w:eastAsia="方正仿宋_GBK" w:cs="Times New Roman"/>
                <w:b/>
                <w:bCs/>
                <w:kern w:val="32"/>
                <w:sz w:val="24"/>
                <w:szCs w:val="24"/>
                <w:lang w:val="en-US" w:eastAsia="zh-CN" w:bidi="ar-SA"/>
              </w:rPr>
            </w:pPr>
            <w:r>
              <w:rPr>
                <w:rFonts w:hint="default" w:ascii="Times New Roman" w:hAnsi="Times New Roman" w:eastAsia="方正仿宋_GBK" w:cs="Times New Roman"/>
                <w:b/>
                <w:bCs/>
                <w:kern w:val="32"/>
                <w:sz w:val="24"/>
                <w:szCs w:val="24"/>
                <w:lang w:val="en-US" w:eastAsia="zh-CN" w:bidi="ar-SA"/>
              </w:rPr>
              <w:t>（</w:t>
            </w:r>
            <w:r>
              <w:rPr>
                <w:rFonts w:hint="eastAsia" w:ascii="Times New Roman" w:hAnsi="Times New Roman" w:eastAsia="方正仿宋_GBK" w:cs="Times New Roman"/>
                <w:b/>
                <w:bCs/>
                <w:kern w:val="32"/>
                <w:sz w:val="24"/>
                <w:szCs w:val="24"/>
                <w:lang w:val="en-US" w:eastAsia="zh-CN" w:bidi="ar-SA"/>
              </w:rPr>
              <w:t>2</w:t>
            </w:r>
            <w:r>
              <w:rPr>
                <w:rFonts w:hint="default" w:ascii="Times New Roman" w:hAnsi="Times New Roman" w:eastAsia="方正仿宋_GBK" w:cs="Times New Roman"/>
                <w:b/>
                <w:bCs/>
                <w:kern w:val="32"/>
                <w:sz w:val="24"/>
                <w:szCs w:val="24"/>
                <w:lang w:val="en-US" w:eastAsia="zh-CN" w:bidi="ar-SA"/>
              </w:rPr>
              <w:t>）</w:t>
            </w:r>
            <w:r>
              <w:rPr>
                <w:rFonts w:hint="eastAsia" w:ascii="Times New Roman" w:hAnsi="Times New Roman" w:eastAsia="方正仿宋_GBK" w:cs="Times New Roman"/>
                <w:b/>
                <w:bCs/>
                <w:kern w:val="32"/>
                <w:sz w:val="24"/>
                <w:szCs w:val="24"/>
                <w:lang w:val="en-US" w:eastAsia="zh-CN" w:bidi="ar-SA"/>
              </w:rPr>
              <w:t>大气环境</w:t>
            </w:r>
          </w:p>
          <w:p w14:paraId="080F0B04">
            <w:pPr>
              <w:keepNext w:val="0"/>
              <w:keepLines w:val="0"/>
              <w:pageBreakBefore w:val="0"/>
              <w:widowControl/>
              <w:numPr>
                <w:ilvl w:val="0"/>
                <w:numId w:val="0"/>
              </w:numPr>
              <w:kinsoku/>
              <w:wordWrap/>
              <w:overflowPunct/>
              <w:topLinePunct w:val="0"/>
              <w:autoSpaceDE/>
              <w:autoSpaceDN/>
              <w:bidi w:val="0"/>
              <w:adjustRightInd/>
              <w:snapToGrid/>
              <w:spacing w:line="360" w:lineRule="exact"/>
              <w:ind w:firstLine="480" w:firstLineChars="200"/>
              <w:jc w:val="left"/>
              <w:textAlignment w:val="auto"/>
              <w:rPr>
                <w:rFonts w:hint="eastAsia" w:ascii="Times New Roman" w:hAnsi="Times New Roman" w:cs="Times New Roman"/>
                <w:kern w:val="32"/>
                <w:sz w:val="24"/>
                <w:szCs w:val="24"/>
                <w:lang w:val="en-US" w:eastAsia="zh-CN" w:bidi="ar-SA"/>
              </w:rPr>
            </w:pPr>
            <w:r>
              <w:rPr>
                <w:rFonts w:hint="default" w:ascii="Times New Roman" w:hAnsi="Times New Roman" w:eastAsia="方正仿宋_GBK" w:cs="Times New Roman"/>
                <w:kern w:val="32"/>
                <w:sz w:val="24"/>
                <w:szCs w:val="24"/>
                <w:lang w:val="en-US" w:eastAsia="zh-CN" w:bidi="ar-SA"/>
              </w:rPr>
              <w:t>施工扬尘通过洒水降尘抑制</w:t>
            </w:r>
            <w:r>
              <w:rPr>
                <w:rFonts w:hint="eastAsia" w:ascii="Times New Roman" w:hAnsi="Times New Roman" w:cs="Times New Roman"/>
                <w:kern w:val="32"/>
                <w:sz w:val="24"/>
                <w:szCs w:val="24"/>
                <w:lang w:val="en-US" w:eastAsia="zh-CN" w:bidi="ar-SA"/>
              </w:rPr>
              <w:t>。</w:t>
            </w:r>
          </w:p>
          <w:p w14:paraId="31244FCE">
            <w:pPr>
              <w:keepNext w:val="0"/>
              <w:keepLines w:val="0"/>
              <w:pageBreakBefore w:val="0"/>
              <w:widowControl/>
              <w:numPr>
                <w:ilvl w:val="0"/>
                <w:numId w:val="0"/>
              </w:numPr>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eastAsia="方正仿宋_GBK" w:cs="Times New Roman"/>
                <w:sz w:val="24"/>
                <w:szCs w:val="24"/>
                <w:lang w:val="en-US" w:eastAsia="zh-CN"/>
              </w:rPr>
            </w:pPr>
            <w:r>
              <w:rPr>
                <w:rFonts w:hint="eastAsia" w:ascii="Times New Roman" w:hAnsi="Times New Roman" w:cs="Times New Roman"/>
                <w:kern w:val="32"/>
                <w:sz w:val="24"/>
                <w:szCs w:val="24"/>
                <w:lang w:val="en-US" w:eastAsia="zh-CN" w:bidi="ar-SA"/>
              </w:rPr>
              <w:t>运营期无废气产生。</w:t>
            </w:r>
          </w:p>
          <w:p w14:paraId="1F126F7B">
            <w:pPr>
              <w:keepNext w:val="0"/>
              <w:keepLines w:val="0"/>
              <w:pageBreakBefore w:val="0"/>
              <w:widowControl/>
              <w:numPr>
                <w:ilvl w:val="0"/>
                <w:numId w:val="0"/>
              </w:numPr>
              <w:kinsoku/>
              <w:wordWrap/>
              <w:overflowPunct/>
              <w:topLinePunct w:val="0"/>
              <w:autoSpaceDE/>
              <w:autoSpaceDN/>
              <w:bidi w:val="0"/>
              <w:adjustRightInd/>
              <w:snapToGrid/>
              <w:spacing w:line="360" w:lineRule="exact"/>
              <w:jc w:val="left"/>
              <w:textAlignment w:val="auto"/>
              <w:rPr>
                <w:rFonts w:hint="eastAsia" w:ascii="Times New Roman" w:hAnsi="Times New Roman" w:eastAsia="方正仿宋_GBK" w:cs="Times New Roman"/>
                <w:b/>
                <w:bCs/>
                <w:kern w:val="32"/>
                <w:sz w:val="24"/>
                <w:szCs w:val="24"/>
                <w:lang w:val="en-US" w:eastAsia="zh-CN" w:bidi="ar-SA"/>
              </w:rPr>
            </w:pPr>
            <w:r>
              <w:rPr>
                <w:rFonts w:hint="default" w:ascii="Times New Roman" w:hAnsi="Times New Roman" w:eastAsia="方正仿宋_GBK" w:cs="Times New Roman"/>
                <w:b/>
                <w:bCs/>
                <w:kern w:val="32"/>
                <w:sz w:val="24"/>
                <w:szCs w:val="24"/>
                <w:lang w:val="en-US" w:eastAsia="zh-CN" w:bidi="ar-SA"/>
              </w:rPr>
              <w:t>（</w:t>
            </w:r>
            <w:r>
              <w:rPr>
                <w:rFonts w:hint="eastAsia" w:ascii="Times New Roman" w:hAnsi="Times New Roman" w:cs="Times New Roman"/>
                <w:b/>
                <w:bCs/>
                <w:kern w:val="32"/>
                <w:sz w:val="24"/>
                <w:szCs w:val="24"/>
                <w:lang w:val="en-US" w:eastAsia="zh-CN" w:bidi="ar-SA"/>
              </w:rPr>
              <w:t>3</w:t>
            </w:r>
            <w:r>
              <w:rPr>
                <w:rFonts w:hint="default" w:ascii="Times New Roman" w:hAnsi="Times New Roman" w:eastAsia="方正仿宋_GBK" w:cs="Times New Roman"/>
                <w:b/>
                <w:bCs/>
                <w:kern w:val="32"/>
                <w:sz w:val="24"/>
                <w:szCs w:val="24"/>
                <w:lang w:val="en-US" w:eastAsia="zh-CN" w:bidi="ar-SA"/>
              </w:rPr>
              <w:t>）</w:t>
            </w:r>
            <w:r>
              <w:rPr>
                <w:rFonts w:hint="eastAsia" w:ascii="Times New Roman" w:hAnsi="Times New Roman" w:eastAsia="方正仿宋_GBK" w:cs="Times New Roman"/>
                <w:b/>
                <w:bCs/>
                <w:kern w:val="32"/>
                <w:sz w:val="24"/>
                <w:szCs w:val="24"/>
                <w:lang w:val="en-US" w:eastAsia="zh-CN" w:bidi="ar-SA"/>
              </w:rPr>
              <w:t>地表水环境</w:t>
            </w:r>
          </w:p>
          <w:p w14:paraId="2844784C">
            <w:pPr>
              <w:keepNext w:val="0"/>
              <w:keepLines w:val="0"/>
              <w:pageBreakBefore w:val="0"/>
              <w:widowControl/>
              <w:numPr>
                <w:ilvl w:val="0"/>
                <w:numId w:val="0"/>
              </w:numPr>
              <w:kinsoku/>
              <w:wordWrap/>
              <w:overflowPunct/>
              <w:topLinePunct w:val="0"/>
              <w:autoSpaceDE/>
              <w:autoSpaceDN/>
              <w:bidi w:val="0"/>
              <w:adjustRightInd/>
              <w:snapToGrid/>
              <w:spacing w:line="360" w:lineRule="exact"/>
              <w:ind w:firstLine="480" w:firstLineChars="200"/>
              <w:jc w:val="left"/>
              <w:textAlignment w:val="auto"/>
              <w:rPr>
                <w:rFonts w:hint="eastAsia"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施工废水通过简易沉淀池沉淀后回用</w:t>
            </w:r>
            <w:r>
              <w:rPr>
                <w:rFonts w:hint="eastAsia" w:ascii="Times New Roman" w:hAnsi="Times New Roman" w:cs="Times New Roman"/>
                <w:sz w:val="24"/>
                <w:szCs w:val="24"/>
                <w:lang w:val="en-US" w:eastAsia="zh-CN"/>
              </w:rPr>
              <w:t>于洒水降尘</w:t>
            </w:r>
            <w:r>
              <w:rPr>
                <w:rFonts w:hint="default" w:ascii="Times New Roman" w:hAnsi="Times New Roman" w:cs="Times New Roman"/>
                <w:sz w:val="24"/>
                <w:szCs w:val="24"/>
                <w:lang w:val="en-US" w:eastAsia="zh-CN"/>
              </w:rPr>
              <w:t>，施工人员生活污水通过旱厕收集后委托周边村民运走</w:t>
            </w:r>
            <w:r>
              <w:rPr>
                <w:rFonts w:hint="eastAsia" w:ascii="Times New Roman" w:hAnsi="Times New Roman" w:cs="Times New Roman"/>
                <w:sz w:val="24"/>
                <w:szCs w:val="24"/>
                <w:lang w:val="en-US" w:eastAsia="zh-CN"/>
              </w:rPr>
              <w:t>。</w:t>
            </w:r>
          </w:p>
          <w:p w14:paraId="7145DB6D">
            <w:pPr>
              <w:keepNext w:val="0"/>
              <w:keepLines w:val="0"/>
              <w:pageBreakBefore w:val="0"/>
              <w:widowControl/>
              <w:numPr>
                <w:ilvl w:val="0"/>
                <w:numId w:val="0"/>
              </w:numPr>
              <w:kinsoku/>
              <w:wordWrap/>
              <w:overflowPunct/>
              <w:topLinePunct w:val="0"/>
              <w:autoSpaceDE/>
              <w:autoSpaceDN/>
              <w:bidi w:val="0"/>
              <w:adjustRightInd/>
              <w:snapToGrid/>
              <w:spacing w:line="360" w:lineRule="exact"/>
              <w:jc w:val="left"/>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运营期无废水产生。</w:t>
            </w:r>
          </w:p>
          <w:p w14:paraId="438DE524">
            <w:pPr>
              <w:keepNext w:val="0"/>
              <w:keepLines w:val="0"/>
              <w:pageBreakBefore w:val="0"/>
              <w:widowControl/>
              <w:numPr>
                <w:ilvl w:val="0"/>
                <w:numId w:val="0"/>
              </w:numPr>
              <w:kinsoku/>
              <w:wordWrap/>
              <w:overflowPunct/>
              <w:topLinePunct w:val="0"/>
              <w:autoSpaceDE/>
              <w:autoSpaceDN/>
              <w:bidi w:val="0"/>
              <w:adjustRightInd/>
              <w:snapToGrid/>
              <w:spacing w:line="360" w:lineRule="exact"/>
              <w:jc w:val="left"/>
              <w:textAlignment w:val="auto"/>
              <w:rPr>
                <w:rFonts w:hint="eastAsia" w:ascii="Times New Roman" w:hAnsi="Times New Roman" w:eastAsia="方正仿宋_GBK" w:cs="Times New Roman"/>
                <w:b/>
                <w:bCs/>
                <w:kern w:val="32"/>
                <w:sz w:val="24"/>
                <w:szCs w:val="24"/>
                <w:lang w:val="en-US" w:eastAsia="zh-CN" w:bidi="ar-SA"/>
              </w:rPr>
            </w:pPr>
            <w:r>
              <w:rPr>
                <w:rFonts w:hint="default" w:ascii="Times New Roman" w:hAnsi="Times New Roman" w:eastAsia="方正仿宋_GBK" w:cs="Times New Roman"/>
                <w:b/>
                <w:bCs/>
                <w:kern w:val="32"/>
                <w:sz w:val="24"/>
                <w:szCs w:val="24"/>
                <w:lang w:val="en-US" w:eastAsia="zh-CN" w:bidi="ar-SA"/>
              </w:rPr>
              <w:t>（</w:t>
            </w:r>
            <w:r>
              <w:rPr>
                <w:rFonts w:hint="eastAsia" w:ascii="Times New Roman" w:hAnsi="Times New Roman" w:cs="Times New Roman"/>
                <w:b/>
                <w:bCs/>
                <w:kern w:val="32"/>
                <w:sz w:val="24"/>
                <w:szCs w:val="24"/>
                <w:lang w:val="en-US" w:eastAsia="zh-CN" w:bidi="ar-SA"/>
              </w:rPr>
              <w:t>4</w:t>
            </w:r>
            <w:r>
              <w:rPr>
                <w:rFonts w:hint="default" w:ascii="Times New Roman" w:hAnsi="Times New Roman" w:eastAsia="方正仿宋_GBK" w:cs="Times New Roman"/>
                <w:b/>
                <w:bCs/>
                <w:kern w:val="32"/>
                <w:sz w:val="24"/>
                <w:szCs w:val="24"/>
                <w:lang w:val="en-US" w:eastAsia="zh-CN" w:bidi="ar-SA"/>
              </w:rPr>
              <w:t>）</w:t>
            </w:r>
            <w:r>
              <w:rPr>
                <w:rFonts w:hint="eastAsia" w:ascii="Times New Roman" w:hAnsi="Times New Roman" w:eastAsia="方正仿宋_GBK" w:cs="Times New Roman"/>
                <w:b/>
                <w:bCs/>
                <w:kern w:val="32"/>
                <w:sz w:val="24"/>
                <w:szCs w:val="24"/>
                <w:lang w:val="en-US" w:eastAsia="zh-CN" w:bidi="ar-SA"/>
              </w:rPr>
              <w:t>固体废物</w:t>
            </w:r>
          </w:p>
          <w:p w14:paraId="3DAC1D2C">
            <w:pPr>
              <w:keepNext w:val="0"/>
              <w:keepLines w:val="0"/>
              <w:pageBreakBefore w:val="0"/>
              <w:widowControl/>
              <w:numPr>
                <w:ilvl w:val="0"/>
                <w:numId w:val="0"/>
              </w:numPr>
              <w:kinsoku/>
              <w:wordWrap/>
              <w:overflowPunct/>
              <w:topLinePunct w:val="0"/>
              <w:autoSpaceDE/>
              <w:autoSpaceDN/>
              <w:bidi w:val="0"/>
              <w:adjustRightInd/>
              <w:snapToGrid/>
              <w:spacing w:line="360" w:lineRule="exact"/>
              <w:ind w:leftChars="0" w:firstLine="480" w:firstLineChars="200"/>
              <w:jc w:val="left"/>
              <w:textAlignment w:val="auto"/>
              <w:rPr>
                <w:rFonts w:hint="default" w:ascii="Times New Roman" w:hAnsi="Times New Roman" w:eastAsia="方正仿宋_GBK" w:cs="Times New Roman"/>
                <w:sz w:val="24"/>
                <w:szCs w:val="24"/>
                <w:lang w:val="en-US" w:eastAsia="zh-CN"/>
              </w:rPr>
            </w:pPr>
            <w:r>
              <w:rPr>
                <w:rFonts w:hint="default" w:ascii="Times New Roman" w:hAnsi="Times New Roman" w:cs="Times New Roman"/>
                <w:sz w:val="24"/>
                <w:szCs w:val="24"/>
                <w:lang w:val="en-US" w:eastAsia="zh-CN"/>
              </w:rPr>
              <w:t>施工固废收集后回用或依托周边垃圾清运系统清运处置，对周边环境影响较小。</w:t>
            </w:r>
          </w:p>
          <w:p w14:paraId="0F1C035B">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eastAsia="方正仿宋_GBK" w:cs="Times New Roman"/>
                <w:sz w:val="24"/>
                <w:lang w:val="en-US" w:eastAsia="zh-CN"/>
              </w:rPr>
            </w:pPr>
            <w:r>
              <w:rPr>
                <w:rFonts w:hint="default" w:ascii="Times New Roman" w:hAnsi="Times New Roman" w:cs="Times New Roman"/>
                <w:sz w:val="24"/>
                <w:lang w:val="en-US" w:eastAsia="zh-CN"/>
              </w:rPr>
              <w:t>运营期固废依托西泽风电场升压站收集处置，风机箱变和主变均设置事故油池防止泄漏风险。</w:t>
            </w:r>
          </w:p>
          <w:p w14:paraId="173453DB">
            <w:pPr>
              <w:keepNext w:val="0"/>
              <w:keepLines w:val="0"/>
              <w:pageBreakBefore w:val="0"/>
              <w:widowControl/>
              <w:numPr>
                <w:ilvl w:val="0"/>
                <w:numId w:val="0"/>
              </w:numPr>
              <w:kinsoku/>
              <w:wordWrap/>
              <w:overflowPunct/>
              <w:topLinePunct w:val="0"/>
              <w:autoSpaceDE/>
              <w:autoSpaceDN/>
              <w:bidi w:val="0"/>
              <w:adjustRightInd/>
              <w:snapToGrid/>
              <w:spacing w:line="360" w:lineRule="exact"/>
              <w:jc w:val="left"/>
              <w:textAlignment w:val="auto"/>
              <w:rPr>
                <w:rFonts w:hint="eastAsia" w:ascii="Times New Roman" w:hAnsi="Times New Roman" w:eastAsia="方正仿宋_GBK" w:cs="Times New Roman"/>
                <w:b/>
                <w:bCs/>
                <w:kern w:val="32"/>
                <w:sz w:val="24"/>
                <w:szCs w:val="24"/>
                <w:lang w:val="en-US" w:eastAsia="zh-CN" w:bidi="ar-SA"/>
              </w:rPr>
            </w:pPr>
            <w:r>
              <w:rPr>
                <w:rFonts w:hint="default" w:ascii="Times New Roman" w:hAnsi="Times New Roman" w:eastAsia="方正仿宋_GBK" w:cs="Times New Roman"/>
                <w:b/>
                <w:bCs/>
                <w:kern w:val="32"/>
                <w:sz w:val="24"/>
                <w:szCs w:val="24"/>
                <w:lang w:val="en-US" w:eastAsia="zh-CN" w:bidi="ar-SA"/>
              </w:rPr>
              <w:t>（</w:t>
            </w:r>
            <w:r>
              <w:rPr>
                <w:rFonts w:hint="eastAsia" w:ascii="Times New Roman" w:hAnsi="Times New Roman" w:cs="Times New Roman"/>
                <w:b/>
                <w:bCs/>
                <w:kern w:val="32"/>
                <w:sz w:val="24"/>
                <w:szCs w:val="24"/>
                <w:lang w:val="en-US" w:eastAsia="zh-CN" w:bidi="ar-SA"/>
              </w:rPr>
              <w:t>5</w:t>
            </w:r>
            <w:r>
              <w:rPr>
                <w:rFonts w:hint="default" w:ascii="Times New Roman" w:hAnsi="Times New Roman" w:eastAsia="方正仿宋_GBK" w:cs="Times New Roman"/>
                <w:b/>
                <w:bCs/>
                <w:kern w:val="32"/>
                <w:sz w:val="24"/>
                <w:szCs w:val="24"/>
                <w:lang w:val="en-US" w:eastAsia="zh-CN" w:bidi="ar-SA"/>
              </w:rPr>
              <w:t>）</w:t>
            </w:r>
            <w:r>
              <w:rPr>
                <w:rFonts w:hint="eastAsia" w:ascii="Times New Roman" w:hAnsi="Times New Roman" w:eastAsia="方正仿宋_GBK" w:cs="Times New Roman"/>
                <w:b/>
                <w:bCs/>
                <w:kern w:val="32"/>
                <w:sz w:val="24"/>
                <w:szCs w:val="24"/>
                <w:lang w:val="en-US" w:eastAsia="zh-CN" w:bidi="ar-SA"/>
              </w:rPr>
              <w:t>生态环境</w:t>
            </w:r>
          </w:p>
          <w:p w14:paraId="7D0E6FFF">
            <w:pPr>
              <w:keepNext w:val="0"/>
              <w:keepLines w:val="0"/>
              <w:pageBreakBefore w:val="0"/>
              <w:widowControl/>
              <w:numPr>
                <w:ilvl w:val="0"/>
                <w:numId w:val="0"/>
              </w:numPr>
              <w:kinsoku/>
              <w:wordWrap/>
              <w:overflowPunct/>
              <w:topLinePunct w:val="0"/>
              <w:autoSpaceDE/>
              <w:autoSpaceDN/>
              <w:bidi w:val="0"/>
              <w:adjustRightInd/>
              <w:snapToGrid/>
              <w:spacing w:line="360" w:lineRule="exact"/>
              <w:ind w:leftChars="0" w:firstLine="480" w:firstLineChars="200"/>
              <w:jc w:val="left"/>
              <w:textAlignment w:val="auto"/>
              <w:rPr>
                <w:rFonts w:hint="default" w:ascii="Times New Roman" w:hAnsi="Times New Roman" w:eastAsia="方正仿宋_GBK" w:cs="Times New Roman"/>
                <w:sz w:val="24"/>
                <w:lang w:val="en-US" w:eastAsia="zh-CN"/>
              </w:rPr>
            </w:pPr>
            <w:r>
              <w:rPr>
                <w:rFonts w:hint="eastAsia" w:ascii="Times New Roman" w:hAnsi="Times New Roman" w:cs="Times New Roman"/>
                <w:sz w:val="24"/>
                <w:lang w:val="en-US" w:eastAsia="zh-CN"/>
              </w:rPr>
              <w:t>施工期：</w:t>
            </w:r>
            <w:r>
              <w:rPr>
                <w:rFonts w:hint="default" w:ascii="Times New Roman" w:hAnsi="Times New Roman" w:eastAsia="方正仿宋_GBK" w:cs="Times New Roman"/>
                <w:sz w:val="24"/>
                <w:lang w:val="en-US" w:eastAsia="zh-CN"/>
              </w:rPr>
              <w:t>优化</w:t>
            </w:r>
            <w:r>
              <w:rPr>
                <w:rFonts w:hint="eastAsia" w:ascii="Times New Roman" w:hAnsi="Times New Roman" w:cs="Times New Roman"/>
                <w:sz w:val="24"/>
                <w:lang w:val="en-US" w:eastAsia="zh-CN"/>
              </w:rPr>
              <w:t>风机</w:t>
            </w:r>
            <w:r>
              <w:rPr>
                <w:rFonts w:hint="default" w:ascii="Times New Roman" w:hAnsi="Times New Roman" w:eastAsia="方正仿宋_GBK" w:cs="Times New Roman"/>
                <w:sz w:val="24"/>
                <w:lang w:val="en-US" w:eastAsia="zh-CN"/>
              </w:rPr>
              <w:t>、线路路径、施工场地布置，采取先进环保的设计施工方案，进一步减少对周边生态环境的影响。严格控制施工范围在征地红线范围内，强化施工期环境管理，加强环境保护宣传培训，设立警示牌，发放宣传手册。施工结束后，及时清理场地，选择乡土树草种进行植被恢复。</w:t>
            </w:r>
          </w:p>
          <w:p w14:paraId="5F7FA534">
            <w:pPr>
              <w:keepNext w:val="0"/>
              <w:keepLines w:val="0"/>
              <w:pageBreakBefore w:val="0"/>
              <w:widowControl/>
              <w:numPr>
                <w:ilvl w:val="0"/>
                <w:numId w:val="0"/>
              </w:numPr>
              <w:kinsoku/>
              <w:wordWrap/>
              <w:overflowPunct/>
              <w:topLinePunct w:val="0"/>
              <w:autoSpaceDE/>
              <w:autoSpaceDN/>
              <w:bidi w:val="0"/>
              <w:adjustRightInd/>
              <w:snapToGrid/>
              <w:spacing w:line="360" w:lineRule="exact"/>
              <w:ind w:leftChars="0" w:firstLine="480" w:firstLineChars="200"/>
              <w:jc w:val="left"/>
              <w:textAlignment w:val="auto"/>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运营期：定期开展生态监测，观察鸟撞情况，发生严重鸟撞事故时采取驱离措施。</w:t>
            </w:r>
          </w:p>
          <w:p w14:paraId="4A1E6A8F">
            <w:pPr>
              <w:keepNext w:val="0"/>
              <w:keepLines w:val="0"/>
              <w:pageBreakBefore w:val="0"/>
              <w:widowControl/>
              <w:numPr>
                <w:ilvl w:val="0"/>
                <w:numId w:val="0"/>
              </w:numPr>
              <w:kinsoku/>
              <w:wordWrap/>
              <w:overflowPunct/>
              <w:topLinePunct w:val="0"/>
              <w:autoSpaceDE/>
              <w:autoSpaceDN/>
              <w:bidi w:val="0"/>
              <w:adjustRightInd/>
              <w:snapToGrid/>
              <w:spacing w:line="360" w:lineRule="exact"/>
              <w:jc w:val="left"/>
              <w:textAlignment w:val="auto"/>
              <w:rPr>
                <w:rFonts w:hint="eastAsia" w:ascii="Times New Roman" w:hAnsi="Times New Roman" w:eastAsia="方正仿宋_GBK" w:cs="Times New Roman"/>
                <w:b/>
                <w:bCs/>
                <w:kern w:val="32"/>
                <w:sz w:val="24"/>
                <w:szCs w:val="24"/>
                <w:lang w:val="en-US" w:eastAsia="zh-CN" w:bidi="ar-SA"/>
              </w:rPr>
            </w:pPr>
            <w:r>
              <w:rPr>
                <w:rFonts w:hint="default" w:ascii="Times New Roman" w:hAnsi="Times New Roman" w:eastAsia="方正仿宋_GBK" w:cs="Times New Roman"/>
                <w:b/>
                <w:bCs/>
                <w:kern w:val="32"/>
                <w:sz w:val="24"/>
                <w:szCs w:val="24"/>
                <w:lang w:val="en-US" w:eastAsia="zh-CN" w:bidi="ar-SA"/>
              </w:rPr>
              <w:t>（</w:t>
            </w:r>
            <w:r>
              <w:rPr>
                <w:rFonts w:hint="eastAsia" w:ascii="Times New Roman" w:hAnsi="Times New Roman" w:cs="Times New Roman"/>
                <w:b/>
                <w:bCs/>
                <w:kern w:val="32"/>
                <w:sz w:val="24"/>
                <w:szCs w:val="24"/>
                <w:lang w:val="en-US" w:eastAsia="zh-CN" w:bidi="ar-SA"/>
              </w:rPr>
              <w:t>6</w:t>
            </w:r>
            <w:r>
              <w:rPr>
                <w:rFonts w:hint="default" w:ascii="Times New Roman" w:hAnsi="Times New Roman" w:eastAsia="方正仿宋_GBK" w:cs="Times New Roman"/>
                <w:b/>
                <w:bCs/>
                <w:kern w:val="32"/>
                <w:sz w:val="24"/>
                <w:szCs w:val="24"/>
                <w:lang w:val="en-US" w:eastAsia="zh-CN" w:bidi="ar-SA"/>
              </w:rPr>
              <w:t>）</w:t>
            </w:r>
            <w:r>
              <w:rPr>
                <w:rFonts w:hint="eastAsia" w:ascii="Times New Roman" w:hAnsi="Times New Roman" w:eastAsia="方正仿宋_GBK" w:cs="Times New Roman"/>
                <w:b/>
                <w:bCs/>
                <w:kern w:val="32"/>
                <w:sz w:val="24"/>
                <w:szCs w:val="24"/>
                <w:lang w:val="en-US" w:eastAsia="zh-CN" w:bidi="ar-SA"/>
              </w:rPr>
              <w:t>电磁环境</w:t>
            </w:r>
          </w:p>
          <w:p w14:paraId="07F79DB1">
            <w:pPr>
              <w:keepNext w:val="0"/>
              <w:keepLines w:val="0"/>
              <w:pageBreakBefore w:val="0"/>
              <w:widowControl/>
              <w:numPr>
                <w:ilvl w:val="0"/>
                <w:numId w:val="0"/>
              </w:numPr>
              <w:kinsoku/>
              <w:wordWrap/>
              <w:overflowPunct/>
              <w:topLinePunct w:val="0"/>
              <w:autoSpaceDE/>
              <w:autoSpaceDN/>
              <w:bidi w:val="0"/>
              <w:adjustRightInd/>
              <w:snapToGrid/>
              <w:spacing w:line="360" w:lineRule="exact"/>
              <w:ind w:leftChars="0" w:firstLine="480" w:firstLineChars="200"/>
              <w:jc w:val="left"/>
              <w:textAlignment w:val="auto"/>
              <w:rPr>
                <w:rFonts w:hint="default" w:ascii="Times New Roman" w:hAnsi="Times New Roman" w:eastAsia="方正仿宋_GBK" w:cs="Times New Roman"/>
                <w:sz w:val="24"/>
                <w:lang w:val="en-US" w:eastAsia="zh-CN"/>
              </w:rPr>
            </w:pPr>
            <w:r>
              <w:rPr>
                <w:rFonts w:hint="eastAsia" w:ascii="Times New Roman" w:hAnsi="Times New Roman" w:cs="Times New Roman"/>
                <w:sz w:val="24"/>
                <w:lang w:val="en-US" w:eastAsia="zh-CN"/>
              </w:rPr>
              <w:t>施工期：合理选用各种电气设备及金属配件（如保护环、垫片、接头等）</w:t>
            </w:r>
            <w:r>
              <w:rPr>
                <w:rFonts w:hint="default" w:ascii="Times New Roman" w:hAnsi="Times New Roman" w:eastAsia="方正仿宋_GBK" w:cs="Times New Roman"/>
                <w:sz w:val="24"/>
                <w:lang w:val="en-US" w:eastAsia="zh-CN"/>
              </w:rPr>
              <w:t>。</w:t>
            </w:r>
          </w:p>
          <w:p w14:paraId="19729788">
            <w:pPr>
              <w:keepNext w:val="0"/>
              <w:keepLines w:val="0"/>
              <w:pageBreakBefore w:val="0"/>
              <w:widowControl/>
              <w:numPr>
                <w:ilvl w:val="0"/>
                <w:numId w:val="0"/>
              </w:numPr>
              <w:kinsoku/>
              <w:wordWrap/>
              <w:overflowPunct/>
              <w:topLinePunct w:val="0"/>
              <w:autoSpaceDE/>
              <w:autoSpaceDN/>
              <w:bidi w:val="0"/>
              <w:adjustRightInd/>
              <w:snapToGrid/>
              <w:spacing w:line="360" w:lineRule="exact"/>
              <w:ind w:leftChars="0" w:firstLine="480" w:firstLineChars="200"/>
              <w:jc w:val="left"/>
              <w:textAlignment w:val="auto"/>
              <w:rPr>
                <w:rFonts w:hint="default"/>
                <w:lang w:val="en-US" w:eastAsia="zh-CN"/>
              </w:rPr>
            </w:pPr>
            <w:r>
              <w:rPr>
                <w:rFonts w:hint="eastAsia" w:ascii="Times New Roman" w:hAnsi="Times New Roman" w:cs="Times New Roman"/>
                <w:sz w:val="24"/>
                <w:lang w:val="en-US" w:eastAsia="zh-CN"/>
              </w:rPr>
              <w:t>运营期：在危险区域设立相应的警示标志，并做好警示宣传工作，在醒目位置设置安全警示图文标志。加强电磁环境影响宣传，消除周边群众的担忧心理。开展电磁环境监测，确保工频电场、工频磁场满足《电磁环境控制限值》（GB8702-2014）标准限值要求。</w:t>
            </w:r>
          </w:p>
        </w:tc>
      </w:tr>
      <w:tr w14:paraId="7F1660CA">
        <w:tblPrEx>
          <w:tblCellMar>
            <w:top w:w="0" w:type="dxa"/>
            <w:left w:w="108" w:type="dxa"/>
            <w:bottom w:w="0" w:type="dxa"/>
            <w:right w:w="108" w:type="dxa"/>
          </w:tblCellMar>
        </w:tblPrEx>
        <w:trPr>
          <w:trHeight w:val="386" w:hRule="atLeast"/>
        </w:trPr>
        <w:tc>
          <w:tcPr>
            <w:tcW w:w="9814"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06646DF2">
            <w:pPr>
              <w:widowControl/>
              <w:spacing w:line="360" w:lineRule="auto"/>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公众参与情况</w:t>
            </w:r>
          </w:p>
        </w:tc>
      </w:tr>
      <w:tr w14:paraId="5330ABFA">
        <w:tblPrEx>
          <w:tblCellMar>
            <w:top w:w="0" w:type="dxa"/>
            <w:left w:w="108" w:type="dxa"/>
            <w:bottom w:w="0" w:type="dxa"/>
            <w:right w:w="108" w:type="dxa"/>
          </w:tblCellMar>
        </w:tblPrEx>
        <w:trPr>
          <w:trHeight w:val="1568" w:hRule="atLeast"/>
        </w:trPr>
        <w:tc>
          <w:tcPr>
            <w:tcW w:w="9814" w:type="dxa"/>
            <w:gridSpan w:val="6"/>
            <w:tcBorders>
              <w:top w:val="single" w:color="auto" w:sz="4" w:space="0"/>
              <w:left w:val="single" w:color="auto" w:sz="4" w:space="0"/>
              <w:bottom w:val="single" w:color="auto" w:sz="4" w:space="0"/>
              <w:right w:val="single" w:color="auto" w:sz="4" w:space="0"/>
            </w:tcBorders>
            <w:vAlign w:val="center"/>
          </w:tcPr>
          <w:p w14:paraId="5FEEC31F">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cs="Times New Roman"/>
              </w:rPr>
            </w:pPr>
            <w:r>
              <w:rPr>
                <w:rFonts w:hint="default" w:ascii="Times New Roman" w:hAnsi="Times New Roman" w:cs="Times New Roman"/>
                <w:sz w:val="24"/>
                <w:szCs w:val="24"/>
                <w:lang w:val="en-US" w:eastAsia="zh-CN"/>
              </w:rPr>
              <w:t>根据《环境影响评价公众参与办法》（生态环境部令第4号）等文件要求，项目分别于2025年6月18日，2026年4月8日和2026年7月22日开展了首次环境影响评价信息公开、征求意见稿公示和报批前公示，公示期间，没有收到公众的公众意见表。</w:t>
            </w:r>
          </w:p>
        </w:tc>
      </w:tr>
      <w:tr w14:paraId="44773E70">
        <w:tblPrEx>
          <w:tblCellMar>
            <w:top w:w="0" w:type="dxa"/>
            <w:left w:w="108" w:type="dxa"/>
            <w:bottom w:w="0" w:type="dxa"/>
            <w:right w:w="108" w:type="dxa"/>
          </w:tblCellMar>
        </w:tblPrEx>
        <w:trPr>
          <w:trHeight w:val="429" w:hRule="atLeast"/>
        </w:trPr>
        <w:tc>
          <w:tcPr>
            <w:tcW w:w="4002" w:type="dxa"/>
            <w:gridSpan w:val="2"/>
            <w:tcBorders>
              <w:top w:val="single" w:color="auto" w:sz="4" w:space="0"/>
              <w:left w:val="single" w:color="auto" w:sz="4" w:space="0"/>
              <w:bottom w:val="single" w:color="auto" w:sz="4" w:space="0"/>
              <w:right w:val="single" w:color="auto" w:sz="4" w:space="0"/>
            </w:tcBorders>
            <w:shd w:val="clear" w:color="auto" w:fill="C0C0C0"/>
            <w:vAlign w:val="center"/>
          </w:tcPr>
          <w:p w14:paraId="3CDF5342">
            <w:pPr>
              <w:widowControl/>
              <w:spacing w:line="240" w:lineRule="auto"/>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建设单位或地方政府所作出的相关承诺文件</w:t>
            </w:r>
          </w:p>
        </w:tc>
        <w:tc>
          <w:tcPr>
            <w:tcW w:w="5812" w:type="dxa"/>
            <w:gridSpan w:val="4"/>
            <w:tcBorders>
              <w:top w:val="single" w:color="auto" w:sz="4" w:space="0"/>
              <w:left w:val="nil"/>
              <w:bottom w:val="single" w:color="auto" w:sz="4" w:space="0"/>
              <w:right w:val="single" w:color="auto" w:sz="4" w:space="0"/>
            </w:tcBorders>
            <w:vAlign w:val="center"/>
          </w:tcPr>
          <w:p w14:paraId="2EFC629B">
            <w:pPr>
              <w:pStyle w:val="7"/>
              <w:spacing w:line="360" w:lineRule="auto"/>
              <w:rPr>
                <w:rFonts w:hint="eastAsia" w:ascii="Times New Roman" w:hAnsi="Times New Roman" w:eastAsia="方正仿宋_GBK" w:cs="Times New Roman"/>
                <w:lang w:val="en-US" w:eastAsia="zh-CN"/>
              </w:rPr>
            </w:pPr>
            <w:r>
              <w:rPr>
                <w:rFonts w:hint="default" w:ascii="Times New Roman" w:hAnsi="Times New Roman" w:eastAsia="方正仿宋_GBK" w:cs="Times New Roman"/>
                <w:snapToGrid/>
                <w:kern w:val="32"/>
                <w:sz w:val="24"/>
                <w:szCs w:val="24"/>
                <w:lang w:val="en-US" w:eastAsia="zh-CN" w:bidi="ar-SA"/>
              </w:rPr>
              <w:t>信息公开同意函</w:t>
            </w:r>
            <w:r>
              <w:rPr>
                <w:rFonts w:hint="eastAsia" w:ascii="Times New Roman" w:hAnsi="Times New Roman" w:cs="Times New Roman"/>
                <w:snapToGrid/>
                <w:kern w:val="32"/>
                <w:sz w:val="24"/>
                <w:szCs w:val="24"/>
                <w:lang w:val="en-US" w:eastAsia="zh-CN" w:bidi="ar-SA"/>
              </w:rPr>
              <w:t>。</w:t>
            </w:r>
          </w:p>
        </w:tc>
      </w:tr>
      <w:tr w14:paraId="3D890382">
        <w:tblPrEx>
          <w:tblCellMar>
            <w:top w:w="0" w:type="dxa"/>
            <w:left w:w="108" w:type="dxa"/>
            <w:bottom w:w="0" w:type="dxa"/>
            <w:right w:w="108" w:type="dxa"/>
          </w:tblCellMar>
        </w:tblPrEx>
        <w:trPr>
          <w:trHeight w:val="570" w:hRule="atLeast"/>
        </w:trPr>
        <w:tc>
          <w:tcPr>
            <w:tcW w:w="9814" w:type="dxa"/>
            <w:gridSpan w:val="6"/>
            <w:tcBorders>
              <w:top w:val="single" w:color="auto" w:sz="4" w:space="0"/>
              <w:left w:val="nil"/>
              <w:bottom w:val="nil"/>
              <w:right w:val="nil"/>
            </w:tcBorders>
            <w:vAlign w:val="center"/>
          </w:tcPr>
          <w:p w14:paraId="06A54C2A">
            <w:pPr>
              <w:widowControl/>
              <w:spacing w:line="360" w:lineRule="auto"/>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注:项目概况、项目主要环境影响、项目预防及减轻不良环境影响的对策和措施、公众参与情况、建设单位或地方政府所作出的相关承诺文件部分由建设单位填写。公众反馈意见联系方式部分由行政审批机关填写。</w:t>
            </w:r>
          </w:p>
        </w:tc>
      </w:tr>
    </w:tbl>
    <w:p w14:paraId="18BB9136">
      <w:pPr>
        <w:rPr>
          <w:color w:val="FF0000"/>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Arial Unicode MS"/>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小标宋_GBK">
    <w:altName w:val="Arial Unicode MS"/>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KSOF51D5AD36">
    <w:panose1 w:val="020B0604020202020204"/>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iYzQ1NDY1YjQ0MjBjMWNmZDQyYjE1NzJjMWYwMDcifQ=="/>
  </w:docVars>
  <w:rsids>
    <w:rsidRoot w:val="392E2078"/>
    <w:rsid w:val="0007389C"/>
    <w:rsid w:val="00150BE9"/>
    <w:rsid w:val="00156B39"/>
    <w:rsid w:val="001A0782"/>
    <w:rsid w:val="001A6B62"/>
    <w:rsid w:val="001B3A2B"/>
    <w:rsid w:val="001F034E"/>
    <w:rsid w:val="001F679B"/>
    <w:rsid w:val="00294DBA"/>
    <w:rsid w:val="002B6C2D"/>
    <w:rsid w:val="002C62B4"/>
    <w:rsid w:val="00322D57"/>
    <w:rsid w:val="00327286"/>
    <w:rsid w:val="00330F90"/>
    <w:rsid w:val="00335349"/>
    <w:rsid w:val="003C1AD7"/>
    <w:rsid w:val="003C4CF8"/>
    <w:rsid w:val="003C6F96"/>
    <w:rsid w:val="003E6693"/>
    <w:rsid w:val="00473C47"/>
    <w:rsid w:val="00485878"/>
    <w:rsid w:val="004A6061"/>
    <w:rsid w:val="004D701F"/>
    <w:rsid w:val="004E159E"/>
    <w:rsid w:val="005010C4"/>
    <w:rsid w:val="005107E1"/>
    <w:rsid w:val="005370B8"/>
    <w:rsid w:val="00542698"/>
    <w:rsid w:val="005A0DCF"/>
    <w:rsid w:val="005B283A"/>
    <w:rsid w:val="0060088D"/>
    <w:rsid w:val="0061485D"/>
    <w:rsid w:val="0062265A"/>
    <w:rsid w:val="006C6412"/>
    <w:rsid w:val="006D5270"/>
    <w:rsid w:val="006E4B40"/>
    <w:rsid w:val="006E5771"/>
    <w:rsid w:val="00702618"/>
    <w:rsid w:val="00705F2D"/>
    <w:rsid w:val="00773626"/>
    <w:rsid w:val="007A0516"/>
    <w:rsid w:val="007C11E2"/>
    <w:rsid w:val="0081762D"/>
    <w:rsid w:val="00833B43"/>
    <w:rsid w:val="00841044"/>
    <w:rsid w:val="00863CCD"/>
    <w:rsid w:val="00871427"/>
    <w:rsid w:val="00872120"/>
    <w:rsid w:val="00873527"/>
    <w:rsid w:val="008A3643"/>
    <w:rsid w:val="008A7183"/>
    <w:rsid w:val="008C224E"/>
    <w:rsid w:val="008C796D"/>
    <w:rsid w:val="008C7996"/>
    <w:rsid w:val="008C7D47"/>
    <w:rsid w:val="008D6010"/>
    <w:rsid w:val="00906E2D"/>
    <w:rsid w:val="009B5EE1"/>
    <w:rsid w:val="009D1793"/>
    <w:rsid w:val="009D3485"/>
    <w:rsid w:val="009D5CDC"/>
    <w:rsid w:val="00A560A2"/>
    <w:rsid w:val="00A7390A"/>
    <w:rsid w:val="00A752B3"/>
    <w:rsid w:val="00A84CD0"/>
    <w:rsid w:val="00AA08DA"/>
    <w:rsid w:val="00B22E4F"/>
    <w:rsid w:val="00B4670A"/>
    <w:rsid w:val="00B547C9"/>
    <w:rsid w:val="00B55F2A"/>
    <w:rsid w:val="00BA1007"/>
    <w:rsid w:val="00BA59BE"/>
    <w:rsid w:val="00BA7231"/>
    <w:rsid w:val="00BC32D8"/>
    <w:rsid w:val="00BD0857"/>
    <w:rsid w:val="00BD1407"/>
    <w:rsid w:val="00C36231"/>
    <w:rsid w:val="00C71183"/>
    <w:rsid w:val="00C96052"/>
    <w:rsid w:val="00CC1BB9"/>
    <w:rsid w:val="00CD2BAA"/>
    <w:rsid w:val="00CD608E"/>
    <w:rsid w:val="00D233CF"/>
    <w:rsid w:val="00DA65D2"/>
    <w:rsid w:val="00DC4E67"/>
    <w:rsid w:val="00DC7CEE"/>
    <w:rsid w:val="00E46C95"/>
    <w:rsid w:val="00E90C9E"/>
    <w:rsid w:val="00ED0EFF"/>
    <w:rsid w:val="00EE1F18"/>
    <w:rsid w:val="00EE5CE6"/>
    <w:rsid w:val="00F530BA"/>
    <w:rsid w:val="00F86E32"/>
    <w:rsid w:val="00FD24C7"/>
    <w:rsid w:val="00FD5740"/>
    <w:rsid w:val="00FF23D3"/>
    <w:rsid w:val="013830D2"/>
    <w:rsid w:val="01437794"/>
    <w:rsid w:val="03344A05"/>
    <w:rsid w:val="05275651"/>
    <w:rsid w:val="05B86C53"/>
    <w:rsid w:val="081E3E37"/>
    <w:rsid w:val="13B34670"/>
    <w:rsid w:val="1A3C46BC"/>
    <w:rsid w:val="1B020E5E"/>
    <w:rsid w:val="1C8733A0"/>
    <w:rsid w:val="201D4921"/>
    <w:rsid w:val="20547DB6"/>
    <w:rsid w:val="21602F6F"/>
    <w:rsid w:val="22862C6A"/>
    <w:rsid w:val="245D4345"/>
    <w:rsid w:val="24694EB2"/>
    <w:rsid w:val="25502092"/>
    <w:rsid w:val="261D1266"/>
    <w:rsid w:val="2B002CE4"/>
    <w:rsid w:val="2CA10B4F"/>
    <w:rsid w:val="2CAD1D69"/>
    <w:rsid w:val="2EE11733"/>
    <w:rsid w:val="2F923676"/>
    <w:rsid w:val="2FC57EA9"/>
    <w:rsid w:val="301D5EC7"/>
    <w:rsid w:val="33682ACB"/>
    <w:rsid w:val="34185686"/>
    <w:rsid w:val="35313D1A"/>
    <w:rsid w:val="38002C65"/>
    <w:rsid w:val="392E2078"/>
    <w:rsid w:val="39984AC7"/>
    <w:rsid w:val="3B020811"/>
    <w:rsid w:val="3B2E26FF"/>
    <w:rsid w:val="3C272C37"/>
    <w:rsid w:val="3EDD372A"/>
    <w:rsid w:val="4155672C"/>
    <w:rsid w:val="43BD5ED1"/>
    <w:rsid w:val="449625B7"/>
    <w:rsid w:val="45BD33BC"/>
    <w:rsid w:val="47F24AD5"/>
    <w:rsid w:val="4866291F"/>
    <w:rsid w:val="4B402719"/>
    <w:rsid w:val="4B9C7ABA"/>
    <w:rsid w:val="4C985FBF"/>
    <w:rsid w:val="4D2F5EED"/>
    <w:rsid w:val="4DC60339"/>
    <w:rsid w:val="4EC40453"/>
    <w:rsid w:val="4F7B2ACC"/>
    <w:rsid w:val="50153BC8"/>
    <w:rsid w:val="51E81108"/>
    <w:rsid w:val="52385E17"/>
    <w:rsid w:val="54752240"/>
    <w:rsid w:val="555D267C"/>
    <w:rsid w:val="5653575C"/>
    <w:rsid w:val="577942AD"/>
    <w:rsid w:val="58FF0EBE"/>
    <w:rsid w:val="5998453C"/>
    <w:rsid w:val="5A834766"/>
    <w:rsid w:val="5BED57C7"/>
    <w:rsid w:val="5D2E69AB"/>
    <w:rsid w:val="5DCC4393"/>
    <w:rsid w:val="5F257633"/>
    <w:rsid w:val="60EA0DC0"/>
    <w:rsid w:val="614E3CA3"/>
    <w:rsid w:val="64CE0A00"/>
    <w:rsid w:val="66B00A67"/>
    <w:rsid w:val="6AB93F9D"/>
    <w:rsid w:val="6C044E5F"/>
    <w:rsid w:val="6C8A7DA4"/>
    <w:rsid w:val="714078D6"/>
    <w:rsid w:val="715F713D"/>
    <w:rsid w:val="747E39E9"/>
    <w:rsid w:val="74857523"/>
    <w:rsid w:val="77533B6A"/>
    <w:rsid w:val="78CD4DAD"/>
    <w:rsid w:val="79377A43"/>
    <w:rsid w:val="79CC62C5"/>
    <w:rsid w:val="79EF4D86"/>
    <w:rsid w:val="7E5F22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方正仿宋_GBK" w:cs="Times New Roman"/>
      <w:kern w:val="32"/>
      <w:sz w:val="32"/>
      <w:szCs w:val="32"/>
      <w:lang w:val="en-US" w:eastAsia="zh-CN" w:bidi="ar-SA"/>
    </w:rPr>
  </w:style>
  <w:style w:type="paragraph" w:styleId="4">
    <w:name w:val="heading 2"/>
    <w:basedOn w:val="1"/>
    <w:next w:val="1"/>
    <w:link w:val="24"/>
    <w:qFormat/>
    <w:uiPriority w:val="0"/>
    <w:pPr>
      <w:tabs>
        <w:tab w:val="left" w:pos="5882"/>
      </w:tabs>
      <w:adjustRightInd w:val="0"/>
      <w:snapToGrid w:val="0"/>
      <w:spacing w:beforeLines="50"/>
      <w:jc w:val="left"/>
      <w:outlineLvl w:val="1"/>
    </w:pPr>
    <w:rPr>
      <w:rFonts w:ascii="Times New Roman" w:hAnsi="Times New Roman" w:eastAsia="宋体"/>
      <w:b/>
      <w:kern w:val="0"/>
      <w:sz w:val="24"/>
      <w:szCs w:val="24"/>
    </w:rPr>
  </w:style>
  <w:style w:type="paragraph" w:styleId="5">
    <w:name w:val="heading 3"/>
    <w:basedOn w:val="1"/>
    <w:next w:val="1"/>
    <w:link w:val="19"/>
    <w:qFormat/>
    <w:uiPriority w:val="0"/>
    <w:pPr>
      <w:topLinePunct/>
      <w:spacing w:before="120" w:line="480" w:lineRule="exact"/>
      <w:outlineLvl w:val="2"/>
    </w:pPr>
    <w:rPr>
      <w:rFonts w:ascii="Times New Roman" w:hAnsi="Times New Roman" w:eastAsia="楷体_GB2312"/>
      <w:b/>
      <w:bCs/>
      <w:color w:val="000000"/>
      <w:kern w:val="2"/>
      <w:sz w:val="28"/>
      <w:szCs w:val="28"/>
    </w:rPr>
  </w:style>
  <w:style w:type="paragraph" w:styleId="6">
    <w:name w:val="heading 4"/>
    <w:basedOn w:val="1"/>
    <w:next w:val="1"/>
    <w:link w:val="22"/>
    <w:qFormat/>
    <w:uiPriority w:val="0"/>
    <w:pPr>
      <w:keepNext/>
      <w:keepLines/>
      <w:spacing w:before="280" w:after="290" w:line="376" w:lineRule="auto"/>
      <w:outlineLvl w:val="3"/>
    </w:pPr>
    <w:rPr>
      <w:rFonts w:ascii="Arial" w:hAnsi="Arial" w:eastAsia="黑体"/>
      <w:b/>
      <w:bCs/>
      <w:kern w:val="2"/>
      <w:sz w:val="28"/>
      <w:szCs w:val="28"/>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3"/>
    <w:next w:val="3"/>
    <w:qFormat/>
    <w:uiPriority w:val="1"/>
    <w:rPr>
      <w:sz w:val="24"/>
      <w:szCs w:val="24"/>
    </w:rPr>
  </w:style>
  <w:style w:type="paragraph" w:styleId="3">
    <w:name w:val="Title"/>
    <w:basedOn w:val="1"/>
    <w:qFormat/>
    <w:uiPriority w:val="0"/>
    <w:pPr>
      <w:adjustRightInd w:val="0"/>
      <w:snapToGrid w:val="0"/>
      <w:spacing w:before="240" w:after="60" w:line="360" w:lineRule="auto"/>
      <w:ind w:firstLine="200" w:firstLineChars="200"/>
      <w:jc w:val="center"/>
      <w:outlineLvl w:val="0"/>
    </w:pPr>
    <w:rPr>
      <w:rFonts w:ascii="Cambria" w:hAnsi="Cambria"/>
      <w:b/>
      <w:bCs/>
    </w:rPr>
  </w:style>
  <w:style w:type="paragraph" w:styleId="7">
    <w:name w:val="Plain Text"/>
    <w:basedOn w:val="1"/>
    <w:qFormat/>
    <w:uiPriority w:val="0"/>
    <w:rPr>
      <w:rFonts w:ascii="宋体"/>
      <w:snapToGrid w:val="0"/>
      <w:kern w:val="0"/>
      <w:szCs w:val="20"/>
    </w:rPr>
  </w:style>
  <w:style w:type="paragraph" w:styleId="8">
    <w:name w:val="footer"/>
    <w:basedOn w:val="1"/>
    <w:link w:val="23"/>
    <w:qFormat/>
    <w:uiPriority w:val="0"/>
    <w:pPr>
      <w:tabs>
        <w:tab w:val="center" w:pos="4153"/>
        <w:tab w:val="right" w:pos="8306"/>
      </w:tabs>
      <w:snapToGrid w:val="0"/>
      <w:jc w:val="left"/>
    </w:pPr>
    <w:rPr>
      <w:sz w:val="18"/>
      <w:szCs w:val="18"/>
    </w:rPr>
  </w:style>
  <w:style w:type="paragraph" w:styleId="9">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jc w:val="left"/>
    </w:pPr>
    <w:rPr>
      <w:rFonts w:eastAsia="宋体"/>
      <w:kern w:val="0"/>
      <w:sz w:val="24"/>
    </w:rPr>
  </w:style>
  <w:style w:type="character" w:styleId="13">
    <w:name w:val="Strong"/>
    <w:basedOn w:val="12"/>
    <w:qFormat/>
    <w:uiPriority w:val="0"/>
    <w:rPr>
      <w:b/>
    </w:rPr>
  </w:style>
  <w:style w:type="character" w:styleId="14">
    <w:name w:val="annotation reference"/>
    <w:basedOn w:val="12"/>
    <w:qFormat/>
    <w:uiPriority w:val="0"/>
    <w:rPr>
      <w:sz w:val="21"/>
      <w:szCs w:val="21"/>
    </w:rPr>
  </w:style>
  <w:style w:type="paragraph" w:customStyle="1" w:styleId="15">
    <w:name w:val="Normal Indent1"/>
    <w:basedOn w:val="1"/>
    <w:next w:val="1"/>
    <w:qFormat/>
    <w:uiPriority w:val="99"/>
    <w:pPr>
      <w:ind w:firstLine="420"/>
    </w:pPr>
  </w:style>
  <w:style w:type="paragraph" w:customStyle="1" w:styleId="16">
    <w:name w:val="Default"/>
    <w:basedOn w:val="17"/>
    <w:qFormat/>
    <w:uiPriority w:val="99"/>
    <w:pPr>
      <w:widowControl w:val="0"/>
      <w:autoSpaceDE w:val="0"/>
      <w:autoSpaceDN w:val="0"/>
      <w:adjustRightInd w:val="0"/>
    </w:pPr>
    <w:rPr>
      <w:rFonts w:ascii="宋体" w:cs="宋体"/>
      <w:color w:val="000000"/>
      <w:sz w:val="24"/>
      <w:szCs w:val="24"/>
      <w:lang w:val="en-US" w:eastAsia="zh-CN" w:bidi="ar-SA"/>
    </w:rPr>
  </w:style>
  <w:style w:type="paragraph" w:customStyle="1" w:styleId="17">
    <w:name w:val="纯文本1"/>
    <w:basedOn w:val="1"/>
    <w:qFormat/>
    <w:uiPriority w:val="0"/>
    <w:pPr>
      <w:suppressAutoHyphens/>
    </w:pPr>
    <w:rPr>
      <w:rFonts w:ascii="宋体" w:hAnsi="宋体" w:eastAsia="宋体" w:cs="Times New Roman"/>
      <w:kern w:val="1"/>
      <w:sz w:val="28"/>
      <w:lang w:eastAsia="ar-SA"/>
    </w:rPr>
  </w:style>
  <w:style w:type="paragraph" w:customStyle="1" w:styleId="18">
    <w:name w:val="正本文字"/>
    <w:basedOn w:val="1"/>
    <w:autoRedefine/>
    <w:qFormat/>
    <w:uiPriority w:val="0"/>
    <w:pPr>
      <w:adjustRightInd w:val="0"/>
      <w:snapToGrid w:val="0"/>
      <w:spacing w:line="360" w:lineRule="auto"/>
      <w:ind w:firstLine="480" w:firstLineChars="200"/>
      <w:jc w:val="left"/>
    </w:pPr>
    <w:rPr>
      <w:rFonts w:cs="宋体"/>
      <w:kern w:val="18"/>
      <w:sz w:val="24"/>
    </w:rPr>
  </w:style>
  <w:style w:type="character" w:customStyle="1" w:styleId="19">
    <w:name w:val="标题 3 字符"/>
    <w:link w:val="5"/>
    <w:qFormat/>
    <w:uiPriority w:val="0"/>
    <w:rPr>
      <w:rFonts w:eastAsia="楷体_GB2312"/>
      <w:b/>
      <w:bCs/>
      <w:color w:val="000000"/>
      <w:kern w:val="2"/>
      <w:sz w:val="28"/>
      <w:szCs w:val="28"/>
    </w:rPr>
  </w:style>
  <w:style w:type="character" w:customStyle="1" w:styleId="20">
    <w:name w:val="标题 3 Char"/>
    <w:semiHidden/>
    <w:qFormat/>
    <w:uiPriority w:val="0"/>
    <w:rPr>
      <w:rFonts w:ascii="Calibri" w:hAnsi="Calibri" w:eastAsia="方正仿宋_GBK"/>
      <w:b/>
      <w:bCs/>
      <w:kern w:val="32"/>
      <w:sz w:val="32"/>
      <w:szCs w:val="32"/>
    </w:rPr>
  </w:style>
  <w:style w:type="character" w:customStyle="1" w:styleId="21">
    <w:name w:val="页眉 字符"/>
    <w:link w:val="9"/>
    <w:qFormat/>
    <w:uiPriority w:val="0"/>
    <w:rPr>
      <w:rFonts w:ascii="Calibri" w:hAnsi="Calibri" w:eastAsia="方正仿宋_GBK"/>
      <w:kern w:val="32"/>
      <w:sz w:val="18"/>
      <w:szCs w:val="18"/>
    </w:rPr>
  </w:style>
  <w:style w:type="character" w:customStyle="1" w:styleId="22">
    <w:name w:val="标题 4 字符"/>
    <w:link w:val="6"/>
    <w:qFormat/>
    <w:uiPriority w:val="0"/>
    <w:rPr>
      <w:rFonts w:ascii="Arial" w:hAnsi="Arial" w:eastAsia="黑体"/>
      <w:b/>
      <w:bCs/>
      <w:kern w:val="2"/>
      <w:sz w:val="28"/>
      <w:szCs w:val="28"/>
    </w:rPr>
  </w:style>
  <w:style w:type="character" w:customStyle="1" w:styleId="23">
    <w:name w:val="页脚 字符"/>
    <w:link w:val="8"/>
    <w:qFormat/>
    <w:uiPriority w:val="0"/>
    <w:rPr>
      <w:rFonts w:ascii="Calibri" w:hAnsi="Calibri" w:eastAsia="方正仿宋_GBK"/>
      <w:kern w:val="32"/>
      <w:sz w:val="18"/>
      <w:szCs w:val="18"/>
    </w:rPr>
  </w:style>
  <w:style w:type="character" w:customStyle="1" w:styleId="24">
    <w:name w:val="标题 2 字符"/>
    <w:link w:val="4"/>
    <w:qFormat/>
    <w:uiPriority w:val="0"/>
    <w:rPr>
      <w:rFonts w:eastAsia="宋体"/>
      <w:b/>
      <w:sz w:val="24"/>
      <w:szCs w:val="24"/>
    </w:rPr>
  </w:style>
  <w:style w:type="character" w:customStyle="1" w:styleId="25">
    <w:name w:val="标题 4 Char"/>
    <w:semiHidden/>
    <w:qFormat/>
    <w:uiPriority w:val="0"/>
    <w:rPr>
      <w:rFonts w:ascii="Cambria" w:hAnsi="Cambria" w:eastAsia="宋体" w:cs="Times New Roman"/>
      <w:b/>
      <w:bCs/>
      <w:kern w:val="32"/>
      <w:sz w:val="28"/>
      <w:szCs w:val="28"/>
    </w:rPr>
  </w:style>
  <w:style w:type="character" w:customStyle="1" w:styleId="26">
    <w:name w:val="正文 旺源文字段落 Char"/>
    <w:link w:val="27"/>
    <w:qFormat/>
    <w:uiPriority w:val="0"/>
    <w:rPr>
      <w:rFonts w:ascii="宋体" w:hAnsi="宋体" w:cs="宋体"/>
      <w:kern w:val="24"/>
      <w:sz w:val="24"/>
      <w:szCs w:val="24"/>
    </w:rPr>
  </w:style>
  <w:style w:type="paragraph" w:customStyle="1" w:styleId="27">
    <w:name w:val="正文 旺源文字段落"/>
    <w:basedOn w:val="1"/>
    <w:link w:val="26"/>
    <w:qFormat/>
    <w:uiPriority w:val="0"/>
    <w:pPr>
      <w:spacing w:line="500" w:lineRule="exact"/>
      <w:ind w:firstLine="420"/>
    </w:pPr>
    <w:rPr>
      <w:rFonts w:ascii="宋体" w:hAnsi="宋体" w:eastAsia="宋体"/>
      <w:kern w:val="24"/>
      <w:sz w:val="24"/>
      <w:szCs w:val="24"/>
    </w:rPr>
  </w:style>
  <w:style w:type="paragraph" w:customStyle="1" w:styleId="28">
    <w:name w:val="LH样式"/>
    <w:basedOn w:val="1"/>
    <w:qFormat/>
    <w:uiPriority w:val="0"/>
    <w:pPr>
      <w:spacing w:line="480" w:lineRule="exact"/>
      <w:ind w:firstLine="520" w:firstLineChars="200"/>
    </w:pPr>
    <w:rPr>
      <w:rFonts w:ascii="Times New Roman" w:hAnsi="Times New Roman" w:eastAsia="宋体"/>
      <w:color w:val="00B0F0"/>
      <w:kern w:val="2"/>
      <w:sz w:val="26"/>
      <w:szCs w:val="26"/>
    </w:rPr>
  </w:style>
  <w:style w:type="paragraph" w:customStyle="1" w:styleId="29">
    <w:name w:val="正文2"/>
    <w:basedOn w:val="1"/>
    <w:qFormat/>
    <w:uiPriority w:val="0"/>
    <w:pPr>
      <w:spacing w:line="360" w:lineRule="auto"/>
      <w:ind w:firstLine="200" w:firstLineChars="200"/>
    </w:pPr>
    <w:rPr>
      <w:rFonts w:ascii="Times New Roman" w:hAnsi="Times New Roman" w:eastAsia="宋体"/>
      <w:sz w:val="24"/>
      <w:szCs w:val="20"/>
    </w:rPr>
  </w:style>
  <w:style w:type="paragraph" w:customStyle="1" w:styleId="30">
    <w:name w:val="Table Text"/>
    <w:basedOn w:val="1"/>
    <w:semiHidden/>
    <w:qFormat/>
    <w:uiPriority w:val="0"/>
    <w:rPr>
      <w:rFonts w:ascii="宋体" w:hAnsi="宋体" w:eastAsia="宋体" w:cs="宋体"/>
      <w:sz w:val="21"/>
      <w:szCs w:val="21"/>
      <w:lang w:val="en-US" w:eastAsia="en-US" w:bidi="ar-SA"/>
    </w:rPr>
  </w:style>
  <w:style w:type="paragraph" w:customStyle="1" w:styleId="31">
    <w:name w:val="H正文"/>
    <w:basedOn w:val="1"/>
    <w:qFormat/>
    <w:uiPriority w:val="0"/>
    <w:pPr>
      <w:adjustRightInd w:val="0"/>
      <w:spacing w:line="400" w:lineRule="exact"/>
      <w:ind w:firstLine="200" w:firstLineChars="200"/>
      <w:textAlignment w:val="baseline"/>
    </w:pPr>
    <w:rPr>
      <w:rFonts w:ascii="Times New Roman" w:hAnsi="Times New Roman" w:eastAsia="宋体"/>
      <w:snapToGrid w:val="0"/>
      <w:spacing w:val="6"/>
      <w:kern w:val="2"/>
      <w:sz w:val="21"/>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2</Pages>
  <Words>1698</Words>
  <Characters>1782</Characters>
  <Lines>97</Lines>
  <Paragraphs>85</Paragraphs>
  <TotalTime>5</TotalTime>
  <ScaleCrop>false</ScaleCrop>
  <LinksUpToDate>false</LinksUpToDate>
  <CharactersWithSpaces>1784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2019-10-22T01:39:00Z</dcterms:created>
  <dc:creator>lenovo</dc:creator>
  <cp:lastModifiedBy>郭丽娜</cp:lastModifiedBy>
  <cp:lastPrinted>2016-09-13T03:08:00Z</cp:lastPrinted>
  <dcterms:modified xsi:type="dcterms:W3CDTF">2026-08-11T02:28:19Z</dcterms:modified>
  <dc:title>曲靖市环境保护局</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0080CDC7B65B4C09BD8514858009E726_13</vt:lpwstr>
  </property>
  <property fmtid="{D5CDD505-2E9C-101B-9397-08002B2CF9AE}" pid="4" name="KSOTemplateDocerSaveRecord">
    <vt:lpwstr>eyJoZGlkIjoiYTA0OTFiNTllN2E3YTc2MDc5ZTIwYTg0ZjFlZjFlMWQiLCJ1c2VySWQiOiIzNzMyMDUyODEifQ==</vt:lpwstr>
  </property>
</Properties>
</file>