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82887">
      <w:pPr>
        <w:pStyle w:val="2"/>
        <w:spacing w:line="265" w:lineRule="auto"/>
      </w:pPr>
    </w:p>
    <w:p w14:paraId="5AD1CF13">
      <w:pPr>
        <w:pStyle w:val="2"/>
        <w:spacing w:line="265" w:lineRule="auto"/>
      </w:pPr>
    </w:p>
    <w:p w14:paraId="30321AF6">
      <w:pPr>
        <w:pStyle w:val="2"/>
        <w:spacing w:line="265" w:lineRule="auto"/>
      </w:pPr>
    </w:p>
    <w:p w14:paraId="3B76AAE4">
      <w:pPr>
        <w:pStyle w:val="2"/>
        <w:spacing w:line="266" w:lineRule="auto"/>
      </w:pPr>
    </w:p>
    <w:p w14:paraId="13C69ECF">
      <w:pPr>
        <w:pStyle w:val="2"/>
        <w:spacing w:line="266" w:lineRule="auto"/>
      </w:pPr>
    </w:p>
    <w:p w14:paraId="4BAD3D1A">
      <w:pPr>
        <w:pStyle w:val="2"/>
        <w:spacing w:line="266" w:lineRule="auto"/>
      </w:pPr>
    </w:p>
    <w:p w14:paraId="46F12FE5">
      <w:pPr>
        <w:pStyle w:val="2"/>
        <w:spacing w:line="266" w:lineRule="auto"/>
      </w:pPr>
    </w:p>
    <w:p w14:paraId="6726BC1F">
      <w:pPr>
        <w:pStyle w:val="2"/>
        <w:spacing w:line="266" w:lineRule="auto"/>
      </w:pPr>
    </w:p>
    <w:p w14:paraId="44364192">
      <w:pPr>
        <w:spacing w:before="104" w:line="219" w:lineRule="auto"/>
        <w:ind w:left="1685"/>
        <w:outlineLvl w:val="0"/>
        <w:rPr>
          <w:rFonts w:ascii="宋体" w:hAnsi="宋体" w:eastAsia="宋体" w:cs="宋体"/>
          <w:sz w:val="32"/>
          <w:szCs w:val="32"/>
        </w:rPr>
      </w:pPr>
      <w:r>
        <w:rPr>
          <w:rFonts w:ascii="宋体" w:hAnsi="宋体" w:eastAsia="宋体" w:cs="宋体"/>
          <w:spacing w:val="-8"/>
          <w:sz w:val="32"/>
          <w:szCs w:val="32"/>
        </w:rPr>
        <w:t>云南罗平锌电股份有限公司富乐铅锌矿</w:t>
      </w:r>
    </w:p>
    <w:p w14:paraId="3887BD24">
      <w:pPr>
        <w:spacing w:before="157" w:line="218" w:lineRule="auto"/>
        <w:ind w:left="2585"/>
        <w:outlineLvl w:val="0"/>
        <w:rPr>
          <w:rFonts w:ascii="宋体" w:hAnsi="宋体" w:eastAsia="宋体" w:cs="宋体"/>
          <w:sz w:val="32"/>
          <w:szCs w:val="32"/>
        </w:rPr>
      </w:pPr>
      <w:r>
        <w:rPr>
          <w:rFonts w:ascii="宋体" w:hAnsi="宋体" w:eastAsia="宋体" w:cs="宋体"/>
          <w:spacing w:val="-1"/>
          <w:sz w:val="32"/>
          <w:szCs w:val="32"/>
        </w:rPr>
        <w:t>采矿权出让收益评估报告</w:t>
      </w:r>
    </w:p>
    <w:p w14:paraId="46509C62">
      <w:pPr>
        <w:spacing w:before="263" w:line="219" w:lineRule="auto"/>
        <w:ind w:left="2535"/>
        <w:outlineLvl w:val="0"/>
        <w:rPr>
          <w:rFonts w:ascii="宋体" w:hAnsi="宋体" w:eastAsia="宋体" w:cs="宋体"/>
          <w:sz w:val="28"/>
          <w:szCs w:val="28"/>
        </w:rPr>
      </w:pPr>
      <w:r>
        <w:rPr>
          <w:rFonts w:ascii="宋体" w:hAnsi="宋体" w:eastAsia="宋体" w:cs="宋体"/>
          <w:spacing w:val="6"/>
          <w:sz w:val="28"/>
          <w:szCs w:val="28"/>
        </w:rPr>
        <w:t>俊成矿评报字[2022]第083号</w:t>
      </w:r>
    </w:p>
    <w:p w14:paraId="260A78AA">
      <w:pPr>
        <w:pStyle w:val="2"/>
      </w:pPr>
    </w:p>
    <w:p w14:paraId="7E07630E">
      <w:pPr>
        <w:pStyle w:val="2"/>
      </w:pPr>
    </w:p>
    <w:p w14:paraId="42E0B7E8">
      <w:pPr>
        <w:pStyle w:val="2"/>
      </w:pPr>
    </w:p>
    <w:p w14:paraId="6D3533A6">
      <w:pPr>
        <w:pStyle w:val="2"/>
      </w:pPr>
    </w:p>
    <w:p w14:paraId="5D8BC5F8">
      <w:pPr>
        <w:pStyle w:val="2"/>
      </w:pPr>
    </w:p>
    <w:p w14:paraId="210C4236">
      <w:pPr>
        <w:pStyle w:val="2"/>
      </w:pPr>
    </w:p>
    <w:p w14:paraId="360BA032">
      <w:pPr>
        <w:pStyle w:val="2"/>
        <w:spacing w:line="241" w:lineRule="auto"/>
      </w:pPr>
    </w:p>
    <w:p w14:paraId="2B2C84EC">
      <w:pPr>
        <w:pStyle w:val="2"/>
        <w:spacing w:line="241" w:lineRule="auto"/>
      </w:pPr>
    </w:p>
    <w:p w14:paraId="6C40959D">
      <w:pPr>
        <w:pStyle w:val="2"/>
        <w:spacing w:line="241" w:lineRule="auto"/>
      </w:pPr>
    </w:p>
    <w:p w14:paraId="67B2D365">
      <w:pPr>
        <w:pStyle w:val="2"/>
        <w:spacing w:line="241" w:lineRule="auto"/>
      </w:pPr>
    </w:p>
    <w:p w14:paraId="4C4A2195">
      <w:pPr>
        <w:pStyle w:val="2"/>
        <w:spacing w:line="241" w:lineRule="auto"/>
      </w:pPr>
    </w:p>
    <w:p w14:paraId="77493A96">
      <w:pPr>
        <w:pStyle w:val="2"/>
        <w:spacing w:line="241" w:lineRule="auto"/>
      </w:pPr>
    </w:p>
    <w:p w14:paraId="1E44D189">
      <w:pPr>
        <w:pStyle w:val="2"/>
        <w:spacing w:line="241" w:lineRule="auto"/>
      </w:pPr>
    </w:p>
    <w:p w14:paraId="6F8B8D73">
      <w:pPr>
        <w:pStyle w:val="2"/>
        <w:spacing w:line="241" w:lineRule="auto"/>
      </w:pPr>
    </w:p>
    <w:p w14:paraId="0E4F5E44">
      <w:pPr>
        <w:pStyle w:val="2"/>
        <w:spacing w:line="241" w:lineRule="auto"/>
      </w:pPr>
    </w:p>
    <w:p w14:paraId="1A16A44B">
      <w:pPr>
        <w:pStyle w:val="2"/>
        <w:spacing w:line="241" w:lineRule="auto"/>
      </w:pPr>
    </w:p>
    <w:p w14:paraId="1BEAFAC9">
      <w:pPr>
        <w:pStyle w:val="2"/>
        <w:spacing w:line="241" w:lineRule="auto"/>
      </w:pPr>
    </w:p>
    <w:p w14:paraId="31313E57">
      <w:pPr>
        <w:pStyle w:val="2"/>
        <w:spacing w:line="241" w:lineRule="auto"/>
      </w:pPr>
    </w:p>
    <w:p w14:paraId="3CE92AFD">
      <w:pPr>
        <w:pStyle w:val="2"/>
        <w:spacing w:line="241" w:lineRule="auto"/>
      </w:pPr>
    </w:p>
    <w:p w14:paraId="4CD667CA">
      <w:pPr>
        <w:pStyle w:val="2"/>
        <w:spacing w:line="241" w:lineRule="auto"/>
      </w:pPr>
    </w:p>
    <w:p w14:paraId="6219785A">
      <w:pPr>
        <w:pStyle w:val="2"/>
        <w:spacing w:line="241" w:lineRule="auto"/>
      </w:pPr>
    </w:p>
    <w:p w14:paraId="69FB9E49">
      <w:pPr>
        <w:pStyle w:val="2"/>
        <w:spacing w:line="241" w:lineRule="auto"/>
      </w:pPr>
    </w:p>
    <w:p w14:paraId="0D801540">
      <w:pPr>
        <w:pStyle w:val="2"/>
        <w:spacing w:line="241" w:lineRule="auto"/>
      </w:pPr>
    </w:p>
    <w:p w14:paraId="086B05D9">
      <w:pPr>
        <w:pStyle w:val="2"/>
        <w:spacing w:line="241" w:lineRule="auto"/>
      </w:pPr>
    </w:p>
    <w:p w14:paraId="1FE19237">
      <w:pPr>
        <w:pStyle w:val="2"/>
        <w:spacing w:line="241" w:lineRule="auto"/>
      </w:pPr>
    </w:p>
    <w:p w14:paraId="284C3C6E">
      <w:pPr>
        <w:pStyle w:val="2"/>
        <w:spacing w:line="241" w:lineRule="auto"/>
      </w:pPr>
    </w:p>
    <w:p w14:paraId="6547C690">
      <w:pPr>
        <w:pStyle w:val="2"/>
        <w:spacing w:line="241" w:lineRule="auto"/>
      </w:pPr>
    </w:p>
    <w:p w14:paraId="0AFC8959">
      <w:pPr>
        <w:pStyle w:val="2"/>
        <w:spacing w:line="241" w:lineRule="auto"/>
      </w:pPr>
    </w:p>
    <w:p w14:paraId="2B24F4FF">
      <w:pPr>
        <w:pStyle w:val="2"/>
        <w:spacing w:line="241" w:lineRule="auto"/>
      </w:pPr>
    </w:p>
    <w:p w14:paraId="0D621A43">
      <w:pPr>
        <w:pStyle w:val="2"/>
        <w:spacing w:line="241" w:lineRule="auto"/>
      </w:pPr>
    </w:p>
    <w:p w14:paraId="4E41595C">
      <w:pPr>
        <w:pStyle w:val="2"/>
        <w:spacing w:line="241" w:lineRule="auto"/>
      </w:pPr>
    </w:p>
    <w:p w14:paraId="4E9C81DC">
      <w:pPr>
        <w:pStyle w:val="2"/>
        <w:spacing w:line="241" w:lineRule="auto"/>
      </w:pPr>
    </w:p>
    <w:p w14:paraId="6D0F36C1">
      <w:pPr>
        <w:spacing w:before="91" w:line="218" w:lineRule="auto"/>
        <w:ind w:left="2575"/>
        <w:rPr>
          <w:rFonts w:ascii="宋体" w:hAnsi="宋体" w:eastAsia="宋体" w:cs="宋体"/>
          <w:sz w:val="28"/>
          <w:szCs w:val="28"/>
        </w:rPr>
      </w:pPr>
      <w:r>
        <w:drawing>
          <wp:anchor distT="0" distB="0" distL="0" distR="0" simplePos="0" relativeHeight="251660288" behindDoc="0" locked="0" layoutInCell="1" allowOverlap="1">
            <wp:simplePos x="0" y="0"/>
            <wp:positionH relativeFrom="column">
              <wp:posOffset>2104390</wp:posOffset>
            </wp:positionH>
            <wp:positionV relativeFrom="paragraph">
              <wp:posOffset>-436245</wp:posOffset>
            </wp:positionV>
            <wp:extent cx="1543050" cy="1536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33"/>
                    <a:stretch>
                      <a:fillRect/>
                    </a:stretch>
                  </pic:blipFill>
                  <pic:spPr>
                    <a:xfrm>
                      <a:off x="0" y="0"/>
                      <a:ext cx="1543037" cy="1536690"/>
                    </a:xfrm>
                    <a:prstGeom prst="rect">
                      <a:avLst/>
                    </a:prstGeom>
                  </pic:spPr>
                </pic:pic>
              </a:graphicData>
            </a:graphic>
          </wp:anchor>
        </w:drawing>
      </w:r>
      <w:r>
        <w:rPr>
          <w:rFonts w:ascii="宋体" w:hAnsi="宋体" w:eastAsia="宋体" w:cs="宋体"/>
          <w:spacing w:val="-2"/>
          <w:sz w:val="28"/>
          <w:szCs w:val="28"/>
        </w:rPr>
        <w:t>云南俊成矿业权评估有限公司</w:t>
      </w:r>
    </w:p>
    <w:p w14:paraId="5A23A6FD">
      <w:pPr>
        <w:spacing w:before="303" w:line="192" w:lineRule="auto"/>
        <w:ind w:left="1004"/>
        <w:rPr>
          <w:rFonts w:ascii="Times New Roman" w:hAnsi="Times New Roman" w:eastAsia="Times New Roman" w:cs="Times New Roman"/>
          <w:sz w:val="29"/>
          <w:szCs w:val="29"/>
        </w:rPr>
      </w:pPr>
      <w:r>
        <w:rPr>
          <w:rFonts w:ascii="Times New Roman" w:hAnsi="Times New Roman" w:eastAsia="Times New Roman" w:cs="Times New Roman"/>
          <w:sz w:val="29"/>
          <w:szCs w:val="29"/>
        </w:rPr>
        <w:t>Yunnan   JunCheng   Mining   Rights</w:t>
      </w:r>
      <w:r>
        <w:rPr>
          <w:rFonts w:ascii="Times New Roman" w:hAnsi="Times New Roman" w:eastAsia="Times New Roman" w:cs="Times New Roman"/>
          <w:spacing w:val="-1"/>
          <w:sz w:val="29"/>
          <w:szCs w:val="29"/>
        </w:rPr>
        <w:t xml:space="preserve">   Appraisal   Co.,Ltd</w:t>
      </w:r>
    </w:p>
    <w:p w14:paraId="5A98D96C">
      <w:pPr>
        <w:spacing w:before="303" w:line="219" w:lineRule="auto"/>
        <w:ind w:left="3014"/>
        <w:rPr>
          <w:rFonts w:ascii="宋体" w:hAnsi="宋体" w:eastAsia="宋体" w:cs="宋体"/>
          <w:sz w:val="31"/>
          <w:szCs w:val="31"/>
        </w:rPr>
      </w:pPr>
      <w:r>
        <w:drawing>
          <wp:anchor distT="0" distB="0" distL="0" distR="0" simplePos="0" relativeHeight="251659264" behindDoc="0" locked="0" layoutInCell="1" allowOverlap="1">
            <wp:simplePos x="0" y="0"/>
            <wp:positionH relativeFrom="column">
              <wp:posOffset>53340</wp:posOffset>
            </wp:positionH>
            <wp:positionV relativeFrom="paragraph">
              <wp:posOffset>889000</wp:posOffset>
            </wp:positionV>
            <wp:extent cx="5461000" cy="127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4"/>
                    <a:stretch>
                      <a:fillRect/>
                    </a:stretch>
                  </pic:blipFill>
                  <pic:spPr>
                    <a:xfrm>
                      <a:off x="0" y="0"/>
                      <a:ext cx="5461006" cy="12717"/>
                    </a:xfrm>
                    <a:prstGeom prst="rect">
                      <a:avLst/>
                    </a:prstGeom>
                  </pic:spPr>
                </pic:pic>
              </a:graphicData>
            </a:graphic>
          </wp:anchor>
        </w:drawing>
      </w:r>
      <w:r>
        <w:rPr>
          <w:rFonts w:ascii="宋体" w:hAnsi="宋体" w:eastAsia="宋体" w:cs="宋体"/>
          <w:spacing w:val="-25"/>
          <w:sz w:val="31"/>
          <w:szCs w:val="31"/>
        </w:rPr>
        <w:t>二O 二二年十一月八日</w:t>
      </w:r>
    </w:p>
    <w:p w14:paraId="17DFF8C9">
      <w:pPr>
        <w:spacing w:before="8"/>
      </w:pPr>
    </w:p>
    <w:p w14:paraId="47A2F978">
      <w:pPr>
        <w:spacing w:before="8"/>
      </w:pPr>
    </w:p>
    <w:p w14:paraId="5F63D734">
      <w:pPr>
        <w:spacing w:before="7"/>
      </w:pPr>
    </w:p>
    <w:p w14:paraId="6544F135">
      <w:pPr>
        <w:sectPr>
          <w:pgSz w:w="11900" w:h="16830"/>
          <w:pgMar w:top="1430" w:right="1430" w:bottom="0" w:left="1785" w:header="0" w:footer="0" w:gutter="0"/>
          <w:cols w:equalWidth="0" w:num="1">
            <w:col w:w="8685"/>
          </w:cols>
        </w:sectPr>
      </w:pPr>
    </w:p>
    <w:p w14:paraId="7C9222D1">
      <w:pPr>
        <w:spacing w:before="41" w:line="219" w:lineRule="auto"/>
        <w:ind w:left="134"/>
        <w:rPr>
          <w:rFonts w:ascii="宋体" w:hAnsi="宋体" w:eastAsia="宋体" w:cs="宋体"/>
          <w:sz w:val="20"/>
          <w:szCs w:val="20"/>
        </w:rPr>
      </w:pPr>
      <w:r>
        <w:rPr>
          <w:rFonts w:ascii="宋体" w:hAnsi="宋体" w:eastAsia="宋体" w:cs="宋体"/>
          <w:spacing w:val="-8"/>
          <w:sz w:val="20"/>
          <w:szCs w:val="20"/>
        </w:rPr>
        <w:t>通讯地址：昆明市人民西路315号云投财富广场</w:t>
      </w:r>
      <w:r>
        <w:rPr>
          <w:rFonts w:ascii="Times New Roman" w:hAnsi="Times New Roman" w:eastAsia="Times New Roman" w:cs="Times New Roman"/>
          <w:spacing w:val="-8"/>
          <w:sz w:val="20"/>
          <w:szCs w:val="20"/>
        </w:rPr>
        <w:t>B3</w:t>
      </w:r>
      <w:r>
        <w:rPr>
          <w:rFonts w:ascii="Times New Roman" w:hAnsi="Times New Roman" w:eastAsia="Times New Roman" w:cs="Times New Roman"/>
          <w:spacing w:val="-9"/>
          <w:sz w:val="20"/>
          <w:szCs w:val="20"/>
        </w:rPr>
        <w:t xml:space="preserve"> </w:t>
      </w:r>
      <w:r>
        <w:rPr>
          <w:rFonts w:ascii="宋体" w:hAnsi="宋体" w:eastAsia="宋体" w:cs="宋体"/>
          <w:spacing w:val="-8"/>
          <w:sz w:val="20"/>
          <w:szCs w:val="20"/>
        </w:rPr>
        <w:t>栋23层</w:t>
      </w:r>
    </w:p>
    <w:p w14:paraId="675095D7">
      <w:pPr>
        <w:spacing w:before="5" w:line="184" w:lineRule="auto"/>
        <w:ind w:left="155"/>
        <w:rPr>
          <w:rFonts w:ascii="宋体" w:hAnsi="宋体" w:eastAsia="宋体" w:cs="宋体"/>
          <w:sz w:val="20"/>
          <w:szCs w:val="20"/>
        </w:rPr>
      </w:pPr>
      <w:r>
        <w:rPr>
          <w:rFonts w:ascii="宋体" w:hAnsi="宋体" w:eastAsia="宋体" w:cs="宋体"/>
          <w:spacing w:val="-2"/>
          <w:sz w:val="20"/>
          <w:szCs w:val="20"/>
        </w:rPr>
        <w:t>电话：(0871)68383636</w:t>
      </w:r>
    </w:p>
    <w:p w14:paraId="5F22A3AA">
      <w:pPr>
        <w:pStyle w:val="2"/>
        <w:spacing w:line="14" w:lineRule="auto"/>
        <w:rPr>
          <w:sz w:val="2"/>
        </w:rPr>
      </w:pPr>
      <w:r>
        <w:rPr>
          <w:sz w:val="2"/>
          <w:szCs w:val="2"/>
        </w:rPr>
        <w:br w:type="column"/>
      </w:r>
    </w:p>
    <w:p w14:paraId="2E20423B">
      <w:pPr>
        <w:spacing w:before="48" w:line="219" w:lineRule="auto"/>
        <w:rPr>
          <w:rFonts w:ascii="宋体" w:hAnsi="宋体" w:eastAsia="宋体" w:cs="宋体"/>
          <w:sz w:val="17"/>
          <w:szCs w:val="17"/>
        </w:rPr>
      </w:pPr>
      <w:r>
        <w:rPr>
          <w:rFonts w:ascii="宋体" w:hAnsi="宋体" w:eastAsia="宋体" w:cs="宋体"/>
          <w:spacing w:val="7"/>
          <w:sz w:val="17"/>
          <w:szCs w:val="17"/>
        </w:rPr>
        <w:t>邮政编码：650100</w:t>
      </w:r>
    </w:p>
    <w:p w14:paraId="407CCC03">
      <w:pPr>
        <w:spacing w:before="37" w:line="211" w:lineRule="auto"/>
        <w:ind w:left="30"/>
        <w:rPr>
          <w:rFonts w:ascii="宋体" w:hAnsi="宋体" w:eastAsia="宋体" w:cs="宋体"/>
          <w:sz w:val="17"/>
          <w:szCs w:val="17"/>
        </w:rPr>
      </w:pPr>
      <w:r>
        <w:rPr>
          <w:rFonts w:ascii="宋体" w:hAnsi="宋体" w:eastAsia="宋体" w:cs="宋体"/>
          <w:spacing w:val="14"/>
          <w:sz w:val="17"/>
          <w:szCs w:val="17"/>
        </w:rPr>
        <w:t>传真：(0871)68376929</w:t>
      </w:r>
    </w:p>
    <w:p w14:paraId="035E04DA">
      <w:pPr>
        <w:spacing w:line="211" w:lineRule="auto"/>
        <w:rPr>
          <w:rFonts w:ascii="宋体" w:hAnsi="宋体" w:eastAsia="宋体" w:cs="宋体"/>
          <w:sz w:val="17"/>
          <w:szCs w:val="17"/>
        </w:rPr>
        <w:sectPr>
          <w:type w:val="continuous"/>
          <w:pgSz w:w="11900" w:h="16830"/>
          <w:pgMar w:top="1430" w:right="1430" w:bottom="0" w:left="1785" w:header="0" w:footer="0" w:gutter="0"/>
          <w:cols w:equalWidth="0" w:num="2">
            <w:col w:w="6565" w:space="100"/>
            <w:col w:w="2021"/>
          </w:cols>
        </w:sectPr>
      </w:pPr>
    </w:p>
    <w:p w14:paraId="6B45D838">
      <w:pPr>
        <w:pStyle w:val="2"/>
        <w:spacing w:line="292" w:lineRule="auto"/>
      </w:pPr>
    </w:p>
    <w:p w14:paraId="1CC1F7BA">
      <w:pPr>
        <w:pStyle w:val="2"/>
        <w:spacing w:line="292" w:lineRule="auto"/>
      </w:pPr>
    </w:p>
    <w:p w14:paraId="7C0AD4BA">
      <w:pPr>
        <w:pStyle w:val="2"/>
        <w:spacing w:line="292" w:lineRule="auto"/>
      </w:pPr>
    </w:p>
    <w:p w14:paraId="6357630F">
      <w:pPr>
        <w:spacing w:before="104" w:line="222" w:lineRule="auto"/>
        <w:ind w:left="4154"/>
        <w:rPr>
          <w:rFonts w:ascii="黑体" w:hAnsi="黑体" w:eastAsia="黑体" w:cs="黑体"/>
          <w:sz w:val="32"/>
          <w:szCs w:val="32"/>
        </w:rPr>
      </w:pPr>
      <w:r>
        <w:rPr>
          <w:rFonts w:ascii="黑体" w:hAnsi="黑体" w:eastAsia="黑体" w:cs="黑体"/>
          <w:b/>
          <w:bCs/>
          <w:color w:val="405050"/>
          <w:spacing w:val="-12"/>
          <w:sz w:val="32"/>
          <w:szCs w:val="32"/>
        </w:rPr>
        <w:t>中国矿业权评估师协会</w:t>
      </w:r>
    </w:p>
    <w:p w14:paraId="66FEC83A">
      <w:pPr>
        <w:spacing w:before="262" w:line="219" w:lineRule="auto"/>
        <w:ind w:left="4004"/>
        <w:rPr>
          <w:rFonts w:ascii="黑体" w:hAnsi="黑体" w:eastAsia="黑体" w:cs="黑体"/>
          <w:sz w:val="32"/>
          <w:szCs w:val="32"/>
        </w:rPr>
      </w:pPr>
      <w:r>
        <w:rPr>
          <w:rFonts w:ascii="黑体" w:hAnsi="黑体" w:eastAsia="黑体" w:cs="黑体"/>
          <w:b/>
          <w:bCs/>
          <w:color w:val="405050"/>
          <w:spacing w:val="-11"/>
          <w:sz w:val="32"/>
          <w:szCs w:val="32"/>
        </w:rPr>
        <w:t>评估报告统一编码回执单</w:t>
      </w:r>
    </w:p>
    <w:p w14:paraId="0545A83F">
      <w:pPr>
        <w:pStyle w:val="2"/>
        <w:spacing w:line="383" w:lineRule="auto"/>
      </w:pPr>
    </w:p>
    <w:p w14:paraId="7C05D3DC">
      <w:pPr>
        <w:spacing w:line="3234" w:lineRule="exact"/>
        <w:ind w:firstLine="4110"/>
      </w:pPr>
      <w:r>
        <w:rPr>
          <w:position w:val="-64"/>
        </w:rPr>
        <w:drawing>
          <wp:inline distT="0" distB="0" distL="0" distR="0">
            <wp:extent cx="2044700" cy="205295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5"/>
                    <a:stretch>
                      <a:fillRect/>
                    </a:stretch>
                  </pic:blipFill>
                  <pic:spPr>
                    <a:xfrm>
                      <a:off x="0" y="0"/>
                      <a:ext cx="2044713" cy="2052999"/>
                    </a:xfrm>
                    <a:prstGeom prst="rect">
                      <a:avLst/>
                    </a:prstGeom>
                  </pic:spPr>
                </pic:pic>
              </a:graphicData>
            </a:graphic>
          </wp:inline>
        </w:drawing>
      </w:r>
    </w:p>
    <w:p w14:paraId="63B2B192">
      <w:pPr>
        <w:spacing w:line="214" w:lineRule="auto"/>
        <w:ind w:left="4150"/>
        <w:rPr>
          <w:rFonts w:ascii="黑体" w:hAnsi="黑体" w:eastAsia="黑体" w:cs="黑体"/>
          <w:sz w:val="19"/>
          <w:szCs w:val="19"/>
        </w:rPr>
      </w:pPr>
      <w:r>
        <w:rPr>
          <w:rFonts w:ascii="黑体" w:hAnsi="黑体" w:eastAsia="黑体" w:cs="黑体"/>
          <w:spacing w:val="2"/>
          <w:sz w:val="19"/>
          <w:szCs w:val="19"/>
        </w:rPr>
        <w:t>报告编码：5309620220201042347</w:t>
      </w:r>
    </w:p>
    <w:p w14:paraId="0F90DD3D">
      <w:pPr>
        <w:pStyle w:val="2"/>
        <w:spacing w:line="467" w:lineRule="auto"/>
      </w:pPr>
    </w:p>
    <w:p w14:paraId="4C4ACF14">
      <w:pPr>
        <w:spacing w:before="62" w:line="221" w:lineRule="auto"/>
        <w:ind w:left="3210"/>
        <w:rPr>
          <w:rFonts w:ascii="黑体" w:hAnsi="黑体" w:eastAsia="黑体" w:cs="黑体"/>
          <w:sz w:val="19"/>
          <w:szCs w:val="19"/>
        </w:rPr>
      </w:pPr>
      <w:r>
        <w:rPr>
          <w:rFonts w:ascii="黑体" w:hAnsi="黑体" w:eastAsia="黑体" w:cs="黑体"/>
          <w:sz w:val="19"/>
          <w:szCs w:val="19"/>
        </w:rPr>
        <w:t>评估委托方：</w:t>
      </w:r>
      <w:r>
        <w:rPr>
          <w:rFonts w:ascii="黑体" w:hAnsi="黑体" w:eastAsia="黑体" w:cs="黑体"/>
          <w:spacing w:val="36"/>
          <w:sz w:val="19"/>
          <w:szCs w:val="19"/>
        </w:rPr>
        <w:t xml:space="preserve">   </w:t>
      </w:r>
      <w:r>
        <w:rPr>
          <w:rFonts w:ascii="黑体" w:hAnsi="黑体" w:eastAsia="黑体" w:cs="黑体"/>
          <w:sz w:val="19"/>
          <w:szCs w:val="19"/>
        </w:rPr>
        <w:t>曲靖市自然资源和规划局</w:t>
      </w:r>
    </w:p>
    <w:p w14:paraId="65E06A36">
      <w:pPr>
        <w:spacing w:before="233" w:line="222" w:lineRule="auto"/>
        <w:ind w:left="3210"/>
        <w:rPr>
          <w:rFonts w:ascii="黑体" w:hAnsi="黑体" w:eastAsia="黑体" w:cs="黑体"/>
          <w:sz w:val="19"/>
          <w:szCs w:val="19"/>
        </w:rPr>
      </w:pPr>
      <w:r>
        <w:rPr>
          <w:rFonts w:ascii="黑体" w:hAnsi="黑体" w:eastAsia="黑体" w:cs="黑体"/>
          <w:spacing w:val="-4"/>
          <w:sz w:val="19"/>
          <w:szCs w:val="19"/>
        </w:rPr>
        <w:t>评估机构名称：   云南俊成矿业权评估有限公司</w:t>
      </w:r>
    </w:p>
    <w:p w14:paraId="592B166E">
      <w:pPr>
        <w:spacing w:before="251" w:line="221" w:lineRule="auto"/>
        <w:ind w:left="3210"/>
        <w:rPr>
          <w:rFonts w:ascii="黑体" w:hAnsi="黑体" w:eastAsia="黑体" w:cs="黑体"/>
          <w:sz w:val="19"/>
          <w:szCs w:val="19"/>
        </w:rPr>
      </w:pPr>
      <w:r>
        <w:drawing>
          <wp:anchor distT="0" distB="0" distL="0" distR="0" simplePos="0" relativeHeight="251661312" behindDoc="0" locked="0" layoutInCell="1" allowOverlap="1">
            <wp:simplePos x="0" y="0"/>
            <wp:positionH relativeFrom="column">
              <wp:posOffset>0</wp:posOffset>
            </wp:positionH>
            <wp:positionV relativeFrom="paragraph">
              <wp:posOffset>224790</wp:posOffset>
            </wp:positionV>
            <wp:extent cx="158750" cy="3111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36"/>
                    <a:stretch>
                      <a:fillRect/>
                    </a:stretch>
                  </pic:blipFill>
                  <pic:spPr>
                    <a:xfrm>
                      <a:off x="0" y="0"/>
                      <a:ext cx="158762" cy="311206"/>
                    </a:xfrm>
                    <a:prstGeom prst="rect">
                      <a:avLst/>
                    </a:prstGeom>
                  </pic:spPr>
                </pic:pic>
              </a:graphicData>
            </a:graphic>
          </wp:anchor>
        </w:drawing>
      </w:r>
      <w:r>
        <w:rPr>
          <w:rFonts w:ascii="黑体" w:hAnsi="黑体" w:eastAsia="黑体" w:cs="黑体"/>
          <w:spacing w:val="-4"/>
          <w:sz w:val="19"/>
          <w:szCs w:val="19"/>
        </w:rPr>
        <w:t>评估报告名称：   云南罗平锌电股份有限公司富乐铅锌矿采</w:t>
      </w:r>
    </w:p>
    <w:p w14:paraId="355E88F5">
      <w:pPr>
        <w:spacing w:before="13" w:line="222" w:lineRule="auto"/>
        <w:ind w:left="4789"/>
        <w:rPr>
          <w:rFonts w:ascii="黑体" w:hAnsi="黑体" w:eastAsia="黑体" w:cs="黑体"/>
          <w:sz w:val="19"/>
          <w:szCs w:val="19"/>
        </w:rPr>
      </w:pPr>
      <w:r>
        <w:rPr>
          <w:rFonts w:ascii="黑体" w:hAnsi="黑体" w:eastAsia="黑体" w:cs="黑体"/>
          <w:spacing w:val="-3"/>
          <w:sz w:val="19"/>
          <w:szCs w:val="19"/>
        </w:rPr>
        <w:t>矿权出让收益评估报告</w:t>
      </w:r>
    </w:p>
    <w:p w14:paraId="4F401325">
      <w:pPr>
        <w:spacing w:before="231" w:line="221" w:lineRule="auto"/>
        <w:ind w:left="3210"/>
        <w:rPr>
          <w:rFonts w:ascii="黑体" w:hAnsi="黑体" w:eastAsia="黑体" w:cs="黑体"/>
          <w:sz w:val="19"/>
          <w:szCs w:val="19"/>
        </w:rPr>
      </w:pPr>
      <w:r>
        <w:rPr>
          <w:rFonts w:ascii="黑体" w:hAnsi="黑体" w:eastAsia="黑体" w:cs="黑体"/>
          <w:spacing w:val="-2"/>
          <w:sz w:val="19"/>
          <w:szCs w:val="19"/>
        </w:rPr>
        <w:t>报告内部编号：</w:t>
      </w:r>
      <w:r>
        <w:rPr>
          <w:rFonts w:ascii="黑体" w:hAnsi="黑体" w:eastAsia="黑体" w:cs="黑体"/>
          <w:spacing w:val="50"/>
          <w:sz w:val="19"/>
          <w:szCs w:val="19"/>
        </w:rPr>
        <w:t xml:space="preserve">  </w:t>
      </w:r>
      <w:r>
        <w:rPr>
          <w:rFonts w:ascii="黑体" w:hAnsi="黑体" w:eastAsia="黑体" w:cs="黑体"/>
          <w:spacing w:val="-2"/>
          <w:sz w:val="19"/>
          <w:szCs w:val="19"/>
        </w:rPr>
        <w:t>俊成矿评报字[2022]第083号</w:t>
      </w:r>
    </w:p>
    <w:p w14:paraId="56115210">
      <w:pPr>
        <w:spacing w:before="233" w:line="236" w:lineRule="auto"/>
        <w:ind w:left="3210"/>
        <w:rPr>
          <w:rFonts w:ascii="黑体" w:hAnsi="黑体" w:eastAsia="黑体" w:cs="黑体"/>
          <w:sz w:val="19"/>
          <w:szCs w:val="19"/>
        </w:rPr>
      </w:pPr>
      <w:r>
        <w:rPr>
          <w:rFonts w:ascii="黑体" w:hAnsi="黑体" w:eastAsia="黑体" w:cs="黑体"/>
          <w:spacing w:val="-2"/>
          <w:position w:val="1"/>
          <w:sz w:val="19"/>
          <w:szCs w:val="19"/>
        </w:rPr>
        <w:t>评   估</w:t>
      </w:r>
      <w:r>
        <w:rPr>
          <w:rFonts w:ascii="黑体" w:hAnsi="黑体" w:eastAsia="黑体" w:cs="黑体"/>
          <w:spacing w:val="46"/>
          <w:position w:val="1"/>
          <w:sz w:val="19"/>
          <w:szCs w:val="19"/>
        </w:rPr>
        <w:t xml:space="preserve">  </w:t>
      </w:r>
      <w:r>
        <w:rPr>
          <w:rFonts w:ascii="黑体" w:hAnsi="黑体" w:eastAsia="黑体" w:cs="黑体"/>
          <w:spacing w:val="-2"/>
          <w:position w:val="1"/>
          <w:sz w:val="19"/>
          <w:szCs w:val="19"/>
        </w:rPr>
        <w:t xml:space="preserve">值：   </w:t>
      </w:r>
      <w:r>
        <w:rPr>
          <w:rFonts w:ascii="黑体" w:hAnsi="黑体" w:eastAsia="黑体" w:cs="黑体"/>
          <w:spacing w:val="-2"/>
          <w:sz w:val="19"/>
          <w:szCs w:val="19"/>
        </w:rPr>
        <w:t>308.10(万元)</w:t>
      </w:r>
    </w:p>
    <w:p w14:paraId="2F17DA86">
      <w:pPr>
        <w:spacing w:before="227" w:line="222" w:lineRule="auto"/>
        <w:ind w:left="3210"/>
        <w:rPr>
          <w:rFonts w:ascii="黑体" w:hAnsi="黑体" w:eastAsia="黑体" w:cs="黑体"/>
          <w:sz w:val="19"/>
          <w:szCs w:val="19"/>
        </w:rPr>
      </w:pPr>
      <w:r>
        <w:rPr>
          <w:rFonts w:ascii="黑体" w:hAnsi="黑体" w:eastAsia="黑体" w:cs="黑体"/>
          <w:spacing w:val="7"/>
          <w:sz w:val="19"/>
          <w:szCs w:val="19"/>
        </w:rPr>
        <w:t>报告签字人：</w:t>
      </w:r>
      <w:r>
        <w:rPr>
          <w:rFonts w:ascii="黑体" w:hAnsi="黑体" w:eastAsia="黑体" w:cs="黑体"/>
          <w:spacing w:val="3"/>
          <w:sz w:val="19"/>
          <w:szCs w:val="19"/>
        </w:rPr>
        <w:t xml:space="preserve">    </w:t>
      </w:r>
      <w:r>
        <w:rPr>
          <w:rFonts w:ascii="黑体" w:hAnsi="黑体" w:eastAsia="黑体" w:cs="黑体"/>
          <w:spacing w:val="7"/>
          <w:sz w:val="19"/>
          <w:szCs w:val="19"/>
        </w:rPr>
        <w:t>何文俊(矿业权评估师)</w:t>
      </w:r>
    </w:p>
    <w:p w14:paraId="51827456">
      <w:pPr>
        <w:spacing w:before="142" w:line="222" w:lineRule="auto"/>
        <w:ind w:left="4789"/>
        <w:rPr>
          <w:rFonts w:ascii="黑体" w:hAnsi="黑体" w:eastAsia="黑体" w:cs="黑体"/>
          <w:sz w:val="19"/>
          <w:szCs w:val="19"/>
        </w:rPr>
      </w:pPr>
      <w:r>
        <w:rPr>
          <w:rFonts w:ascii="黑体" w:hAnsi="黑体" w:eastAsia="黑体" w:cs="黑体"/>
          <w:spacing w:val="5"/>
          <w:sz w:val="19"/>
          <w:szCs w:val="19"/>
        </w:rPr>
        <w:t>李春林(矿业权评估师)</w:t>
      </w:r>
    </w:p>
    <w:p w14:paraId="4CA761DA">
      <w:pPr>
        <w:pStyle w:val="2"/>
        <w:spacing w:line="292" w:lineRule="auto"/>
      </w:pPr>
    </w:p>
    <w:p w14:paraId="4CEF0726">
      <w:pPr>
        <w:pStyle w:val="2"/>
        <w:spacing w:line="293" w:lineRule="auto"/>
      </w:pPr>
    </w:p>
    <w:p w14:paraId="51E23784">
      <w:pPr>
        <w:spacing w:before="62" w:line="221" w:lineRule="auto"/>
        <w:ind w:left="2230"/>
        <w:rPr>
          <w:rFonts w:ascii="黑体" w:hAnsi="黑体" w:eastAsia="黑体" w:cs="黑体"/>
          <w:sz w:val="19"/>
          <w:szCs w:val="19"/>
        </w:rPr>
      </w:pPr>
      <w:r>
        <w:rPr>
          <w:rFonts w:ascii="黑体" w:hAnsi="黑体" w:eastAsia="黑体" w:cs="黑体"/>
          <w:spacing w:val="-2"/>
          <w:sz w:val="19"/>
          <w:szCs w:val="19"/>
        </w:rPr>
        <w:t>说明：</w:t>
      </w:r>
    </w:p>
    <w:p w14:paraId="6221A61C">
      <w:pPr>
        <w:pStyle w:val="2"/>
        <w:spacing w:before="273" w:line="490" w:lineRule="auto"/>
        <w:ind w:left="2230" w:right="587"/>
        <w:rPr>
          <w:rFonts w:ascii="黑体" w:hAnsi="黑体" w:eastAsia="黑体" w:cs="黑体"/>
          <w:sz w:val="19"/>
          <w:szCs w:val="19"/>
        </w:rPr>
      </w:pPr>
      <w:r>
        <w:rPr>
          <w:spacing w:val="-4"/>
          <w:sz w:val="19"/>
          <w:szCs w:val="19"/>
        </w:rPr>
        <w:t>1</w:t>
      </w:r>
      <w:r>
        <w:rPr>
          <w:rFonts w:ascii="宋体" w:hAnsi="宋体" w:eastAsia="宋体" w:cs="宋体"/>
          <w:spacing w:val="-4"/>
          <w:sz w:val="19"/>
          <w:szCs w:val="19"/>
        </w:rPr>
        <w:t>、</w:t>
      </w:r>
      <w:r>
        <w:rPr>
          <w:rFonts w:ascii="黑体" w:hAnsi="黑体" w:eastAsia="黑体" w:cs="黑体"/>
          <w:spacing w:val="-4"/>
          <w:sz w:val="19"/>
          <w:szCs w:val="19"/>
        </w:rPr>
        <w:t>二维码及报告编码相关信息应与中国矿业权评估师协会评估报告</w:t>
      </w:r>
      <w:r>
        <w:rPr>
          <w:rFonts w:ascii="黑体" w:hAnsi="黑体" w:eastAsia="黑体" w:cs="黑体"/>
          <w:spacing w:val="-5"/>
          <w:sz w:val="19"/>
          <w:szCs w:val="19"/>
        </w:rPr>
        <w:t>统一编码管理系统</w:t>
      </w:r>
      <w:r>
        <w:rPr>
          <w:rFonts w:ascii="黑体" w:hAnsi="黑体" w:eastAsia="黑体" w:cs="黑体"/>
          <w:sz w:val="19"/>
          <w:szCs w:val="19"/>
        </w:rPr>
        <w:t xml:space="preserve"> </w:t>
      </w:r>
      <w:r>
        <w:rPr>
          <w:rFonts w:ascii="黑体" w:hAnsi="黑体" w:eastAsia="黑体" w:cs="黑体"/>
          <w:spacing w:val="-4"/>
          <w:sz w:val="19"/>
          <w:szCs w:val="19"/>
        </w:rPr>
        <w:t>内存档资料保持一致；</w:t>
      </w:r>
    </w:p>
    <w:p w14:paraId="7E0F4646">
      <w:pPr>
        <w:pStyle w:val="2"/>
        <w:spacing w:line="486" w:lineRule="auto"/>
        <w:ind w:left="2230" w:right="563"/>
        <w:rPr>
          <w:rFonts w:ascii="黑体" w:hAnsi="黑体" w:eastAsia="黑体" w:cs="黑体"/>
          <w:sz w:val="19"/>
          <w:szCs w:val="19"/>
        </w:rPr>
      </w:pPr>
      <w:r>
        <w:rPr>
          <w:spacing w:val="-4"/>
          <w:sz w:val="19"/>
          <w:szCs w:val="19"/>
        </w:rPr>
        <w:t>2</w:t>
      </w:r>
      <w:r>
        <w:rPr>
          <w:rFonts w:ascii="宋体" w:hAnsi="宋体" w:eastAsia="宋体" w:cs="宋体"/>
          <w:spacing w:val="-4"/>
          <w:sz w:val="19"/>
          <w:szCs w:val="19"/>
        </w:rPr>
        <w:t>、</w:t>
      </w:r>
      <w:r>
        <w:rPr>
          <w:rFonts w:ascii="黑体" w:hAnsi="黑体" w:eastAsia="黑体" w:cs="黑体"/>
          <w:spacing w:val="-4"/>
          <w:sz w:val="19"/>
          <w:szCs w:val="19"/>
        </w:rPr>
        <w:t>本评估报告统一编码回执单仅证明矿业权评估报告已在中国矿业权评估师协会评估</w:t>
      </w:r>
      <w:r>
        <w:rPr>
          <w:rFonts w:ascii="黑体" w:hAnsi="黑体" w:eastAsia="黑体" w:cs="黑体"/>
          <w:spacing w:val="16"/>
          <w:sz w:val="19"/>
          <w:szCs w:val="19"/>
        </w:rPr>
        <w:t xml:space="preserve"> </w:t>
      </w:r>
      <w:r>
        <w:rPr>
          <w:rFonts w:ascii="黑体" w:hAnsi="黑体" w:eastAsia="黑体" w:cs="黑体"/>
          <w:spacing w:val="-4"/>
          <w:sz w:val="19"/>
          <w:szCs w:val="19"/>
        </w:rPr>
        <w:t>报告统一编码管理系统进行了编码及存档，不能作为评估机构和签字评估师免除相关</w:t>
      </w:r>
    </w:p>
    <w:p w14:paraId="5ED862BA">
      <w:pPr>
        <w:spacing w:before="13" w:line="213" w:lineRule="auto"/>
        <w:ind w:left="2230"/>
        <w:rPr>
          <w:rFonts w:ascii="黑体" w:hAnsi="黑体" w:eastAsia="黑体" w:cs="黑体"/>
          <w:sz w:val="19"/>
          <w:szCs w:val="19"/>
        </w:rPr>
      </w:pPr>
      <w:r>
        <w:rPr>
          <w:rFonts w:ascii="黑体" w:hAnsi="黑体" w:eastAsia="黑体" w:cs="黑体"/>
          <w:spacing w:val="-5"/>
          <w:sz w:val="19"/>
          <w:szCs w:val="19"/>
        </w:rPr>
        <w:t>法律责任的依据；</w:t>
      </w:r>
    </w:p>
    <w:p w14:paraId="4218D377">
      <w:pPr>
        <w:pStyle w:val="2"/>
        <w:spacing w:before="256" w:line="259" w:lineRule="exact"/>
        <w:ind w:left="2230"/>
        <w:rPr>
          <w:rFonts w:ascii="黑体" w:hAnsi="黑体" w:eastAsia="黑体" w:cs="黑体"/>
          <w:sz w:val="19"/>
          <w:szCs w:val="19"/>
        </w:rPr>
      </w:pPr>
      <w:r>
        <w:rPr>
          <w:spacing w:val="-4"/>
          <w:position w:val="1"/>
          <w:sz w:val="19"/>
          <w:szCs w:val="19"/>
        </w:rPr>
        <w:t>3</w:t>
      </w:r>
      <w:r>
        <w:rPr>
          <w:rFonts w:ascii="宋体" w:hAnsi="宋体" w:eastAsia="宋体" w:cs="宋体"/>
          <w:spacing w:val="-4"/>
          <w:position w:val="1"/>
          <w:sz w:val="19"/>
          <w:szCs w:val="19"/>
        </w:rPr>
        <w:t>、</w:t>
      </w:r>
      <w:r>
        <w:rPr>
          <w:rFonts w:ascii="黑体" w:hAnsi="黑体" w:eastAsia="黑体" w:cs="黑体"/>
          <w:spacing w:val="-4"/>
          <w:position w:val="1"/>
          <w:sz w:val="19"/>
          <w:szCs w:val="19"/>
        </w:rPr>
        <w:t>在出具正式报告时，本评估报告统一编码回执单应列装在报告的封面</w:t>
      </w:r>
      <w:r>
        <w:rPr>
          <w:rFonts w:ascii="黑体" w:hAnsi="黑体" w:eastAsia="黑体" w:cs="黑体"/>
          <w:spacing w:val="-5"/>
          <w:position w:val="1"/>
          <w:sz w:val="19"/>
          <w:szCs w:val="19"/>
        </w:rPr>
        <w:t>或扉页位置。</w:t>
      </w:r>
    </w:p>
    <w:p w14:paraId="0F440E2C">
      <w:pPr>
        <w:spacing w:line="259" w:lineRule="exact"/>
        <w:rPr>
          <w:rFonts w:ascii="黑体" w:hAnsi="黑体" w:eastAsia="黑体" w:cs="黑体"/>
          <w:sz w:val="19"/>
          <w:szCs w:val="19"/>
        </w:rPr>
        <w:sectPr>
          <w:pgSz w:w="11900" w:h="16830"/>
          <w:pgMar w:top="1430" w:right="1785" w:bottom="0" w:left="319" w:header="0" w:footer="0" w:gutter="0"/>
          <w:cols w:space="720" w:num="1"/>
        </w:sectPr>
      </w:pPr>
    </w:p>
    <w:p w14:paraId="6E3A1F30">
      <w:pPr>
        <w:pStyle w:val="2"/>
        <w:spacing w:line="248" w:lineRule="auto"/>
      </w:pPr>
    </w:p>
    <w:p w14:paraId="7E750268">
      <w:pPr>
        <w:spacing w:before="107" w:line="219" w:lineRule="auto"/>
        <w:ind w:left="1675"/>
        <w:rPr>
          <w:rFonts w:ascii="宋体" w:hAnsi="宋体" w:eastAsia="宋体" w:cs="宋体"/>
          <w:sz w:val="33"/>
          <w:szCs w:val="33"/>
        </w:rPr>
      </w:pPr>
      <w:r>
        <w:rPr>
          <w:rFonts w:ascii="宋体" w:hAnsi="宋体" w:eastAsia="宋体" w:cs="宋体"/>
          <w:spacing w:val="-18"/>
          <w:sz w:val="33"/>
          <w:szCs w:val="33"/>
        </w:rPr>
        <w:t>云南罗平锌电股份有限公司富乐铅锌矿</w:t>
      </w:r>
    </w:p>
    <w:p w14:paraId="3780AFD1">
      <w:pPr>
        <w:spacing w:before="140" w:line="218" w:lineRule="auto"/>
        <w:ind w:left="2599"/>
        <w:rPr>
          <w:rFonts w:ascii="宋体" w:hAnsi="宋体" w:eastAsia="宋体" w:cs="宋体"/>
          <w:sz w:val="33"/>
          <w:szCs w:val="33"/>
        </w:rPr>
      </w:pPr>
      <w:r>
        <w:rPr>
          <w:rFonts w:ascii="宋体" w:hAnsi="宋体" w:eastAsia="宋体" w:cs="宋体"/>
          <w:b/>
          <w:bCs/>
          <w:spacing w:val="-21"/>
          <w:sz w:val="33"/>
          <w:szCs w:val="33"/>
        </w:rPr>
        <w:t>采矿权出让收益评估报告</w:t>
      </w:r>
    </w:p>
    <w:p w14:paraId="1CF348A7">
      <w:pPr>
        <w:spacing w:before="234" w:line="403" w:lineRule="auto"/>
        <w:ind w:left="4074" w:right="2875" w:hanging="1280"/>
        <w:rPr>
          <w:rFonts w:ascii="宋体" w:hAnsi="宋体" w:eastAsia="宋体" w:cs="宋体"/>
          <w:sz w:val="24"/>
          <w:szCs w:val="24"/>
        </w:rPr>
      </w:pPr>
      <w:r>
        <w:rPr>
          <w:rFonts w:ascii="宋体" w:hAnsi="宋体" w:eastAsia="宋体" w:cs="宋体"/>
          <w:spacing w:val="1"/>
          <w:sz w:val="24"/>
          <w:szCs w:val="24"/>
        </w:rPr>
        <w:t>俊成矿评报字[2022]第083号</w:t>
      </w:r>
      <w:r>
        <w:rPr>
          <w:rFonts w:ascii="宋体" w:hAnsi="宋体" w:eastAsia="宋体" w:cs="宋体"/>
          <w:spacing w:val="6"/>
          <w:sz w:val="24"/>
          <w:szCs w:val="24"/>
        </w:rPr>
        <w:t xml:space="preserve"> </w:t>
      </w:r>
      <w:r>
        <w:rPr>
          <w:rFonts w:ascii="宋体" w:hAnsi="宋体" w:eastAsia="宋体" w:cs="宋体"/>
          <w:spacing w:val="-3"/>
          <w:sz w:val="24"/>
          <w:szCs w:val="24"/>
        </w:rPr>
        <w:t>摘要</w:t>
      </w:r>
    </w:p>
    <w:p w14:paraId="336D92DB">
      <w:pPr>
        <w:spacing w:before="1" w:line="217" w:lineRule="auto"/>
        <w:ind w:left="595"/>
        <w:rPr>
          <w:rFonts w:ascii="宋体" w:hAnsi="宋体" w:eastAsia="宋体" w:cs="宋体"/>
          <w:sz w:val="24"/>
          <w:szCs w:val="24"/>
        </w:rPr>
      </w:pPr>
      <w:r>
        <w:rPr>
          <w:rFonts w:ascii="宋体" w:hAnsi="宋体" w:eastAsia="宋体" w:cs="宋体"/>
          <w:spacing w:val="-2"/>
          <w:sz w:val="24"/>
          <w:szCs w:val="24"/>
        </w:rPr>
        <w:t>评估对象：云南罗平锌电股份有限公司富乐铅锌矿采矿权。</w:t>
      </w:r>
    </w:p>
    <w:p w14:paraId="1613E0CE">
      <w:pPr>
        <w:spacing w:before="213" w:line="218" w:lineRule="auto"/>
        <w:ind w:left="598"/>
        <w:rPr>
          <w:rFonts w:ascii="宋体" w:hAnsi="宋体" w:eastAsia="宋体" w:cs="宋体"/>
          <w:sz w:val="24"/>
          <w:szCs w:val="24"/>
        </w:rPr>
      </w:pPr>
      <w:r>
        <w:rPr>
          <w:rFonts w:ascii="宋体" w:hAnsi="宋体" w:eastAsia="宋体" w:cs="宋体"/>
          <w:b/>
          <w:bCs/>
          <w:spacing w:val="-4"/>
          <w:sz w:val="24"/>
          <w:szCs w:val="24"/>
        </w:rPr>
        <w:t>评估委托方：</w:t>
      </w:r>
      <w:r>
        <w:rPr>
          <w:rFonts w:ascii="宋体" w:hAnsi="宋体" w:eastAsia="宋体" w:cs="宋体"/>
          <w:spacing w:val="-4"/>
          <w:sz w:val="24"/>
          <w:szCs w:val="24"/>
        </w:rPr>
        <w:t>曲靖市自然资源和规划局。</w:t>
      </w:r>
    </w:p>
    <w:p w14:paraId="6E40D6CD">
      <w:pPr>
        <w:spacing w:before="222" w:line="219" w:lineRule="auto"/>
        <w:ind w:left="595"/>
        <w:rPr>
          <w:rFonts w:ascii="宋体" w:hAnsi="宋体" w:eastAsia="宋体" w:cs="宋体"/>
          <w:sz w:val="24"/>
          <w:szCs w:val="24"/>
        </w:rPr>
      </w:pPr>
      <w:r>
        <w:rPr>
          <w:rFonts w:ascii="宋体" w:hAnsi="宋体" w:eastAsia="宋体" w:cs="宋体"/>
          <w:spacing w:val="-2"/>
          <w:sz w:val="24"/>
          <w:szCs w:val="24"/>
        </w:rPr>
        <w:t>矿业权人：云南罗平锌电股份有限公司。</w:t>
      </w:r>
    </w:p>
    <w:p w14:paraId="35C2D6E4">
      <w:pPr>
        <w:spacing w:before="213" w:line="218" w:lineRule="auto"/>
        <w:ind w:left="595"/>
        <w:rPr>
          <w:rFonts w:ascii="宋体" w:hAnsi="宋体" w:eastAsia="宋体" w:cs="宋体"/>
          <w:sz w:val="24"/>
          <w:szCs w:val="24"/>
        </w:rPr>
      </w:pPr>
      <w:r>
        <w:rPr>
          <w:rFonts w:ascii="宋体" w:hAnsi="宋体" w:eastAsia="宋体" w:cs="宋体"/>
          <w:spacing w:val="-1"/>
          <w:sz w:val="24"/>
          <w:szCs w:val="24"/>
        </w:rPr>
        <w:t>评估机构：云南俊成矿业权评估有限公司。</w:t>
      </w:r>
    </w:p>
    <w:p w14:paraId="3CF47364">
      <w:pPr>
        <w:spacing w:before="223" w:line="385" w:lineRule="auto"/>
        <w:ind w:left="84" w:right="104" w:firstLine="510"/>
        <w:jc w:val="both"/>
        <w:rPr>
          <w:rFonts w:ascii="宋体" w:hAnsi="宋体" w:eastAsia="宋体" w:cs="宋体"/>
          <w:sz w:val="24"/>
          <w:szCs w:val="24"/>
        </w:rPr>
      </w:pPr>
      <w:r>
        <w:rPr>
          <w:rFonts w:ascii="宋体" w:hAnsi="宋体" w:eastAsia="宋体" w:cs="宋体"/>
          <w:spacing w:val="2"/>
          <w:sz w:val="24"/>
          <w:szCs w:val="24"/>
        </w:rPr>
        <w:t>评估目的：云南罗平锌电股份有限公司拟向曲靖市自然资源和规划局申请处</w:t>
      </w:r>
      <w:r>
        <w:rPr>
          <w:rFonts w:ascii="宋体" w:hAnsi="宋体" w:eastAsia="宋体" w:cs="宋体"/>
          <w:spacing w:val="3"/>
          <w:sz w:val="24"/>
          <w:szCs w:val="24"/>
        </w:rPr>
        <w:t xml:space="preserve"> </w:t>
      </w:r>
      <w:r>
        <w:rPr>
          <w:rFonts w:ascii="宋体" w:hAnsi="宋体" w:eastAsia="宋体" w:cs="宋体"/>
          <w:spacing w:val="2"/>
          <w:sz w:val="24"/>
          <w:szCs w:val="24"/>
        </w:rPr>
        <w:t>置“云南罗平锌电股份有限公司富乐铅锌矿采矿权”出让收益。根据《财政部国</w:t>
      </w:r>
      <w:r>
        <w:rPr>
          <w:rFonts w:ascii="宋体" w:hAnsi="宋体" w:eastAsia="宋体" w:cs="宋体"/>
          <w:spacing w:val="3"/>
          <w:sz w:val="24"/>
          <w:szCs w:val="24"/>
        </w:rPr>
        <w:t xml:space="preserve"> </w:t>
      </w:r>
      <w:r>
        <w:rPr>
          <w:rFonts w:ascii="宋体" w:hAnsi="宋体" w:eastAsia="宋体" w:cs="宋体"/>
          <w:spacing w:val="6"/>
          <w:sz w:val="24"/>
          <w:szCs w:val="24"/>
        </w:rPr>
        <w:t>土资源部关于印发&lt;矿业权出让收益征收管理暂行办法</w:t>
      </w:r>
      <w:r>
        <w:rPr>
          <w:rFonts w:ascii="宋体" w:hAnsi="宋体" w:eastAsia="宋体" w:cs="宋体"/>
          <w:spacing w:val="5"/>
          <w:sz w:val="24"/>
          <w:szCs w:val="24"/>
        </w:rPr>
        <w:t>&gt;的通知》(财综[2017]35</w:t>
      </w:r>
      <w:r>
        <w:rPr>
          <w:rFonts w:ascii="宋体" w:hAnsi="宋体" w:eastAsia="宋体" w:cs="宋体"/>
          <w:sz w:val="24"/>
          <w:szCs w:val="24"/>
        </w:rPr>
        <w:t xml:space="preserve"> </w:t>
      </w:r>
      <w:r>
        <w:rPr>
          <w:rFonts w:ascii="宋体" w:hAnsi="宋体" w:eastAsia="宋体" w:cs="宋体"/>
          <w:spacing w:val="2"/>
          <w:sz w:val="24"/>
          <w:szCs w:val="24"/>
        </w:rPr>
        <w:t>号),需要对“云南罗平锌电股份有限公司富乐铅锌矿采矿权”进行评估，本次评</w:t>
      </w:r>
      <w:r>
        <w:rPr>
          <w:rFonts w:ascii="宋体" w:hAnsi="宋体" w:eastAsia="宋体" w:cs="宋体"/>
          <w:spacing w:val="6"/>
          <w:sz w:val="24"/>
          <w:szCs w:val="24"/>
        </w:rPr>
        <w:t xml:space="preserve"> </w:t>
      </w:r>
      <w:r>
        <w:rPr>
          <w:rFonts w:ascii="宋体" w:hAnsi="宋体" w:eastAsia="宋体" w:cs="宋体"/>
          <w:spacing w:val="3"/>
          <w:sz w:val="24"/>
          <w:szCs w:val="24"/>
        </w:rPr>
        <w:t>估即为实现上述目的而提供“云南罗平锌电股份有限公司富乐铅锌矿采矿</w:t>
      </w:r>
      <w:r>
        <w:rPr>
          <w:rFonts w:ascii="宋体" w:hAnsi="宋体" w:eastAsia="宋体" w:cs="宋体"/>
          <w:spacing w:val="2"/>
          <w:sz w:val="24"/>
          <w:szCs w:val="24"/>
        </w:rPr>
        <w:t>权”在</w:t>
      </w:r>
      <w:r>
        <w:rPr>
          <w:rFonts w:ascii="宋体" w:hAnsi="宋体" w:eastAsia="宋体" w:cs="宋体"/>
          <w:sz w:val="24"/>
          <w:szCs w:val="24"/>
        </w:rPr>
        <w:t xml:space="preserve"> </w:t>
      </w:r>
      <w:r>
        <w:rPr>
          <w:rFonts w:ascii="宋体" w:hAnsi="宋体" w:eastAsia="宋体" w:cs="宋体"/>
          <w:spacing w:val="-1"/>
          <w:sz w:val="24"/>
          <w:szCs w:val="24"/>
        </w:rPr>
        <w:t>本评估报告中所述各种条件下和评估基准日时点上采</w:t>
      </w:r>
      <w:r>
        <w:rPr>
          <w:rFonts w:ascii="宋体" w:hAnsi="宋体" w:eastAsia="宋体" w:cs="宋体"/>
          <w:spacing w:val="-2"/>
          <w:sz w:val="24"/>
          <w:szCs w:val="24"/>
        </w:rPr>
        <w:t>矿权出让收益参考意见。</w:t>
      </w:r>
    </w:p>
    <w:p w14:paraId="0CB62BE0">
      <w:pPr>
        <w:spacing w:before="1" w:line="217" w:lineRule="auto"/>
        <w:ind w:left="595"/>
        <w:rPr>
          <w:rFonts w:ascii="宋体" w:hAnsi="宋体" w:eastAsia="宋体" w:cs="宋体"/>
          <w:sz w:val="24"/>
          <w:szCs w:val="24"/>
        </w:rPr>
      </w:pPr>
      <w:r>
        <w:rPr>
          <w:rFonts w:ascii="宋体" w:hAnsi="宋体" w:eastAsia="宋体" w:cs="宋体"/>
          <w:spacing w:val="14"/>
          <w:sz w:val="24"/>
          <w:szCs w:val="24"/>
        </w:rPr>
        <w:t>评估基准日：2022年9月30日。</w:t>
      </w:r>
    </w:p>
    <w:p w14:paraId="5D1DF64E">
      <w:pPr>
        <w:spacing w:before="207" w:line="218" w:lineRule="auto"/>
        <w:ind w:left="595"/>
        <w:rPr>
          <w:rFonts w:ascii="宋体" w:hAnsi="宋体" w:eastAsia="宋体" w:cs="宋体"/>
          <w:sz w:val="24"/>
          <w:szCs w:val="24"/>
        </w:rPr>
      </w:pPr>
      <w:r>
        <w:rPr>
          <w:rFonts w:ascii="宋体" w:hAnsi="宋体" w:eastAsia="宋体" w:cs="宋体"/>
          <w:spacing w:val="-4"/>
          <w:sz w:val="24"/>
          <w:szCs w:val="24"/>
        </w:rPr>
        <w:t>评估方法：折现现金流量法。</w:t>
      </w:r>
    </w:p>
    <w:p w14:paraId="083EE3D8">
      <w:pPr>
        <w:spacing w:before="192" w:line="389" w:lineRule="auto"/>
        <w:ind w:left="84" w:right="70" w:firstLine="510"/>
        <w:rPr>
          <w:rFonts w:ascii="宋体" w:hAnsi="宋体" w:eastAsia="宋体" w:cs="宋体"/>
          <w:sz w:val="24"/>
          <w:szCs w:val="24"/>
        </w:rPr>
      </w:pPr>
      <w:r>
        <w:rPr>
          <w:rFonts w:ascii="宋体" w:hAnsi="宋体" w:eastAsia="宋体" w:cs="宋体"/>
          <w:spacing w:val="-2"/>
          <w:sz w:val="24"/>
          <w:szCs w:val="24"/>
        </w:rPr>
        <w:t>评估主要参数：评估范围为采矿许可证(证号：</w:t>
      </w:r>
      <w:r>
        <w:rPr>
          <w:rFonts w:ascii="Times New Roman" w:hAnsi="Times New Roman" w:eastAsia="Times New Roman" w:cs="Times New Roman"/>
          <w:spacing w:val="-2"/>
          <w:sz w:val="24"/>
          <w:szCs w:val="24"/>
        </w:rPr>
        <w:t>C5300002010123240111524)</w:t>
      </w:r>
      <w:r>
        <w:rPr>
          <w:rFonts w:ascii="Times New Roman" w:hAnsi="Times New Roman" w:eastAsia="Times New Roman" w:cs="Times New Roman"/>
          <w:spacing w:val="20"/>
          <w:w w:val="101"/>
          <w:sz w:val="24"/>
          <w:szCs w:val="24"/>
        </w:rPr>
        <w:t xml:space="preserve"> </w:t>
      </w:r>
      <w:r>
        <w:rPr>
          <w:rFonts w:ascii="宋体" w:hAnsi="宋体" w:eastAsia="宋体" w:cs="宋体"/>
          <w:spacing w:val="-2"/>
          <w:sz w:val="24"/>
          <w:szCs w:val="24"/>
        </w:rPr>
        <w:t>载</w:t>
      </w:r>
      <w:r>
        <w:rPr>
          <w:rFonts w:ascii="宋体" w:hAnsi="宋体" w:eastAsia="宋体" w:cs="宋体"/>
          <w:sz w:val="24"/>
          <w:szCs w:val="24"/>
        </w:rPr>
        <w:t xml:space="preserve"> </w:t>
      </w:r>
      <w:r>
        <w:rPr>
          <w:rFonts w:ascii="宋体" w:hAnsi="宋体" w:eastAsia="宋体" w:cs="宋体"/>
          <w:spacing w:val="-2"/>
          <w:sz w:val="24"/>
          <w:szCs w:val="24"/>
        </w:rPr>
        <w:t>明矿区范围，矿区面积3.571</w:t>
      </w:r>
      <w:r>
        <w:rPr>
          <w:rFonts w:ascii="Times New Roman" w:hAnsi="Times New Roman" w:eastAsia="Times New Roman" w:cs="Times New Roman"/>
          <w:spacing w:val="-2"/>
          <w:sz w:val="24"/>
          <w:szCs w:val="24"/>
        </w:rPr>
        <w:t xml:space="preserve">km², </w:t>
      </w:r>
      <w:r>
        <w:rPr>
          <w:rFonts w:ascii="宋体" w:hAnsi="宋体" w:eastAsia="宋体" w:cs="宋体"/>
          <w:spacing w:val="-2"/>
          <w:sz w:val="24"/>
          <w:szCs w:val="24"/>
        </w:rPr>
        <w:t>开采深度：1881</w:t>
      </w:r>
      <w:r>
        <w:rPr>
          <w:rFonts w:ascii="Times New Roman" w:hAnsi="Times New Roman" w:eastAsia="Times New Roman" w:cs="Times New Roman"/>
          <w:spacing w:val="-2"/>
          <w:sz w:val="24"/>
          <w:szCs w:val="24"/>
        </w:rPr>
        <w:t>m</w:t>
      </w:r>
      <w:r>
        <w:rPr>
          <w:rFonts w:ascii="宋体" w:hAnsi="宋体" w:eastAsia="宋体" w:cs="宋体"/>
          <w:spacing w:val="-2"/>
          <w:sz w:val="24"/>
          <w:szCs w:val="24"/>
        </w:rPr>
        <w:t>～</w:t>
      </w:r>
      <w:r>
        <w:rPr>
          <w:rFonts w:ascii="Times New Roman" w:hAnsi="Times New Roman" w:eastAsia="Times New Roman" w:cs="Times New Roman"/>
          <w:spacing w:val="-2"/>
          <w:sz w:val="24"/>
          <w:szCs w:val="24"/>
        </w:rPr>
        <w:t>1490m</w:t>
      </w:r>
      <w:r>
        <w:rPr>
          <w:rFonts w:ascii="宋体" w:hAnsi="宋体" w:eastAsia="宋体" w:cs="宋体"/>
          <w:spacing w:val="-2"/>
          <w:sz w:val="24"/>
          <w:szCs w:val="24"/>
        </w:rPr>
        <w:t>。</w:t>
      </w:r>
    </w:p>
    <w:p w14:paraId="0517DCFD">
      <w:pPr>
        <w:spacing w:before="24" w:line="381" w:lineRule="auto"/>
        <w:ind w:left="84" w:right="79" w:firstLine="510"/>
        <w:jc w:val="both"/>
        <w:rPr>
          <w:rFonts w:ascii="宋体" w:hAnsi="宋体" w:eastAsia="宋体" w:cs="宋体"/>
          <w:sz w:val="24"/>
          <w:szCs w:val="24"/>
        </w:rPr>
      </w:pPr>
      <w:r>
        <w:rPr>
          <w:rFonts w:ascii="宋体" w:hAnsi="宋体" w:eastAsia="宋体" w:cs="宋体"/>
          <w:spacing w:val="17"/>
          <w:sz w:val="24"/>
          <w:szCs w:val="24"/>
        </w:rPr>
        <w:t>截止储量核实基准日(2021年9月30</w:t>
      </w:r>
      <w:r>
        <w:rPr>
          <w:rFonts w:ascii="宋体" w:hAnsi="宋体" w:eastAsia="宋体" w:cs="宋体"/>
          <w:spacing w:val="16"/>
          <w:sz w:val="24"/>
          <w:szCs w:val="24"/>
        </w:rPr>
        <w:t>日),采矿权范围内保有</w:t>
      </w:r>
      <w:r>
        <w:rPr>
          <w:rFonts w:ascii="宋体" w:hAnsi="宋体" w:eastAsia="宋体" w:cs="宋体"/>
          <w:sz w:val="24"/>
          <w:szCs w:val="24"/>
        </w:rPr>
        <w:t>TM</w:t>
      </w:r>
      <w:r>
        <w:rPr>
          <w:rFonts w:ascii="宋体" w:hAnsi="宋体" w:eastAsia="宋体" w:cs="宋体"/>
          <w:spacing w:val="16"/>
          <w:sz w:val="24"/>
          <w:szCs w:val="24"/>
        </w:rPr>
        <w:t>+</w:t>
      </w:r>
      <w:r>
        <w:rPr>
          <w:rFonts w:ascii="宋体" w:hAnsi="宋体" w:eastAsia="宋体" w:cs="宋体"/>
          <w:sz w:val="24"/>
          <w:szCs w:val="24"/>
        </w:rPr>
        <w:t>KZ</w:t>
      </w:r>
      <w:r>
        <w:rPr>
          <w:rFonts w:ascii="宋体" w:hAnsi="宋体" w:eastAsia="宋体" w:cs="宋体"/>
          <w:spacing w:val="16"/>
          <w:sz w:val="24"/>
          <w:szCs w:val="24"/>
        </w:rPr>
        <w:t>+</w:t>
      </w:r>
      <w:r>
        <w:rPr>
          <w:rFonts w:ascii="宋体" w:hAnsi="宋体" w:eastAsia="宋体" w:cs="宋体"/>
          <w:sz w:val="24"/>
          <w:szCs w:val="24"/>
        </w:rPr>
        <w:t>TD</w:t>
      </w:r>
      <w:r>
        <w:rPr>
          <w:rFonts w:ascii="宋体" w:hAnsi="宋体" w:eastAsia="宋体" w:cs="宋体"/>
          <w:spacing w:val="16"/>
          <w:sz w:val="24"/>
          <w:szCs w:val="24"/>
        </w:rPr>
        <w:t xml:space="preserve">  类</w:t>
      </w:r>
      <w:r>
        <w:rPr>
          <w:rFonts w:ascii="宋体" w:hAnsi="宋体" w:eastAsia="宋体" w:cs="宋体"/>
          <w:sz w:val="24"/>
          <w:szCs w:val="24"/>
        </w:rPr>
        <w:t xml:space="preserve"> </w:t>
      </w:r>
      <w:r>
        <w:rPr>
          <w:rFonts w:ascii="宋体" w:hAnsi="宋体" w:eastAsia="宋体" w:cs="宋体"/>
          <w:spacing w:val="11"/>
          <w:sz w:val="24"/>
          <w:szCs w:val="24"/>
        </w:rPr>
        <w:t>锌矿石量140.31万吨，锌金属量60957吨，锌平均</w:t>
      </w:r>
      <w:r>
        <w:rPr>
          <w:rFonts w:ascii="宋体" w:hAnsi="宋体" w:eastAsia="宋体" w:cs="宋体"/>
          <w:spacing w:val="10"/>
          <w:sz w:val="24"/>
          <w:szCs w:val="24"/>
        </w:rPr>
        <w:t>品位4.34%;保有</w:t>
      </w:r>
      <w:r>
        <w:rPr>
          <w:rFonts w:ascii="Times New Roman" w:hAnsi="Times New Roman" w:eastAsia="Times New Roman" w:cs="Times New Roman"/>
          <w:sz w:val="24"/>
          <w:szCs w:val="24"/>
        </w:rPr>
        <w:t>TM</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 xml:space="preserve">TD </w:t>
      </w:r>
      <w:r>
        <w:rPr>
          <w:rFonts w:ascii="宋体" w:hAnsi="宋体" w:eastAsia="宋体" w:cs="宋体"/>
          <w:spacing w:val="10"/>
          <w:sz w:val="24"/>
          <w:szCs w:val="24"/>
        </w:rPr>
        <w:t>类伴生铅矿石量76.11万吨，铅金属量6015吨，铅平均品位0.79%;保有</w:t>
      </w:r>
      <w:r>
        <w:rPr>
          <w:rFonts w:ascii="Times New Roman" w:hAnsi="Times New Roman" w:eastAsia="Times New Roman" w:cs="Times New Roman"/>
          <w:sz w:val="24"/>
          <w:szCs w:val="24"/>
        </w:rPr>
        <w:t>TM</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 xml:space="preserve">KZ </w:t>
      </w:r>
      <w:r>
        <w:rPr>
          <w:rFonts w:ascii="宋体" w:hAnsi="宋体" w:eastAsia="宋体" w:cs="宋体"/>
          <w:spacing w:val="6"/>
          <w:sz w:val="24"/>
          <w:szCs w:val="24"/>
        </w:rPr>
        <w:t>十</w:t>
      </w:r>
      <w:r>
        <w:rPr>
          <w:rFonts w:ascii="Times New Roman" w:hAnsi="Times New Roman" w:eastAsia="Times New Roman" w:cs="Times New Roman"/>
          <w:sz w:val="24"/>
          <w:szCs w:val="24"/>
        </w:rPr>
        <w:t>TD</w:t>
      </w:r>
      <w:r>
        <w:rPr>
          <w:rFonts w:ascii="Times New Roman" w:hAnsi="Times New Roman" w:eastAsia="Times New Roman" w:cs="Times New Roman"/>
          <w:spacing w:val="-18"/>
          <w:sz w:val="24"/>
          <w:szCs w:val="24"/>
        </w:rPr>
        <w:t xml:space="preserve"> </w:t>
      </w:r>
      <w:r>
        <w:rPr>
          <w:rFonts w:ascii="宋体" w:hAnsi="宋体" w:eastAsia="宋体" w:cs="宋体"/>
          <w:spacing w:val="6"/>
          <w:sz w:val="24"/>
          <w:szCs w:val="24"/>
        </w:rPr>
        <w:t>类伴生镉矿石量140.31万吨，镉金属量1888吨，镉平均品位0.135%。</w:t>
      </w:r>
    </w:p>
    <w:p w14:paraId="71FE334F">
      <w:pPr>
        <w:spacing w:before="5" w:line="386" w:lineRule="auto"/>
        <w:ind w:left="84" w:firstLine="510"/>
        <w:jc w:val="both"/>
        <w:rPr>
          <w:rFonts w:ascii="宋体" w:hAnsi="宋体" w:eastAsia="宋体" w:cs="宋体"/>
          <w:sz w:val="24"/>
          <w:szCs w:val="24"/>
        </w:rPr>
      </w:pPr>
      <w:r>
        <w:rPr>
          <w:rFonts w:ascii="宋体" w:hAnsi="宋体" w:eastAsia="宋体" w:cs="宋体"/>
          <w:spacing w:val="11"/>
          <w:sz w:val="24"/>
          <w:szCs w:val="24"/>
        </w:rPr>
        <w:t>评估利用资源储量(可信度系数调整)10</w:t>
      </w:r>
      <w:r>
        <w:rPr>
          <w:rFonts w:ascii="宋体" w:hAnsi="宋体" w:eastAsia="宋体" w:cs="宋体"/>
          <w:spacing w:val="10"/>
          <w:sz w:val="24"/>
          <w:szCs w:val="24"/>
        </w:rPr>
        <w:t>7.17万吨，锌金属量47595.40吨，</w:t>
      </w:r>
      <w:r>
        <w:rPr>
          <w:rFonts w:ascii="宋体" w:hAnsi="宋体" w:eastAsia="宋体" w:cs="宋体"/>
          <w:sz w:val="24"/>
          <w:szCs w:val="24"/>
        </w:rPr>
        <w:t xml:space="preserve"> </w:t>
      </w:r>
      <w:r>
        <w:rPr>
          <w:rFonts w:ascii="宋体" w:hAnsi="宋体" w:eastAsia="宋体" w:cs="宋体"/>
          <w:spacing w:val="12"/>
          <w:sz w:val="24"/>
          <w:szCs w:val="24"/>
        </w:rPr>
        <w:t>锌平均品位4.44%;伴生铅金属量4564.20吨，铅平均品位0.77</w:t>
      </w:r>
      <w:r>
        <w:rPr>
          <w:rFonts w:ascii="宋体" w:hAnsi="宋体" w:eastAsia="宋体" w:cs="宋体"/>
          <w:spacing w:val="11"/>
          <w:sz w:val="24"/>
          <w:szCs w:val="24"/>
        </w:rPr>
        <w:t>%;伴生镉金属量</w:t>
      </w:r>
      <w:r>
        <w:rPr>
          <w:rFonts w:ascii="宋体" w:hAnsi="宋体" w:eastAsia="宋体" w:cs="宋体"/>
          <w:sz w:val="24"/>
          <w:szCs w:val="24"/>
        </w:rPr>
        <w:t xml:space="preserve"> </w:t>
      </w:r>
      <w:r>
        <w:rPr>
          <w:rFonts w:ascii="宋体" w:hAnsi="宋体" w:eastAsia="宋体" w:cs="宋体"/>
          <w:spacing w:val="12"/>
          <w:sz w:val="24"/>
          <w:szCs w:val="24"/>
        </w:rPr>
        <w:t>1368.40吨，镉平均品位0.128%。设计损失</w:t>
      </w:r>
      <w:r>
        <w:rPr>
          <w:rFonts w:ascii="宋体" w:hAnsi="宋体" w:eastAsia="宋体" w:cs="宋体"/>
          <w:spacing w:val="11"/>
          <w:sz w:val="24"/>
          <w:szCs w:val="24"/>
        </w:rPr>
        <w:t>量(锌、伴生镉)5.31万吨，设计损</w:t>
      </w:r>
      <w:r>
        <w:rPr>
          <w:rFonts w:ascii="宋体" w:hAnsi="宋体" w:eastAsia="宋体" w:cs="宋体"/>
          <w:sz w:val="24"/>
          <w:szCs w:val="24"/>
        </w:rPr>
        <w:t xml:space="preserve"> </w:t>
      </w:r>
      <w:r>
        <w:rPr>
          <w:rFonts w:ascii="宋体" w:hAnsi="宋体" w:eastAsia="宋体" w:cs="宋体"/>
          <w:spacing w:val="16"/>
          <w:sz w:val="24"/>
          <w:szCs w:val="24"/>
        </w:rPr>
        <w:t>失量(伴生铅)2.69万吨；开采方式为地下开采，综合采矿回采率85%,评估可</w:t>
      </w:r>
      <w:r>
        <w:rPr>
          <w:rFonts w:ascii="宋体" w:hAnsi="宋体" w:eastAsia="宋体" w:cs="宋体"/>
          <w:spacing w:val="1"/>
          <w:sz w:val="24"/>
          <w:szCs w:val="24"/>
        </w:rPr>
        <w:t xml:space="preserve"> </w:t>
      </w:r>
      <w:r>
        <w:rPr>
          <w:rFonts w:ascii="宋体" w:hAnsi="宋体" w:eastAsia="宋体" w:cs="宋体"/>
          <w:spacing w:val="15"/>
          <w:sz w:val="24"/>
          <w:szCs w:val="24"/>
        </w:rPr>
        <w:t>采储量(锌、伴生镉)86.58万吨，可采储量(伴生铅)59.54万吨；矿石贫化率</w:t>
      </w:r>
    </w:p>
    <w:p w14:paraId="04B5BFC2">
      <w:pPr>
        <w:spacing w:line="386" w:lineRule="auto"/>
        <w:rPr>
          <w:rFonts w:ascii="宋体" w:hAnsi="宋体" w:eastAsia="宋体" w:cs="宋体"/>
          <w:sz w:val="24"/>
          <w:szCs w:val="24"/>
        </w:rPr>
        <w:sectPr>
          <w:headerReference r:id="rId5" w:type="default"/>
          <w:footerReference r:id="rId6" w:type="default"/>
          <w:pgSz w:w="11900" w:h="16830"/>
          <w:pgMar w:top="1207" w:right="1419" w:bottom="1319" w:left="1785" w:header="930" w:footer="988" w:gutter="0"/>
          <w:cols w:space="720" w:num="1"/>
        </w:sectPr>
      </w:pPr>
    </w:p>
    <w:p w14:paraId="7CBDC174">
      <w:pPr>
        <w:pStyle w:val="2"/>
        <w:spacing w:line="402" w:lineRule="auto"/>
      </w:pPr>
    </w:p>
    <w:p w14:paraId="0E09C906">
      <w:pPr>
        <w:spacing w:before="78" w:line="384" w:lineRule="auto"/>
        <w:ind w:left="84" w:right="45"/>
        <w:rPr>
          <w:rFonts w:ascii="宋体" w:hAnsi="宋体" w:eastAsia="宋体" w:cs="宋体"/>
          <w:sz w:val="24"/>
          <w:szCs w:val="24"/>
        </w:rPr>
      </w:pPr>
      <w:r>
        <w:rPr>
          <w:rFonts w:ascii="宋体" w:hAnsi="宋体" w:eastAsia="宋体" w:cs="宋体"/>
          <w:spacing w:val="19"/>
          <w:sz w:val="24"/>
          <w:szCs w:val="24"/>
        </w:rPr>
        <w:t>12.00%;生产规模(锌、伴生镉)为10万吨/年</w:t>
      </w:r>
      <w:r>
        <w:rPr>
          <w:rFonts w:ascii="宋体" w:hAnsi="宋体" w:eastAsia="宋体" w:cs="宋体"/>
          <w:spacing w:val="18"/>
          <w:sz w:val="24"/>
          <w:szCs w:val="24"/>
        </w:rPr>
        <w:t>，生产规模(伴生铅)为6.88万</w:t>
      </w:r>
      <w:r>
        <w:rPr>
          <w:rFonts w:ascii="宋体" w:hAnsi="宋体" w:eastAsia="宋体" w:cs="宋体"/>
          <w:sz w:val="24"/>
          <w:szCs w:val="24"/>
        </w:rPr>
        <w:t xml:space="preserve">  </w:t>
      </w:r>
      <w:r>
        <w:rPr>
          <w:rFonts w:ascii="宋体" w:hAnsi="宋体" w:eastAsia="宋体" w:cs="宋体"/>
          <w:spacing w:val="7"/>
          <w:sz w:val="24"/>
          <w:szCs w:val="24"/>
        </w:rPr>
        <w:t>吨/年，矿山服务年限9.84年，评估计算年限为</w:t>
      </w:r>
      <w:r>
        <w:rPr>
          <w:rFonts w:ascii="宋体" w:hAnsi="宋体" w:eastAsia="宋体" w:cs="宋体"/>
          <w:spacing w:val="6"/>
          <w:sz w:val="24"/>
          <w:szCs w:val="24"/>
        </w:rPr>
        <w:t>10.09年(其中：基建期3个月)。</w:t>
      </w:r>
    </w:p>
    <w:p w14:paraId="57F2F2FD">
      <w:pPr>
        <w:spacing w:before="6" w:line="370" w:lineRule="auto"/>
        <w:ind w:left="84" w:right="110" w:firstLine="500"/>
        <w:jc w:val="both"/>
        <w:rPr>
          <w:rFonts w:ascii="宋体" w:hAnsi="宋体" w:eastAsia="宋体" w:cs="宋体"/>
          <w:sz w:val="25"/>
          <w:szCs w:val="25"/>
        </w:rPr>
      </w:pPr>
      <w:r>
        <w:rPr>
          <w:rFonts w:ascii="宋体" w:hAnsi="宋体" w:eastAsia="宋体" w:cs="宋体"/>
          <w:spacing w:val="14"/>
          <w:sz w:val="24"/>
          <w:szCs w:val="24"/>
        </w:rPr>
        <w:t>产品方案为锌精矿(含锌品位48.20%、镉品位1.70%)、铅精矿(含铅品位</w:t>
      </w:r>
      <w:r>
        <w:rPr>
          <w:rFonts w:ascii="宋体" w:hAnsi="宋体" w:eastAsia="宋体" w:cs="宋体"/>
          <w:spacing w:val="6"/>
          <w:sz w:val="24"/>
          <w:szCs w:val="24"/>
        </w:rPr>
        <w:t xml:space="preserve"> </w:t>
      </w:r>
      <w:r>
        <w:rPr>
          <w:rFonts w:ascii="仿宋" w:hAnsi="仿宋" w:eastAsia="仿宋" w:cs="仿宋"/>
          <w:spacing w:val="5"/>
          <w:sz w:val="25"/>
          <w:szCs w:val="25"/>
        </w:rPr>
        <w:t>55.20%);锌</w:t>
      </w:r>
      <w:r>
        <w:rPr>
          <w:rFonts w:ascii="宋体" w:hAnsi="宋体" w:eastAsia="宋体" w:cs="宋体"/>
          <w:spacing w:val="5"/>
          <w:sz w:val="25"/>
          <w:szCs w:val="25"/>
        </w:rPr>
        <w:t>精矿选矿回收率为81.00%,锌精矿含镉选矿回收率为81.00%,铅精</w:t>
      </w:r>
      <w:r>
        <w:rPr>
          <w:rFonts w:ascii="宋体" w:hAnsi="宋体" w:eastAsia="宋体" w:cs="宋体"/>
          <w:spacing w:val="12"/>
          <w:sz w:val="25"/>
          <w:szCs w:val="25"/>
        </w:rPr>
        <w:t xml:space="preserve"> </w:t>
      </w:r>
      <w:r>
        <w:rPr>
          <w:rFonts w:ascii="宋体" w:hAnsi="宋体" w:eastAsia="宋体" w:cs="宋体"/>
          <w:spacing w:val="-3"/>
          <w:sz w:val="25"/>
          <w:szCs w:val="25"/>
        </w:rPr>
        <w:t>矿选矿回收率为88.00%;正常年份年产锌精矿含锌3207.60吨，锌</w:t>
      </w:r>
      <w:r>
        <w:rPr>
          <w:rFonts w:ascii="宋体" w:hAnsi="宋体" w:eastAsia="宋体" w:cs="宋体"/>
          <w:spacing w:val="-4"/>
          <w:sz w:val="25"/>
          <w:szCs w:val="25"/>
        </w:rPr>
        <w:t>精矿含镉90.53</w:t>
      </w:r>
      <w:r>
        <w:rPr>
          <w:rFonts w:ascii="宋体" w:hAnsi="宋体" w:eastAsia="宋体" w:cs="宋体"/>
          <w:sz w:val="25"/>
          <w:szCs w:val="25"/>
        </w:rPr>
        <w:t xml:space="preserve"> 吨，铅精矿含铅340.85吨；锌精矿含</w:t>
      </w:r>
      <w:r>
        <w:rPr>
          <w:rFonts w:ascii="宋体" w:hAnsi="宋体" w:eastAsia="宋体" w:cs="宋体"/>
          <w:spacing w:val="-1"/>
          <w:sz w:val="25"/>
          <w:szCs w:val="25"/>
        </w:rPr>
        <w:t>锌不含税销售价格为12,490.45元/吨，锌</w:t>
      </w:r>
      <w:r>
        <w:rPr>
          <w:rFonts w:ascii="宋体" w:hAnsi="宋体" w:eastAsia="宋体" w:cs="宋体"/>
          <w:sz w:val="25"/>
          <w:szCs w:val="25"/>
        </w:rPr>
        <w:t xml:space="preserve"> </w:t>
      </w:r>
      <w:r>
        <w:rPr>
          <w:rFonts w:ascii="宋体" w:hAnsi="宋体" w:eastAsia="宋体" w:cs="宋体"/>
          <w:spacing w:val="6"/>
          <w:sz w:val="25"/>
          <w:szCs w:val="25"/>
        </w:rPr>
        <w:t>精矿含镉不含税销售价格为1,239.80 元/吨，铅精矿含铅不含税销售价格为</w:t>
      </w:r>
      <w:r>
        <w:rPr>
          <w:rFonts w:ascii="宋体" w:hAnsi="宋体" w:eastAsia="宋体" w:cs="宋体"/>
          <w:spacing w:val="3"/>
          <w:sz w:val="25"/>
          <w:szCs w:val="25"/>
        </w:rPr>
        <w:t xml:space="preserve"> </w:t>
      </w:r>
      <w:r>
        <w:rPr>
          <w:rFonts w:ascii="宋体" w:hAnsi="宋体" w:eastAsia="宋体" w:cs="宋体"/>
          <w:spacing w:val="-8"/>
          <w:sz w:val="25"/>
          <w:szCs w:val="25"/>
        </w:rPr>
        <w:t>12,044.58元/吨，达产年份销售收入4,428.20万元；固定资产投资原值10,386.99</w:t>
      </w:r>
      <w:r>
        <w:rPr>
          <w:rFonts w:ascii="宋体" w:hAnsi="宋体" w:eastAsia="宋体" w:cs="宋体"/>
          <w:sz w:val="25"/>
          <w:szCs w:val="25"/>
        </w:rPr>
        <w:t xml:space="preserve"> </w:t>
      </w:r>
      <w:r>
        <w:rPr>
          <w:rFonts w:ascii="宋体" w:hAnsi="宋体" w:eastAsia="宋体" w:cs="宋体"/>
          <w:spacing w:val="3"/>
          <w:sz w:val="25"/>
          <w:szCs w:val="25"/>
        </w:rPr>
        <w:t>万元，净值7,437.46万元。原矿单位总成本</w:t>
      </w:r>
      <w:r>
        <w:rPr>
          <w:rFonts w:ascii="宋体" w:hAnsi="宋体" w:eastAsia="宋体" w:cs="宋体"/>
          <w:spacing w:val="2"/>
          <w:sz w:val="25"/>
          <w:szCs w:val="25"/>
        </w:rPr>
        <w:t>费用327.63元/吨，单位经营成本</w:t>
      </w:r>
      <w:r>
        <w:rPr>
          <w:rFonts w:ascii="宋体" w:hAnsi="宋体" w:eastAsia="宋体" w:cs="宋体"/>
          <w:sz w:val="25"/>
          <w:szCs w:val="25"/>
        </w:rPr>
        <w:t xml:space="preserve"> </w:t>
      </w:r>
      <w:r>
        <w:rPr>
          <w:rFonts w:ascii="宋体" w:hAnsi="宋体" w:eastAsia="宋体" w:cs="宋体"/>
          <w:spacing w:val="-2"/>
          <w:sz w:val="25"/>
          <w:szCs w:val="25"/>
        </w:rPr>
        <w:t>252.80元/吨。折现率为8%。</w:t>
      </w:r>
    </w:p>
    <w:p w14:paraId="7B174421">
      <w:pPr>
        <w:spacing w:before="6" w:line="383" w:lineRule="auto"/>
        <w:ind w:left="84" w:right="61" w:firstLine="500"/>
        <w:jc w:val="both"/>
        <w:rPr>
          <w:rFonts w:ascii="宋体" w:hAnsi="宋体" w:eastAsia="宋体" w:cs="宋体"/>
          <w:sz w:val="24"/>
          <w:szCs w:val="24"/>
        </w:rPr>
      </w:pPr>
      <w:r>
        <w:rPr>
          <w:rFonts w:ascii="宋体" w:hAnsi="宋体" w:eastAsia="宋体" w:cs="宋体"/>
          <w:spacing w:val="-4"/>
          <w:sz w:val="24"/>
          <w:szCs w:val="24"/>
        </w:rPr>
        <w:t>评估结论：本公司在充分调查、了解和分析评估对象及市场情况的基础上，依</w:t>
      </w:r>
      <w:r>
        <w:rPr>
          <w:rFonts w:ascii="宋体" w:hAnsi="宋体" w:eastAsia="宋体" w:cs="宋体"/>
          <w:spacing w:val="8"/>
          <w:sz w:val="24"/>
          <w:szCs w:val="24"/>
        </w:rPr>
        <w:t xml:space="preserve"> </w:t>
      </w:r>
      <w:r>
        <w:rPr>
          <w:rFonts w:ascii="宋体" w:hAnsi="宋体" w:eastAsia="宋体" w:cs="宋体"/>
          <w:spacing w:val="3"/>
          <w:sz w:val="24"/>
          <w:szCs w:val="24"/>
        </w:rPr>
        <w:t>据采矿权评估的原则和程序，采用恰当的评估方法和评估</w:t>
      </w:r>
      <w:r>
        <w:rPr>
          <w:rFonts w:ascii="宋体" w:hAnsi="宋体" w:eastAsia="宋体" w:cs="宋体"/>
          <w:spacing w:val="2"/>
          <w:sz w:val="24"/>
          <w:szCs w:val="24"/>
        </w:rPr>
        <w:t>参数，经估算“云南罗</w:t>
      </w:r>
      <w:r>
        <w:rPr>
          <w:rFonts w:ascii="宋体" w:hAnsi="宋体" w:eastAsia="宋体" w:cs="宋体"/>
          <w:sz w:val="24"/>
          <w:szCs w:val="24"/>
        </w:rPr>
        <w:t xml:space="preserve"> </w:t>
      </w:r>
      <w:r>
        <w:rPr>
          <w:rFonts w:ascii="宋体" w:hAnsi="宋体" w:eastAsia="宋体" w:cs="宋体"/>
          <w:spacing w:val="1"/>
          <w:sz w:val="24"/>
          <w:szCs w:val="24"/>
        </w:rPr>
        <w:t>平锌电股份有限公司富乐铅锌矿采矿权”评估价值</w:t>
      </w:r>
      <w:r>
        <w:rPr>
          <w:rFonts w:ascii="宋体" w:hAnsi="宋体" w:eastAsia="宋体" w:cs="宋体"/>
          <w:spacing w:val="-31"/>
          <w:sz w:val="24"/>
          <w:szCs w:val="24"/>
        </w:rPr>
        <w:t xml:space="preserve"> </w:t>
      </w:r>
      <w:r>
        <w:rPr>
          <w:rFonts w:ascii="宋体" w:hAnsi="宋体" w:eastAsia="宋体" w:cs="宋体"/>
          <w:spacing w:val="1"/>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P₁)  </w:t>
      </w:r>
      <w:r>
        <w:rPr>
          <w:rFonts w:ascii="宋体" w:hAnsi="宋体" w:eastAsia="宋体" w:cs="宋体"/>
          <w:spacing w:val="1"/>
          <w:sz w:val="24"/>
          <w:szCs w:val="24"/>
        </w:rPr>
        <w:t>为人民币1219.21万元，</w:t>
      </w:r>
      <w:r>
        <w:rPr>
          <w:rFonts w:ascii="宋体" w:hAnsi="宋体" w:eastAsia="宋体" w:cs="宋体"/>
          <w:sz w:val="24"/>
          <w:szCs w:val="24"/>
        </w:rPr>
        <w:t xml:space="preserve"> </w:t>
      </w:r>
      <w:r>
        <w:rPr>
          <w:rFonts w:ascii="宋体" w:hAnsi="宋体" w:eastAsia="宋体" w:cs="宋体"/>
          <w:spacing w:val="-1"/>
          <w:sz w:val="24"/>
          <w:szCs w:val="24"/>
        </w:rPr>
        <w:t>大写人民币壹仟贰佰壹拾玖万贰仟壹佰元整。</w:t>
      </w:r>
    </w:p>
    <w:p w14:paraId="0E9FED38">
      <w:pPr>
        <w:spacing w:before="7" w:line="374" w:lineRule="auto"/>
        <w:ind w:left="84" w:right="58" w:firstLine="500"/>
        <w:rPr>
          <w:rFonts w:ascii="宋体" w:hAnsi="宋体" w:eastAsia="宋体" w:cs="宋体"/>
          <w:sz w:val="24"/>
          <w:szCs w:val="24"/>
        </w:rPr>
      </w:pPr>
      <w:r>
        <w:rPr>
          <w:rFonts w:ascii="宋体" w:hAnsi="宋体" w:eastAsia="宋体" w:cs="宋体"/>
          <w:spacing w:val="7"/>
          <w:sz w:val="24"/>
          <w:szCs w:val="24"/>
        </w:rPr>
        <w:t>根据《矿业权出让收益评估应用指南(试行)》(中国矿业权评估师协</w:t>
      </w:r>
      <w:r>
        <w:rPr>
          <w:rFonts w:ascii="宋体" w:hAnsi="宋体" w:eastAsia="宋体" w:cs="宋体"/>
          <w:spacing w:val="6"/>
          <w:sz w:val="24"/>
          <w:szCs w:val="24"/>
        </w:rPr>
        <w:t>会公告</w:t>
      </w:r>
      <w:r>
        <w:rPr>
          <w:rFonts w:ascii="宋体" w:hAnsi="宋体" w:eastAsia="宋体" w:cs="宋体"/>
          <w:sz w:val="24"/>
          <w:szCs w:val="24"/>
        </w:rPr>
        <w:t xml:space="preserve"> </w:t>
      </w:r>
      <w:r>
        <w:rPr>
          <w:rFonts w:ascii="宋体" w:hAnsi="宋体" w:eastAsia="宋体" w:cs="宋体"/>
          <w:spacing w:val="19"/>
          <w:sz w:val="24"/>
          <w:szCs w:val="24"/>
        </w:rPr>
        <w:t>2017年第3号发布),评估年限内出让收益</w:t>
      </w:r>
      <w:r>
        <w:rPr>
          <w:rFonts w:ascii="宋体" w:hAnsi="宋体" w:eastAsia="宋体" w:cs="宋体"/>
          <w:spacing w:val="18"/>
          <w:sz w:val="24"/>
          <w:szCs w:val="24"/>
        </w:rPr>
        <w:t>“评估利用资源储量</w:t>
      </w:r>
      <w:r>
        <w:rPr>
          <w:rFonts w:ascii="宋体" w:hAnsi="宋体" w:eastAsia="宋体" w:cs="宋体"/>
          <w:spacing w:val="-30"/>
          <w:sz w:val="24"/>
          <w:szCs w:val="24"/>
        </w:rPr>
        <w:t xml:space="preserve"> </w:t>
      </w:r>
      <w:r>
        <w:rPr>
          <w:rFonts w:ascii="Times New Roman" w:hAnsi="Times New Roman" w:eastAsia="Times New Roman" w:cs="Times New Roman"/>
          <w:spacing w:val="18"/>
          <w:sz w:val="24"/>
          <w:szCs w:val="24"/>
        </w:rPr>
        <w:t>Q”</w:t>
      </w:r>
      <w:r>
        <w:rPr>
          <w:rFonts w:ascii="Times New Roman" w:hAnsi="Times New Roman" w:eastAsia="Times New Roman" w:cs="Times New Roman"/>
          <w:spacing w:val="24"/>
          <w:w w:val="101"/>
          <w:sz w:val="24"/>
          <w:szCs w:val="24"/>
        </w:rPr>
        <w:t xml:space="preserve">  </w:t>
      </w:r>
      <w:r>
        <w:rPr>
          <w:rFonts w:ascii="宋体" w:hAnsi="宋体" w:eastAsia="宋体" w:cs="宋体"/>
          <w:spacing w:val="18"/>
          <w:sz w:val="24"/>
          <w:szCs w:val="24"/>
        </w:rPr>
        <w:t>锌金属量</w:t>
      </w:r>
      <w:r>
        <w:rPr>
          <w:rFonts w:ascii="宋体" w:hAnsi="宋体" w:eastAsia="宋体" w:cs="宋体"/>
          <w:sz w:val="24"/>
          <w:szCs w:val="24"/>
        </w:rPr>
        <w:t xml:space="preserve"> </w:t>
      </w:r>
      <w:r>
        <w:rPr>
          <w:rFonts w:ascii="宋体" w:hAnsi="宋体" w:eastAsia="宋体" w:cs="宋体"/>
          <w:spacing w:val="2"/>
          <w:sz w:val="24"/>
          <w:szCs w:val="24"/>
        </w:rPr>
        <w:t>60957.00吨、伴生铅金属量6015.00吨、伴生镉金属量1888.00吨。“全部评估利</w:t>
      </w:r>
      <w:r>
        <w:rPr>
          <w:rFonts w:ascii="宋体" w:hAnsi="宋体" w:eastAsia="宋体" w:cs="宋体"/>
          <w:spacing w:val="14"/>
          <w:sz w:val="24"/>
          <w:szCs w:val="24"/>
        </w:rPr>
        <w:t xml:space="preserve"> </w:t>
      </w:r>
      <w:r>
        <w:rPr>
          <w:rFonts w:ascii="宋体" w:hAnsi="宋体" w:eastAsia="宋体" w:cs="宋体"/>
          <w:spacing w:val="6"/>
          <w:sz w:val="24"/>
          <w:szCs w:val="24"/>
        </w:rPr>
        <w:t>用资源储量</w:t>
      </w:r>
      <w:r>
        <w:rPr>
          <w:rFonts w:ascii="Times New Roman" w:hAnsi="Times New Roman" w:eastAsia="Times New Roman" w:cs="Times New Roman"/>
          <w:spacing w:val="6"/>
          <w:sz w:val="24"/>
          <w:szCs w:val="24"/>
        </w:rPr>
        <w:t xml:space="preserve">Q”   </w:t>
      </w:r>
      <w:r>
        <w:rPr>
          <w:rFonts w:ascii="宋体" w:hAnsi="宋体" w:eastAsia="宋体" w:cs="宋体"/>
          <w:spacing w:val="6"/>
          <w:sz w:val="24"/>
          <w:szCs w:val="24"/>
        </w:rPr>
        <w:t>锌金属量10114</w:t>
      </w:r>
      <w:r>
        <w:rPr>
          <w:rFonts w:ascii="宋体" w:hAnsi="宋体" w:eastAsia="宋体" w:cs="宋体"/>
          <w:spacing w:val="5"/>
          <w:sz w:val="24"/>
          <w:szCs w:val="24"/>
        </w:rPr>
        <w:t>0.33吨、伴生铅金属量11787.42吨、伴生镉金属</w:t>
      </w:r>
      <w:r>
        <w:rPr>
          <w:rFonts w:ascii="宋体" w:hAnsi="宋体" w:eastAsia="宋体" w:cs="宋体"/>
          <w:sz w:val="24"/>
          <w:szCs w:val="24"/>
        </w:rPr>
        <w:t xml:space="preserve"> </w:t>
      </w:r>
      <w:r>
        <w:rPr>
          <w:rFonts w:ascii="宋体" w:hAnsi="宋体" w:eastAsia="宋体" w:cs="宋体"/>
          <w:spacing w:val="14"/>
          <w:sz w:val="24"/>
          <w:szCs w:val="24"/>
        </w:rPr>
        <w:t>量2913.08吨。本次评估对象范围未估算(334</w:t>
      </w:r>
      <w:r>
        <w:rPr>
          <w:rFonts w:ascii="宋体" w:hAnsi="宋体" w:eastAsia="宋体" w:cs="宋体"/>
          <w:spacing w:val="13"/>
          <w:sz w:val="24"/>
          <w:szCs w:val="24"/>
        </w:rPr>
        <w:t>)?资源量，地质风险系数</w:t>
      </w:r>
      <w:r>
        <w:rPr>
          <w:rFonts w:ascii="宋体" w:hAnsi="宋体" w:eastAsia="宋体" w:cs="宋体"/>
          <w:spacing w:val="-30"/>
          <w:sz w:val="24"/>
          <w:szCs w:val="24"/>
        </w:rPr>
        <w:t xml:space="preserve"> </w:t>
      </w:r>
      <w:r>
        <w:rPr>
          <w:rFonts w:ascii="宋体" w:hAnsi="宋体" w:eastAsia="宋体" w:cs="宋体"/>
          <w:spacing w:val="13"/>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pacing w:val="13"/>
          <w:sz w:val="24"/>
          <w:szCs w:val="24"/>
        </w:rPr>
        <w:t>k)</w:t>
      </w:r>
      <w:r>
        <w:rPr>
          <w:rFonts w:ascii="Times New Roman" w:hAnsi="Times New Roman" w:eastAsia="Times New Roman" w:cs="Times New Roman"/>
          <w:sz w:val="24"/>
          <w:szCs w:val="24"/>
        </w:rPr>
        <w:t xml:space="preserve">    </w:t>
      </w:r>
      <w:r>
        <w:rPr>
          <w:rFonts w:ascii="宋体" w:hAnsi="宋体" w:eastAsia="宋体" w:cs="宋体"/>
          <w:spacing w:val="3"/>
          <w:sz w:val="24"/>
          <w:szCs w:val="24"/>
        </w:rPr>
        <w:t>取值为1,因此“云南罗平锌电股份有限公司富乐铅锌矿采矿权”全部资源储量出</w:t>
      </w:r>
      <w:r>
        <w:rPr>
          <w:rFonts w:ascii="宋体" w:hAnsi="宋体" w:eastAsia="宋体" w:cs="宋体"/>
          <w:spacing w:val="10"/>
          <w:sz w:val="24"/>
          <w:szCs w:val="24"/>
        </w:rPr>
        <w:t xml:space="preserve"> </w:t>
      </w:r>
      <w:r>
        <w:rPr>
          <w:rFonts w:ascii="宋体" w:hAnsi="宋体" w:eastAsia="宋体" w:cs="宋体"/>
          <w:spacing w:val="1"/>
          <w:sz w:val="24"/>
          <w:szCs w:val="24"/>
        </w:rPr>
        <w:t>让收益评估价值</w:t>
      </w:r>
      <w:r>
        <w:rPr>
          <w:rFonts w:ascii="宋体" w:hAnsi="宋体" w:eastAsia="宋体" w:cs="宋体"/>
          <w:spacing w:val="-40"/>
          <w:sz w:val="24"/>
          <w:szCs w:val="24"/>
        </w:rPr>
        <w:t xml:space="preserve"> </w:t>
      </w:r>
      <w:r>
        <w:rPr>
          <w:rFonts w:ascii="宋体" w:hAnsi="宋体" w:eastAsia="宋体" w:cs="宋体"/>
          <w:spacing w:val="1"/>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P)</w:t>
      </w:r>
      <w:r>
        <w:rPr>
          <w:rFonts w:ascii="Times New Roman" w:hAnsi="Times New Roman" w:eastAsia="Times New Roman" w:cs="Times New Roman"/>
          <w:spacing w:val="20"/>
          <w:w w:val="101"/>
          <w:sz w:val="24"/>
          <w:szCs w:val="24"/>
        </w:rPr>
        <w:t xml:space="preserve">  </w:t>
      </w:r>
      <w:r>
        <w:rPr>
          <w:rFonts w:ascii="宋体" w:hAnsi="宋体" w:eastAsia="宋体" w:cs="宋体"/>
          <w:spacing w:val="1"/>
          <w:sz w:val="24"/>
          <w:szCs w:val="24"/>
        </w:rPr>
        <w:t>为2,056.53</w:t>
      </w:r>
      <w:r>
        <w:rPr>
          <w:rFonts w:ascii="宋体" w:hAnsi="宋体" w:eastAsia="宋体" w:cs="宋体"/>
          <w:sz w:val="24"/>
          <w:szCs w:val="24"/>
        </w:rPr>
        <w:t xml:space="preserve"> 万元。</w:t>
      </w:r>
    </w:p>
    <w:p w14:paraId="5896255C">
      <w:pPr>
        <w:spacing w:before="83" w:line="385" w:lineRule="auto"/>
        <w:ind w:left="84" w:firstLine="529"/>
        <w:jc w:val="both"/>
        <w:rPr>
          <w:rFonts w:ascii="宋体" w:hAnsi="宋体" w:eastAsia="宋体" w:cs="宋体"/>
          <w:sz w:val="24"/>
          <w:szCs w:val="24"/>
        </w:rPr>
      </w:pPr>
      <w:r>
        <w:rPr>
          <w:rFonts w:ascii="宋体" w:hAnsi="宋体" w:eastAsia="宋体" w:cs="宋体"/>
          <w:spacing w:val="4"/>
          <w:sz w:val="24"/>
          <w:szCs w:val="24"/>
        </w:rPr>
        <w:t>“云南罗平锌电股份有限公司富乐铅锌矿采矿权”以往进行过价款处置，已</w:t>
      </w:r>
      <w:r>
        <w:rPr>
          <w:rFonts w:ascii="宋体" w:hAnsi="宋体" w:eastAsia="宋体" w:cs="宋体"/>
          <w:spacing w:val="12"/>
          <w:sz w:val="24"/>
          <w:szCs w:val="24"/>
        </w:rPr>
        <w:t xml:space="preserve"> 处置资源量锌金属量86251.00 吨，伴生铅金属量</w:t>
      </w:r>
      <w:r>
        <w:rPr>
          <w:rFonts w:ascii="宋体" w:hAnsi="宋体" w:eastAsia="宋体" w:cs="宋体"/>
          <w:spacing w:val="11"/>
          <w:sz w:val="24"/>
          <w:szCs w:val="24"/>
        </w:rPr>
        <w:t>9780.07 吨，伴生镉金属量</w:t>
      </w:r>
      <w:r>
        <w:rPr>
          <w:rFonts w:ascii="宋体" w:hAnsi="宋体" w:eastAsia="宋体" w:cs="宋体"/>
          <w:sz w:val="24"/>
          <w:szCs w:val="24"/>
        </w:rPr>
        <w:t xml:space="preserve"> </w:t>
      </w:r>
      <w:r>
        <w:rPr>
          <w:rFonts w:ascii="宋体" w:hAnsi="宋体" w:eastAsia="宋体" w:cs="宋体"/>
          <w:spacing w:val="8"/>
          <w:sz w:val="24"/>
          <w:szCs w:val="24"/>
        </w:rPr>
        <w:t>2339.56吨。本次需处置新增资源量锌14889.33吨，伴生铅2007.35吨，伴生镉</w:t>
      </w:r>
      <w:r>
        <w:rPr>
          <w:rFonts w:ascii="宋体" w:hAnsi="宋体" w:eastAsia="宋体" w:cs="宋体"/>
          <w:spacing w:val="13"/>
          <w:sz w:val="24"/>
          <w:szCs w:val="24"/>
        </w:rPr>
        <w:t xml:space="preserve"> </w:t>
      </w:r>
      <w:r>
        <w:rPr>
          <w:rFonts w:ascii="宋体" w:hAnsi="宋体" w:eastAsia="宋体" w:cs="宋体"/>
          <w:spacing w:val="-2"/>
          <w:sz w:val="24"/>
          <w:szCs w:val="24"/>
        </w:rPr>
        <w:t>573.52吨。新增资源量出让收益评估值为308.10万元，其中：锌出让收益为269</w:t>
      </w:r>
      <w:r>
        <w:rPr>
          <w:rFonts w:ascii="宋体" w:hAnsi="宋体" w:eastAsia="宋体" w:cs="宋体"/>
          <w:spacing w:val="-3"/>
          <w:sz w:val="24"/>
          <w:szCs w:val="24"/>
        </w:rPr>
        <w:t>.44</w:t>
      </w:r>
      <w:r>
        <w:rPr>
          <w:rFonts w:ascii="宋体" w:hAnsi="宋体" w:eastAsia="宋体" w:cs="宋体"/>
          <w:sz w:val="24"/>
          <w:szCs w:val="24"/>
        </w:rPr>
        <w:t xml:space="preserve"> </w:t>
      </w:r>
      <w:r>
        <w:rPr>
          <w:rFonts w:ascii="宋体" w:hAnsi="宋体" w:eastAsia="宋体" w:cs="宋体"/>
          <w:spacing w:val="7"/>
          <w:sz w:val="24"/>
          <w:szCs w:val="24"/>
        </w:rPr>
        <w:t>万元，伴生铅出让收益为37.72万元，伴生镉出让收益为0.94万元。</w:t>
      </w:r>
    </w:p>
    <w:p w14:paraId="5F40BF32">
      <w:pPr>
        <w:spacing w:before="1" w:line="217" w:lineRule="auto"/>
        <w:ind w:left="585"/>
        <w:rPr>
          <w:rFonts w:ascii="宋体" w:hAnsi="宋体" w:eastAsia="宋体" w:cs="宋体"/>
          <w:sz w:val="24"/>
          <w:szCs w:val="24"/>
        </w:rPr>
      </w:pPr>
      <w:r>
        <w:rPr>
          <w:rFonts w:ascii="宋体" w:hAnsi="宋体" w:eastAsia="宋体" w:cs="宋体"/>
          <w:spacing w:val="3"/>
          <w:sz w:val="24"/>
          <w:szCs w:val="24"/>
        </w:rPr>
        <w:t>按出让收益市场基准价计算结果：根据云南省国土资源厅《云南省国土资源</w:t>
      </w:r>
    </w:p>
    <w:p w14:paraId="03183EC4">
      <w:pPr>
        <w:spacing w:line="217" w:lineRule="auto"/>
        <w:rPr>
          <w:rFonts w:ascii="宋体" w:hAnsi="宋体" w:eastAsia="宋体" w:cs="宋体"/>
          <w:sz w:val="24"/>
          <w:szCs w:val="24"/>
        </w:rPr>
        <w:sectPr>
          <w:headerReference r:id="rId7" w:type="default"/>
          <w:footerReference r:id="rId8" w:type="default"/>
          <w:pgSz w:w="11900" w:h="16830"/>
          <w:pgMar w:top="1197" w:right="1434" w:bottom="1269" w:left="1785" w:header="920" w:footer="918" w:gutter="0"/>
          <w:cols w:space="720" w:num="1"/>
        </w:sectPr>
      </w:pPr>
    </w:p>
    <w:p w14:paraId="7AF3D23A">
      <w:pPr>
        <w:pStyle w:val="2"/>
        <w:spacing w:line="311" w:lineRule="auto"/>
      </w:pPr>
    </w:p>
    <w:p w14:paraId="4D58DA57">
      <w:pPr>
        <w:spacing w:before="78" w:line="369" w:lineRule="auto"/>
        <w:ind w:left="64" w:right="125"/>
        <w:jc w:val="both"/>
        <w:rPr>
          <w:rFonts w:ascii="宋体" w:hAnsi="宋体" w:eastAsia="宋体" w:cs="宋体"/>
          <w:sz w:val="24"/>
          <w:szCs w:val="24"/>
        </w:rPr>
      </w:pPr>
      <w:r>
        <w:rPr>
          <w:rFonts w:ascii="宋体" w:hAnsi="宋体" w:eastAsia="宋体" w:cs="宋体"/>
          <w:spacing w:val="5"/>
          <w:sz w:val="24"/>
          <w:szCs w:val="24"/>
        </w:rPr>
        <w:t>厅公告》(云国土资公告[2018]1号),“附件1云南省主要矿种采</w:t>
      </w:r>
      <w:r>
        <w:rPr>
          <w:rFonts w:ascii="宋体" w:hAnsi="宋体" w:eastAsia="宋体" w:cs="宋体"/>
          <w:spacing w:val="4"/>
          <w:sz w:val="24"/>
          <w:szCs w:val="24"/>
        </w:rPr>
        <w:t>矿权出让收益市</w:t>
      </w:r>
      <w:r>
        <w:rPr>
          <w:rFonts w:ascii="宋体" w:hAnsi="宋体" w:eastAsia="宋体" w:cs="宋体"/>
          <w:sz w:val="24"/>
          <w:szCs w:val="24"/>
        </w:rPr>
        <w:t xml:space="preserve"> </w:t>
      </w:r>
      <w:r>
        <w:rPr>
          <w:rFonts w:ascii="宋体" w:hAnsi="宋体" w:eastAsia="宋体" w:cs="宋体"/>
          <w:spacing w:val="8"/>
          <w:sz w:val="24"/>
          <w:szCs w:val="24"/>
        </w:rPr>
        <w:t>场基准价”及“附件4云南省主要矿种矿业权出让收益市场基准价的说明”,云</w:t>
      </w:r>
      <w:r>
        <w:rPr>
          <w:rFonts w:ascii="宋体" w:hAnsi="宋体" w:eastAsia="宋体" w:cs="宋体"/>
          <w:spacing w:val="2"/>
          <w:sz w:val="24"/>
          <w:szCs w:val="24"/>
        </w:rPr>
        <w:t xml:space="preserve"> </w:t>
      </w:r>
      <w:r>
        <w:rPr>
          <w:rFonts w:ascii="宋体" w:hAnsi="宋体" w:eastAsia="宋体" w:cs="宋体"/>
          <w:spacing w:val="5"/>
          <w:sz w:val="24"/>
          <w:szCs w:val="24"/>
        </w:rPr>
        <w:t>南省锌基准价为155.00元/吨，铅基准价为174.00元/吨(伴生矿调整系数0.70</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5"/>
          <w:sz w:val="24"/>
          <w:szCs w:val="24"/>
        </w:rPr>
        <w:t>伴生镉未明确基准价。“云南罗平锌电股份有限公司富乐铅锌矿采矿权”新增资源</w:t>
      </w:r>
      <w:r>
        <w:rPr>
          <w:rFonts w:ascii="宋体" w:hAnsi="宋体" w:eastAsia="宋体" w:cs="宋体"/>
          <w:spacing w:val="9"/>
          <w:sz w:val="24"/>
          <w:szCs w:val="24"/>
        </w:rPr>
        <w:t xml:space="preserve"> </w:t>
      </w:r>
      <w:r>
        <w:rPr>
          <w:rFonts w:ascii="宋体" w:hAnsi="宋体" w:eastAsia="宋体" w:cs="宋体"/>
          <w:spacing w:val="5"/>
          <w:sz w:val="24"/>
          <w:szCs w:val="24"/>
        </w:rPr>
        <w:t>储量为锌金属量14889.33吨，伴生铅2007.</w:t>
      </w:r>
      <w:r>
        <w:rPr>
          <w:rFonts w:ascii="宋体" w:hAnsi="宋体" w:eastAsia="宋体" w:cs="宋体"/>
          <w:spacing w:val="4"/>
          <w:sz w:val="24"/>
          <w:szCs w:val="24"/>
        </w:rPr>
        <w:t>35吨，按出让收益市场基准价计算结</w:t>
      </w:r>
      <w:r>
        <w:rPr>
          <w:rFonts w:ascii="宋体" w:hAnsi="宋体" w:eastAsia="宋体" w:cs="宋体"/>
          <w:sz w:val="24"/>
          <w:szCs w:val="24"/>
        </w:rPr>
        <w:t xml:space="preserve"> </w:t>
      </w:r>
      <w:r>
        <w:rPr>
          <w:rFonts w:ascii="仿宋" w:hAnsi="仿宋" w:eastAsia="仿宋" w:cs="仿宋"/>
          <w:spacing w:val="15"/>
          <w:sz w:val="24"/>
          <w:szCs w:val="24"/>
        </w:rPr>
        <w:t>果为人民币255.23万元(=(14889.33×155.00+2007.35×17</w:t>
      </w:r>
      <w:r>
        <w:rPr>
          <w:rFonts w:ascii="仿宋" w:hAnsi="仿宋" w:eastAsia="仿宋" w:cs="仿宋"/>
          <w:spacing w:val="14"/>
          <w:sz w:val="24"/>
          <w:szCs w:val="24"/>
        </w:rPr>
        <w:t>4.00×0.70)÷</w:t>
      </w:r>
      <w:r>
        <w:rPr>
          <w:rFonts w:ascii="仿宋" w:hAnsi="仿宋" w:eastAsia="仿宋" w:cs="仿宋"/>
          <w:sz w:val="24"/>
          <w:szCs w:val="24"/>
        </w:rPr>
        <w:t xml:space="preserve"> </w:t>
      </w:r>
      <w:r>
        <w:rPr>
          <w:rFonts w:ascii="宋体" w:hAnsi="宋体" w:eastAsia="宋体" w:cs="宋体"/>
          <w:spacing w:val="10"/>
          <w:sz w:val="24"/>
          <w:szCs w:val="24"/>
        </w:rPr>
        <w:t>10000.00),其中，锌为230.78万元</w:t>
      </w:r>
      <w:r>
        <w:rPr>
          <w:rFonts w:ascii="宋体" w:hAnsi="宋体" w:eastAsia="宋体" w:cs="宋体"/>
          <w:spacing w:val="9"/>
          <w:sz w:val="24"/>
          <w:szCs w:val="24"/>
        </w:rPr>
        <w:t>，铅为24.45万元。</w:t>
      </w:r>
    </w:p>
    <w:p w14:paraId="49DA65AA">
      <w:pPr>
        <w:tabs>
          <w:tab w:val="left" w:pos="225"/>
        </w:tabs>
        <w:spacing w:before="63" w:line="364" w:lineRule="auto"/>
        <w:ind w:left="64" w:firstLine="520"/>
        <w:jc w:val="both"/>
        <w:rPr>
          <w:rFonts w:ascii="宋体" w:hAnsi="宋体" w:eastAsia="宋体" w:cs="宋体"/>
          <w:sz w:val="24"/>
          <w:szCs w:val="24"/>
        </w:rPr>
      </w:pPr>
      <w:r>
        <w:drawing>
          <wp:anchor distT="0" distB="0" distL="0" distR="0" simplePos="0" relativeHeight="251667456" behindDoc="0" locked="0" layoutInCell="1" allowOverlap="1">
            <wp:simplePos x="0" y="0"/>
            <wp:positionH relativeFrom="column">
              <wp:posOffset>708025</wp:posOffset>
            </wp:positionH>
            <wp:positionV relativeFrom="paragraph">
              <wp:posOffset>313690</wp:posOffset>
            </wp:positionV>
            <wp:extent cx="1568450" cy="15113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37"/>
                    <a:stretch>
                      <a:fillRect/>
                    </a:stretch>
                  </pic:blipFill>
                  <pic:spPr>
                    <a:xfrm>
                      <a:off x="0" y="0"/>
                      <a:ext cx="1568427" cy="1511255"/>
                    </a:xfrm>
                    <a:prstGeom prst="rect">
                      <a:avLst/>
                    </a:prstGeom>
                  </pic:spPr>
                </pic:pic>
              </a:graphicData>
            </a:graphic>
          </wp:anchor>
        </w:drawing>
      </w:r>
      <w:r>
        <w:rPr>
          <w:rFonts w:ascii="宋体" w:hAnsi="宋体" w:eastAsia="宋体" w:cs="宋体"/>
          <w:spacing w:val="5"/>
          <w:sz w:val="24"/>
          <w:szCs w:val="24"/>
        </w:rPr>
        <w:t>根据《财政部国土部关于印发&lt;矿业权出让收益征收管理暂行办法&gt;的通知》</w:t>
      </w:r>
      <w:r>
        <w:rPr>
          <w:rFonts w:ascii="宋体" w:hAnsi="宋体" w:eastAsia="宋体" w:cs="宋体"/>
          <w:spacing w:val="18"/>
          <w:sz w:val="24"/>
          <w:szCs w:val="24"/>
        </w:rPr>
        <w:t xml:space="preserve"> </w:t>
      </w:r>
      <w:r>
        <w:rPr>
          <w:rFonts w:ascii="宋体" w:hAnsi="宋体" w:eastAsia="宋体" w:cs="宋体"/>
          <w:sz w:val="24"/>
          <w:szCs w:val="24"/>
        </w:rPr>
        <w:tab/>
      </w:r>
      <w:r>
        <w:rPr>
          <w:rFonts w:ascii="宋体" w:hAnsi="宋体" w:eastAsia="宋体" w:cs="宋体"/>
          <w:spacing w:val="5"/>
          <w:sz w:val="24"/>
          <w:szCs w:val="24"/>
        </w:rPr>
        <w:t>(财综[2017]35号)的规定，矿业权出让收益按照评估价值、市场基准价就高确</w:t>
      </w:r>
      <w:r>
        <w:rPr>
          <w:rFonts w:ascii="宋体" w:hAnsi="宋体" w:eastAsia="宋体" w:cs="宋体"/>
          <w:spacing w:val="6"/>
          <w:sz w:val="24"/>
          <w:szCs w:val="24"/>
        </w:rPr>
        <w:t xml:space="preserve">  </w:t>
      </w:r>
      <w:r>
        <w:rPr>
          <w:rFonts w:ascii="宋体" w:hAnsi="宋体" w:eastAsia="宋体" w:cs="宋体"/>
          <w:spacing w:val="-1"/>
          <w:sz w:val="24"/>
          <w:szCs w:val="24"/>
        </w:rPr>
        <w:t>定，故本次评估“云南罗平锌电股份有限公司富乐铅锌</w:t>
      </w:r>
      <w:r>
        <w:rPr>
          <w:rFonts w:ascii="宋体" w:hAnsi="宋体" w:eastAsia="宋体" w:cs="宋体"/>
          <w:spacing w:val="-2"/>
          <w:sz w:val="24"/>
          <w:szCs w:val="24"/>
        </w:rPr>
        <w:t>矿采矿权”新增资源量(锌</w:t>
      </w:r>
      <w:r>
        <w:rPr>
          <w:rFonts w:ascii="宋体" w:hAnsi="宋体" w:eastAsia="宋体" w:cs="宋体"/>
          <w:sz w:val="24"/>
          <w:szCs w:val="24"/>
        </w:rPr>
        <w:t xml:space="preserve">  </w:t>
      </w:r>
      <w:r>
        <w:rPr>
          <w:rFonts w:ascii="宋体" w:hAnsi="宋体" w:eastAsia="宋体" w:cs="宋体"/>
          <w:spacing w:val="13"/>
          <w:sz w:val="24"/>
          <w:szCs w:val="24"/>
        </w:rPr>
        <w:t>金属量14889.33吨，伴生铅金属量20</w:t>
      </w:r>
      <w:r>
        <w:rPr>
          <w:rFonts w:ascii="宋体" w:hAnsi="宋体" w:eastAsia="宋体" w:cs="宋体"/>
          <w:spacing w:val="12"/>
          <w:sz w:val="24"/>
          <w:szCs w:val="24"/>
        </w:rPr>
        <w:t>07.35吨，伴生镉金属量573.52吨)出让</w:t>
      </w:r>
      <w:r>
        <w:rPr>
          <w:rFonts w:ascii="宋体" w:hAnsi="宋体" w:eastAsia="宋体" w:cs="宋体"/>
          <w:sz w:val="24"/>
          <w:szCs w:val="24"/>
        </w:rPr>
        <w:t xml:space="preserve">  </w:t>
      </w:r>
      <w:r>
        <w:rPr>
          <w:rFonts w:ascii="宋体" w:hAnsi="宋体" w:eastAsia="宋体" w:cs="宋体"/>
          <w:spacing w:val="4"/>
          <w:sz w:val="24"/>
          <w:szCs w:val="24"/>
        </w:rPr>
        <w:t>收益为308.10万元，大写人民币叁佰零捌万壹仟元整。</w:t>
      </w:r>
    </w:p>
    <w:p w14:paraId="5932A785">
      <w:pPr>
        <w:spacing w:before="8" w:line="218" w:lineRule="auto"/>
        <w:ind w:left="578"/>
        <w:rPr>
          <w:rFonts w:ascii="宋体" w:hAnsi="宋体" w:eastAsia="宋体" w:cs="宋体"/>
          <w:sz w:val="24"/>
          <w:szCs w:val="24"/>
        </w:rPr>
      </w:pPr>
      <w:r>
        <w:rPr>
          <w:rFonts w:ascii="宋体" w:hAnsi="宋体" w:eastAsia="宋体" w:cs="宋体"/>
          <w:b/>
          <w:bCs/>
          <w:spacing w:val="-6"/>
          <w:sz w:val="24"/>
          <w:szCs w:val="24"/>
        </w:rPr>
        <w:t>评估有关事项声明：</w:t>
      </w:r>
    </w:p>
    <w:p w14:paraId="686F85DE">
      <w:pPr>
        <w:spacing w:before="159" w:line="218" w:lineRule="auto"/>
        <w:ind w:left="694"/>
        <w:rPr>
          <w:rFonts w:ascii="宋体" w:hAnsi="宋体" w:eastAsia="宋体" w:cs="宋体"/>
          <w:sz w:val="24"/>
          <w:szCs w:val="24"/>
        </w:rPr>
      </w:pPr>
      <w:r>
        <w:rPr>
          <w:rFonts w:ascii="宋体" w:hAnsi="宋体" w:eastAsia="宋体" w:cs="宋体"/>
          <w:spacing w:val="-8"/>
          <w:sz w:val="24"/>
          <w:szCs w:val="24"/>
        </w:rPr>
        <w:t>(1)</w:t>
      </w:r>
      <w:r>
        <w:rPr>
          <w:rFonts w:ascii="宋体" w:hAnsi="宋体" w:eastAsia="宋体" w:cs="宋体"/>
          <w:spacing w:val="28"/>
          <w:sz w:val="24"/>
          <w:szCs w:val="24"/>
        </w:rPr>
        <w:t xml:space="preserve">  </w:t>
      </w:r>
      <w:r>
        <w:rPr>
          <w:rFonts w:ascii="宋体" w:hAnsi="宋体" w:eastAsia="宋体" w:cs="宋体"/>
          <w:spacing w:val="-8"/>
          <w:sz w:val="24"/>
          <w:szCs w:val="24"/>
        </w:rPr>
        <w:t>伴生镉金属量基准价计算</w:t>
      </w:r>
    </w:p>
    <w:p w14:paraId="0E5BA860">
      <w:pPr>
        <w:spacing w:before="187" w:line="370" w:lineRule="auto"/>
        <w:ind w:left="64" w:firstLine="509"/>
        <w:rPr>
          <w:rFonts w:ascii="宋体" w:hAnsi="宋体" w:eastAsia="宋体" w:cs="宋体"/>
          <w:sz w:val="24"/>
          <w:szCs w:val="24"/>
        </w:rPr>
      </w:pPr>
      <w:r>
        <w:rPr>
          <w:rFonts w:ascii="宋体" w:hAnsi="宋体" w:eastAsia="宋体" w:cs="宋体"/>
          <w:spacing w:val="-4"/>
          <w:sz w:val="24"/>
          <w:szCs w:val="24"/>
        </w:rPr>
        <w:t>《云南省国土资源厅公告》(云国土资公告[2018]1号)中未明确伴生</w:t>
      </w:r>
      <w:r>
        <w:rPr>
          <w:rFonts w:ascii="宋体" w:hAnsi="宋体" w:eastAsia="宋体" w:cs="宋体"/>
          <w:spacing w:val="-5"/>
          <w:sz w:val="24"/>
          <w:szCs w:val="24"/>
        </w:rPr>
        <w:t>镉基准价，</w:t>
      </w:r>
      <w:r>
        <w:rPr>
          <w:rFonts w:ascii="宋体" w:hAnsi="宋体" w:eastAsia="宋体" w:cs="宋体"/>
          <w:sz w:val="24"/>
          <w:szCs w:val="24"/>
        </w:rPr>
        <w:t xml:space="preserve"> </w:t>
      </w:r>
      <w:r>
        <w:rPr>
          <w:rFonts w:ascii="宋体" w:hAnsi="宋体" w:eastAsia="宋体" w:cs="宋体"/>
          <w:spacing w:val="2"/>
          <w:sz w:val="24"/>
          <w:szCs w:val="24"/>
        </w:rPr>
        <w:t>本次评估新增资源储量按出让收益市场基准价计算结果255.23万元</w:t>
      </w:r>
      <w:r>
        <w:rPr>
          <w:rFonts w:ascii="宋体" w:hAnsi="宋体" w:eastAsia="宋体" w:cs="宋体"/>
          <w:spacing w:val="1"/>
          <w:sz w:val="24"/>
          <w:szCs w:val="24"/>
        </w:rPr>
        <w:t>，未包含伴生</w:t>
      </w:r>
      <w:r>
        <w:rPr>
          <w:rFonts w:ascii="宋体" w:hAnsi="宋体" w:eastAsia="宋体" w:cs="宋体"/>
          <w:sz w:val="24"/>
          <w:szCs w:val="24"/>
        </w:rPr>
        <w:t xml:space="preserve">  </w:t>
      </w:r>
      <w:r>
        <w:rPr>
          <w:rFonts w:ascii="宋体" w:hAnsi="宋体" w:eastAsia="宋体" w:cs="宋体"/>
          <w:spacing w:val="-3"/>
          <w:sz w:val="24"/>
          <w:szCs w:val="24"/>
        </w:rPr>
        <w:t>镉。特提请报告使用者注意。</w:t>
      </w:r>
    </w:p>
    <w:p w14:paraId="526E9B83">
      <w:pPr>
        <w:spacing w:before="9" w:line="334" w:lineRule="auto"/>
        <w:ind w:left="64" w:right="189" w:firstLine="629"/>
        <w:rPr>
          <w:rFonts w:ascii="宋体" w:hAnsi="宋体" w:eastAsia="宋体" w:cs="宋体"/>
          <w:sz w:val="24"/>
          <w:szCs w:val="24"/>
        </w:rPr>
      </w:pPr>
      <w:r>
        <w:rPr>
          <w:rFonts w:ascii="宋体" w:hAnsi="宋体" w:eastAsia="宋体" w:cs="宋体"/>
          <w:spacing w:val="4"/>
          <w:sz w:val="24"/>
          <w:szCs w:val="24"/>
        </w:rPr>
        <w:t>(2)根据《矿业权出让收益评估应用指南(试行)》</w:t>
      </w:r>
      <w:r>
        <w:rPr>
          <w:rFonts w:ascii="宋体" w:hAnsi="宋体" w:eastAsia="宋体" w:cs="宋体"/>
          <w:spacing w:val="3"/>
          <w:sz w:val="24"/>
          <w:szCs w:val="24"/>
        </w:rPr>
        <w:t>(中国矿业权评估师协会</w:t>
      </w:r>
      <w:r>
        <w:rPr>
          <w:rFonts w:ascii="宋体" w:hAnsi="宋体" w:eastAsia="宋体" w:cs="宋体"/>
          <w:sz w:val="24"/>
          <w:szCs w:val="24"/>
        </w:rPr>
        <w:t xml:space="preserve"> </w:t>
      </w:r>
      <w:r>
        <w:rPr>
          <w:rFonts w:ascii="宋体" w:hAnsi="宋体" w:eastAsia="宋体" w:cs="宋体"/>
          <w:spacing w:val="10"/>
          <w:sz w:val="24"/>
          <w:szCs w:val="24"/>
        </w:rPr>
        <w:t>公告2017年第3号发布),评估结果公开的，</w:t>
      </w:r>
      <w:r>
        <w:rPr>
          <w:rFonts w:ascii="宋体" w:hAnsi="宋体" w:eastAsia="宋体" w:cs="宋体"/>
          <w:spacing w:val="9"/>
          <w:sz w:val="24"/>
          <w:szCs w:val="24"/>
        </w:rPr>
        <w:t>即评估报告需向自然资源主管部门</w:t>
      </w:r>
      <w:r>
        <w:rPr>
          <w:rFonts w:ascii="宋体" w:hAnsi="宋体" w:eastAsia="宋体" w:cs="宋体"/>
          <w:sz w:val="24"/>
          <w:szCs w:val="24"/>
        </w:rPr>
        <w:t xml:space="preserve"> </w:t>
      </w:r>
      <w:r>
        <w:rPr>
          <w:rFonts w:ascii="宋体" w:hAnsi="宋体" w:eastAsia="宋体" w:cs="宋体"/>
          <w:spacing w:val="1"/>
          <w:sz w:val="24"/>
          <w:szCs w:val="24"/>
        </w:rPr>
        <w:t>报送公示无异议予以公开后使用的，评估结</w:t>
      </w:r>
      <w:r>
        <w:rPr>
          <w:rFonts w:ascii="宋体" w:hAnsi="宋体" w:eastAsia="宋体" w:cs="宋体"/>
          <w:sz w:val="24"/>
          <w:szCs w:val="24"/>
        </w:rPr>
        <w:t xml:space="preserve">论使用有效期自评估报告公开之日起 </w:t>
      </w:r>
      <w:r>
        <w:rPr>
          <w:rFonts w:ascii="宋体" w:hAnsi="宋体" w:eastAsia="宋体" w:cs="宋体"/>
          <w:spacing w:val="1"/>
          <w:sz w:val="24"/>
          <w:szCs w:val="24"/>
        </w:rPr>
        <w:t>一年；评估结果不公开的，评估结论使用有</w:t>
      </w:r>
      <w:r>
        <w:rPr>
          <w:rFonts w:ascii="宋体" w:hAnsi="宋体" w:eastAsia="宋体" w:cs="宋体"/>
          <w:sz w:val="24"/>
          <w:szCs w:val="24"/>
        </w:rPr>
        <w:t xml:space="preserve">效期自评估基准日起一年。超过有效 </w:t>
      </w:r>
      <w:r>
        <w:rPr>
          <w:rFonts w:ascii="宋体" w:hAnsi="宋体" w:eastAsia="宋体" w:cs="宋体"/>
          <w:spacing w:val="-4"/>
          <w:sz w:val="24"/>
          <w:szCs w:val="24"/>
        </w:rPr>
        <w:t>期，需要重新进行评估。</w:t>
      </w:r>
    </w:p>
    <w:p w14:paraId="64385A74">
      <w:pPr>
        <w:spacing w:before="226" w:line="292" w:lineRule="auto"/>
        <w:ind w:left="64" w:right="311" w:firstLine="629"/>
        <w:rPr>
          <w:rFonts w:ascii="宋体" w:hAnsi="宋体" w:eastAsia="宋体" w:cs="宋体"/>
          <w:sz w:val="24"/>
          <w:szCs w:val="24"/>
        </w:rPr>
      </w:pPr>
      <w:r>
        <w:rPr>
          <w:rFonts w:ascii="宋体" w:hAnsi="宋体" w:eastAsia="宋体" w:cs="宋体"/>
          <w:spacing w:val="4"/>
          <w:sz w:val="24"/>
          <w:szCs w:val="24"/>
        </w:rPr>
        <w:t>(3)本评估报告及评估结论仅供委托方用于评估报告载明的评</w:t>
      </w:r>
      <w:r>
        <w:rPr>
          <w:rFonts w:ascii="宋体" w:hAnsi="宋体" w:eastAsia="宋体" w:cs="宋体"/>
          <w:spacing w:val="3"/>
          <w:sz w:val="24"/>
          <w:szCs w:val="24"/>
        </w:rPr>
        <w:t>估目的和用</w:t>
      </w:r>
      <w:r>
        <w:rPr>
          <w:rFonts w:ascii="宋体" w:hAnsi="宋体" w:eastAsia="宋体" w:cs="宋体"/>
          <w:sz w:val="24"/>
          <w:szCs w:val="24"/>
        </w:rPr>
        <w:t xml:space="preserve"> </w:t>
      </w:r>
      <w:r>
        <w:rPr>
          <w:rFonts w:ascii="宋体" w:hAnsi="宋体" w:eastAsia="宋体" w:cs="宋体"/>
          <w:spacing w:val="-1"/>
          <w:sz w:val="24"/>
          <w:szCs w:val="24"/>
        </w:rPr>
        <w:t>途，不应同时用于或另行用于其他目的。</w:t>
      </w:r>
    </w:p>
    <w:p w14:paraId="5AEE3459">
      <w:pPr>
        <w:spacing w:before="191" w:line="324" w:lineRule="auto"/>
        <w:ind w:left="64" w:right="158" w:firstLine="629"/>
        <w:rPr>
          <w:rFonts w:ascii="宋体" w:hAnsi="宋体" w:eastAsia="宋体" w:cs="宋体"/>
          <w:sz w:val="24"/>
          <w:szCs w:val="24"/>
        </w:rPr>
      </w:pPr>
      <w:r>
        <w:rPr>
          <w:rFonts w:ascii="宋体" w:hAnsi="宋体" w:eastAsia="宋体" w:cs="宋体"/>
          <w:spacing w:val="1"/>
          <w:sz w:val="24"/>
          <w:szCs w:val="24"/>
        </w:rPr>
        <w:t>(4)本评估报告仅供委托方了解评估的有关事宜并报送评估管理机关或其授</w:t>
      </w:r>
      <w:r>
        <w:rPr>
          <w:rFonts w:ascii="宋体" w:hAnsi="宋体" w:eastAsia="宋体" w:cs="宋体"/>
          <w:spacing w:val="6"/>
          <w:sz w:val="24"/>
          <w:szCs w:val="24"/>
        </w:rPr>
        <w:t xml:space="preserve"> </w:t>
      </w:r>
      <w:r>
        <w:rPr>
          <w:rFonts w:ascii="宋体" w:hAnsi="宋体" w:eastAsia="宋体" w:cs="宋体"/>
          <w:spacing w:val="1"/>
          <w:sz w:val="24"/>
          <w:szCs w:val="24"/>
        </w:rPr>
        <w:t>权的单位审查评估报告和检查评估工作之用；正确理解并合理使用评估报告是评</w:t>
      </w:r>
      <w:r>
        <w:rPr>
          <w:rFonts w:ascii="宋体" w:hAnsi="宋体" w:eastAsia="宋体" w:cs="宋体"/>
          <w:spacing w:val="3"/>
          <w:sz w:val="24"/>
          <w:szCs w:val="24"/>
        </w:rPr>
        <w:t xml:space="preserve"> </w:t>
      </w:r>
      <w:r>
        <w:rPr>
          <w:rFonts w:ascii="宋体" w:hAnsi="宋体" w:eastAsia="宋体" w:cs="宋体"/>
          <w:sz w:val="24"/>
          <w:szCs w:val="24"/>
        </w:rPr>
        <w:t>估委托方和相关当事方的责任。</w:t>
      </w:r>
    </w:p>
    <w:p w14:paraId="3AD246EF">
      <w:pPr>
        <w:spacing w:before="196" w:line="294" w:lineRule="auto"/>
        <w:ind w:left="64" w:right="177" w:firstLine="629"/>
        <w:rPr>
          <w:rFonts w:ascii="宋体" w:hAnsi="宋体" w:eastAsia="宋体" w:cs="宋体"/>
          <w:sz w:val="24"/>
          <w:szCs w:val="24"/>
        </w:rPr>
      </w:pPr>
      <w:r>
        <w:rPr>
          <w:rFonts w:ascii="宋体" w:hAnsi="宋体" w:eastAsia="宋体" w:cs="宋体"/>
          <w:spacing w:val="1"/>
          <w:sz w:val="24"/>
          <w:szCs w:val="24"/>
        </w:rPr>
        <w:t>(5)本评估报告所有权归评估委托方所有，除</w:t>
      </w:r>
      <w:r>
        <w:rPr>
          <w:rFonts w:ascii="宋体" w:hAnsi="宋体" w:eastAsia="宋体" w:cs="宋体"/>
          <w:sz w:val="24"/>
          <w:szCs w:val="24"/>
        </w:rPr>
        <w:t xml:space="preserve">依据法律法规规定以及相关当 </w:t>
      </w:r>
      <w:r>
        <w:rPr>
          <w:rFonts w:ascii="宋体" w:hAnsi="宋体" w:eastAsia="宋体" w:cs="宋体"/>
          <w:spacing w:val="1"/>
          <w:sz w:val="24"/>
          <w:szCs w:val="24"/>
        </w:rPr>
        <w:t>事方另有约定外，未征得本机构及矿业权评估师同意，矿业权评估报告的全部或</w:t>
      </w:r>
    </w:p>
    <w:p w14:paraId="1071E8EA">
      <w:pPr>
        <w:spacing w:line="294" w:lineRule="auto"/>
        <w:rPr>
          <w:rFonts w:ascii="宋体" w:hAnsi="宋体" w:eastAsia="宋体" w:cs="宋体"/>
          <w:sz w:val="24"/>
          <w:szCs w:val="24"/>
        </w:rPr>
        <w:sectPr>
          <w:headerReference r:id="rId9" w:type="default"/>
          <w:footerReference r:id="rId10" w:type="default"/>
          <w:pgSz w:w="11900" w:h="16830"/>
          <w:pgMar w:top="1277" w:right="1419" w:bottom="1260" w:left="1785" w:header="1000" w:footer="918" w:gutter="0"/>
          <w:cols w:space="720" w:num="1"/>
        </w:sectPr>
      </w:pPr>
    </w:p>
    <w:p w14:paraId="13E81487">
      <w:pPr>
        <w:pStyle w:val="2"/>
        <w:spacing w:line="321" w:lineRule="auto"/>
      </w:pPr>
    </w:p>
    <w:p w14:paraId="5680DC8A">
      <w:pPr>
        <w:spacing w:before="78" w:line="219" w:lineRule="auto"/>
        <w:ind w:left="124"/>
        <w:rPr>
          <w:rFonts w:ascii="宋体" w:hAnsi="宋体" w:eastAsia="宋体" w:cs="宋体"/>
          <w:sz w:val="24"/>
          <w:szCs w:val="24"/>
        </w:rPr>
      </w:pPr>
      <w:r>
        <w:rPr>
          <w:rFonts w:ascii="宋体" w:hAnsi="宋体" w:eastAsia="宋体" w:cs="宋体"/>
          <w:spacing w:val="-3"/>
          <w:sz w:val="24"/>
          <w:szCs w:val="24"/>
        </w:rPr>
        <w:t>部分内容不得被摘抄、引用或披露于公开媒体。</w:t>
      </w:r>
    </w:p>
    <w:p w14:paraId="7D6B9E04">
      <w:pPr>
        <w:spacing w:before="194" w:line="218" w:lineRule="auto"/>
        <w:ind w:left="595"/>
        <w:rPr>
          <w:rFonts w:ascii="宋体" w:hAnsi="宋体" w:eastAsia="宋体" w:cs="宋体"/>
          <w:sz w:val="24"/>
          <w:szCs w:val="24"/>
        </w:rPr>
      </w:pPr>
      <w:r>
        <w:rPr>
          <w:rFonts w:ascii="宋体" w:hAnsi="宋体" w:eastAsia="宋体" w:cs="宋体"/>
          <w:spacing w:val="-3"/>
          <w:sz w:val="24"/>
          <w:szCs w:val="24"/>
        </w:rPr>
        <w:t>本评估报告的复印件不具有任何法律效力。</w:t>
      </w:r>
    </w:p>
    <w:p w14:paraId="6DD1E0B9">
      <w:pPr>
        <w:spacing w:before="196" w:line="220" w:lineRule="auto"/>
        <w:ind w:left="598"/>
        <w:rPr>
          <w:rFonts w:ascii="宋体" w:hAnsi="宋体" w:eastAsia="宋体" w:cs="宋体"/>
          <w:sz w:val="24"/>
          <w:szCs w:val="24"/>
        </w:rPr>
      </w:pPr>
      <w:r>
        <w:rPr>
          <w:rFonts w:ascii="宋体" w:hAnsi="宋体" w:eastAsia="宋体" w:cs="宋体"/>
          <w:b/>
          <w:bCs/>
          <w:spacing w:val="-14"/>
          <w:sz w:val="24"/>
          <w:szCs w:val="24"/>
        </w:rPr>
        <w:t>重要提示：</w:t>
      </w:r>
    </w:p>
    <w:p w14:paraId="747664B7">
      <w:pPr>
        <w:spacing w:before="185" w:line="368" w:lineRule="auto"/>
        <w:ind w:left="134" w:right="68" w:firstLine="460"/>
        <w:rPr>
          <w:rFonts w:ascii="宋体" w:hAnsi="宋体" w:eastAsia="宋体" w:cs="宋体"/>
          <w:sz w:val="24"/>
          <w:szCs w:val="24"/>
        </w:rPr>
      </w:pPr>
      <w:r>
        <w:rPr>
          <w:rFonts w:ascii="宋体" w:hAnsi="宋体" w:eastAsia="宋体" w:cs="宋体"/>
          <w:spacing w:val="1"/>
          <w:sz w:val="24"/>
          <w:szCs w:val="24"/>
        </w:rPr>
        <w:t>以上内容摘自《云南罗平锌电股份有限公司富乐铅锌矿采矿权出让收</w:t>
      </w:r>
      <w:r>
        <w:rPr>
          <w:rFonts w:ascii="宋体" w:hAnsi="宋体" w:eastAsia="宋体" w:cs="宋体"/>
          <w:sz w:val="24"/>
          <w:szCs w:val="24"/>
        </w:rPr>
        <w:t xml:space="preserve">益评估 </w:t>
      </w:r>
      <w:r>
        <w:rPr>
          <w:rFonts w:ascii="宋体" w:hAnsi="宋体" w:eastAsia="宋体" w:cs="宋体"/>
          <w:spacing w:val="-2"/>
          <w:sz w:val="24"/>
          <w:szCs w:val="24"/>
        </w:rPr>
        <w:t>报告》,欲了解本次评估的全面情况，请阅读本采矿权出让</w:t>
      </w:r>
      <w:r>
        <w:rPr>
          <w:rFonts w:ascii="宋体" w:hAnsi="宋体" w:eastAsia="宋体" w:cs="宋体"/>
          <w:spacing w:val="-3"/>
          <w:sz w:val="24"/>
          <w:szCs w:val="24"/>
        </w:rPr>
        <w:t>收益评估报告全文。</w:t>
      </w:r>
    </w:p>
    <w:p w14:paraId="1BDDDA10">
      <w:pPr>
        <w:spacing w:line="368" w:lineRule="auto"/>
        <w:rPr>
          <w:rFonts w:ascii="宋体" w:hAnsi="宋体" w:eastAsia="宋体" w:cs="宋体"/>
          <w:sz w:val="24"/>
          <w:szCs w:val="24"/>
        </w:rPr>
        <w:sectPr>
          <w:headerReference r:id="rId11" w:type="default"/>
          <w:footerReference r:id="rId12" w:type="default"/>
          <w:pgSz w:w="11900" w:h="16830"/>
          <w:pgMar w:top="1256" w:right="1499" w:bottom="1279" w:left="1785" w:header="980" w:footer="938" w:gutter="0"/>
          <w:cols w:space="720" w:num="1"/>
        </w:sectPr>
      </w:pPr>
    </w:p>
    <w:p w14:paraId="60B724C6">
      <w:pPr>
        <w:pStyle w:val="2"/>
        <w:spacing w:line="393" w:lineRule="auto"/>
      </w:pPr>
    </w:p>
    <w:p w14:paraId="03373C8A">
      <w:pPr>
        <w:spacing w:before="78" w:line="220" w:lineRule="auto"/>
        <w:ind w:left="694"/>
        <w:rPr>
          <w:rFonts w:ascii="宋体" w:hAnsi="宋体" w:eastAsia="宋体" w:cs="宋体"/>
          <w:sz w:val="24"/>
          <w:szCs w:val="24"/>
        </w:rPr>
      </w:pPr>
      <w:r>
        <w:rPr>
          <w:rFonts w:ascii="宋体" w:hAnsi="宋体" w:eastAsia="宋体" w:cs="宋体"/>
          <w:spacing w:val="8"/>
          <w:sz w:val="24"/>
          <w:szCs w:val="24"/>
        </w:rPr>
        <w:t>(此页无正文)</w:t>
      </w:r>
    </w:p>
    <w:p w14:paraId="77CBB893">
      <w:pPr>
        <w:pStyle w:val="2"/>
        <w:spacing w:line="285" w:lineRule="auto"/>
      </w:pPr>
    </w:p>
    <w:p w14:paraId="3E831531">
      <w:pPr>
        <w:pStyle w:val="2"/>
        <w:spacing w:line="285" w:lineRule="auto"/>
      </w:pPr>
    </w:p>
    <w:p w14:paraId="7D72AA7F">
      <w:pPr>
        <w:pStyle w:val="2"/>
        <w:spacing w:line="285" w:lineRule="auto"/>
      </w:pPr>
    </w:p>
    <w:p w14:paraId="561800A8">
      <w:pPr>
        <w:pStyle w:val="2"/>
        <w:spacing w:line="285" w:lineRule="auto"/>
      </w:pPr>
    </w:p>
    <w:p w14:paraId="396ECD55">
      <w:pPr>
        <w:pStyle w:val="2"/>
        <w:spacing w:line="286" w:lineRule="auto"/>
      </w:pPr>
    </w:p>
    <w:p w14:paraId="72CC5C12">
      <w:pPr>
        <w:spacing w:before="78" w:line="219" w:lineRule="auto"/>
        <w:ind w:left="565"/>
        <w:rPr>
          <w:rFonts w:ascii="宋体" w:hAnsi="宋体" w:eastAsia="宋体" w:cs="宋体"/>
          <w:sz w:val="24"/>
          <w:szCs w:val="24"/>
        </w:rPr>
      </w:pPr>
      <w:r>
        <w:rPr>
          <w:rFonts w:ascii="宋体" w:hAnsi="宋体" w:eastAsia="宋体" w:cs="宋体"/>
          <w:spacing w:val="-10"/>
          <w:sz w:val="24"/>
          <w:szCs w:val="24"/>
        </w:rPr>
        <w:t>法定代表人：</w:t>
      </w:r>
    </w:p>
    <w:p w14:paraId="1C4C082E">
      <w:pPr>
        <w:spacing w:before="165" w:line="219" w:lineRule="auto"/>
        <w:ind w:left="2275"/>
        <w:rPr>
          <w:rFonts w:ascii="宋体" w:hAnsi="宋体" w:eastAsia="宋体" w:cs="宋体"/>
          <w:sz w:val="24"/>
          <w:szCs w:val="24"/>
        </w:rPr>
      </w:pPr>
      <w:r>
        <w:rPr>
          <w:rFonts w:ascii="宋体" w:hAnsi="宋体" w:eastAsia="宋体" w:cs="宋体"/>
          <w:sz w:val="24"/>
          <w:szCs w:val="24"/>
        </w:rPr>
        <w:t>众</w:t>
      </w:r>
    </w:p>
    <w:p w14:paraId="0BDF21FA">
      <w:pPr>
        <w:spacing w:before="72"/>
      </w:pPr>
    </w:p>
    <w:p w14:paraId="76B59D3C">
      <w:pPr>
        <w:spacing w:before="71"/>
      </w:pPr>
    </w:p>
    <w:p w14:paraId="16424700">
      <w:pPr>
        <w:sectPr>
          <w:headerReference r:id="rId13" w:type="default"/>
          <w:footerReference r:id="rId14" w:type="default"/>
          <w:pgSz w:w="11900" w:h="16830"/>
          <w:pgMar w:top="1207" w:right="1519" w:bottom="1260" w:left="1785" w:header="930" w:footer="918" w:gutter="0"/>
          <w:cols w:equalWidth="0" w:num="1">
            <w:col w:w="8596"/>
          </w:cols>
        </w:sectPr>
      </w:pPr>
    </w:p>
    <w:p w14:paraId="5AA88BFC">
      <w:pPr>
        <w:pStyle w:val="2"/>
        <w:spacing w:line="415" w:lineRule="auto"/>
      </w:pPr>
    </w:p>
    <w:p w14:paraId="563EEA47">
      <w:pPr>
        <w:spacing w:before="78" w:line="218" w:lineRule="auto"/>
        <w:ind w:left="585"/>
        <w:rPr>
          <w:rFonts w:ascii="宋体" w:hAnsi="宋体" w:eastAsia="宋体" w:cs="宋体"/>
          <w:sz w:val="24"/>
          <w:szCs w:val="24"/>
        </w:rPr>
      </w:pPr>
      <w:r>
        <w:rPr>
          <w:rFonts w:ascii="宋体" w:hAnsi="宋体" w:eastAsia="宋体" w:cs="宋体"/>
          <w:spacing w:val="-12"/>
          <w:sz w:val="24"/>
          <w:szCs w:val="24"/>
        </w:rPr>
        <w:t>矿业权评估师：</w:t>
      </w:r>
    </w:p>
    <w:p w14:paraId="3F8E8237">
      <w:pPr>
        <w:spacing w:before="62"/>
      </w:pPr>
    </w:p>
    <w:p w14:paraId="0D200687">
      <w:pPr>
        <w:spacing w:before="62"/>
      </w:pPr>
    </w:p>
    <w:p w14:paraId="31087BAF">
      <w:pPr>
        <w:pStyle w:val="2"/>
        <w:spacing w:line="14" w:lineRule="auto"/>
        <w:rPr>
          <w:sz w:val="2"/>
        </w:rPr>
      </w:pPr>
      <w:r>
        <w:rPr>
          <w:sz w:val="2"/>
          <w:szCs w:val="2"/>
        </w:rPr>
        <w:br w:type="column"/>
      </w:r>
    </w:p>
    <w:p w14:paraId="3DBE6174">
      <w:pPr>
        <w:pStyle w:val="2"/>
        <w:spacing w:line="310" w:lineRule="auto"/>
      </w:pPr>
    </w:p>
    <w:p w14:paraId="3E61C370">
      <w:pPr>
        <w:spacing w:before="78"/>
        <w:ind w:left="299"/>
        <w:rPr>
          <w:rFonts w:ascii="宋体" w:hAnsi="宋体" w:eastAsia="宋体" w:cs="宋体"/>
          <w:sz w:val="24"/>
          <w:szCs w:val="24"/>
        </w:rPr>
      </w:pPr>
      <w:r>
        <w:rPr>
          <w:rFonts w:ascii="宋体" w:hAnsi="宋体" w:eastAsia="宋体" w:cs="宋体"/>
          <w:spacing w:val="-7"/>
          <w:sz w:val="24"/>
          <w:szCs w:val="24"/>
        </w:rPr>
        <w:t>16</w:t>
      </w:r>
    </w:p>
    <w:p w14:paraId="778386E5">
      <w:pPr>
        <w:pStyle w:val="2"/>
        <w:spacing w:line="14" w:lineRule="auto"/>
        <w:rPr>
          <w:sz w:val="2"/>
        </w:rPr>
      </w:pPr>
      <w:r>
        <w:rPr>
          <w:sz w:val="2"/>
          <w:szCs w:val="2"/>
        </w:rPr>
        <w:br w:type="column"/>
      </w:r>
    </w:p>
    <w:p w14:paraId="592EFD8B">
      <w:pPr>
        <w:pStyle w:val="2"/>
        <w:spacing w:line="297" w:lineRule="auto"/>
      </w:pPr>
    </w:p>
    <w:p w14:paraId="68A5D0EE">
      <w:pPr>
        <w:pStyle w:val="2"/>
        <w:spacing w:line="297" w:lineRule="auto"/>
      </w:pPr>
    </w:p>
    <w:p w14:paraId="5799A64A">
      <w:pPr>
        <w:spacing w:before="72" w:line="222" w:lineRule="auto"/>
        <w:ind w:left="1099"/>
        <w:rPr>
          <w:rFonts w:ascii="宋体" w:hAnsi="宋体" w:eastAsia="宋体" w:cs="宋体"/>
          <w:sz w:val="22"/>
          <w:szCs w:val="22"/>
        </w:rPr>
      </w:pPr>
      <w:r>
        <w:drawing>
          <wp:anchor distT="0" distB="0" distL="0" distR="0" simplePos="0" relativeHeight="251671552" behindDoc="0" locked="0" layoutInCell="1" allowOverlap="1">
            <wp:simplePos x="0" y="0"/>
            <wp:positionH relativeFrom="column">
              <wp:posOffset>0</wp:posOffset>
            </wp:positionH>
            <wp:positionV relativeFrom="paragraph">
              <wp:posOffset>-273050</wp:posOffset>
            </wp:positionV>
            <wp:extent cx="787400" cy="7429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38"/>
                    <a:stretch>
                      <a:fillRect/>
                    </a:stretch>
                  </pic:blipFill>
                  <pic:spPr>
                    <a:xfrm>
                      <a:off x="0" y="0"/>
                      <a:ext cx="787387" cy="742963"/>
                    </a:xfrm>
                    <a:prstGeom prst="rect">
                      <a:avLst/>
                    </a:prstGeom>
                  </pic:spPr>
                </pic:pic>
              </a:graphicData>
            </a:graphic>
          </wp:anchor>
        </w:drawing>
      </w:r>
      <w:r>
        <w:rPr>
          <w:rFonts w:ascii="宋体" w:hAnsi="宋体" w:eastAsia="宋体" w:cs="宋体"/>
          <w:sz w:val="22"/>
          <w:szCs w:val="22"/>
        </w:rPr>
        <w:t>人</w:t>
      </w:r>
    </w:p>
    <w:p w14:paraId="03CE182F">
      <w:pPr>
        <w:pStyle w:val="2"/>
        <w:spacing w:line="14" w:lineRule="auto"/>
        <w:rPr>
          <w:sz w:val="2"/>
        </w:rPr>
      </w:pPr>
      <w:r>
        <w:rPr>
          <w:sz w:val="2"/>
          <w:szCs w:val="2"/>
        </w:rPr>
        <w:br w:type="column"/>
      </w:r>
    </w:p>
    <w:p w14:paraId="3BC8B523">
      <w:pPr>
        <w:spacing w:before="46" w:line="1181" w:lineRule="exact"/>
      </w:pPr>
      <w:r>
        <w:rPr>
          <w:position w:val="-23"/>
        </w:rPr>
        <w:drawing>
          <wp:inline distT="0" distB="0" distL="0" distR="0">
            <wp:extent cx="1016635" cy="7493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39"/>
                    <a:stretch>
                      <a:fillRect/>
                    </a:stretch>
                  </pic:blipFill>
                  <pic:spPr>
                    <a:xfrm>
                      <a:off x="0" y="0"/>
                      <a:ext cx="1017020" cy="749801"/>
                    </a:xfrm>
                    <a:prstGeom prst="rect">
                      <a:avLst/>
                    </a:prstGeom>
                  </pic:spPr>
                </pic:pic>
              </a:graphicData>
            </a:graphic>
          </wp:inline>
        </w:drawing>
      </w:r>
    </w:p>
    <w:p w14:paraId="50EA15CC">
      <w:pPr>
        <w:spacing w:line="1181" w:lineRule="exact"/>
        <w:sectPr>
          <w:type w:val="continuous"/>
          <w:pgSz w:w="11900" w:h="16830"/>
          <w:pgMar w:top="1207" w:right="1519" w:bottom="1260" w:left="1785" w:header="930" w:footer="918" w:gutter="0"/>
          <w:cols w:equalWidth="0" w:num="4">
            <w:col w:w="2326" w:space="100"/>
            <w:col w:w="720" w:space="0"/>
            <w:col w:w="2484" w:space="100"/>
            <w:col w:w="2867"/>
          </w:cols>
        </w:sectPr>
      </w:pPr>
    </w:p>
    <w:p w14:paraId="57567725">
      <w:pPr>
        <w:pStyle w:val="2"/>
        <w:spacing w:line="251" w:lineRule="auto"/>
      </w:pPr>
    </w:p>
    <w:p w14:paraId="2D820668">
      <w:pPr>
        <w:pStyle w:val="2"/>
        <w:spacing w:line="251" w:lineRule="auto"/>
      </w:pPr>
    </w:p>
    <w:p w14:paraId="30CB843F">
      <w:pPr>
        <w:pStyle w:val="2"/>
        <w:spacing w:line="251" w:lineRule="auto"/>
      </w:pPr>
    </w:p>
    <w:p w14:paraId="478CECC0">
      <w:pPr>
        <w:pStyle w:val="2"/>
        <w:spacing w:line="251" w:lineRule="auto"/>
      </w:pPr>
    </w:p>
    <w:p w14:paraId="21B3A0BF">
      <w:pPr>
        <w:pStyle w:val="2"/>
        <w:spacing w:line="251" w:lineRule="auto"/>
      </w:pPr>
    </w:p>
    <w:p w14:paraId="5A6CE056">
      <w:pPr>
        <w:pStyle w:val="2"/>
        <w:spacing w:line="251" w:lineRule="auto"/>
      </w:pPr>
    </w:p>
    <w:p w14:paraId="16B327CB">
      <w:pPr>
        <w:pStyle w:val="2"/>
        <w:spacing w:line="251" w:lineRule="auto"/>
      </w:pPr>
    </w:p>
    <w:p w14:paraId="25211183">
      <w:pPr>
        <w:pStyle w:val="2"/>
        <w:spacing w:line="252" w:lineRule="auto"/>
      </w:pPr>
    </w:p>
    <w:p w14:paraId="7108A724">
      <w:pPr>
        <w:spacing w:before="78" w:line="218" w:lineRule="auto"/>
        <w:ind w:left="5444"/>
        <w:rPr>
          <w:rFonts w:ascii="宋体" w:hAnsi="宋体" w:eastAsia="宋体" w:cs="宋体"/>
          <w:sz w:val="24"/>
          <w:szCs w:val="24"/>
        </w:rPr>
      </w:pPr>
      <w:r>
        <w:drawing>
          <wp:anchor distT="0" distB="0" distL="0" distR="0" simplePos="0" relativeHeight="251670528" behindDoc="0" locked="0" layoutInCell="1" allowOverlap="1">
            <wp:simplePos x="0" y="0"/>
            <wp:positionH relativeFrom="column">
              <wp:posOffset>3818890</wp:posOffset>
            </wp:positionH>
            <wp:positionV relativeFrom="paragraph">
              <wp:posOffset>-520065</wp:posOffset>
            </wp:positionV>
            <wp:extent cx="1530350" cy="152400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40"/>
                    <a:stretch>
                      <a:fillRect/>
                    </a:stretch>
                  </pic:blipFill>
                  <pic:spPr>
                    <a:xfrm>
                      <a:off x="0" y="0"/>
                      <a:ext cx="1530342" cy="1524080"/>
                    </a:xfrm>
                    <a:prstGeom prst="rect">
                      <a:avLst/>
                    </a:prstGeom>
                  </pic:spPr>
                </pic:pic>
              </a:graphicData>
            </a:graphic>
          </wp:anchor>
        </w:drawing>
      </w:r>
      <w:r>
        <w:rPr>
          <w:rFonts w:ascii="宋体" w:hAnsi="宋体" w:eastAsia="宋体" w:cs="宋体"/>
          <w:spacing w:val="-10"/>
          <w:sz w:val="24"/>
          <w:szCs w:val="24"/>
        </w:rPr>
        <w:t>云南俊成矿业权评估有限公司</w:t>
      </w:r>
    </w:p>
    <w:p w14:paraId="0DD4A968">
      <w:pPr>
        <w:spacing w:before="259" w:line="184" w:lineRule="auto"/>
        <w:ind w:left="5714"/>
        <w:rPr>
          <w:rFonts w:ascii="宋体" w:hAnsi="宋体" w:eastAsia="宋体" w:cs="宋体"/>
          <w:sz w:val="24"/>
          <w:szCs w:val="24"/>
        </w:rPr>
      </w:pPr>
      <w:r>
        <w:rPr>
          <w:rFonts w:ascii="宋体" w:hAnsi="宋体" w:eastAsia="宋体" w:cs="宋体"/>
          <w:spacing w:val="-2"/>
          <w:sz w:val="24"/>
          <w:szCs w:val="24"/>
        </w:rPr>
        <w:t>二〇二二年十一月八日</w:t>
      </w:r>
    </w:p>
    <w:p w14:paraId="223A36C6">
      <w:pPr>
        <w:spacing w:line="184" w:lineRule="auto"/>
        <w:rPr>
          <w:rFonts w:ascii="宋体" w:hAnsi="宋体" w:eastAsia="宋体" w:cs="宋体"/>
          <w:sz w:val="24"/>
          <w:szCs w:val="24"/>
        </w:rPr>
        <w:sectPr>
          <w:type w:val="continuous"/>
          <w:pgSz w:w="11900" w:h="16830"/>
          <w:pgMar w:top="1207" w:right="1519" w:bottom="1260" w:left="1785" w:header="930" w:footer="918" w:gutter="0"/>
          <w:cols w:equalWidth="0" w:num="1">
            <w:col w:w="8596"/>
          </w:cols>
        </w:sectPr>
      </w:pPr>
    </w:p>
    <w:p w14:paraId="29DB2196">
      <w:pPr>
        <w:pStyle w:val="2"/>
        <w:spacing w:line="289" w:lineRule="auto"/>
      </w:pPr>
    </w:p>
    <w:p w14:paraId="0F0D1A17">
      <w:pPr>
        <w:spacing w:before="91" w:line="363" w:lineRule="auto"/>
        <w:ind w:left="3224" w:right="1587" w:hanging="1670"/>
        <w:rPr>
          <w:rFonts w:ascii="宋体" w:hAnsi="宋体" w:eastAsia="宋体" w:cs="宋体"/>
          <w:sz w:val="28"/>
          <w:szCs w:val="28"/>
        </w:rPr>
      </w:pPr>
      <w:r>
        <w:rPr>
          <w:rFonts w:ascii="宋体" w:hAnsi="宋体" w:eastAsia="宋体" w:cs="宋体"/>
          <w:spacing w:val="-1"/>
          <w:sz w:val="28"/>
          <w:szCs w:val="28"/>
        </w:rPr>
        <w:t>云南罗平锌电股份有限公司富乐铅锌矿采矿权</w:t>
      </w:r>
      <w:r>
        <w:rPr>
          <w:rFonts w:ascii="宋体" w:hAnsi="宋体" w:eastAsia="宋体" w:cs="宋体"/>
          <w:sz w:val="28"/>
          <w:szCs w:val="28"/>
        </w:rPr>
        <w:t xml:space="preserve"> </w:t>
      </w:r>
      <w:r>
        <w:rPr>
          <w:rFonts w:ascii="宋体" w:hAnsi="宋体" w:eastAsia="宋体" w:cs="宋体"/>
          <w:spacing w:val="-1"/>
          <w:sz w:val="28"/>
          <w:szCs w:val="28"/>
        </w:rPr>
        <w:t>出让收益评估报告</w:t>
      </w:r>
    </w:p>
    <w:p w14:paraId="17A8331F">
      <w:pPr>
        <w:spacing w:line="221" w:lineRule="auto"/>
        <w:ind w:left="4089"/>
        <w:rPr>
          <w:rFonts w:ascii="宋体" w:hAnsi="宋体" w:eastAsia="宋体" w:cs="宋体"/>
          <w:sz w:val="28"/>
          <w:szCs w:val="28"/>
        </w:rPr>
      </w:pPr>
      <w:bookmarkStart w:id="0" w:name="bookmark1"/>
      <w:bookmarkEnd w:id="0"/>
      <w:r>
        <w:rPr>
          <w:rFonts w:ascii="宋体" w:hAnsi="宋体" w:eastAsia="宋体" w:cs="宋体"/>
          <w:b/>
          <w:bCs/>
          <w:spacing w:val="-12"/>
          <w:sz w:val="28"/>
          <w:szCs w:val="28"/>
        </w:rPr>
        <w:t>目录</w:t>
      </w:r>
    </w:p>
    <w:p w14:paraId="0C5767AE">
      <w:pPr>
        <w:pStyle w:val="2"/>
        <w:spacing w:line="267" w:lineRule="auto"/>
      </w:pPr>
    </w:p>
    <w:sdt>
      <w:sdtPr>
        <w:rPr>
          <w:rFonts w:ascii="宋体" w:hAnsi="宋体" w:eastAsia="宋体" w:cs="宋体"/>
          <w:sz w:val="24"/>
          <w:szCs w:val="24"/>
        </w:rPr>
        <w:id w:val="147472983"/>
        <w:docPartObj>
          <w:docPartGallery w:val="Table of Contents"/>
          <w:docPartUnique/>
        </w:docPartObj>
      </w:sdtPr>
      <w:sdtEndPr>
        <w:rPr>
          <w:rFonts w:ascii="Arial" w:hAnsi="Arial" w:eastAsia="Arial" w:cs="Arial"/>
          <w:sz w:val="23"/>
          <w:szCs w:val="23"/>
        </w:rPr>
      </w:sdtEndPr>
      <w:sdtContent>
        <w:p w14:paraId="28B6A956">
          <w:pPr>
            <w:spacing w:before="78" w:line="221" w:lineRule="auto"/>
            <w:ind w:left="134"/>
            <w:rPr>
              <w:rFonts w:ascii="宋体" w:hAnsi="宋体" w:eastAsia="宋体" w:cs="宋体"/>
              <w:sz w:val="24"/>
              <w:szCs w:val="24"/>
            </w:rPr>
          </w:pPr>
          <w:r>
            <w:fldChar w:fldCharType="begin"/>
          </w:r>
          <w:r>
            <w:instrText xml:space="preserve"> HYPERLINK \l "bookmark2" </w:instrText>
          </w:r>
          <w:r>
            <w:fldChar w:fldCharType="separate"/>
          </w:r>
          <w:r>
            <w:rPr>
              <w:rFonts w:ascii="宋体" w:hAnsi="宋体" w:eastAsia="宋体" w:cs="宋体"/>
              <w:spacing w:val="-3"/>
              <w:sz w:val="24"/>
              <w:szCs w:val="24"/>
            </w:rPr>
            <w:t>一</w:t>
          </w:r>
          <w:r>
            <w:rPr>
              <w:rFonts w:ascii="宋体" w:hAnsi="宋体" w:eastAsia="宋体" w:cs="宋体"/>
              <w:spacing w:val="-72"/>
              <w:sz w:val="24"/>
              <w:szCs w:val="24"/>
            </w:rPr>
            <w:t xml:space="preserve"> </w:t>
          </w:r>
          <w:r>
            <w:rPr>
              <w:rFonts w:ascii="宋体" w:hAnsi="宋体" w:eastAsia="宋体" w:cs="宋体"/>
              <w:spacing w:val="-3"/>
              <w:sz w:val="24"/>
              <w:szCs w:val="24"/>
            </w:rPr>
            <w:t>、正文目录</w:t>
          </w:r>
          <w:r>
            <w:rPr>
              <w:rFonts w:ascii="宋体" w:hAnsi="宋体" w:eastAsia="宋体" w:cs="宋体"/>
              <w:spacing w:val="-3"/>
              <w:sz w:val="24"/>
              <w:szCs w:val="24"/>
            </w:rPr>
            <w:fldChar w:fldCharType="end"/>
          </w:r>
        </w:p>
        <w:p w14:paraId="39BB0B1A">
          <w:pPr>
            <w:pStyle w:val="2"/>
            <w:tabs>
              <w:tab w:val="right" w:leader="dot" w:pos="8717"/>
            </w:tabs>
            <w:spacing w:before="236" w:line="218" w:lineRule="auto"/>
            <w:ind w:left="104"/>
            <w:rPr>
              <w:sz w:val="23"/>
              <w:szCs w:val="23"/>
            </w:rPr>
          </w:pPr>
          <w:r>
            <w:fldChar w:fldCharType="begin"/>
          </w:r>
          <w:r>
            <w:instrText xml:space="preserve"> HYPERLINK \l "bookmark3" </w:instrText>
          </w:r>
          <w:r>
            <w:fldChar w:fldCharType="separate"/>
          </w:r>
          <w:r>
            <w:rPr>
              <w:rFonts w:ascii="Times New Roman" w:hAnsi="Times New Roman" w:eastAsia="Times New Roman" w:cs="Times New Roman"/>
              <w:spacing w:val="10"/>
              <w:sz w:val="23"/>
              <w:szCs w:val="23"/>
            </w:rPr>
            <w:t xml:space="preserve">1. </w:t>
          </w:r>
          <w:r>
            <w:rPr>
              <w:rFonts w:ascii="宋体" w:hAnsi="宋体" w:eastAsia="宋体" w:cs="宋体"/>
              <w:spacing w:val="10"/>
              <w:sz w:val="23"/>
              <w:szCs w:val="23"/>
            </w:rPr>
            <w:t>评估机构</w:t>
          </w:r>
          <w:r>
            <w:rPr>
              <w:rFonts w:ascii="宋体" w:hAnsi="宋体" w:eastAsia="宋体" w:cs="宋体"/>
              <w:spacing w:val="-96"/>
              <w:sz w:val="23"/>
              <w:szCs w:val="23"/>
            </w:rPr>
            <w:t xml:space="preserve"> </w:t>
          </w:r>
          <w:r>
            <w:rPr>
              <w:rFonts w:ascii="宋体" w:hAnsi="宋体" w:eastAsia="宋体" w:cs="宋体"/>
              <w:sz w:val="23"/>
              <w:szCs w:val="23"/>
            </w:rPr>
            <w:tab/>
          </w:r>
          <w:r>
            <w:rPr>
              <w:spacing w:val="-22"/>
              <w:sz w:val="23"/>
              <w:szCs w:val="23"/>
            </w:rPr>
            <w:t>1</w:t>
          </w:r>
          <w:r>
            <w:rPr>
              <w:spacing w:val="-22"/>
              <w:sz w:val="23"/>
              <w:szCs w:val="23"/>
            </w:rPr>
            <w:fldChar w:fldCharType="end"/>
          </w:r>
        </w:p>
        <w:p w14:paraId="6A1C39C4">
          <w:pPr>
            <w:pStyle w:val="2"/>
            <w:tabs>
              <w:tab w:val="right" w:leader="dot" w:pos="8707"/>
            </w:tabs>
            <w:spacing w:before="249" w:line="219" w:lineRule="auto"/>
            <w:ind w:left="104"/>
            <w:rPr>
              <w:sz w:val="23"/>
              <w:szCs w:val="23"/>
            </w:rPr>
          </w:pPr>
          <w:r>
            <w:fldChar w:fldCharType="begin"/>
          </w:r>
          <w:r>
            <w:instrText xml:space="preserve"> HYPERLINK \l "bookmark4" </w:instrText>
          </w:r>
          <w:r>
            <w:fldChar w:fldCharType="separate"/>
          </w:r>
          <w:r>
            <w:rPr>
              <w:rFonts w:ascii="Times New Roman" w:hAnsi="Times New Roman" w:eastAsia="Times New Roman" w:cs="Times New Roman"/>
              <w:spacing w:val="14"/>
              <w:sz w:val="23"/>
              <w:szCs w:val="23"/>
            </w:rPr>
            <w:t xml:space="preserve">2. </w:t>
          </w:r>
          <w:r>
            <w:rPr>
              <w:rFonts w:ascii="宋体" w:hAnsi="宋体" w:eastAsia="宋体" w:cs="宋体"/>
              <w:spacing w:val="14"/>
              <w:sz w:val="23"/>
              <w:szCs w:val="23"/>
            </w:rPr>
            <w:t>委托方及采矿权人</w:t>
          </w:r>
          <w:r>
            <w:rPr>
              <w:rFonts w:ascii="宋体" w:hAnsi="宋体" w:eastAsia="宋体" w:cs="宋体"/>
              <w:spacing w:val="-90"/>
              <w:sz w:val="23"/>
              <w:szCs w:val="23"/>
            </w:rPr>
            <w:t xml:space="preserve"> </w:t>
          </w:r>
          <w:r>
            <w:rPr>
              <w:rFonts w:ascii="宋体" w:hAnsi="宋体" w:eastAsia="宋体" w:cs="宋体"/>
              <w:sz w:val="23"/>
              <w:szCs w:val="23"/>
            </w:rPr>
            <w:tab/>
          </w:r>
          <w:r>
            <w:rPr>
              <w:rFonts w:ascii="宋体" w:hAnsi="宋体" w:eastAsia="宋体" w:cs="宋体"/>
              <w:spacing w:val="-48"/>
              <w:sz w:val="23"/>
              <w:szCs w:val="23"/>
            </w:rPr>
            <w:t xml:space="preserve"> </w:t>
          </w:r>
          <w:r>
            <w:rPr>
              <w:spacing w:val="-26"/>
              <w:sz w:val="23"/>
              <w:szCs w:val="23"/>
            </w:rPr>
            <w:t>1</w:t>
          </w:r>
          <w:r>
            <w:rPr>
              <w:spacing w:val="-26"/>
              <w:sz w:val="23"/>
              <w:szCs w:val="23"/>
            </w:rPr>
            <w:fldChar w:fldCharType="end"/>
          </w:r>
        </w:p>
        <w:p w14:paraId="79D382ED">
          <w:pPr>
            <w:pStyle w:val="2"/>
            <w:tabs>
              <w:tab w:val="right" w:leader="dot" w:pos="8695"/>
            </w:tabs>
            <w:spacing w:before="207" w:line="218" w:lineRule="auto"/>
            <w:ind w:left="104"/>
            <w:rPr>
              <w:sz w:val="23"/>
              <w:szCs w:val="23"/>
            </w:rPr>
          </w:pPr>
          <w:r>
            <w:fldChar w:fldCharType="begin"/>
          </w:r>
          <w:r>
            <w:instrText xml:space="preserve"> HYPERLINK \l "bookmark5" </w:instrText>
          </w:r>
          <w:r>
            <w:fldChar w:fldCharType="separate"/>
          </w:r>
          <w:r>
            <w:rPr>
              <w:rFonts w:ascii="Times New Roman" w:hAnsi="Times New Roman" w:eastAsia="Times New Roman" w:cs="Times New Roman"/>
              <w:spacing w:val="13"/>
              <w:sz w:val="23"/>
              <w:szCs w:val="23"/>
            </w:rPr>
            <w:t xml:space="preserve">3. </w:t>
          </w:r>
          <w:r>
            <w:rPr>
              <w:rFonts w:ascii="宋体" w:hAnsi="宋体" w:eastAsia="宋体" w:cs="宋体"/>
              <w:spacing w:val="13"/>
              <w:sz w:val="23"/>
              <w:szCs w:val="23"/>
            </w:rPr>
            <w:t>评估目的</w:t>
          </w:r>
          <w:r>
            <w:rPr>
              <w:rFonts w:ascii="宋体" w:hAnsi="宋体" w:eastAsia="宋体" w:cs="宋体"/>
              <w:spacing w:val="-97"/>
              <w:sz w:val="23"/>
              <w:szCs w:val="23"/>
            </w:rPr>
            <w:t xml:space="preserve"> </w:t>
          </w:r>
          <w:r>
            <w:rPr>
              <w:rFonts w:ascii="宋体" w:hAnsi="宋体" w:eastAsia="宋体" w:cs="宋体"/>
              <w:sz w:val="23"/>
              <w:szCs w:val="23"/>
            </w:rPr>
            <w:tab/>
          </w:r>
          <w:r>
            <w:rPr>
              <w:rFonts w:ascii="宋体" w:hAnsi="宋体" w:eastAsia="宋体" w:cs="宋体"/>
              <w:spacing w:val="-8"/>
              <w:sz w:val="23"/>
              <w:szCs w:val="23"/>
            </w:rPr>
            <w:t xml:space="preserve"> </w:t>
          </w:r>
          <w:r>
            <w:rPr>
              <w:sz w:val="23"/>
              <w:szCs w:val="23"/>
            </w:rPr>
            <w:t>2</w:t>
          </w:r>
          <w:r>
            <w:rPr>
              <w:sz w:val="23"/>
              <w:szCs w:val="23"/>
            </w:rPr>
            <w:fldChar w:fldCharType="end"/>
          </w:r>
        </w:p>
        <w:p w14:paraId="3CA571BE">
          <w:pPr>
            <w:pStyle w:val="2"/>
            <w:tabs>
              <w:tab w:val="right" w:leader="dot" w:pos="8705"/>
            </w:tabs>
            <w:spacing w:before="238" w:line="218" w:lineRule="auto"/>
            <w:ind w:left="104"/>
            <w:rPr>
              <w:sz w:val="23"/>
              <w:szCs w:val="23"/>
            </w:rPr>
          </w:pPr>
          <w:r>
            <w:fldChar w:fldCharType="begin"/>
          </w:r>
          <w:r>
            <w:instrText xml:space="preserve"> HYPERLINK \l "bookmark6" </w:instrText>
          </w:r>
          <w:r>
            <w:fldChar w:fldCharType="separate"/>
          </w:r>
          <w:r>
            <w:rPr>
              <w:rFonts w:ascii="Times New Roman" w:hAnsi="Times New Roman" w:eastAsia="Times New Roman" w:cs="Times New Roman"/>
              <w:spacing w:val="13"/>
              <w:sz w:val="23"/>
              <w:szCs w:val="23"/>
            </w:rPr>
            <w:t xml:space="preserve">4. </w:t>
          </w:r>
          <w:r>
            <w:rPr>
              <w:rFonts w:ascii="宋体" w:hAnsi="宋体" w:eastAsia="宋体" w:cs="宋体"/>
              <w:spacing w:val="13"/>
              <w:sz w:val="23"/>
              <w:szCs w:val="23"/>
            </w:rPr>
            <w:t>评估对象和范围</w:t>
          </w:r>
          <w:r>
            <w:rPr>
              <w:rFonts w:ascii="宋体" w:hAnsi="宋体" w:eastAsia="宋体" w:cs="宋体"/>
              <w:spacing w:val="-106"/>
              <w:sz w:val="23"/>
              <w:szCs w:val="23"/>
            </w:rPr>
            <w:t xml:space="preserve"> </w:t>
          </w:r>
          <w:r>
            <w:rPr>
              <w:rFonts w:ascii="宋体" w:hAnsi="宋体" w:eastAsia="宋体" w:cs="宋体"/>
              <w:sz w:val="23"/>
              <w:szCs w:val="23"/>
            </w:rPr>
            <w:tab/>
          </w:r>
          <w:r>
            <w:rPr>
              <w:rFonts w:ascii="宋体" w:hAnsi="宋体" w:eastAsia="宋体" w:cs="宋体"/>
              <w:spacing w:val="-28"/>
              <w:sz w:val="23"/>
              <w:szCs w:val="23"/>
            </w:rPr>
            <w:t xml:space="preserve"> </w:t>
          </w:r>
          <w:r>
            <w:rPr>
              <w:sz w:val="23"/>
              <w:szCs w:val="23"/>
            </w:rPr>
            <w:t>2</w:t>
          </w:r>
          <w:r>
            <w:rPr>
              <w:sz w:val="23"/>
              <w:szCs w:val="23"/>
            </w:rPr>
            <w:fldChar w:fldCharType="end"/>
          </w:r>
        </w:p>
        <w:p w14:paraId="02020B37">
          <w:pPr>
            <w:pStyle w:val="2"/>
            <w:tabs>
              <w:tab w:val="right" w:leader="dot" w:pos="8694"/>
            </w:tabs>
            <w:spacing w:before="177" w:line="314" w:lineRule="exact"/>
            <w:ind w:left="104"/>
            <w:rPr>
              <w:sz w:val="23"/>
              <w:szCs w:val="23"/>
            </w:rPr>
          </w:pPr>
          <w:r>
            <w:fldChar w:fldCharType="begin"/>
          </w:r>
          <w:r>
            <w:instrText xml:space="preserve"> HYPERLINK \l "bookmark7" </w:instrText>
          </w:r>
          <w:r>
            <w:fldChar w:fldCharType="separate"/>
          </w:r>
          <w:r>
            <w:rPr>
              <w:rFonts w:ascii="Times New Roman" w:hAnsi="Times New Roman" w:eastAsia="Times New Roman" w:cs="Times New Roman"/>
              <w:spacing w:val="13"/>
              <w:position w:val="1"/>
              <w:sz w:val="23"/>
              <w:szCs w:val="23"/>
            </w:rPr>
            <w:t xml:space="preserve">5. </w:t>
          </w:r>
          <w:r>
            <w:rPr>
              <w:rFonts w:ascii="宋体" w:hAnsi="宋体" w:eastAsia="宋体" w:cs="宋体"/>
              <w:spacing w:val="13"/>
              <w:position w:val="1"/>
              <w:sz w:val="23"/>
              <w:szCs w:val="23"/>
            </w:rPr>
            <w:t>评估基准日</w:t>
          </w:r>
          <w:r>
            <w:rPr>
              <w:rFonts w:ascii="宋体" w:hAnsi="宋体" w:eastAsia="宋体" w:cs="宋体"/>
              <w:position w:val="1"/>
              <w:sz w:val="23"/>
              <w:szCs w:val="23"/>
            </w:rPr>
            <w:tab/>
          </w:r>
          <w:r>
            <w:rPr>
              <w:rFonts w:ascii="宋体" w:hAnsi="宋体" w:eastAsia="宋体" w:cs="宋体"/>
              <w:spacing w:val="2"/>
              <w:position w:val="1"/>
              <w:sz w:val="23"/>
              <w:szCs w:val="23"/>
            </w:rPr>
            <w:t xml:space="preserve"> </w:t>
          </w:r>
          <w:r>
            <w:rPr>
              <w:position w:val="1"/>
              <w:sz w:val="23"/>
              <w:szCs w:val="23"/>
            </w:rPr>
            <w:t>6</w:t>
          </w:r>
          <w:r>
            <w:rPr>
              <w:position w:val="1"/>
              <w:sz w:val="23"/>
              <w:szCs w:val="23"/>
            </w:rPr>
            <w:fldChar w:fldCharType="end"/>
          </w:r>
        </w:p>
        <w:p w14:paraId="473634A2">
          <w:pPr>
            <w:pStyle w:val="2"/>
            <w:tabs>
              <w:tab w:val="right" w:leader="dot" w:pos="8704"/>
            </w:tabs>
            <w:spacing w:before="186" w:line="314" w:lineRule="exact"/>
            <w:ind w:left="104"/>
            <w:rPr>
              <w:sz w:val="23"/>
              <w:szCs w:val="23"/>
            </w:rPr>
          </w:pPr>
          <w:r>
            <w:fldChar w:fldCharType="begin"/>
          </w:r>
          <w:r>
            <w:instrText xml:space="preserve"> HYPERLINK \l "bookmark8" </w:instrText>
          </w:r>
          <w:r>
            <w:fldChar w:fldCharType="separate"/>
          </w:r>
          <w:r>
            <w:rPr>
              <w:rFonts w:ascii="Times New Roman" w:hAnsi="Times New Roman" w:eastAsia="Times New Roman" w:cs="Times New Roman"/>
              <w:spacing w:val="16"/>
              <w:position w:val="1"/>
              <w:sz w:val="23"/>
              <w:szCs w:val="23"/>
            </w:rPr>
            <w:t xml:space="preserve">6. </w:t>
          </w:r>
          <w:r>
            <w:rPr>
              <w:rFonts w:ascii="宋体" w:hAnsi="宋体" w:eastAsia="宋体" w:cs="宋体"/>
              <w:spacing w:val="16"/>
              <w:position w:val="1"/>
              <w:sz w:val="23"/>
              <w:szCs w:val="23"/>
            </w:rPr>
            <w:t>评估依据</w:t>
          </w:r>
          <w:r>
            <w:rPr>
              <w:rFonts w:ascii="宋体" w:hAnsi="宋体" w:eastAsia="宋体" w:cs="宋体"/>
              <w:spacing w:val="-98"/>
              <w:position w:val="1"/>
              <w:sz w:val="23"/>
              <w:szCs w:val="23"/>
            </w:rPr>
            <w:t xml:space="preserve"> </w:t>
          </w:r>
          <w:r>
            <w:rPr>
              <w:rFonts w:ascii="宋体" w:hAnsi="宋体" w:eastAsia="宋体" w:cs="宋体"/>
              <w:position w:val="1"/>
              <w:sz w:val="23"/>
              <w:szCs w:val="23"/>
            </w:rPr>
            <w:tab/>
          </w:r>
          <w:r>
            <w:rPr>
              <w:rFonts w:ascii="宋体" w:hAnsi="宋体" w:eastAsia="宋体" w:cs="宋体"/>
              <w:spacing w:val="-18"/>
              <w:position w:val="1"/>
              <w:sz w:val="23"/>
              <w:szCs w:val="23"/>
            </w:rPr>
            <w:t xml:space="preserve"> </w:t>
          </w:r>
          <w:r>
            <w:rPr>
              <w:position w:val="1"/>
              <w:sz w:val="23"/>
              <w:szCs w:val="23"/>
            </w:rPr>
            <w:t>6</w:t>
          </w:r>
          <w:r>
            <w:rPr>
              <w:position w:val="1"/>
              <w:sz w:val="23"/>
              <w:szCs w:val="23"/>
            </w:rPr>
            <w:fldChar w:fldCharType="end"/>
          </w:r>
        </w:p>
        <w:p w14:paraId="0690FA7C">
          <w:pPr>
            <w:pStyle w:val="2"/>
            <w:tabs>
              <w:tab w:val="right" w:leader="dot" w:pos="8692"/>
            </w:tabs>
            <w:spacing w:before="188" w:line="313" w:lineRule="exact"/>
            <w:ind w:left="104"/>
            <w:rPr>
              <w:sz w:val="23"/>
              <w:szCs w:val="23"/>
            </w:rPr>
          </w:pPr>
          <w:r>
            <w:fldChar w:fldCharType="begin"/>
          </w:r>
          <w:r>
            <w:instrText xml:space="preserve"> HYPERLINK \l "bookmark9" </w:instrText>
          </w:r>
          <w:r>
            <w:fldChar w:fldCharType="separate"/>
          </w:r>
          <w:r>
            <w:rPr>
              <w:rFonts w:ascii="Times New Roman" w:hAnsi="Times New Roman" w:eastAsia="Times New Roman" w:cs="Times New Roman"/>
              <w:spacing w:val="11"/>
              <w:position w:val="1"/>
              <w:sz w:val="23"/>
              <w:szCs w:val="23"/>
            </w:rPr>
            <w:t xml:space="preserve">7. </w:t>
          </w:r>
          <w:r>
            <w:rPr>
              <w:rFonts w:ascii="宋体" w:hAnsi="宋体" w:eastAsia="宋体" w:cs="宋体"/>
              <w:spacing w:val="11"/>
              <w:position w:val="1"/>
              <w:sz w:val="23"/>
              <w:szCs w:val="23"/>
            </w:rPr>
            <w:t>矿产资源勘查概况和开发概况</w:t>
          </w:r>
          <w:r>
            <w:rPr>
              <w:rFonts w:ascii="宋体" w:hAnsi="宋体" w:eastAsia="宋体" w:cs="宋体"/>
              <w:spacing w:val="-82"/>
              <w:position w:val="1"/>
              <w:sz w:val="23"/>
              <w:szCs w:val="23"/>
            </w:rPr>
            <w:t xml:space="preserve"> </w:t>
          </w:r>
          <w:r>
            <w:rPr>
              <w:rFonts w:ascii="宋体" w:hAnsi="宋体" w:eastAsia="宋体" w:cs="宋体"/>
              <w:position w:val="1"/>
              <w:sz w:val="23"/>
              <w:szCs w:val="23"/>
            </w:rPr>
            <w:tab/>
          </w:r>
          <w:r>
            <w:rPr>
              <w:position w:val="1"/>
              <w:sz w:val="23"/>
              <w:szCs w:val="23"/>
            </w:rPr>
            <w:t>8</w:t>
          </w:r>
          <w:r>
            <w:rPr>
              <w:position w:val="1"/>
              <w:sz w:val="23"/>
              <w:szCs w:val="23"/>
            </w:rPr>
            <w:fldChar w:fldCharType="end"/>
          </w:r>
        </w:p>
        <w:p w14:paraId="2F460091">
          <w:pPr>
            <w:pStyle w:val="2"/>
            <w:tabs>
              <w:tab w:val="right" w:leader="dot" w:pos="8702"/>
            </w:tabs>
            <w:spacing w:before="197" w:line="313" w:lineRule="exact"/>
            <w:ind w:left="475"/>
            <w:rPr>
              <w:sz w:val="23"/>
              <w:szCs w:val="23"/>
            </w:rPr>
          </w:pPr>
          <w:r>
            <w:fldChar w:fldCharType="begin"/>
          </w:r>
          <w:r>
            <w:instrText xml:space="preserve"> HYPERLINK \l "bookmark10" </w:instrText>
          </w:r>
          <w:r>
            <w:fldChar w:fldCharType="separate"/>
          </w:r>
          <w:r>
            <w:rPr>
              <w:rFonts w:ascii="Times New Roman" w:hAnsi="Times New Roman" w:eastAsia="Times New Roman" w:cs="Times New Roman"/>
              <w:spacing w:val="9"/>
              <w:position w:val="1"/>
              <w:sz w:val="23"/>
              <w:szCs w:val="23"/>
            </w:rPr>
            <w:t>7.1</w:t>
          </w:r>
          <w:r>
            <w:rPr>
              <w:rFonts w:ascii="Times New Roman" w:hAnsi="Times New Roman" w:eastAsia="Times New Roman" w:cs="Times New Roman"/>
              <w:spacing w:val="18"/>
              <w:w w:val="101"/>
              <w:position w:val="1"/>
              <w:sz w:val="23"/>
              <w:szCs w:val="23"/>
            </w:rPr>
            <w:t xml:space="preserve">  </w:t>
          </w:r>
          <w:r>
            <w:rPr>
              <w:rFonts w:ascii="宋体" w:hAnsi="宋体" w:eastAsia="宋体" w:cs="宋体"/>
              <w:spacing w:val="9"/>
              <w:position w:val="1"/>
              <w:sz w:val="23"/>
              <w:szCs w:val="23"/>
            </w:rPr>
            <w:t>矿区地理位置及交通</w:t>
          </w:r>
          <w:r>
            <w:rPr>
              <w:rFonts w:ascii="宋体" w:hAnsi="宋体" w:eastAsia="宋体" w:cs="宋体"/>
              <w:spacing w:val="-94"/>
              <w:position w:val="1"/>
              <w:sz w:val="23"/>
              <w:szCs w:val="23"/>
            </w:rPr>
            <w:t xml:space="preserve"> </w:t>
          </w:r>
          <w:r>
            <w:rPr>
              <w:rFonts w:ascii="宋体" w:hAnsi="宋体" w:eastAsia="宋体" w:cs="宋体"/>
              <w:position w:val="1"/>
              <w:sz w:val="23"/>
              <w:szCs w:val="23"/>
            </w:rPr>
            <w:tab/>
          </w:r>
          <w:r>
            <w:rPr>
              <w:position w:val="1"/>
              <w:sz w:val="23"/>
              <w:szCs w:val="23"/>
            </w:rPr>
            <w:t>8</w:t>
          </w:r>
          <w:r>
            <w:rPr>
              <w:position w:val="1"/>
              <w:sz w:val="23"/>
              <w:szCs w:val="23"/>
            </w:rPr>
            <w:fldChar w:fldCharType="end"/>
          </w:r>
        </w:p>
        <w:p w14:paraId="2BEA343B">
          <w:pPr>
            <w:pStyle w:val="2"/>
            <w:tabs>
              <w:tab w:val="right" w:leader="dot" w:pos="8702"/>
            </w:tabs>
            <w:spacing w:before="187" w:line="313" w:lineRule="exact"/>
            <w:ind w:left="475"/>
            <w:rPr>
              <w:sz w:val="23"/>
              <w:szCs w:val="23"/>
            </w:rPr>
          </w:pPr>
          <w:r>
            <w:fldChar w:fldCharType="begin"/>
          </w:r>
          <w:r>
            <w:instrText xml:space="preserve"> HYPERLINK \l "bookmark11" </w:instrText>
          </w:r>
          <w:r>
            <w:fldChar w:fldCharType="separate"/>
          </w:r>
          <w:r>
            <w:rPr>
              <w:rFonts w:ascii="Times New Roman" w:hAnsi="Times New Roman" w:eastAsia="Times New Roman" w:cs="Times New Roman"/>
              <w:spacing w:val="9"/>
              <w:position w:val="1"/>
              <w:sz w:val="23"/>
              <w:szCs w:val="23"/>
            </w:rPr>
            <w:t>7.2</w:t>
          </w:r>
          <w:r>
            <w:rPr>
              <w:rFonts w:ascii="Times New Roman" w:hAnsi="Times New Roman" w:eastAsia="Times New Roman" w:cs="Times New Roman"/>
              <w:spacing w:val="20"/>
              <w:position w:val="1"/>
              <w:sz w:val="23"/>
              <w:szCs w:val="23"/>
            </w:rPr>
            <w:t xml:space="preserve">  </w:t>
          </w:r>
          <w:r>
            <w:rPr>
              <w:rFonts w:ascii="宋体" w:hAnsi="宋体" w:eastAsia="宋体" w:cs="宋体"/>
              <w:spacing w:val="9"/>
              <w:position w:val="1"/>
              <w:sz w:val="23"/>
              <w:szCs w:val="23"/>
            </w:rPr>
            <w:t>矿区自然地理及经济概况</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position w:val="1"/>
              <w:sz w:val="23"/>
              <w:szCs w:val="23"/>
            </w:rPr>
            <w:t>8</w:t>
          </w:r>
          <w:r>
            <w:rPr>
              <w:position w:val="1"/>
              <w:sz w:val="23"/>
              <w:szCs w:val="23"/>
            </w:rPr>
            <w:fldChar w:fldCharType="end"/>
          </w:r>
        </w:p>
        <w:p w14:paraId="46CF65E6">
          <w:pPr>
            <w:pStyle w:val="2"/>
            <w:tabs>
              <w:tab w:val="right" w:leader="dot" w:pos="8705"/>
            </w:tabs>
            <w:spacing w:before="187" w:line="313" w:lineRule="exact"/>
            <w:ind w:left="475"/>
            <w:rPr>
              <w:sz w:val="23"/>
              <w:szCs w:val="23"/>
            </w:rPr>
          </w:pPr>
          <w:r>
            <w:fldChar w:fldCharType="begin"/>
          </w:r>
          <w:r>
            <w:instrText xml:space="preserve"> HYPERLINK \l "bookmark12" </w:instrText>
          </w:r>
          <w:r>
            <w:fldChar w:fldCharType="separate"/>
          </w:r>
          <w:r>
            <w:rPr>
              <w:rFonts w:ascii="Times New Roman" w:hAnsi="Times New Roman" w:eastAsia="Times New Roman" w:cs="Times New Roman"/>
              <w:spacing w:val="10"/>
              <w:position w:val="1"/>
              <w:sz w:val="23"/>
              <w:szCs w:val="23"/>
            </w:rPr>
            <w:t>7.3</w:t>
          </w:r>
          <w:r>
            <w:rPr>
              <w:rFonts w:ascii="Times New Roman" w:hAnsi="Times New Roman" w:eastAsia="Times New Roman" w:cs="Times New Roman"/>
              <w:spacing w:val="18"/>
              <w:position w:val="1"/>
              <w:sz w:val="23"/>
              <w:szCs w:val="23"/>
            </w:rPr>
            <w:t xml:space="preserve">  </w:t>
          </w:r>
          <w:r>
            <w:rPr>
              <w:rFonts w:ascii="宋体" w:hAnsi="宋体" w:eastAsia="宋体" w:cs="宋体"/>
              <w:spacing w:val="10"/>
              <w:position w:val="1"/>
              <w:sz w:val="23"/>
              <w:szCs w:val="23"/>
            </w:rPr>
            <w:t>地质工作概况</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rFonts w:ascii="宋体" w:hAnsi="宋体" w:eastAsia="宋体" w:cs="宋体"/>
              <w:spacing w:val="2"/>
              <w:position w:val="1"/>
              <w:sz w:val="23"/>
              <w:szCs w:val="23"/>
            </w:rPr>
            <w:t xml:space="preserve"> </w:t>
          </w:r>
          <w:r>
            <w:rPr>
              <w:spacing w:val="-7"/>
              <w:position w:val="1"/>
              <w:sz w:val="23"/>
              <w:szCs w:val="23"/>
            </w:rPr>
            <w:t>10</w:t>
          </w:r>
          <w:r>
            <w:rPr>
              <w:spacing w:val="-7"/>
              <w:position w:val="1"/>
              <w:sz w:val="23"/>
              <w:szCs w:val="23"/>
            </w:rPr>
            <w:fldChar w:fldCharType="end"/>
          </w:r>
        </w:p>
        <w:p w14:paraId="47654CCB">
          <w:pPr>
            <w:pStyle w:val="2"/>
            <w:tabs>
              <w:tab w:val="right" w:leader="dot" w:pos="8705"/>
            </w:tabs>
            <w:spacing w:before="229" w:line="219" w:lineRule="auto"/>
            <w:ind w:left="475"/>
            <w:rPr>
              <w:sz w:val="23"/>
              <w:szCs w:val="23"/>
            </w:rPr>
          </w:pPr>
          <w:r>
            <w:fldChar w:fldCharType="begin"/>
          </w:r>
          <w:r>
            <w:instrText xml:space="preserve"> HYPERLINK \l "bookmark13" </w:instrText>
          </w:r>
          <w:r>
            <w:fldChar w:fldCharType="separate"/>
          </w:r>
          <w:r>
            <w:rPr>
              <w:rFonts w:ascii="Times New Roman" w:hAnsi="Times New Roman" w:eastAsia="Times New Roman" w:cs="Times New Roman"/>
              <w:spacing w:val="10"/>
              <w:sz w:val="23"/>
              <w:szCs w:val="23"/>
            </w:rPr>
            <w:t>7.4</w:t>
          </w:r>
          <w:r>
            <w:rPr>
              <w:rFonts w:ascii="Times New Roman" w:hAnsi="Times New Roman" w:eastAsia="Times New Roman" w:cs="Times New Roman"/>
              <w:spacing w:val="18"/>
              <w:sz w:val="23"/>
              <w:szCs w:val="23"/>
            </w:rPr>
            <w:t xml:space="preserve">  </w:t>
          </w:r>
          <w:r>
            <w:rPr>
              <w:rFonts w:ascii="宋体" w:hAnsi="宋体" w:eastAsia="宋体" w:cs="宋体"/>
              <w:spacing w:val="10"/>
              <w:sz w:val="23"/>
              <w:szCs w:val="23"/>
            </w:rPr>
            <w:t>矿区地质概况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2"/>
              <w:sz w:val="23"/>
              <w:szCs w:val="23"/>
            </w:rPr>
            <w:t xml:space="preserve"> </w:t>
          </w:r>
          <w:r>
            <w:rPr>
              <w:spacing w:val="-7"/>
              <w:sz w:val="23"/>
              <w:szCs w:val="23"/>
            </w:rPr>
            <w:t>12</w:t>
          </w:r>
          <w:r>
            <w:rPr>
              <w:spacing w:val="-7"/>
              <w:sz w:val="23"/>
              <w:szCs w:val="23"/>
            </w:rPr>
            <w:fldChar w:fldCharType="end"/>
          </w:r>
        </w:p>
        <w:p w14:paraId="5F2AED5D">
          <w:pPr>
            <w:pStyle w:val="2"/>
            <w:tabs>
              <w:tab w:val="right" w:leader="dot" w:pos="8715"/>
            </w:tabs>
            <w:spacing w:before="185" w:line="313" w:lineRule="exact"/>
            <w:ind w:left="475"/>
            <w:rPr>
              <w:sz w:val="23"/>
              <w:szCs w:val="23"/>
            </w:rPr>
          </w:pPr>
          <w:r>
            <w:fldChar w:fldCharType="begin"/>
          </w:r>
          <w:r>
            <w:instrText xml:space="preserve"> HYPERLINK \l "bookmark14" </w:instrText>
          </w:r>
          <w:r>
            <w:fldChar w:fldCharType="separate"/>
          </w:r>
          <w:r>
            <w:rPr>
              <w:rFonts w:ascii="Times New Roman" w:hAnsi="Times New Roman" w:eastAsia="Times New Roman" w:cs="Times New Roman"/>
              <w:spacing w:val="11"/>
              <w:position w:val="1"/>
              <w:sz w:val="23"/>
              <w:szCs w:val="23"/>
            </w:rPr>
            <w:t>7.5</w:t>
          </w:r>
          <w:r>
            <w:rPr>
              <w:rFonts w:ascii="Times New Roman" w:hAnsi="Times New Roman" w:eastAsia="Times New Roman" w:cs="Times New Roman"/>
              <w:spacing w:val="19"/>
              <w:position w:val="1"/>
              <w:sz w:val="23"/>
              <w:szCs w:val="23"/>
            </w:rPr>
            <w:t xml:space="preserve">  </w:t>
          </w:r>
          <w:r>
            <w:rPr>
              <w:rFonts w:ascii="宋体" w:hAnsi="宋体" w:eastAsia="宋体" w:cs="宋体"/>
              <w:spacing w:val="11"/>
              <w:position w:val="1"/>
              <w:sz w:val="23"/>
              <w:szCs w:val="23"/>
            </w:rPr>
            <w:t>矿石质量特征</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rPr>
              <w:rFonts w:ascii="宋体" w:hAnsi="宋体" w:eastAsia="宋体" w:cs="宋体"/>
              <w:spacing w:val="2"/>
              <w:position w:val="1"/>
              <w:sz w:val="23"/>
              <w:szCs w:val="23"/>
            </w:rPr>
            <w:t xml:space="preserve"> </w:t>
          </w:r>
          <w:r>
            <w:rPr>
              <w:spacing w:val="-15"/>
              <w:position w:val="1"/>
              <w:sz w:val="23"/>
              <w:szCs w:val="23"/>
            </w:rPr>
            <w:t>1</w:t>
          </w:r>
          <w:r>
            <w:rPr>
              <w:spacing w:val="-11"/>
              <w:position w:val="1"/>
              <w:sz w:val="23"/>
              <w:szCs w:val="23"/>
            </w:rPr>
            <w:t>8</w:t>
          </w:r>
          <w:r>
            <w:rPr>
              <w:spacing w:val="-11"/>
              <w:position w:val="1"/>
              <w:sz w:val="23"/>
              <w:szCs w:val="23"/>
            </w:rPr>
            <w:fldChar w:fldCharType="end"/>
          </w:r>
        </w:p>
        <w:p w14:paraId="7F686366">
          <w:pPr>
            <w:pStyle w:val="2"/>
            <w:tabs>
              <w:tab w:val="right" w:leader="dot" w:pos="8724"/>
            </w:tabs>
            <w:spacing w:before="187" w:line="313" w:lineRule="exact"/>
            <w:ind w:left="475"/>
            <w:rPr>
              <w:sz w:val="23"/>
              <w:szCs w:val="23"/>
            </w:rPr>
          </w:pPr>
          <w:r>
            <w:fldChar w:fldCharType="begin"/>
          </w:r>
          <w:r>
            <w:instrText xml:space="preserve"> HYPERLINK \l "bookmark15" </w:instrText>
          </w:r>
          <w:r>
            <w:fldChar w:fldCharType="separate"/>
          </w:r>
          <w:r>
            <w:rPr>
              <w:rFonts w:ascii="Times New Roman" w:hAnsi="Times New Roman" w:eastAsia="Times New Roman" w:cs="Times New Roman"/>
              <w:spacing w:val="10"/>
              <w:position w:val="1"/>
              <w:sz w:val="23"/>
              <w:szCs w:val="23"/>
            </w:rPr>
            <w:t>7.6</w:t>
          </w:r>
          <w:r>
            <w:rPr>
              <w:rFonts w:ascii="Times New Roman" w:hAnsi="Times New Roman" w:eastAsia="Times New Roman" w:cs="Times New Roman"/>
              <w:spacing w:val="20"/>
              <w:position w:val="1"/>
              <w:sz w:val="23"/>
              <w:szCs w:val="23"/>
            </w:rPr>
            <w:t xml:space="preserve">  </w:t>
          </w:r>
          <w:r>
            <w:rPr>
              <w:rFonts w:ascii="宋体" w:hAnsi="宋体" w:eastAsia="宋体" w:cs="宋体"/>
              <w:spacing w:val="10"/>
              <w:position w:val="1"/>
              <w:sz w:val="23"/>
              <w:szCs w:val="23"/>
            </w:rPr>
            <w:t>矿床工业品级</w:t>
          </w:r>
          <w:r>
            <w:rPr>
              <w:rFonts w:ascii="宋体" w:hAnsi="宋体" w:eastAsia="宋体" w:cs="宋体"/>
              <w:spacing w:val="-99"/>
              <w:position w:val="1"/>
              <w:sz w:val="23"/>
              <w:szCs w:val="23"/>
            </w:rPr>
            <w:t xml:space="preserve"> </w:t>
          </w:r>
          <w:r>
            <w:rPr>
              <w:rFonts w:ascii="宋体" w:hAnsi="宋体" w:eastAsia="宋体" w:cs="宋体"/>
              <w:position w:val="1"/>
              <w:sz w:val="23"/>
              <w:szCs w:val="23"/>
            </w:rPr>
            <w:tab/>
          </w:r>
          <w:r>
            <w:rPr>
              <w:rFonts w:ascii="宋体" w:hAnsi="宋体" w:eastAsia="宋体" w:cs="宋体"/>
              <w:spacing w:val="2"/>
              <w:position w:val="1"/>
              <w:sz w:val="23"/>
              <w:szCs w:val="23"/>
            </w:rPr>
            <w:t xml:space="preserve"> </w:t>
          </w:r>
          <w:r>
            <w:rPr>
              <w:spacing w:val="-4"/>
              <w:position w:val="1"/>
              <w:sz w:val="23"/>
              <w:szCs w:val="23"/>
            </w:rPr>
            <w:t>20</w:t>
          </w:r>
          <w:r>
            <w:rPr>
              <w:spacing w:val="-4"/>
              <w:position w:val="1"/>
              <w:sz w:val="23"/>
              <w:szCs w:val="23"/>
            </w:rPr>
            <w:fldChar w:fldCharType="end"/>
          </w:r>
        </w:p>
        <w:p w14:paraId="4EB4C9CD">
          <w:pPr>
            <w:pStyle w:val="2"/>
            <w:tabs>
              <w:tab w:val="right" w:leader="dot" w:pos="8714"/>
            </w:tabs>
            <w:spacing w:before="187" w:line="313" w:lineRule="exact"/>
            <w:ind w:left="475"/>
            <w:rPr>
              <w:sz w:val="23"/>
              <w:szCs w:val="23"/>
            </w:rPr>
          </w:pPr>
          <w:r>
            <w:fldChar w:fldCharType="begin"/>
          </w:r>
          <w:r>
            <w:instrText xml:space="preserve"> HYPERLINK \l "bookmark16" </w:instrText>
          </w:r>
          <w:r>
            <w:fldChar w:fldCharType="separate"/>
          </w:r>
          <w:r>
            <w:rPr>
              <w:rFonts w:ascii="Times New Roman" w:hAnsi="Times New Roman" w:eastAsia="Times New Roman" w:cs="Times New Roman"/>
              <w:spacing w:val="9"/>
              <w:position w:val="1"/>
              <w:sz w:val="23"/>
              <w:szCs w:val="23"/>
            </w:rPr>
            <w:t>7.7</w:t>
          </w:r>
          <w:r>
            <w:rPr>
              <w:rFonts w:ascii="Times New Roman" w:hAnsi="Times New Roman" w:eastAsia="Times New Roman" w:cs="Times New Roman"/>
              <w:spacing w:val="19"/>
              <w:position w:val="1"/>
              <w:sz w:val="23"/>
              <w:szCs w:val="23"/>
            </w:rPr>
            <w:t xml:space="preserve">  </w:t>
          </w:r>
          <w:r>
            <w:rPr>
              <w:rFonts w:ascii="宋体" w:hAnsi="宋体" w:eastAsia="宋体" w:cs="宋体"/>
              <w:spacing w:val="9"/>
              <w:position w:val="1"/>
              <w:sz w:val="23"/>
              <w:szCs w:val="23"/>
            </w:rPr>
            <w:t>矿体围岩及夹石</w:t>
          </w:r>
          <w:r>
            <w:rPr>
              <w:rFonts w:ascii="宋体" w:hAnsi="宋体" w:eastAsia="宋体" w:cs="宋体"/>
              <w:spacing w:val="-97"/>
              <w:position w:val="1"/>
              <w:sz w:val="23"/>
              <w:szCs w:val="23"/>
            </w:rPr>
            <w:t xml:space="preserve"> </w:t>
          </w:r>
          <w:r>
            <w:rPr>
              <w:rFonts w:ascii="宋体" w:hAnsi="宋体" w:eastAsia="宋体" w:cs="宋体"/>
              <w:position w:val="1"/>
              <w:sz w:val="23"/>
              <w:szCs w:val="23"/>
            </w:rPr>
            <w:tab/>
          </w:r>
          <w:r>
            <w:rPr>
              <w:rFonts w:ascii="宋体" w:hAnsi="宋体" w:eastAsia="宋体" w:cs="宋体"/>
              <w:spacing w:val="-9"/>
              <w:position w:val="1"/>
              <w:sz w:val="23"/>
              <w:szCs w:val="23"/>
            </w:rPr>
            <w:t xml:space="preserve"> </w:t>
          </w:r>
          <w:r>
            <w:rPr>
              <w:spacing w:val="-2"/>
              <w:position w:val="1"/>
              <w:sz w:val="23"/>
              <w:szCs w:val="23"/>
            </w:rPr>
            <w:t>20</w:t>
          </w:r>
          <w:r>
            <w:rPr>
              <w:spacing w:val="-2"/>
              <w:position w:val="1"/>
              <w:sz w:val="23"/>
              <w:szCs w:val="23"/>
            </w:rPr>
            <w:fldChar w:fldCharType="end"/>
          </w:r>
        </w:p>
        <w:p w14:paraId="34BC5F9E">
          <w:pPr>
            <w:pStyle w:val="2"/>
            <w:tabs>
              <w:tab w:val="right" w:leader="dot" w:pos="8704"/>
            </w:tabs>
            <w:spacing w:before="187" w:line="313" w:lineRule="exact"/>
            <w:ind w:left="475"/>
            <w:rPr>
              <w:sz w:val="23"/>
              <w:szCs w:val="23"/>
            </w:rPr>
          </w:pPr>
          <w:r>
            <w:fldChar w:fldCharType="begin"/>
          </w:r>
          <w:r>
            <w:instrText xml:space="preserve"> HYPERLINK \l "bookmark17" </w:instrText>
          </w:r>
          <w:r>
            <w:fldChar w:fldCharType="separate"/>
          </w:r>
          <w:r>
            <w:rPr>
              <w:rFonts w:ascii="Times New Roman" w:hAnsi="Times New Roman" w:eastAsia="Times New Roman" w:cs="Times New Roman"/>
              <w:spacing w:val="27"/>
              <w:position w:val="1"/>
              <w:sz w:val="23"/>
              <w:szCs w:val="23"/>
            </w:rPr>
            <w:t xml:space="preserve">7.8  </w:t>
          </w:r>
          <w:r>
            <w:rPr>
              <w:rFonts w:ascii="宋体" w:hAnsi="宋体" w:eastAsia="宋体" w:cs="宋体"/>
              <w:spacing w:val="27"/>
              <w:position w:val="1"/>
              <w:sz w:val="23"/>
              <w:szCs w:val="23"/>
            </w:rPr>
            <w:t>矿床共(伴)生矿产</w:t>
          </w:r>
          <w:r>
            <w:rPr>
              <w:rFonts w:ascii="宋体" w:hAnsi="宋体" w:eastAsia="宋体" w:cs="宋体"/>
              <w:spacing w:val="-97"/>
              <w:position w:val="1"/>
              <w:sz w:val="23"/>
              <w:szCs w:val="23"/>
            </w:rPr>
            <w:t xml:space="preserve"> </w:t>
          </w:r>
          <w:r>
            <w:rPr>
              <w:rFonts w:ascii="宋体" w:hAnsi="宋体" w:eastAsia="宋体" w:cs="宋体"/>
              <w:position w:val="1"/>
              <w:sz w:val="23"/>
              <w:szCs w:val="23"/>
            </w:rPr>
            <w:tab/>
          </w:r>
          <w:r>
            <w:rPr>
              <w:rFonts w:ascii="宋体" w:hAnsi="宋体" w:eastAsia="宋体" w:cs="宋体"/>
              <w:spacing w:val="-39"/>
              <w:position w:val="1"/>
              <w:sz w:val="23"/>
              <w:szCs w:val="23"/>
            </w:rPr>
            <w:t xml:space="preserve"> </w:t>
          </w:r>
          <w:r>
            <w:rPr>
              <w:spacing w:val="-2"/>
              <w:position w:val="1"/>
              <w:sz w:val="23"/>
              <w:szCs w:val="23"/>
            </w:rPr>
            <w:t>20</w:t>
          </w:r>
          <w:r>
            <w:rPr>
              <w:spacing w:val="-2"/>
              <w:position w:val="1"/>
              <w:sz w:val="23"/>
              <w:szCs w:val="23"/>
            </w:rPr>
            <w:fldChar w:fldCharType="end"/>
          </w:r>
        </w:p>
        <w:p w14:paraId="41CA8D82">
          <w:pPr>
            <w:pStyle w:val="2"/>
            <w:tabs>
              <w:tab w:val="right" w:leader="dot" w:pos="8714"/>
            </w:tabs>
            <w:spacing w:before="187" w:line="313" w:lineRule="exact"/>
            <w:ind w:left="475"/>
            <w:rPr>
              <w:sz w:val="23"/>
              <w:szCs w:val="23"/>
            </w:rPr>
          </w:pPr>
          <w:r>
            <w:fldChar w:fldCharType="begin"/>
          </w:r>
          <w:r>
            <w:instrText xml:space="preserve"> HYPERLINK \l "bookmark18" </w:instrText>
          </w:r>
          <w:r>
            <w:fldChar w:fldCharType="separate"/>
          </w:r>
          <w:r>
            <w:rPr>
              <w:rFonts w:ascii="Times New Roman" w:hAnsi="Times New Roman" w:eastAsia="Times New Roman" w:cs="Times New Roman"/>
              <w:spacing w:val="11"/>
              <w:position w:val="1"/>
              <w:sz w:val="23"/>
              <w:szCs w:val="23"/>
            </w:rPr>
            <w:t>7.9</w:t>
          </w:r>
          <w:r>
            <w:rPr>
              <w:rFonts w:ascii="Times New Roman" w:hAnsi="Times New Roman" w:eastAsia="Times New Roman" w:cs="Times New Roman"/>
              <w:spacing w:val="18"/>
              <w:w w:val="101"/>
              <w:position w:val="1"/>
              <w:sz w:val="23"/>
              <w:szCs w:val="23"/>
            </w:rPr>
            <w:t xml:space="preserve">  </w:t>
          </w:r>
          <w:r>
            <w:rPr>
              <w:rFonts w:ascii="宋体" w:hAnsi="宋体" w:eastAsia="宋体" w:cs="宋体"/>
              <w:spacing w:val="11"/>
              <w:position w:val="1"/>
              <w:sz w:val="23"/>
              <w:szCs w:val="23"/>
            </w:rPr>
            <w:t>矿石加工技术性能</w:t>
          </w:r>
          <w:r>
            <w:rPr>
              <w:rFonts w:ascii="宋体" w:hAnsi="宋体" w:eastAsia="宋体" w:cs="宋体"/>
              <w:spacing w:val="-97"/>
              <w:position w:val="1"/>
              <w:sz w:val="23"/>
              <w:szCs w:val="23"/>
            </w:rPr>
            <w:t xml:space="preserve"> </w:t>
          </w:r>
          <w:r>
            <w:rPr>
              <w:rFonts w:ascii="宋体" w:hAnsi="宋体" w:eastAsia="宋体" w:cs="宋体"/>
              <w:position w:val="1"/>
              <w:sz w:val="23"/>
              <w:szCs w:val="23"/>
            </w:rPr>
            <w:tab/>
          </w:r>
          <w:r>
            <w:rPr>
              <w:rFonts w:ascii="宋体" w:hAnsi="宋体" w:eastAsia="宋体" w:cs="宋体"/>
              <w:spacing w:val="-39"/>
              <w:position w:val="1"/>
              <w:sz w:val="23"/>
              <w:szCs w:val="23"/>
            </w:rPr>
            <w:t xml:space="preserve"> </w:t>
          </w:r>
          <w:r>
            <w:rPr>
              <w:spacing w:val="-2"/>
              <w:position w:val="1"/>
              <w:sz w:val="23"/>
              <w:szCs w:val="23"/>
            </w:rPr>
            <w:t>20</w:t>
          </w:r>
          <w:r>
            <w:rPr>
              <w:spacing w:val="-2"/>
              <w:position w:val="1"/>
              <w:sz w:val="23"/>
              <w:szCs w:val="23"/>
            </w:rPr>
            <w:fldChar w:fldCharType="end"/>
          </w:r>
        </w:p>
        <w:p w14:paraId="6024817F">
          <w:pPr>
            <w:pStyle w:val="2"/>
            <w:tabs>
              <w:tab w:val="right" w:leader="dot" w:pos="8724"/>
            </w:tabs>
            <w:spacing w:before="227" w:line="219" w:lineRule="auto"/>
            <w:ind w:left="475"/>
            <w:rPr>
              <w:sz w:val="23"/>
              <w:szCs w:val="23"/>
            </w:rPr>
          </w:pPr>
          <w:r>
            <w:fldChar w:fldCharType="begin"/>
          </w:r>
          <w:r>
            <w:instrText xml:space="preserve"> HYPERLINK \l "bookmark19" </w:instrText>
          </w:r>
          <w:r>
            <w:fldChar w:fldCharType="separate"/>
          </w:r>
          <w:r>
            <w:rPr>
              <w:rFonts w:ascii="Times New Roman" w:hAnsi="Times New Roman" w:eastAsia="Times New Roman" w:cs="Times New Roman"/>
              <w:spacing w:val="10"/>
              <w:sz w:val="23"/>
              <w:szCs w:val="23"/>
            </w:rPr>
            <w:t>7.10</w:t>
          </w:r>
          <w:r>
            <w:rPr>
              <w:rFonts w:ascii="Times New Roman" w:hAnsi="Times New Roman" w:eastAsia="Times New Roman" w:cs="Times New Roman"/>
              <w:spacing w:val="20"/>
              <w:w w:val="101"/>
              <w:sz w:val="23"/>
              <w:szCs w:val="23"/>
            </w:rPr>
            <w:t xml:space="preserve">  </w:t>
          </w:r>
          <w:r>
            <w:rPr>
              <w:rFonts w:ascii="宋体" w:hAnsi="宋体" w:eastAsia="宋体" w:cs="宋体"/>
              <w:spacing w:val="10"/>
              <w:sz w:val="23"/>
              <w:szCs w:val="23"/>
            </w:rPr>
            <w:t>矿床开采技术条件</w:t>
          </w:r>
          <w:r>
            <w:rPr>
              <w:rFonts w:ascii="宋体" w:hAnsi="宋体" w:eastAsia="宋体" w:cs="宋体"/>
              <w:spacing w:val="-95"/>
              <w:sz w:val="23"/>
              <w:szCs w:val="23"/>
            </w:rPr>
            <w:t xml:space="preserve"> </w:t>
          </w:r>
          <w:r>
            <w:rPr>
              <w:rFonts w:ascii="宋体" w:hAnsi="宋体" w:eastAsia="宋体" w:cs="宋体"/>
              <w:sz w:val="23"/>
              <w:szCs w:val="23"/>
            </w:rPr>
            <w:tab/>
          </w:r>
          <w:r>
            <w:rPr>
              <w:spacing w:val="-2"/>
              <w:sz w:val="23"/>
              <w:szCs w:val="23"/>
            </w:rPr>
            <w:t>21</w:t>
          </w:r>
          <w:r>
            <w:rPr>
              <w:spacing w:val="-2"/>
              <w:sz w:val="23"/>
              <w:szCs w:val="23"/>
            </w:rPr>
            <w:fldChar w:fldCharType="end"/>
          </w:r>
        </w:p>
        <w:p w14:paraId="1EA2CBE0">
          <w:pPr>
            <w:pStyle w:val="2"/>
            <w:tabs>
              <w:tab w:val="right" w:leader="dot" w:pos="8714"/>
            </w:tabs>
            <w:spacing w:before="187" w:line="314" w:lineRule="exact"/>
            <w:ind w:left="475"/>
            <w:rPr>
              <w:sz w:val="23"/>
              <w:szCs w:val="23"/>
            </w:rPr>
          </w:pPr>
          <w:r>
            <w:fldChar w:fldCharType="begin"/>
          </w:r>
          <w:r>
            <w:instrText xml:space="preserve"> HYPERLINK \l "bookmark20" </w:instrText>
          </w:r>
          <w:r>
            <w:fldChar w:fldCharType="separate"/>
          </w:r>
          <w:r>
            <w:rPr>
              <w:rFonts w:ascii="Times New Roman" w:hAnsi="Times New Roman" w:eastAsia="Times New Roman" w:cs="Times New Roman"/>
              <w:spacing w:val="9"/>
              <w:position w:val="1"/>
              <w:sz w:val="23"/>
              <w:szCs w:val="23"/>
            </w:rPr>
            <w:t>7.11</w:t>
          </w:r>
          <w:r>
            <w:rPr>
              <w:rFonts w:ascii="Times New Roman" w:hAnsi="Times New Roman" w:eastAsia="Times New Roman" w:cs="Times New Roman"/>
              <w:spacing w:val="26"/>
              <w:w w:val="101"/>
              <w:position w:val="1"/>
              <w:sz w:val="23"/>
              <w:szCs w:val="23"/>
            </w:rPr>
            <w:t xml:space="preserve">  </w:t>
          </w:r>
          <w:r>
            <w:rPr>
              <w:rFonts w:ascii="宋体" w:hAnsi="宋体" w:eastAsia="宋体" w:cs="宋体"/>
              <w:spacing w:val="9"/>
              <w:position w:val="1"/>
              <w:sz w:val="23"/>
              <w:szCs w:val="23"/>
            </w:rPr>
            <w:t>矿区开发利用现状</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1"/>
              <w:position w:val="1"/>
              <w:sz w:val="23"/>
              <w:szCs w:val="23"/>
            </w:rPr>
            <w:t>23</w:t>
          </w:r>
          <w:r>
            <w:rPr>
              <w:spacing w:val="-1"/>
              <w:position w:val="1"/>
              <w:sz w:val="23"/>
              <w:szCs w:val="23"/>
            </w:rPr>
            <w:fldChar w:fldCharType="end"/>
          </w:r>
        </w:p>
        <w:p w14:paraId="10951B9F">
          <w:pPr>
            <w:pStyle w:val="2"/>
            <w:tabs>
              <w:tab w:val="right" w:leader="dot" w:pos="8714"/>
            </w:tabs>
            <w:spacing w:before="174" w:line="314" w:lineRule="exact"/>
            <w:ind w:left="104"/>
            <w:rPr>
              <w:sz w:val="23"/>
              <w:szCs w:val="23"/>
            </w:rPr>
          </w:pPr>
          <w:r>
            <w:fldChar w:fldCharType="begin"/>
          </w:r>
          <w:r>
            <w:instrText xml:space="preserve"> HYPERLINK \l "bookmark21" </w:instrText>
          </w:r>
          <w:r>
            <w:fldChar w:fldCharType="separate"/>
          </w:r>
          <w:r>
            <w:rPr>
              <w:rFonts w:ascii="Times New Roman" w:hAnsi="Times New Roman" w:eastAsia="Times New Roman" w:cs="Times New Roman"/>
              <w:spacing w:val="16"/>
              <w:position w:val="1"/>
              <w:sz w:val="23"/>
              <w:szCs w:val="23"/>
            </w:rPr>
            <w:t xml:space="preserve">8. </w:t>
          </w:r>
          <w:r>
            <w:rPr>
              <w:rFonts w:ascii="宋体" w:hAnsi="宋体" w:eastAsia="宋体" w:cs="宋体"/>
              <w:spacing w:val="16"/>
              <w:position w:val="1"/>
              <w:sz w:val="23"/>
              <w:szCs w:val="23"/>
            </w:rPr>
            <w:t>评估实施过程</w:t>
          </w:r>
          <w:r>
            <w:rPr>
              <w:rFonts w:ascii="宋体" w:hAnsi="宋体" w:eastAsia="宋体" w:cs="宋体"/>
              <w:spacing w:val="-90"/>
              <w:position w:val="1"/>
              <w:sz w:val="23"/>
              <w:szCs w:val="23"/>
            </w:rPr>
            <w:t xml:space="preserve"> </w:t>
          </w:r>
          <w:r>
            <w:rPr>
              <w:rFonts w:ascii="宋体" w:hAnsi="宋体" w:eastAsia="宋体" w:cs="宋体"/>
              <w:position w:val="1"/>
              <w:sz w:val="23"/>
              <w:szCs w:val="23"/>
            </w:rPr>
            <w:tab/>
          </w:r>
          <w:r>
            <w:rPr>
              <w:spacing w:val="-1"/>
              <w:position w:val="1"/>
              <w:sz w:val="23"/>
              <w:szCs w:val="23"/>
            </w:rPr>
            <w:t>23</w:t>
          </w:r>
          <w:r>
            <w:rPr>
              <w:spacing w:val="-1"/>
              <w:position w:val="1"/>
              <w:sz w:val="23"/>
              <w:szCs w:val="23"/>
            </w:rPr>
            <w:fldChar w:fldCharType="end"/>
          </w:r>
        </w:p>
        <w:p w14:paraId="4D6B4A00">
          <w:pPr>
            <w:pStyle w:val="2"/>
            <w:tabs>
              <w:tab w:val="right" w:leader="dot" w:pos="8694"/>
            </w:tabs>
            <w:spacing w:before="228" w:line="218" w:lineRule="auto"/>
            <w:ind w:left="104"/>
            <w:rPr>
              <w:sz w:val="23"/>
              <w:szCs w:val="23"/>
            </w:rPr>
          </w:pPr>
          <w:r>
            <w:fldChar w:fldCharType="begin"/>
          </w:r>
          <w:r>
            <w:instrText xml:space="preserve"> HYPERLINK \l "bookmark22" </w:instrText>
          </w:r>
          <w:r>
            <w:fldChar w:fldCharType="separate"/>
          </w:r>
          <w:r>
            <w:rPr>
              <w:rFonts w:ascii="Times New Roman" w:hAnsi="Times New Roman" w:eastAsia="Times New Roman" w:cs="Times New Roman"/>
              <w:spacing w:val="16"/>
              <w:sz w:val="23"/>
              <w:szCs w:val="23"/>
            </w:rPr>
            <w:t xml:space="preserve">9. </w:t>
          </w:r>
          <w:r>
            <w:rPr>
              <w:rFonts w:ascii="宋体" w:hAnsi="宋体" w:eastAsia="宋体" w:cs="宋体"/>
              <w:spacing w:val="16"/>
              <w:sz w:val="23"/>
              <w:szCs w:val="23"/>
            </w:rPr>
            <w:t>评估方法</w:t>
          </w:r>
          <w:r>
            <w:rPr>
              <w:rFonts w:ascii="宋体" w:hAnsi="宋体" w:eastAsia="宋体" w:cs="宋体"/>
              <w:spacing w:val="-88"/>
              <w:sz w:val="23"/>
              <w:szCs w:val="23"/>
            </w:rPr>
            <w:t xml:space="preserve"> </w:t>
          </w:r>
          <w:r>
            <w:rPr>
              <w:rFonts w:ascii="宋体" w:hAnsi="宋体" w:eastAsia="宋体" w:cs="宋体"/>
              <w:sz w:val="23"/>
              <w:szCs w:val="23"/>
            </w:rPr>
            <w:tab/>
          </w:r>
          <w:r>
            <w:rPr>
              <w:spacing w:val="-1"/>
              <w:sz w:val="23"/>
              <w:szCs w:val="23"/>
            </w:rPr>
            <w:t>24</w:t>
          </w:r>
          <w:r>
            <w:rPr>
              <w:spacing w:val="-1"/>
              <w:sz w:val="23"/>
              <w:szCs w:val="23"/>
            </w:rPr>
            <w:fldChar w:fldCharType="end"/>
          </w:r>
        </w:p>
        <w:p w14:paraId="3820BD5A">
          <w:pPr>
            <w:pStyle w:val="2"/>
            <w:tabs>
              <w:tab w:val="right" w:leader="dot" w:pos="8724"/>
            </w:tabs>
            <w:spacing w:before="197" w:line="313" w:lineRule="exact"/>
            <w:ind w:left="104"/>
            <w:rPr>
              <w:sz w:val="23"/>
              <w:szCs w:val="23"/>
            </w:rPr>
          </w:pPr>
          <w:r>
            <w:fldChar w:fldCharType="begin"/>
          </w:r>
          <w:r>
            <w:instrText xml:space="preserve"> HYPERLINK \l "bookmark23" </w:instrText>
          </w:r>
          <w:r>
            <w:fldChar w:fldCharType="separate"/>
          </w:r>
          <w:r>
            <w:rPr>
              <w:rFonts w:ascii="Times New Roman" w:hAnsi="Times New Roman" w:eastAsia="Times New Roman" w:cs="Times New Roman"/>
              <w:spacing w:val="12"/>
              <w:position w:val="1"/>
              <w:sz w:val="23"/>
              <w:szCs w:val="23"/>
            </w:rPr>
            <w:t>10.</w:t>
          </w:r>
          <w:r>
            <w:rPr>
              <w:rFonts w:ascii="Times New Roman" w:hAnsi="Times New Roman" w:eastAsia="Times New Roman" w:cs="Times New Roman"/>
              <w:spacing w:val="37"/>
              <w:position w:val="1"/>
              <w:sz w:val="23"/>
              <w:szCs w:val="23"/>
            </w:rPr>
            <w:t xml:space="preserve"> </w:t>
          </w:r>
          <w:r>
            <w:rPr>
              <w:rFonts w:ascii="宋体" w:hAnsi="宋体" w:eastAsia="宋体" w:cs="宋体"/>
              <w:spacing w:val="12"/>
              <w:position w:val="1"/>
              <w:sz w:val="23"/>
              <w:szCs w:val="23"/>
            </w:rPr>
            <w:t>评估技术经济指标参数的确定</w:t>
          </w:r>
          <w:r>
            <w:rPr>
              <w:rFonts w:ascii="宋体" w:hAnsi="宋体" w:eastAsia="宋体" w:cs="宋体"/>
              <w:spacing w:val="-101"/>
              <w:position w:val="1"/>
              <w:sz w:val="23"/>
              <w:szCs w:val="23"/>
            </w:rPr>
            <w:t xml:space="preserve"> </w:t>
          </w:r>
          <w:r>
            <w:rPr>
              <w:rFonts w:ascii="宋体" w:hAnsi="宋体" w:eastAsia="宋体" w:cs="宋体"/>
              <w:position w:val="1"/>
              <w:sz w:val="23"/>
              <w:szCs w:val="23"/>
            </w:rPr>
            <w:tab/>
          </w:r>
          <w:r>
            <w:rPr>
              <w:spacing w:val="-10"/>
              <w:position w:val="1"/>
              <w:sz w:val="23"/>
              <w:szCs w:val="23"/>
            </w:rPr>
            <w:t>26</w:t>
          </w:r>
          <w:r>
            <w:rPr>
              <w:spacing w:val="-10"/>
              <w:position w:val="1"/>
              <w:sz w:val="23"/>
              <w:szCs w:val="23"/>
            </w:rPr>
            <w:fldChar w:fldCharType="end"/>
          </w:r>
        </w:p>
        <w:p w14:paraId="6FF0A595">
          <w:pPr>
            <w:pStyle w:val="2"/>
            <w:tabs>
              <w:tab w:val="right" w:leader="dot" w:pos="8714"/>
            </w:tabs>
            <w:spacing w:before="231" w:line="220" w:lineRule="auto"/>
            <w:ind w:left="475"/>
            <w:rPr>
              <w:sz w:val="23"/>
              <w:szCs w:val="23"/>
            </w:rPr>
          </w:pPr>
          <w:r>
            <w:fldChar w:fldCharType="begin"/>
          </w:r>
          <w:r>
            <w:instrText xml:space="preserve"> HYPERLINK \l "bookmark24" </w:instrText>
          </w:r>
          <w:r>
            <w:fldChar w:fldCharType="separate"/>
          </w:r>
          <w:r>
            <w:rPr>
              <w:rFonts w:ascii="Times New Roman" w:hAnsi="Times New Roman" w:eastAsia="Times New Roman" w:cs="Times New Roman"/>
              <w:spacing w:val="9"/>
              <w:sz w:val="23"/>
              <w:szCs w:val="23"/>
            </w:rPr>
            <w:t>10.1</w:t>
          </w:r>
          <w:r>
            <w:rPr>
              <w:rFonts w:ascii="Times New Roman" w:hAnsi="Times New Roman" w:eastAsia="Times New Roman" w:cs="Times New Roman"/>
              <w:spacing w:val="25"/>
              <w:sz w:val="23"/>
              <w:szCs w:val="23"/>
            </w:rPr>
            <w:t xml:space="preserve">  </w:t>
          </w:r>
          <w:r>
            <w:rPr>
              <w:rFonts w:ascii="宋体" w:hAnsi="宋体" w:eastAsia="宋体" w:cs="宋体"/>
              <w:spacing w:val="9"/>
              <w:sz w:val="23"/>
              <w:szCs w:val="23"/>
            </w:rPr>
            <w:t>保有资源储量</w:t>
          </w:r>
          <w:r>
            <w:rPr>
              <w:rFonts w:ascii="宋体" w:hAnsi="宋体" w:eastAsia="宋体" w:cs="宋体"/>
              <w:spacing w:val="-94"/>
              <w:sz w:val="23"/>
              <w:szCs w:val="23"/>
            </w:rPr>
            <w:t xml:space="preserve"> </w:t>
          </w:r>
          <w:r>
            <w:rPr>
              <w:rFonts w:ascii="宋体" w:hAnsi="宋体" w:eastAsia="宋体" w:cs="宋体"/>
              <w:sz w:val="23"/>
              <w:szCs w:val="23"/>
            </w:rPr>
            <w:tab/>
          </w:r>
          <w:r>
            <w:rPr>
              <w:spacing w:val="-1"/>
              <w:sz w:val="23"/>
              <w:szCs w:val="23"/>
            </w:rPr>
            <w:t>27</w:t>
          </w:r>
          <w:r>
            <w:rPr>
              <w:spacing w:val="-1"/>
              <w:sz w:val="23"/>
              <w:szCs w:val="23"/>
            </w:rPr>
            <w:fldChar w:fldCharType="end"/>
          </w:r>
        </w:p>
        <w:p w14:paraId="25A49A28">
          <w:pPr>
            <w:pStyle w:val="2"/>
            <w:tabs>
              <w:tab w:val="right" w:leader="dot" w:pos="8700"/>
            </w:tabs>
            <w:spacing w:before="182" w:line="313" w:lineRule="exact"/>
            <w:ind w:left="475"/>
            <w:rPr>
              <w:sz w:val="23"/>
              <w:szCs w:val="23"/>
            </w:rPr>
          </w:pPr>
          <w:r>
            <w:fldChar w:fldCharType="begin"/>
          </w:r>
          <w:r>
            <w:instrText xml:space="preserve"> HYPERLINK \l "bookmark25" </w:instrText>
          </w:r>
          <w:r>
            <w:fldChar w:fldCharType="separate"/>
          </w:r>
          <w:r>
            <w:rPr>
              <w:rFonts w:ascii="Times New Roman" w:hAnsi="Times New Roman" w:eastAsia="Times New Roman" w:cs="Times New Roman"/>
              <w:spacing w:val="10"/>
              <w:position w:val="1"/>
              <w:sz w:val="23"/>
              <w:szCs w:val="23"/>
            </w:rPr>
            <w:t>10.2</w:t>
          </w:r>
          <w:r>
            <w:rPr>
              <w:rFonts w:ascii="Times New Roman" w:hAnsi="Times New Roman" w:eastAsia="Times New Roman" w:cs="Times New Roman"/>
              <w:spacing w:val="25"/>
              <w:w w:val="101"/>
              <w:position w:val="1"/>
              <w:sz w:val="23"/>
              <w:szCs w:val="23"/>
            </w:rPr>
            <w:t xml:space="preserve">  </w:t>
          </w:r>
          <w:r>
            <w:rPr>
              <w:rFonts w:ascii="宋体" w:hAnsi="宋体" w:eastAsia="宋体" w:cs="宋体"/>
              <w:spacing w:val="10"/>
              <w:position w:val="1"/>
              <w:sz w:val="23"/>
              <w:szCs w:val="23"/>
            </w:rPr>
            <w:t>评估利用资源储量(可信度系数调整)</w:t>
          </w:r>
          <w:r>
            <w:rPr>
              <w:rFonts w:ascii="宋体" w:hAnsi="宋体" w:eastAsia="宋体" w:cs="宋体"/>
              <w:position w:val="1"/>
              <w:sz w:val="23"/>
              <w:szCs w:val="23"/>
            </w:rPr>
            <w:tab/>
          </w:r>
          <w:r>
            <w:rPr>
              <w:spacing w:val="-2"/>
              <w:position w:val="1"/>
              <w:sz w:val="23"/>
              <w:szCs w:val="23"/>
            </w:rPr>
            <w:t>30</w:t>
          </w:r>
          <w:r>
            <w:rPr>
              <w:spacing w:val="-2"/>
              <w:position w:val="1"/>
              <w:sz w:val="23"/>
              <w:szCs w:val="23"/>
            </w:rPr>
            <w:fldChar w:fldCharType="end"/>
          </w:r>
        </w:p>
      </w:sdtContent>
    </w:sdt>
    <w:p w14:paraId="0B959A48">
      <w:pPr>
        <w:spacing w:line="313" w:lineRule="exact"/>
        <w:rPr>
          <w:sz w:val="23"/>
          <w:szCs w:val="23"/>
        </w:rPr>
        <w:sectPr>
          <w:headerReference r:id="rId15" w:type="default"/>
          <w:footerReference r:id="rId16" w:type="default"/>
          <w:pgSz w:w="11900" w:h="16830"/>
          <w:pgMar w:top="1186" w:right="1390" w:bottom="1260" w:left="1785" w:header="910" w:footer="928" w:gutter="0"/>
          <w:cols w:space="720" w:num="1"/>
        </w:sectPr>
      </w:pPr>
    </w:p>
    <w:p w14:paraId="4AFABAD1">
      <w:pPr>
        <w:pStyle w:val="2"/>
        <w:spacing w:line="323" w:lineRule="auto"/>
      </w:pPr>
    </w:p>
    <w:sdt>
      <w:sdtPr>
        <w:rPr>
          <w:rFonts w:ascii="Times New Roman" w:hAnsi="Times New Roman" w:eastAsia="Times New Roman" w:cs="Times New Roman"/>
          <w:sz w:val="23"/>
          <w:szCs w:val="23"/>
        </w:rPr>
        <w:id w:val="147466088"/>
        <w:docPartObj>
          <w:docPartGallery w:val="Table of Contents"/>
          <w:docPartUnique/>
        </w:docPartObj>
      </w:sdtPr>
      <w:sdtEndPr>
        <w:rPr>
          <w:rFonts w:ascii="Arial" w:hAnsi="Arial" w:eastAsia="Arial" w:cs="Arial"/>
          <w:sz w:val="23"/>
          <w:szCs w:val="23"/>
        </w:rPr>
      </w:sdtEndPr>
      <w:sdtContent>
        <w:p w14:paraId="31CE0AFA">
          <w:pPr>
            <w:pStyle w:val="2"/>
            <w:tabs>
              <w:tab w:val="right" w:leader="dot" w:pos="8690"/>
            </w:tabs>
            <w:spacing w:before="75" w:line="313" w:lineRule="exact"/>
            <w:ind w:left="465"/>
            <w:rPr>
              <w:sz w:val="23"/>
              <w:szCs w:val="23"/>
            </w:rPr>
          </w:pPr>
          <w:r>
            <w:fldChar w:fldCharType="begin"/>
          </w:r>
          <w:r>
            <w:instrText xml:space="preserve"> HYPERLINK \l "bookmark26" </w:instrText>
          </w:r>
          <w:r>
            <w:fldChar w:fldCharType="separate"/>
          </w:r>
          <w:r>
            <w:rPr>
              <w:rFonts w:ascii="Times New Roman" w:hAnsi="Times New Roman" w:eastAsia="Times New Roman" w:cs="Times New Roman"/>
              <w:spacing w:val="6"/>
              <w:position w:val="1"/>
              <w:sz w:val="23"/>
              <w:szCs w:val="23"/>
            </w:rPr>
            <w:t>10.3</w:t>
          </w:r>
          <w:r>
            <w:rPr>
              <w:rFonts w:ascii="Times New Roman" w:hAnsi="Times New Roman" w:eastAsia="Times New Roman" w:cs="Times New Roman"/>
              <w:spacing w:val="25"/>
              <w:w w:val="101"/>
              <w:position w:val="1"/>
              <w:sz w:val="23"/>
              <w:szCs w:val="23"/>
            </w:rPr>
            <w:t xml:space="preserve">  </w:t>
          </w:r>
          <w:r>
            <w:rPr>
              <w:rFonts w:ascii="宋体" w:hAnsi="宋体" w:eastAsia="宋体" w:cs="宋体"/>
              <w:spacing w:val="6"/>
              <w:position w:val="1"/>
              <w:sz w:val="23"/>
              <w:szCs w:val="23"/>
            </w:rPr>
            <w:t>开拓方式、采矿方法及选矿方法</w:t>
          </w:r>
          <w:r>
            <w:rPr>
              <w:rFonts w:ascii="宋体" w:hAnsi="宋体" w:eastAsia="宋体" w:cs="宋体"/>
              <w:spacing w:val="-93"/>
              <w:position w:val="1"/>
              <w:sz w:val="23"/>
              <w:szCs w:val="23"/>
            </w:rPr>
            <w:t xml:space="preserve"> </w:t>
          </w:r>
          <w:r>
            <w:rPr>
              <w:rFonts w:ascii="宋体" w:hAnsi="宋体" w:eastAsia="宋体" w:cs="宋体"/>
              <w:position w:val="1"/>
              <w:sz w:val="23"/>
              <w:szCs w:val="23"/>
            </w:rPr>
            <w:tab/>
          </w:r>
          <w:r>
            <w:rPr>
              <w:spacing w:val="-3"/>
              <w:position w:val="1"/>
              <w:sz w:val="23"/>
              <w:szCs w:val="23"/>
            </w:rPr>
            <w:t>31</w:t>
          </w:r>
          <w:r>
            <w:rPr>
              <w:spacing w:val="-3"/>
              <w:position w:val="1"/>
              <w:sz w:val="23"/>
              <w:szCs w:val="23"/>
            </w:rPr>
            <w:fldChar w:fldCharType="end"/>
          </w:r>
        </w:p>
        <w:p w14:paraId="4526E050">
          <w:pPr>
            <w:pStyle w:val="2"/>
            <w:tabs>
              <w:tab w:val="right" w:leader="dot" w:pos="8680"/>
            </w:tabs>
            <w:spacing w:before="187" w:line="313" w:lineRule="exact"/>
            <w:ind w:left="465"/>
            <w:rPr>
              <w:sz w:val="23"/>
              <w:szCs w:val="23"/>
            </w:rPr>
          </w:pPr>
          <w:r>
            <w:fldChar w:fldCharType="begin"/>
          </w:r>
          <w:r>
            <w:instrText xml:space="preserve"> HYPERLINK \l "bookmark27" </w:instrText>
          </w:r>
          <w:r>
            <w:fldChar w:fldCharType="separate"/>
          </w:r>
          <w:r>
            <w:rPr>
              <w:rFonts w:ascii="Times New Roman" w:hAnsi="Times New Roman" w:eastAsia="Times New Roman" w:cs="Times New Roman"/>
              <w:spacing w:val="4"/>
              <w:position w:val="1"/>
              <w:sz w:val="23"/>
              <w:szCs w:val="23"/>
            </w:rPr>
            <w:t>10.4</w:t>
          </w:r>
          <w:r>
            <w:rPr>
              <w:rFonts w:ascii="Times New Roman" w:hAnsi="Times New Roman" w:eastAsia="Times New Roman" w:cs="Times New Roman"/>
              <w:spacing w:val="20"/>
              <w:w w:val="101"/>
              <w:position w:val="1"/>
              <w:sz w:val="23"/>
              <w:szCs w:val="23"/>
            </w:rPr>
            <w:t xml:space="preserve">  </w:t>
          </w:r>
          <w:r>
            <w:rPr>
              <w:rFonts w:ascii="宋体" w:hAnsi="宋体" w:eastAsia="宋体" w:cs="宋体"/>
              <w:spacing w:val="4"/>
              <w:position w:val="1"/>
              <w:sz w:val="23"/>
              <w:szCs w:val="23"/>
            </w:rPr>
            <w:t>产品方案</w:t>
          </w:r>
          <w:r>
            <w:rPr>
              <w:rFonts w:ascii="宋体" w:hAnsi="宋体" w:eastAsia="宋体" w:cs="宋体"/>
              <w:spacing w:val="-97"/>
              <w:position w:val="1"/>
              <w:sz w:val="23"/>
              <w:szCs w:val="23"/>
            </w:rPr>
            <w:t xml:space="preserve"> </w:t>
          </w:r>
          <w:r>
            <w:rPr>
              <w:rFonts w:ascii="宋体" w:hAnsi="宋体" w:eastAsia="宋体" w:cs="宋体"/>
              <w:position w:val="1"/>
              <w:sz w:val="23"/>
              <w:szCs w:val="23"/>
            </w:rPr>
            <w:tab/>
          </w:r>
          <w:r>
            <w:rPr>
              <w:spacing w:val="8"/>
              <w:position w:val="1"/>
              <w:sz w:val="23"/>
              <w:szCs w:val="23"/>
            </w:rPr>
            <w:t>32</w:t>
          </w:r>
          <w:r>
            <w:rPr>
              <w:spacing w:val="8"/>
              <w:position w:val="1"/>
              <w:sz w:val="23"/>
              <w:szCs w:val="23"/>
            </w:rPr>
            <w:fldChar w:fldCharType="end"/>
          </w:r>
        </w:p>
        <w:p w14:paraId="3C0E49CA">
          <w:pPr>
            <w:pStyle w:val="2"/>
            <w:tabs>
              <w:tab w:val="right" w:leader="dot" w:pos="8680"/>
            </w:tabs>
            <w:spacing w:before="185" w:line="314" w:lineRule="exact"/>
            <w:ind w:left="465"/>
            <w:rPr>
              <w:sz w:val="23"/>
              <w:szCs w:val="23"/>
            </w:rPr>
          </w:pPr>
          <w:r>
            <w:fldChar w:fldCharType="begin"/>
          </w:r>
          <w:r>
            <w:instrText xml:space="preserve"> HYPERLINK \l "bookmark28" </w:instrText>
          </w:r>
          <w:r>
            <w:fldChar w:fldCharType="separate"/>
          </w:r>
          <w:r>
            <w:rPr>
              <w:rFonts w:ascii="Times New Roman" w:hAnsi="Times New Roman" w:eastAsia="Times New Roman" w:cs="Times New Roman"/>
              <w:spacing w:val="5"/>
              <w:position w:val="1"/>
              <w:sz w:val="23"/>
              <w:szCs w:val="23"/>
            </w:rPr>
            <w:t>10.5</w:t>
          </w:r>
          <w:r>
            <w:rPr>
              <w:rFonts w:ascii="Times New Roman" w:hAnsi="Times New Roman" w:eastAsia="Times New Roman" w:cs="Times New Roman"/>
              <w:spacing w:val="20"/>
              <w:w w:val="101"/>
              <w:position w:val="1"/>
              <w:sz w:val="23"/>
              <w:szCs w:val="23"/>
            </w:rPr>
            <w:t xml:space="preserve">  </w:t>
          </w:r>
          <w:r>
            <w:rPr>
              <w:rFonts w:ascii="宋体" w:hAnsi="宋体" w:eastAsia="宋体" w:cs="宋体"/>
              <w:spacing w:val="5"/>
              <w:position w:val="1"/>
              <w:sz w:val="23"/>
              <w:szCs w:val="23"/>
            </w:rPr>
            <w:t>采矿主要技术参数</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4"/>
              <w:position w:val="1"/>
              <w:sz w:val="23"/>
              <w:szCs w:val="23"/>
            </w:rPr>
            <w:t>32</w:t>
          </w:r>
          <w:r>
            <w:rPr>
              <w:spacing w:val="-4"/>
              <w:position w:val="1"/>
              <w:sz w:val="23"/>
              <w:szCs w:val="23"/>
            </w:rPr>
            <w:fldChar w:fldCharType="end"/>
          </w:r>
        </w:p>
        <w:p w14:paraId="6AC2C870">
          <w:pPr>
            <w:pStyle w:val="2"/>
            <w:tabs>
              <w:tab w:val="right" w:leader="dot" w:pos="8680"/>
            </w:tabs>
            <w:spacing w:before="186" w:line="314" w:lineRule="exact"/>
            <w:ind w:left="465"/>
            <w:rPr>
              <w:sz w:val="23"/>
              <w:szCs w:val="23"/>
            </w:rPr>
          </w:pPr>
          <w:r>
            <w:fldChar w:fldCharType="begin"/>
          </w:r>
          <w:r>
            <w:instrText xml:space="preserve"> HYPERLINK \l "bookmark29" </w:instrText>
          </w:r>
          <w:r>
            <w:fldChar w:fldCharType="separate"/>
          </w:r>
          <w:r>
            <w:rPr>
              <w:rFonts w:ascii="Times New Roman" w:hAnsi="Times New Roman" w:eastAsia="Times New Roman" w:cs="Times New Roman"/>
              <w:spacing w:val="2"/>
              <w:position w:val="1"/>
              <w:sz w:val="23"/>
              <w:szCs w:val="23"/>
            </w:rPr>
            <w:t xml:space="preserve">10.6   </w:t>
          </w:r>
          <w:r>
            <w:rPr>
              <w:rFonts w:ascii="宋体" w:hAnsi="宋体" w:eastAsia="宋体" w:cs="宋体"/>
              <w:spacing w:val="2"/>
              <w:position w:val="1"/>
              <w:sz w:val="23"/>
              <w:szCs w:val="23"/>
            </w:rPr>
            <w:t>可采储量的确定</w:t>
          </w:r>
          <w:r>
            <w:rPr>
              <w:rFonts w:ascii="宋体" w:hAnsi="宋体" w:eastAsia="宋体" w:cs="宋体"/>
              <w:spacing w:val="-100"/>
              <w:position w:val="1"/>
              <w:sz w:val="23"/>
              <w:szCs w:val="23"/>
            </w:rPr>
            <w:t xml:space="preserve"> </w:t>
          </w:r>
          <w:r>
            <w:rPr>
              <w:rFonts w:ascii="宋体" w:hAnsi="宋体" w:eastAsia="宋体" w:cs="宋体"/>
              <w:position w:val="1"/>
              <w:sz w:val="23"/>
              <w:szCs w:val="23"/>
            </w:rPr>
            <w:tab/>
          </w:r>
          <w:r>
            <w:rPr>
              <w:spacing w:val="3"/>
              <w:position w:val="1"/>
              <w:sz w:val="23"/>
              <w:szCs w:val="23"/>
            </w:rPr>
            <w:t>33</w:t>
          </w:r>
          <w:r>
            <w:rPr>
              <w:spacing w:val="3"/>
              <w:position w:val="1"/>
              <w:sz w:val="23"/>
              <w:szCs w:val="23"/>
            </w:rPr>
            <w:fldChar w:fldCharType="end"/>
          </w:r>
        </w:p>
        <w:p w14:paraId="78A29452">
          <w:pPr>
            <w:pStyle w:val="2"/>
            <w:tabs>
              <w:tab w:val="right" w:leader="dot" w:pos="8670"/>
            </w:tabs>
            <w:spacing w:before="187" w:line="313" w:lineRule="exact"/>
            <w:ind w:left="465"/>
            <w:rPr>
              <w:sz w:val="23"/>
              <w:szCs w:val="23"/>
            </w:rPr>
          </w:pPr>
          <w:r>
            <w:fldChar w:fldCharType="begin"/>
          </w:r>
          <w:r>
            <w:instrText xml:space="preserve"> HYPERLINK \l "bookmark30" </w:instrText>
          </w:r>
          <w:r>
            <w:fldChar w:fldCharType="separate"/>
          </w:r>
          <w:r>
            <w:rPr>
              <w:rFonts w:ascii="Times New Roman" w:hAnsi="Times New Roman" w:eastAsia="Times New Roman" w:cs="Times New Roman"/>
              <w:spacing w:val="1"/>
              <w:position w:val="1"/>
              <w:sz w:val="23"/>
              <w:szCs w:val="23"/>
            </w:rPr>
            <w:t xml:space="preserve">10.7   </w:t>
          </w:r>
          <w:r>
            <w:rPr>
              <w:rFonts w:ascii="宋体" w:hAnsi="宋体" w:eastAsia="宋体" w:cs="宋体"/>
              <w:spacing w:val="1"/>
              <w:position w:val="1"/>
              <w:sz w:val="23"/>
              <w:szCs w:val="23"/>
            </w:rPr>
            <w:t>生产规模</w:t>
          </w:r>
          <w:r>
            <w:rPr>
              <w:rFonts w:ascii="宋体" w:hAnsi="宋体" w:eastAsia="宋体" w:cs="宋体"/>
              <w:spacing w:val="-93"/>
              <w:position w:val="1"/>
              <w:sz w:val="23"/>
              <w:szCs w:val="23"/>
            </w:rPr>
            <w:t xml:space="preserve"> </w:t>
          </w:r>
          <w:r>
            <w:rPr>
              <w:rFonts w:ascii="宋体" w:hAnsi="宋体" w:eastAsia="宋体" w:cs="宋体"/>
              <w:position w:val="1"/>
              <w:sz w:val="23"/>
              <w:szCs w:val="23"/>
            </w:rPr>
            <w:tab/>
          </w:r>
          <w:r>
            <w:rPr>
              <w:spacing w:val="3"/>
              <w:position w:val="1"/>
              <w:sz w:val="23"/>
              <w:szCs w:val="23"/>
            </w:rPr>
            <w:t>34</w:t>
          </w:r>
          <w:r>
            <w:rPr>
              <w:spacing w:val="3"/>
              <w:position w:val="1"/>
              <w:sz w:val="23"/>
              <w:szCs w:val="23"/>
            </w:rPr>
            <w:fldChar w:fldCharType="end"/>
          </w:r>
        </w:p>
        <w:p w14:paraId="4D52ECEC">
          <w:pPr>
            <w:pStyle w:val="2"/>
            <w:tabs>
              <w:tab w:val="right" w:leader="dot" w:pos="8670"/>
            </w:tabs>
            <w:spacing w:before="196" w:line="314" w:lineRule="exact"/>
            <w:ind w:left="465"/>
            <w:rPr>
              <w:sz w:val="23"/>
              <w:szCs w:val="23"/>
            </w:rPr>
          </w:pPr>
          <w:r>
            <w:fldChar w:fldCharType="begin"/>
          </w:r>
          <w:r>
            <w:instrText xml:space="preserve"> HYPERLINK \l "bookmark31" </w:instrText>
          </w:r>
          <w:r>
            <w:fldChar w:fldCharType="separate"/>
          </w:r>
          <w:r>
            <w:rPr>
              <w:rFonts w:ascii="Times New Roman" w:hAnsi="Times New Roman" w:eastAsia="Times New Roman" w:cs="Times New Roman"/>
              <w:spacing w:val="6"/>
              <w:position w:val="1"/>
              <w:sz w:val="23"/>
              <w:szCs w:val="23"/>
            </w:rPr>
            <w:t>10.8</w:t>
          </w:r>
          <w:r>
            <w:rPr>
              <w:rFonts w:ascii="Times New Roman" w:hAnsi="Times New Roman" w:eastAsia="Times New Roman" w:cs="Times New Roman"/>
              <w:spacing w:val="14"/>
              <w:w w:val="101"/>
              <w:position w:val="1"/>
              <w:sz w:val="23"/>
              <w:szCs w:val="23"/>
            </w:rPr>
            <w:t xml:space="preserve">  </w:t>
          </w:r>
          <w:r>
            <w:rPr>
              <w:rFonts w:ascii="宋体" w:hAnsi="宋体" w:eastAsia="宋体" w:cs="宋体"/>
              <w:spacing w:val="6"/>
              <w:position w:val="1"/>
              <w:sz w:val="23"/>
              <w:szCs w:val="23"/>
            </w:rPr>
            <w:t>矿山服务年限的确定</w:t>
          </w:r>
          <w:r>
            <w:rPr>
              <w:rFonts w:ascii="宋体" w:hAnsi="宋体" w:eastAsia="宋体" w:cs="宋体"/>
              <w:spacing w:val="-101"/>
              <w:position w:val="1"/>
              <w:sz w:val="23"/>
              <w:szCs w:val="23"/>
            </w:rPr>
            <w:t xml:space="preserve"> </w:t>
          </w:r>
          <w:r>
            <w:rPr>
              <w:rFonts w:ascii="宋体" w:hAnsi="宋体" w:eastAsia="宋体" w:cs="宋体"/>
              <w:position w:val="1"/>
              <w:sz w:val="23"/>
              <w:szCs w:val="23"/>
            </w:rPr>
            <w:tab/>
          </w:r>
          <w:r>
            <w:rPr>
              <w:spacing w:val="-6"/>
              <w:position w:val="1"/>
              <w:sz w:val="23"/>
              <w:szCs w:val="23"/>
            </w:rPr>
            <w:t>35</w:t>
          </w:r>
          <w:r>
            <w:rPr>
              <w:spacing w:val="-6"/>
              <w:position w:val="1"/>
              <w:sz w:val="23"/>
              <w:szCs w:val="23"/>
            </w:rPr>
            <w:fldChar w:fldCharType="end"/>
          </w:r>
        </w:p>
        <w:p w14:paraId="7BC22FDC">
          <w:pPr>
            <w:pStyle w:val="2"/>
            <w:tabs>
              <w:tab w:val="right" w:leader="dot" w:pos="8660"/>
            </w:tabs>
            <w:spacing w:before="175" w:line="313" w:lineRule="exact"/>
            <w:ind w:left="465"/>
            <w:rPr>
              <w:sz w:val="23"/>
              <w:szCs w:val="23"/>
            </w:rPr>
          </w:pPr>
          <w:r>
            <w:fldChar w:fldCharType="begin"/>
          </w:r>
          <w:r>
            <w:instrText xml:space="preserve"> HYPERLINK \l "bookmark32" </w:instrText>
          </w:r>
          <w:r>
            <w:fldChar w:fldCharType="separate"/>
          </w:r>
          <w:r>
            <w:rPr>
              <w:rFonts w:ascii="Times New Roman" w:hAnsi="Times New Roman" w:eastAsia="Times New Roman" w:cs="Times New Roman"/>
              <w:spacing w:val="12"/>
              <w:position w:val="1"/>
              <w:sz w:val="23"/>
              <w:szCs w:val="23"/>
            </w:rPr>
            <w:t xml:space="preserve">10.9  </w:t>
          </w:r>
          <w:r>
            <w:rPr>
              <w:rFonts w:ascii="宋体" w:hAnsi="宋体" w:eastAsia="宋体" w:cs="宋体"/>
              <w:spacing w:val="12"/>
              <w:position w:val="1"/>
              <w:sz w:val="23"/>
              <w:szCs w:val="23"/>
            </w:rPr>
            <w:t>评估计算年限内的评估利用资源储量(Q</w:t>
          </w:r>
          <w:r>
            <w:rPr>
              <w:rFonts w:ascii="Calibri" w:hAnsi="Calibri" w:eastAsia="Calibri" w:cs="Calibri"/>
              <w:spacing w:val="12"/>
              <w:position w:val="1"/>
              <w:sz w:val="23"/>
              <w:szCs w:val="23"/>
            </w:rPr>
            <w:t>₁</w:t>
          </w:r>
          <w:r>
            <w:rPr>
              <w:rFonts w:ascii="宋体" w:hAnsi="宋体" w:eastAsia="宋体" w:cs="宋体"/>
              <w:spacing w:val="12"/>
              <w:position w:val="1"/>
              <w:sz w:val="23"/>
              <w:szCs w:val="23"/>
            </w:rPr>
            <w:t>)</w:t>
          </w:r>
          <w:r>
            <w:rPr>
              <w:rFonts w:ascii="宋体" w:hAnsi="宋体" w:eastAsia="宋体" w:cs="宋体"/>
              <w:spacing w:val="-88"/>
              <w:position w:val="1"/>
              <w:sz w:val="23"/>
              <w:szCs w:val="23"/>
            </w:rPr>
            <w:t xml:space="preserve"> </w:t>
          </w:r>
          <w:r>
            <w:rPr>
              <w:rFonts w:ascii="宋体" w:hAnsi="宋体" w:eastAsia="宋体" w:cs="宋体"/>
              <w:position w:val="1"/>
              <w:sz w:val="23"/>
              <w:szCs w:val="23"/>
            </w:rPr>
            <w:tab/>
          </w:r>
          <w:r>
            <w:rPr>
              <w:spacing w:val="18"/>
              <w:position w:val="1"/>
              <w:sz w:val="23"/>
              <w:szCs w:val="23"/>
            </w:rPr>
            <w:t>35</w:t>
          </w:r>
          <w:r>
            <w:rPr>
              <w:spacing w:val="18"/>
              <w:position w:val="1"/>
              <w:sz w:val="23"/>
              <w:szCs w:val="23"/>
            </w:rPr>
            <w:fldChar w:fldCharType="end"/>
          </w:r>
        </w:p>
        <w:p w14:paraId="7E53C1A8">
          <w:pPr>
            <w:pStyle w:val="2"/>
            <w:tabs>
              <w:tab w:val="right" w:leader="dot" w:pos="8680"/>
            </w:tabs>
            <w:spacing w:before="188" w:line="314" w:lineRule="exact"/>
            <w:ind w:left="465"/>
            <w:rPr>
              <w:sz w:val="23"/>
              <w:szCs w:val="23"/>
            </w:rPr>
          </w:pPr>
          <w:r>
            <w:fldChar w:fldCharType="begin"/>
          </w:r>
          <w:r>
            <w:instrText xml:space="preserve"> HYPERLINK \l "bookmark33" </w:instrText>
          </w:r>
          <w:r>
            <w:fldChar w:fldCharType="separate"/>
          </w:r>
          <w:r>
            <w:rPr>
              <w:rFonts w:ascii="Times New Roman" w:hAnsi="Times New Roman" w:eastAsia="Times New Roman" w:cs="Times New Roman"/>
              <w:spacing w:val="6"/>
              <w:position w:val="1"/>
              <w:sz w:val="23"/>
              <w:szCs w:val="23"/>
            </w:rPr>
            <w:t>10.10</w:t>
          </w:r>
          <w:r>
            <w:rPr>
              <w:rFonts w:ascii="Times New Roman" w:hAnsi="Times New Roman" w:eastAsia="Times New Roman" w:cs="Times New Roman"/>
              <w:spacing w:val="16"/>
              <w:position w:val="1"/>
              <w:sz w:val="23"/>
              <w:szCs w:val="23"/>
            </w:rPr>
            <w:t xml:space="preserve">  </w:t>
          </w:r>
          <w:r>
            <w:rPr>
              <w:rFonts w:ascii="宋体" w:hAnsi="宋体" w:eastAsia="宋体" w:cs="宋体"/>
              <w:spacing w:val="6"/>
              <w:position w:val="1"/>
              <w:sz w:val="23"/>
              <w:szCs w:val="23"/>
            </w:rPr>
            <w:t>销售收入</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2"/>
              <w:position w:val="1"/>
              <w:sz w:val="23"/>
              <w:szCs w:val="23"/>
            </w:rPr>
            <w:t>36</w:t>
          </w:r>
          <w:r>
            <w:rPr>
              <w:spacing w:val="-2"/>
              <w:position w:val="1"/>
              <w:sz w:val="23"/>
              <w:szCs w:val="23"/>
            </w:rPr>
            <w:fldChar w:fldCharType="end"/>
          </w:r>
        </w:p>
        <w:p w14:paraId="40108651">
          <w:pPr>
            <w:pStyle w:val="2"/>
            <w:tabs>
              <w:tab w:val="right" w:leader="dot" w:pos="8680"/>
            </w:tabs>
            <w:spacing w:before="165" w:line="313" w:lineRule="exact"/>
            <w:ind w:left="465"/>
            <w:rPr>
              <w:sz w:val="23"/>
              <w:szCs w:val="23"/>
            </w:rPr>
          </w:pPr>
          <w:r>
            <w:fldChar w:fldCharType="begin"/>
          </w:r>
          <w:r>
            <w:instrText xml:space="preserve"> HYPERLINK \l "bookmark34" </w:instrText>
          </w:r>
          <w:r>
            <w:fldChar w:fldCharType="separate"/>
          </w:r>
          <w:r>
            <w:rPr>
              <w:rFonts w:ascii="Times New Roman" w:hAnsi="Times New Roman" w:eastAsia="Times New Roman" w:cs="Times New Roman"/>
              <w:spacing w:val="1"/>
              <w:position w:val="1"/>
              <w:sz w:val="23"/>
              <w:szCs w:val="23"/>
            </w:rPr>
            <w:t xml:space="preserve">10.11   </w:t>
          </w:r>
          <w:r>
            <w:rPr>
              <w:rFonts w:ascii="宋体" w:hAnsi="宋体" w:eastAsia="宋体" w:cs="宋体"/>
              <w:spacing w:val="1"/>
              <w:position w:val="1"/>
              <w:sz w:val="23"/>
              <w:szCs w:val="23"/>
            </w:rPr>
            <w:t>投资估算</w:t>
          </w:r>
          <w:r>
            <w:rPr>
              <w:rFonts w:ascii="宋体" w:hAnsi="宋体" w:eastAsia="宋体" w:cs="宋体"/>
              <w:spacing w:val="-89"/>
              <w:position w:val="1"/>
              <w:sz w:val="23"/>
              <w:szCs w:val="23"/>
            </w:rPr>
            <w:t xml:space="preserve"> </w:t>
          </w:r>
          <w:r>
            <w:rPr>
              <w:rFonts w:ascii="宋体" w:hAnsi="宋体" w:eastAsia="宋体" w:cs="宋体"/>
              <w:position w:val="1"/>
              <w:sz w:val="23"/>
              <w:szCs w:val="23"/>
            </w:rPr>
            <w:tab/>
          </w:r>
          <w:r>
            <w:rPr>
              <w:spacing w:val="-2"/>
              <w:position w:val="1"/>
              <w:sz w:val="23"/>
              <w:szCs w:val="23"/>
            </w:rPr>
            <w:t>39</w:t>
          </w:r>
          <w:r>
            <w:rPr>
              <w:spacing w:val="-2"/>
              <w:position w:val="1"/>
              <w:sz w:val="23"/>
              <w:szCs w:val="23"/>
            </w:rPr>
            <w:fldChar w:fldCharType="end"/>
          </w:r>
        </w:p>
        <w:p w14:paraId="37B7CF62">
          <w:pPr>
            <w:pStyle w:val="2"/>
            <w:tabs>
              <w:tab w:val="right" w:leader="dot" w:pos="8687"/>
            </w:tabs>
            <w:spacing w:before="227" w:line="313" w:lineRule="exact"/>
            <w:ind w:left="465"/>
            <w:rPr>
              <w:sz w:val="23"/>
              <w:szCs w:val="23"/>
            </w:rPr>
          </w:pPr>
          <w:r>
            <w:fldChar w:fldCharType="begin"/>
          </w:r>
          <w:r>
            <w:instrText xml:space="preserve"> HYPERLINK \l "bookmark35" </w:instrText>
          </w:r>
          <w:r>
            <w:fldChar w:fldCharType="separate"/>
          </w:r>
          <w:r>
            <w:rPr>
              <w:rFonts w:ascii="Times New Roman" w:hAnsi="Times New Roman" w:eastAsia="Times New Roman" w:cs="Times New Roman"/>
              <w:spacing w:val="4"/>
              <w:position w:val="1"/>
              <w:sz w:val="23"/>
              <w:szCs w:val="23"/>
            </w:rPr>
            <w:t>10.12</w:t>
          </w:r>
          <w:r>
            <w:rPr>
              <w:rFonts w:ascii="Times New Roman" w:hAnsi="Times New Roman" w:eastAsia="Times New Roman" w:cs="Times New Roman"/>
              <w:spacing w:val="20"/>
              <w:w w:val="101"/>
              <w:position w:val="1"/>
              <w:sz w:val="23"/>
              <w:szCs w:val="23"/>
            </w:rPr>
            <w:t xml:space="preserve">  </w:t>
          </w:r>
          <w:r>
            <w:rPr>
              <w:rFonts w:ascii="宋体" w:hAnsi="宋体" w:eastAsia="宋体" w:cs="宋体"/>
              <w:spacing w:val="4"/>
              <w:position w:val="1"/>
              <w:sz w:val="23"/>
              <w:szCs w:val="23"/>
            </w:rPr>
            <w:t>成本估算</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rPr>
              <w:position w:val="1"/>
              <w:sz w:val="23"/>
              <w:szCs w:val="23"/>
            </w:rPr>
            <w:t>43</w:t>
          </w:r>
          <w:r>
            <w:rPr>
              <w:position w:val="1"/>
              <w:sz w:val="23"/>
              <w:szCs w:val="23"/>
            </w:rPr>
            <w:fldChar w:fldCharType="end"/>
          </w:r>
        </w:p>
        <w:p w14:paraId="7C1B5673">
          <w:pPr>
            <w:pStyle w:val="2"/>
            <w:tabs>
              <w:tab w:val="right" w:leader="dot" w:pos="8667"/>
            </w:tabs>
            <w:spacing w:before="167" w:line="314" w:lineRule="exact"/>
            <w:ind w:left="465"/>
            <w:rPr>
              <w:sz w:val="23"/>
              <w:szCs w:val="23"/>
            </w:rPr>
          </w:pPr>
          <w:r>
            <w:fldChar w:fldCharType="begin"/>
          </w:r>
          <w:r>
            <w:instrText xml:space="preserve"> HYPERLINK \l "bookmark36" </w:instrText>
          </w:r>
          <w:r>
            <w:fldChar w:fldCharType="separate"/>
          </w:r>
          <w:r>
            <w:rPr>
              <w:rFonts w:ascii="Times New Roman" w:hAnsi="Times New Roman" w:eastAsia="Times New Roman" w:cs="Times New Roman"/>
              <w:spacing w:val="5"/>
              <w:position w:val="1"/>
              <w:sz w:val="23"/>
              <w:szCs w:val="23"/>
            </w:rPr>
            <w:t>10.13</w:t>
          </w:r>
          <w:r>
            <w:rPr>
              <w:rFonts w:ascii="Times New Roman" w:hAnsi="Times New Roman" w:eastAsia="Times New Roman" w:cs="Times New Roman"/>
              <w:spacing w:val="22"/>
              <w:position w:val="1"/>
              <w:sz w:val="23"/>
              <w:szCs w:val="23"/>
            </w:rPr>
            <w:t xml:space="preserve">  </w:t>
          </w:r>
          <w:r>
            <w:rPr>
              <w:rFonts w:ascii="宋体" w:hAnsi="宋体" w:eastAsia="宋体" w:cs="宋体"/>
              <w:spacing w:val="5"/>
              <w:position w:val="1"/>
              <w:sz w:val="23"/>
              <w:szCs w:val="23"/>
            </w:rPr>
            <w:t>销售税金及附加</w:t>
          </w:r>
          <w:r>
            <w:rPr>
              <w:rFonts w:ascii="宋体" w:hAnsi="宋体" w:eastAsia="宋体" w:cs="宋体"/>
              <w:spacing w:val="-103"/>
              <w:position w:val="1"/>
              <w:sz w:val="23"/>
              <w:szCs w:val="23"/>
            </w:rPr>
            <w:t xml:space="preserve"> </w:t>
          </w:r>
          <w:r>
            <w:rPr>
              <w:rFonts w:ascii="宋体" w:hAnsi="宋体" w:eastAsia="宋体" w:cs="宋体"/>
              <w:position w:val="1"/>
              <w:sz w:val="23"/>
              <w:szCs w:val="23"/>
            </w:rPr>
            <w:tab/>
          </w:r>
          <w:r>
            <w:rPr>
              <w:rFonts w:ascii="宋体" w:hAnsi="宋体" w:eastAsia="宋体" w:cs="宋体"/>
              <w:spacing w:val="-19"/>
              <w:position w:val="1"/>
              <w:sz w:val="23"/>
              <w:szCs w:val="23"/>
            </w:rPr>
            <w:t xml:space="preserve"> </w:t>
          </w:r>
          <w:r>
            <w:rPr>
              <w:spacing w:val="-1"/>
              <w:position w:val="1"/>
              <w:sz w:val="23"/>
              <w:szCs w:val="23"/>
            </w:rPr>
            <w:t>48</w:t>
          </w:r>
          <w:r>
            <w:rPr>
              <w:spacing w:val="-1"/>
              <w:position w:val="1"/>
              <w:sz w:val="23"/>
              <w:szCs w:val="23"/>
            </w:rPr>
            <w:fldChar w:fldCharType="end"/>
          </w:r>
        </w:p>
        <w:p w14:paraId="79AB1F40">
          <w:pPr>
            <w:pStyle w:val="2"/>
            <w:tabs>
              <w:tab w:val="right" w:leader="dot" w:pos="8690"/>
            </w:tabs>
            <w:spacing w:before="187" w:line="314" w:lineRule="exact"/>
            <w:ind w:left="465"/>
            <w:rPr>
              <w:sz w:val="23"/>
              <w:szCs w:val="23"/>
            </w:rPr>
          </w:pPr>
          <w:r>
            <w:fldChar w:fldCharType="begin"/>
          </w:r>
          <w:r>
            <w:instrText xml:space="preserve"> HYPERLINK \l "bookmark37" </w:instrText>
          </w:r>
          <w:r>
            <w:fldChar w:fldCharType="separate"/>
          </w:r>
          <w:r>
            <w:rPr>
              <w:rFonts w:ascii="Times New Roman" w:hAnsi="Times New Roman" w:eastAsia="Times New Roman" w:cs="Times New Roman"/>
              <w:spacing w:val="2"/>
              <w:position w:val="1"/>
              <w:sz w:val="23"/>
              <w:szCs w:val="23"/>
            </w:rPr>
            <w:t>10.14</w:t>
          </w:r>
          <w:r>
            <w:rPr>
              <w:rFonts w:ascii="Times New Roman" w:hAnsi="Times New Roman" w:eastAsia="Times New Roman" w:cs="Times New Roman"/>
              <w:spacing w:val="25"/>
              <w:w w:val="101"/>
              <w:position w:val="1"/>
              <w:sz w:val="23"/>
              <w:szCs w:val="23"/>
            </w:rPr>
            <w:t xml:space="preserve">  </w:t>
          </w:r>
          <w:r>
            <w:rPr>
              <w:rFonts w:ascii="宋体" w:hAnsi="宋体" w:eastAsia="宋体" w:cs="宋体"/>
              <w:spacing w:val="2"/>
              <w:position w:val="1"/>
              <w:sz w:val="23"/>
              <w:szCs w:val="23"/>
            </w:rPr>
            <w:t>折现率</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rPr>
              <w:spacing w:val="-3"/>
              <w:position w:val="1"/>
              <w:sz w:val="23"/>
              <w:szCs w:val="23"/>
            </w:rPr>
            <w:t>51</w:t>
          </w:r>
          <w:r>
            <w:rPr>
              <w:spacing w:val="-3"/>
              <w:position w:val="1"/>
              <w:sz w:val="23"/>
              <w:szCs w:val="23"/>
            </w:rPr>
            <w:fldChar w:fldCharType="end"/>
          </w:r>
        </w:p>
        <w:p w14:paraId="425D2E69">
          <w:pPr>
            <w:pStyle w:val="2"/>
            <w:tabs>
              <w:tab w:val="right" w:leader="dot" w:pos="8650"/>
            </w:tabs>
            <w:spacing w:before="185" w:line="313" w:lineRule="exact"/>
            <w:ind w:left="124"/>
            <w:rPr>
              <w:sz w:val="23"/>
              <w:szCs w:val="23"/>
            </w:rPr>
          </w:pPr>
          <w:r>
            <w:fldChar w:fldCharType="begin"/>
          </w:r>
          <w:r>
            <w:instrText xml:space="preserve"> HYPERLINK \l "bookmark38" </w:instrText>
          </w:r>
          <w:r>
            <w:fldChar w:fldCharType="separate"/>
          </w:r>
          <w:r>
            <w:rPr>
              <w:rFonts w:ascii="Times New Roman" w:hAnsi="Times New Roman" w:eastAsia="Times New Roman" w:cs="Times New Roman"/>
              <w:spacing w:val="11"/>
              <w:position w:val="1"/>
              <w:sz w:val="23"/>
              <w:szCs w:val="23"/>
            </w:rPr>
            <w:t xml:space="preserve">11. </w:t>
          </w:r>
          <w:r>
            <w:rPr>
              <w:rFonts w:ascii="宋体" w:hAnsi="宋体" w:eastAsia="宋体" w:cs="宋体"/>
              <w:spacing w:val="11"/>
              <w:position w:val="1"/>
              <w:sz w:val="23"/>
              <w:szCs w:val="23"/>
            </w:rPr>
            <w:t>评估假设</w:t>
          </w:r>
          <w:r>
            <w:rPr>
              <w:rFonts w:ascii="宋体" w:hAnsi="宋体" w:eastAsia="宋体" w:cs="宋体"/>
              <w:spacing w:val="-89"/>
              <w:position w:val="1"/>
              <w:sz w:val="23"/>
              <w:szCs w:val="23"/>
            </w:rPr>
            <w:t xml:space="preserve"> </w:t>
          </w:r>
          <w:r>
            <w:rPr>
              <w:rFonts w:ascii="宋体" w:hAnsi="宋体" w:eastAsia="宋体" w:cs="宋体"/>
              <w:position w:val="1"/>
              <w:sz w:val="23"/>
              <w:szCs w:val="23"/>
            </w:rPr>
            <w:tab/>
          </w:r>
          <w:r>
            <w:rPr>
              <w:spacing w:val="8"/>
              <w:position w:val="1"/>
              <w:sz w:val="23"/>
              <w:szCs w:val="23"/>
            </w:rPr>
            <w:t>52</w:t>
          </w:r>
          <w:r>
            <w:rPr>
              <w:spacing w:val="8"/>
              <w:position w:val="1"/>
              <w:sz w:val="23"/>
              <w:szCs w:val="23"/>
            </w:rPr>
            <w:fldChar w:fldCharType="end"/>
          </w:r>
        </w:p>
        <w:p w14:paraId="26AB0B4F">
          <w:pPr>
            <w:pStyle w:val="2"/>
            <w:tabs>
              <w:tab w:val="right" w:leader="dot" w:pos="8670"/>
            </w:tabs>
            <w:spacing w:before="187" w:line="313" w:lineRule="exact"/>
            <w:ind w:left="124"/>
            <w:rPr>
              <w:sz w:val="23"/>
              <w:szCs w:val="23"/>
            </w:rPr>
          </w:pPr>
          <w:r>
            <w:fldChar w:fldCharType="begin"/>
          </w:r>
          <w:r>
            <w:instrText xml:space="preserve"> HYPERLINK \l "bookmark39" </w:instrText>
          </w:r>
          <w:r>
            <w:fldChar w:fldCharType="separate"/>
          </w:r>
          <w:r>
            <w:rPr>
              <w:rFonts w:ascii="Times New Roman" w:hAnsi="Times New Roman" w:eastAsia="Times New Roman" w:cs="Times New Roman"/>
              <w:spacing w:val="11"/>
              <w:position w:val="1"/>
              <w:sz w:val="23"/>
              <w:szCs w:val="23"/>
            </w:rPr>
            <w:t xml:space="preserve">12. </w:t>
          </w:r>
          <w:r>
            <w:rPr>
              <w:rFonts w:ascii="宋体" w:hAnsi="宋体" w:eastAsia="宋体" w:cs="宋体"/>
              <w:spacing w:val="11"/>
              <w:position w:val="1"/>
              <w:sz w:val="23"/>
              <w:szCs w:val="23"/>
            </w:rPr>
            <w:t>评估结论</w:t>
          </w:r>
          <w:r>
            <w:rPr>
              <w:rFonts w:ascii="宋体" w:hAnsi="宋体" w:eastAsia="宋体" w:cs="宋体"/>
              <w:spacing w:val="-89"/>
              <w:position w:val="1"/>
              <w:sz w:val="23"/>
              <w:szCs w:val="23"/>
            </w:rPr>
            <w:t xml:space="preserve"> </w:t>
          </w:r>
          <w:r>
            <w:rPr>
              <w:rFonts w:ascii="宋体" w:hAnsi="宋体" w:eastAsia="宋体" w:cs="宋体"/>
              <w:position w:val="1"/>
              <w:sz w:val="23"/>
              <w:szCs w:val="23"/>
            </w:rPr>
            <w:tab/>
          </w:r>
          <w:r>
            <w:rPr>
              <w:spacing w:val="18"/>
              <w:position w:val="1"/>
              <w:sz w:val="23"/>
              <w:szCs w:val="23"/>
            </w:rPr>
            <w:t>52</w:t>
          </w:r>
          <w:r>
            <w:rPr>
              <w:spacing w:val="18"/>
              <w:position w:val="1"/>
              <w:sz w:val="23"/>
              <w:szCs w:val="23"/>
            </w:rPr>
            <w:fldChar w:fldCharType="end"/>
          </w:r>
        </w:p>
        <w:p w14:paraId="398B0465">
          <w:pPr>
            <w:pStyle w:val="2"/>
            <w:tabs>
              <w:tab w:val="right" w:leader="dot" w:pos="8660"/>
            </w:tabs>
            <w:spacing w:before="188" w:line="314" w:lineRule="exact"/>
            <w:ind w:left="124"/>
            <w:rPr>
              <w:sz w:val="23"/>
              <w:szCs w:val="23"/>
            </w:rPr>
          </w:pPr>
          <w:r>
            <w:fldChar w:fldCharType="begin"/>
          </w:r>
          <w:r>
            <w:instrText xml:space="preserve"> HYPERLINK \l "bookmark40" </w:instrText>
          </w:r>
          <w:r>
            <w:fldChar w:fldCharType="separate"/>
          </w:r>
          <w:r>
            <w:rPr>
              <w:rFonts w:ascii="Times New Roman" w:hAnsi="Times New Roman" w:eastAsia="Times New Roman" w:cs="Times New Roman"/>
              <w:spacing w:val="8"/>
              <w:position w:val="1"/>
              <w:sz w:val="23"/>
              <w:szCs w:val="23"/>
            </w:rPr>
            <w:t>13.</w:t>
          </w:r>
          <w:r>
            <w:rPr>
              <w:rFonts w:ascii="Times New Roman" w:hAnsi="Times New Roman" w:eastAsia="Times New Roman" w:cs="Times New Roman"/>
              <w:spacing w:val="37"/>
              <w:position w:val="1"/>
              <w:sz w:val="23"/>
              <w:szCs w:val="23"/>
            </w:rPr>
            <w:t xml:space="preserve"> </w:t>
          </w:r>
          <w:r>
            <w:rPr>
              <w:rFonts w:ascii="宋体" w:hAnsi="宋体" w:eastAsia="宋体" w:cs="宋体"/>
              <w:spacing w:val="8"/>
              <w:position w:val="1"/>
              <w:sz w:val="23"/>
              <w:szCs w:val="23"/>
            </w:rPr>
            <w:t>特别事项说明</w:t>
          </w:r>
          <w:r>
            <w:rPr>
              <w:rFonts w:ascii="宋体" w:hAnsi="宋体" w:eastAsia="宋体" w:cs="宋体"/>
              <w:position w:val="1"/>
              <w:sz w:val="23"/>
              <w:szCs w:val="23"/>
            </w:rPr>
            <w:tab/>
          </w:r>
          <w:r>
            <w:rPr>
              <w:spacing w:val="13"/>
              <w:position w:val="1"/>
              <w:sz w:val="23"/>
              <w:szCs w:val="23"/>
            </w:rPr>
            <w:t>54</w:t>
          </w:r>
          <w:r>
            <w:rPr>
              <w:spacing w:val="13"/>
              <w:position w:val="1"/>
              <w:sz w:val="23"/>
              <w:szCs w:val="23"/>
            </w:rPr>
            <w:fldChar w:fldCharType="end"/>
          </w:r>
        </w:p>
        <w:p w14:paraId="51091C05">
          <w:pPr>
            <w:pStyle w:val="2"/>
            <w:tabs>
              <w:tab w:val="right" w:leader="dot" w:pos="8660"/>
            </w:tabs>
            <w:spacing w:before="185" w:line="313" w:lineRule="exact"/>
            <w:ind w:left="124"/>
            <w:rPr>
              <w:sz w:val="23"/>
              <w:szCs w:val="23"/>
            </w:rPr>
          </w:pPr>
          <w:r>
            <w:fldChar w:fldCharType="begin"/>
          </w:r>
          <w:r>
            <w:instrText xml:space="preserve"> HYPERLINK \l "bookmark41" </w:instrText>
          </w:r>
          <w:r>
            <w:fldChar w:fldCharType="separate"/>
          </w:r>
          <w:r>
            <w:rPr>
              <w:rFonts w:ascii="Times New Roman" w:hAnsi="Times New Roman" w:eastAsia="Times New Roman" w:cs="Times New Roman"/>
              <w:spacing w:val="10"/>
              <w:position w:val="1"/>
              <w:sz w:val="23"/>
              <w:szCs w:val="23"/>
            </w:rPr>
            <w:t xml:space="preserve">14. </w:t>
          </w:r>
          <w:r>
            <w:rPr>
              <w:rFonts w:ascii="宋体" w:hAnsi="宋体" w:eastAsia="宋体" w:cs="宋体"/>
              <w:spacing w:val="10"/>
              <w:position w:val="1"/>
              <w:sz w:val="23"/>
              <w:szCs w:val="23"/>
            </w:rPr>
            <w:t>矿业权评估报告的使用限制</w:t>
          </w:r>
          <w:r>
            <w:rPr>
              <w:rFonts w:ascii="宋体" w:hAnsi="宋体" w:eastAsia="宋体" w:cs="宋体"/>
              <w:spacing w:val="-102"/>
              <w:position w:val="1"/>
              <w:sz w:val="23"/>
              <w:szCs w:val="23"/>
            </w:rPr>
            <w:t xml:space="preserve"> </w:t>
          </w:r>
          <w:r>
            <w:rPr>
              <w:rFonts w:ascii="宋体" w:hAnsi="宋体" w:eastAsia="宋体" w:cs="宋体"/>
              <w:position w:val="1"/>
              <w:sz w:val="23"/>
              <w:szCs w:val="23"/>
            </w:rPr>
            <w:tab/>
          </w:r>
          <w:r>
            <w:rPr>
              <w:spacing w:val="-2"/>
              <w:position w:val="1"/>
              <w:sz w:val="23"/>
              <w:szCs w:val="23"/>
            </w:rPr>
            <w:t>56</w:t>
          </w:r>
          <w:r>
            <w:rPr>
              <w:spacing w:val="-2"/>
              <w:position w:val="1"/>
              <w:sz w:val="23"/>
              <w:szCs w:val="23"/>
            </w:rPr>
            <w:fldChar w:fldCharType="end"/>
          </w:r>
        </w:p>
        <w:p w14:paraId="100D6FD4">
          <w:pPr>
            <w:pStyle w:val="2"/>
            <w:tabs>
              <w:tab w:val="right" w:leader="dot" w:pos="8690"/>
            </w:tabs>
            <w:spacing w:before="187" w:line="313" w:lineRule="exact"/>
            <w:ind w:left="124"/>
            <w:rPr>
              <w:sz w:val="23"/>
              <w:szCs w:val="23"/>
            </w:rPr>
          </w:pPr>
          <w:r>
            <w:fldChar w:fldCharType="begin"/>
          </w:r>
          <w:r>
            <w:instrText xml:space="preserve"> HYPERLINK \l "bookmark42" </w:instrText>
          </w:r>
          <w:r>
            <w:fldChar w:fldCharType="separate"/>
          </w:r>
          <w:r>
            <w:rPr>
              <w:rFonts w:ascii="Times New Roman" w:hAnsi="Times New Roman" w:eastAsia="Times New Roman" w:cs="Times New Roman"/>
              <w:spacing w:val="10"/>
              <w:position w:val="1"/>
              <w:sz w:val="23"/>
              <w:szCs w:val="23"/>
            </w:rPr>
            <w:t xml:space="preserve">15. </w:t>
          </w:r>
          <w:r>
            <w:rPr>
              <w:rFonts w:ascii="宋体" w:hAnsi="宋体" w:eastAsia="宋体" w:cs="宋体"/>
              <w:spacing w:val="10"/>
              <w:position w:val="1"/>
              <w:sz w:val="23"/>
              <w:szCs w:val="23"/>
            </w:rPr>
            <w:t>评估报告日</w:t>
          </w:r>
          <w:r>
            <w:rPr>
              <w:rFonts w:ascii="宋体" w:hAnsi="宋体" w:eastAsia="宋体" w:cs="宋体"/>
              <w:position w:val="1"/>
              <w:sz w:val="23"/>
              <w:szCs w:val="23"/>
            </w:rPr>
            <w:tab/>
          </w:r>
          <w:r>
            <w:rPr>
              <w:rFonts w:ascii="宋体" w:hAnsi="宋体" w:eastAsia="宋体" w:cs="宋体"/>
              <w:spacing w:val="-19"/>
              <w:position w:val="1"/>
              <w:sz w:val="23"/>
              <w:szCs w:val="23"/>
            </w:rPr>
            <w:t xml:space="preserve"> </w:t>
          </w:r>
          <w:r>
            <w:rPr>
              <w:spacing w:val="-5"/>
              <w:position w:val="1"/>
              <w:sz w:val="23"/>
              <w:szCs w:val="23"/>
            </w:rPr>
            <w:t>57</w:t>
          </w:r>
          <w:r>
            <w:rPr>
              <w:spacing w:val="-5"/>
              <w:position w:val="1"/>
              <w:sz w:val="23"/>
              <w:szCs w:val="23"/>
            </w:rPr>
            <w:fldChar w:fldCharType="end"/>
          </w:r>
        </w:p>
        <w:p w14:paraId="61B4E17D">
          <w:pPr>
            <w:pStyle w:val="2"/>
            <w:tabs>
              <w:tab w:val="right" w:leader="dot" w:pos="8670"/>
            </w:tabs>
            <w:spacing w:before="187" w:line="313" w:lineRule="exact"/>
            <w:ind w:left="124"/>
            <w:rPr>
              <w:sz w:val="23"/>
              <w:szCs w:val="23"/>
            </w:rPr>
          </w:pPr>
          <w:r>
            <w:fldChar w:fldCharType="begin"/>
          </w:r>
          <w:r>
            <w:instrText xml:space="preserve"> HYPERLINK \l "bookmark43" </w:instrText>
          </w:r>
          <w:r>
            <w:fldChar w:fldCharType="separate"/>
          </w:r>
          <w:r>
            <w:rPr>
              <w:rFonts w:ascii="Times New Roman" w:hAnsi="Times New Roman" w:eastAsia="Times New Roman" w:cs="Times New Roman"/>
              <w:spacing w:val="11"/>
              <w:position w:val="1"/>
              <w:sz w:val="23"/>
              <w:szCs w:val="23"/>
            </w:rPr>
            <w:t xml:space="preserve">16. </w:t>
          </w:r>
          <w:r>
            <w:rPr>
              <w:rFonts w:ascii="宋体" w:hAnsi="宋体" w:eastAsia="宋体" w:cs="宋体"/>
              <w:spacing w:val="11"/>
              <w:position w:val="1"/>
              <w:sz w:val="23"/>
              <w:szCs w:val="23"/>
            </w:rPr>
            <w:t>评估机构和评估责任人</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spacing w:val="-6"/>
              <w:position w:val="1"/>
              <w:sz w:val="23"/>
              <w:szCs w:val="23"/>
            </w:rPr>
            <w:t>57</w:t>
          </w:r>
          <w:r>
            <w:rPr>
              <w:spacing w:val="-6"/>
              <w:position w:val="1"/>
              <w:sz w:val="23"/>
              <w:szCs w:val="23"/>
            </w:rPr>
            <w:fldChar w:fldCharType="end"/>
          </w:r>
        </w:p>
      </w:sdtContent>
    </w:sdt>
    <w:p w14:paraId="2858428B">
      <w:pPr>
        <w:spacing w:before="189" w:line="219" w:lineRule="auto"/>
        <w:ind w:left="134"/>
        <w:rPr>
          <w:rFonts w:ascii="宋体" w:hAnsi="宋体" w:eastAsia="宋体" w:cs="宋体"/>
          <w:sz w:val="24"/>
          <w:szCs w:val="24"/>
        </w:rPr>
      </w:pPr>
      <w:r>
        <w:rPr>
          <w:rFonts w:ascii="宋体" w:hAnsi="宋体" w:eastAsia="宋体" w:cs="宋体"/>
          <w:spacing w:val="5"/>
          <w:sz w:val="24"/>
          <w:szCs w:val="24"/>
        </w:rPr>
        <w:t>二、附表目录</w:t>
      </w:r>
    </w:p>
    <w:p w14:paraId="10835710">
      <w:pPr>
        <w:spacing w:line="225" w:lineRule="exact"/>
      </w:pPr>
    </w:p>
    <w:tbl>
      <w:tblPr>
        <w:tblStyle w:val="5"/>
        <w:tblW w:w="8301" w:type="dxa"/>
        <w:tblInd w:w="13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252"/>
        <w:gridCol w:w="7049"/>
      </w:tblGrid>
      <w:tr w14:paraId="30BD5C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5" w:hRule="atLeast"/>
        </w:trPr>
        <w:tc>
          <w:tcPr>
            <w:tcW w:w="1252" w:type="dxa"/>
            <w:vAlign w:val="top"/>
          </w:tcPr>
          <w:p w14:paraId="23A935FF">
            <w:pPr>
              <w:spacing w:line="218" w:lineRule="auto"/>
              <w:ind w:left="480"/>
              <w:rPr>
                <w:rFonts w:ascii="宋体" w:hAnsi="宋体" w:eastAsia="宋体" w:cs="宋体"/>
                <w:sz w:val="24"/>
                <w:szCs w:val="24"/>
              </w:rPr>
            </w:pPr>
            <w:r>
              <w:rPr>
                <w:rFonts w:ascii="宋体" w:hAnsi="宋体" w:eastAsia="宋体" w:cs="宋体"/>
                <w:spacing w:val="-5"/>
                <w:sz w:val="24"/>
                <w:szCs w:val="24"/>
              </w:rPr>
              <w:t>附表一</w:t>
            </w:r>
          </w:p>
        </w:tc>
        <w:tc>
          <w:tcPr>
            <w:tcW w:w="7049" w:type="dxa"/>
            <w:vAlign w:val="top"/>
          </w:tcPr>
          <w:p w14:paraId="644DF409">
            <w:pPr>
              <w:spacing w:before="1" w:line="217" w:lineRule="auto"/>
              <w:ind w:left="59"/>
              <w:rPr>
                <w:rFonts w:ascii="宋体" w:hAnsi="宋体" w:eastAsia="宋体" w:cs="宋体"/>
                <w:sz w:val="24"/>
                <w:szCs w:val="24"/>
              </w:rPr>
            </w:pPr>
            <w:r>
              <w:rPr>
                <w:rFonts w:ascii="宋体" w:hAnsi="宋体" w:eastAsia="宋体" w:cs="宋体"/>
                <w:sz w:val="24"/>
                <w:szCs w:val="24"/>
              </w:rPr>
              <w:t>云南罗平锌电股份有限公司富乐铅锌矿采矿权出让收益价值计算表</w:t>
            </w:r>
          </w:p>
        </w:tc>
      </w:tr>
      <w:tr w14:paraId="6A87245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0" w:hRule="atLeast"/>
        </w:trPr>
        <w:tc>
          <w:tcPr>
            <w:tcW w:w="1252" w:type="dxa"/>
            <w:vAlign w:val="top"/>
          </w:tcPr>
          <w:p w14:paraId="47B7E458">
            <w:pPr>
              <w:spacing w:before="124" w:line="219" w:lineRule="auto"/>
              <w:ind w:left="500"/>
              <w:rPr>
                <w:rFonts w:ascii="宋体" w:hAnsi="宋体" w:eastAsia="宋体" w:cs="宋体"/>
                <w:sz w:val="24"/>
                <w:szCs w:val="24"/>
              </w:rPr>
            </w:pPr>
            <w:r>
              <w:rPr>
                <w:rFonts w:ascii="宋体" w:hAnsi="宋体" w:eastAsia="宋体" w:cs="宋体"/>
                <w:spacing w:val="-6"/>
                <w:sz w:val="24"/>
                <w:szCs w:val="24"/>
              </w:rPr>
              <w:t>附表二</w:t>
            </w:r>
          </w:p>
        </w:tc>
        <w:tc>
          <w:tcPr>
            <w:tcW w:w="7049" w:type="dxa"/>
            <w:vAlign w:val="top"/>
          </w:tcPr>
          <w:p w14:paraId="7EEB4E84">
            <w:pPr>
              <w:spacing w:before="124" w:line="218" w:lineRule="auto"/>
              <w:jc w:val="right"/>
              <w:rPr>
                <w:rFonts w:ascii="宋体" w:hAnsi="宋体" w:eastAsia="宋体" w:cs="宋体"/>
                <w:sz w:val="24"/>
                <w:szCs w:val="24"/>
              </w:rPr>
            </w:pPr>
            <w:r>
              <w:rPr>
                <w:rFonts w:ascii="宋体" w:hAnsi="宋体" w:eastAsia="宋体" w:cs="宋体"/>
                <w:sz w:val="24"/>
                <w:szCs w:val="24"/>
              </w:rPr>
              <w:t>云南罗平锌电股份有限公司富乐铅锌矿采矿权出让收益评估价值估</w:t>
            </w:r>
          </w:p>
        </w:tc>
      </w:tr>
      <w:tr w14:paraId="2E108B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4" w:hRule="atLeast"/>
        </w:trPr>
        <w:tc>
          <w:tcPr>
            <w:tcW w:w="1252" w:type="dxa"/>
            <w:vAlign w:val="top"/>
          </w:tcPr>
          <w:p w14:paraId="247EF130">
            <w:pPr>
              <w:spacing w:before="136" w:line="219" w:lineRule="auto"/>
              <w:rPr>
                <w:rFonts w:ascii="宋体" w:hAnsi="宋体" w:eastAsia="宋体" w:cs="宋体"/>
                <w:sz w:val="24"/>
                <w:szCs w:val="24"/>
              </w:rPr>
            </w:pPr>
            <w:r>
              <w:rPr>
                <w:rFonts w:ascii="宋体" w:hAnsi="宋体" w:eastAsia="宋体" w:cs="宋体"/>
                <w:spacing w:val="5"/>
                <w:sz w:val="24"/>
                <w:szCs w:val="24"/>
              </w:rPr>
              <w:t>算表</w:t>
            </w:r>
          </w:p>
          <w:p w14:paraId="1C6C6C45">
            <w:pPr>
              <w:spacing w:before="213" w:line="176" w:lineRule="auto"/>
              <w:ind w:left="490"/>
              <w:rPr>
                <w:rFonts w:ascii="宋体" w:hAnsi="宋体" w:eastAsia="宋体" w:cs="宋体"/>
                <w:sz w:val="24"/>
                <w:szCs w:val="24"/>
              </w:rPr>
            </w:pPr>
            <w:r>
              <w:rPr>
                <w:rFonts w:ascii="宋体" w:hAnsi="宋体" w:eastAsia="宋体" w:cs="宋体"/>
                <w:spacing w:val="-7"/>
                <w:sz w:val="24"/>
                <w:szCs w:val="24"/>
              </w:rPr>
              <w:t>附表三</w:t>
            </w:r>
          </w:p>
        </w:tc>
        <w:tc>
          <w:tcPr>
            <w:tcW w:w="7049" w:type="dxa"/>
            <w:vAlign w:val="top"/>
          </w:tcPr>
          <w:p w14:paraId="4CB254A1">
            <w:pPr>
              <w:spacing w:line="276" w:lineRule="auto"/>
              <w:rPr>
                <w:rFonts w:ascii="Arial"/>
                <w:sz w:val="21"/>
              </w:rPr>
            </w:pPr>
          </w:p>
          <w:p w14:paraId="0903144A">
            <w:pPr>
              <w:spacing w:line="277" w:lineRule="auto"/>
              <w:rPr>
                <w:rFonts w:ascii="Arial"/>
                <w:sz w:val="21"/>
              </w:rPr>
            </w:pPr>
          </w:p>
          <w:p w14:paraId="3A6F2737">
            <w:pPr>
              <w:spacing w:before="78" w:line="176" w:lineRule="auto"/>
              <w:ind w:left="65"/>
              <w:rPr>
                <w:rFonts w:ascii="宋体" w:hAnsi="宋体" w:eastAsia="宋体" w:cs="宋体"/>
                <w:sz w:val="24"/>
                <w:szCs w:val="24"/>
              </w:rPr>
            </w:pPr>
            <w:r>
              <w:rPr>
                <w:rFonts w:ascii="宋体" w:hAnsi="宋体" w:eastAsia="宋体" w:cs="宋体"/>
                <w:spacing w:val="-1"/>
                <w:sz w:val="24"/>
                <w:szCs w:val="24"/>
              </w:rPr>
              <w:t>云南罗平锌电股份有限公司富乐铅锌矿采矿权出让收益评估可采储</w:t>
            </w:r>
          </w:p>
        </w:tc>
      </w:tr>
    </w:tbl>
    <w:p w14:paraId="27DBFAE5">
      <w:pPr>
        <w:spacing w:before="252" w:line="219" w:lineRule="auto"/>
        <w:ind w:left="144"/>
        <w:rPr>
          <w:rFonts w:ascii="宋体" w:hAnsi="宋体" w:eastAsia="宋体" w:cs="宋体"/>
          <w:sz w:val="24"/>
          <w:szCs w:val="24"/>
        </w:rPr>
      </w:pPr>
      <w:r>
        <w:rPr>
          <w:rFonts w:ascii="宋体" w:hAnsi="宋体" w:eastAsia="宋体" w:cs="宋体"/>
          <w:spacing w:val="2"/>
          <w:sz w:val="24"/>
          <w:szCs w:val="24"/>
        </w:rPr>
        <w:t>量及服务年限计算表</w:t>
      </w:r>
    </w:p>
    <w:p w14:paraId="12232EA5">
      <w:pPr>
        <w:spacing w:before="215" w:line="388" w:lineRule="auto"/>
        <w:ind w:left="144" w:right="248" w:firstLine="480"/>
        <w:rPr>
          <w:rFonts w:ascii="宋体" w:hAnsi="宋体" w:eastAsia="宋体" w:cs="宋体"/>
          <w:sz w:val="24"/>
          <w:szCs w:val="24"/>
        </w:rPr>
      </w:pPr>
      <w:r>
        <w:rPr>
          <w:rFonts w:ascii="宋体" w:hAnsi="宋体" w:eastAsia="宋体" w:cs="宋体"/>
          <w:sz w:val="24"/>
          <w:szCs w:val="24"/>
        </w:rPr>
        <w:t>附表四 云南罗平锌电股份有限公司富乐铅锌矿采矿权出让收益评估固定资</w:t>
      </w:r>
      <w:r>
        <w:rPr>
          <w:rFonts w:ascii="宋体" w:hAnsi="宋体" w:eastAsia="宋体" w:cs="宋体"/>
          <w:spacing w:val="16"/>
          <w:sz w:val="24"/>
          <w:szCs w:val="24"/>
        </w:rPr>
        <w:t xml:space="preserve"> </w:t>
      </w:r>
      <w:r>
        <w:rPr>
          <w:rFonts w:ascii="宋体" w:hAnsi="宋体" w:eastAsia="宋体" w:cs="宋体"/>
          <w:spacing w:val="3"/>
          <w:sz w:val="24"/>
          <w:szCs w:val="24"/>
        </w:rPr>
        <w:t>产投资估算表</w:t>
      </w:r>
    </w:p>
    <w:p w14:paraId="3BD4C852">
      <w:pPr>
        <w:spacing w:before="1" w:line="217" w:lineRule="auto"/>
        <w:ind w:left="634"/>
        <w:rPr>
          <w:rFonts w:ascii="宋体" w:hAnsi="宋体" w:eastAsia="宋体" w:cs="宋体"/>
          <w:sz w:val="24"/>
          <w:szCs w:val="24"/>
        </w:rPr>
      </w:pPr>
      <w:r>
        <w:rPr>
          <w:rFonts w:ascii="宋体" w:hAnsi="宋体" w:eastAsia="宋体" w:cs="宋体"/>
          <w:sz w:val="24"/>
          <w:szCs w:val="24"/>
        </w:rPr>
        <w:t>附表五 云南罗平锌电股份有限公司富乐铅锌矿采矿权出让收益评估固定资</w:t>
      </w:r>
    </w:p>
    <w:p w14:paraId="6A4E91A1">
      <w:pPr>
        <w:spacing w:line="217" w:lineRule="auto"/>
        <w:rPr>
          <w:rFonts w:ascii="宋体" w:hAnsi="宋体" w:eastAsia="宋体" w:cs="宋体"/>
          <w:sz w:val="24"/>
          <w:szCs w:val="24"/>
        </w:rPr>
        <w:sectPr>
          <w:headerReference r:id="rId17" w:type="default"/>
          <w:footerReference r:id="rId18" w:type="default"/>
          <w:pgSz w:w="11900" w:h="16830"/>
          <w:pgMar w:top="1267" w:right="1423" w:bottom="1260" w:left="1785" w:header="990" w:footer="928" w:gutter="0"/>
          <w:cols w:space="720" w:num="1"/>
        </w:sectPr>
      </w:pPr>
    </w:p>
    <w:p w14:paraId="1DAD26D9">
      <w:pPr>
        <w:pStyle w:val="2"/>
        <w:spacing w:line="330" w:lineRule="auto"/>
      </w:pPr>
    </w:p>
    <w:p w14:paraId="1ABA93D0">
      <w:pPr>
        <w:spacing w:before="78" w:line="218" w:lineRule="auto"/>
        <w:ind w:left="44"/>
        <w:rPr>
          <w:rFonts w:ascii="宋体" w:hAnsi="宋体" w:eastAsia="宋体" w:cs="宋体"/>
          <w:sz w:val="24"/>
          <w:szCs w:val="24"/>
        </w:rPr>
      </w:pPr>
      <w:bookmarkStart w:id="1" w:name="bookmark44"/>
      <w:bookmarkEnd w:id="1"/>
      <w:r>
        <w:rPr>
          <w:rFonts w:ascii="宋体" w:hAnsi="宋体" w:eastAsia="宋体" w:cs="宋体"/>
          <w:spacing w:val="1"/>
          <w:sz w:val="24"/>
          <w:szCs w:val="24"/>
        </w:rPr>
        <w:t>产折旧估算表</w:t>
      </w:r>
    </w:p>
    <w:p w14:paraId="7C6C3BD7">
      <w:pPr>
        <w:spacing w:before="166" w:line="404" w:lineRule="auto"/>
        <w:ind w:left="44" w:right="240" w:firstLine="530"/>
        <w:rPr>
          <w:rFonts w:ascii="宋体" w:hAnsi="宋体" w:eastAsia="宋体" w:cs="宋体"/>
          <w:sz w:val="24"/>
          <w:szCs w:val="24"/>
        </w:rPr>
      </w:pPr>
      <w:r>
        <w:rPr>
          <w:rFonts w:ascii="宋体" w:hAnsi="宋体" w:eastAsia="宋体" w:cs="宋体"/>
          <w:spacing w:val="2"/>
          <w:sz w:val="24"/>
          <w:szCs w:val="24"/>
        </w:rPr>
        <w:t>附表六云南罗平锌电股份有限公司富乐铅锌矿采矿权出让收益评估销售收</w:t>
      </w:r>
      <w:r>
        <w:rPr>
          <w:rFonts w:ascii="宋体" w:hAnsi="宋体" w:eastAsia="宋体" w:cs="宋体"/>
          <w:spacing w:val="14"/>
          <w:sz w:val="24"/>
          <w:szCs w:val="24"/>
        </w:rPr>
        <w:t xml:space="preserve"> </w:t>
      </w:r>
      <w:r>
        <w:rPr>
          <w:rFonts w:ascii="宋体" w:hAnsi="宋体" w:eastAsia="宋体" w:cs="宋体"/>
          <w:spacing w:val="7"/>
          <w:sz w:val="24"/>
          <w:szCs w:val="24"/>
        </w:rPr>
        <w:t>入估算表</w:t>
      </w:r>
    </w:p>
    <w:p w14:paraId="0FB8AEB0">
      <w:pPr>
        <w:spacing w:line="378" w:lineRule="auto"/>
        <w:ind w:left="44" w:right="238" w:firstLine="530"/>
        <w:rPr>
          <w:rFonts w:ascii="宋体" w:hAnsi="宋体" w:eastAsia="宋体" w:cs="宋体"/>
          <w:sz w:val="24"/>
          <w:szCs w:val="24"/>
        </w:rPr>
      </w:pPr>
      <w:r>
        <w:rPr>
          <w:rFonts w:ascii="宋体" w:hAnsi="宋体" w:eastAsia="宋体" w:cs="宋体"/>
          <w:spacing w:val="2"/>
          <w:sz w:val="24"/>
          <w:szCs w:val="24"/>
        </w:rPr>
        <w:t>附表七云南罗平锌电股份有限公司富乐铅锌矿采矿权出让收益评估单位成</w:t>
      </w:r>
      <w:r>
        <w:rPr>
          <w:rFonts w:ascii="宋体" w:hAnsi="宋体" w:eastAsia="宋体" w:cs="宋体"/>
          <w:spacing w:val="16"/>
          <w:sz w:val="24"/>
          <w:szCs w:val="24"/>
        </w:rPr>
        <w:t xml:space="preserve"> </w:t>
      </w:r>
      <w:r>
        <w:rPr>
          <w:rFonts w:ascii="宋体" w:hAnsi="宋体" w:eastAsia="宋体" w:cs="宋体"/>
          <w:spacing w:val="1"/>
          <w:sz w:val="24"/>
          <w:szCs w:val="24"/>
        </w:rPr>
        <w:t>本费用估算表</w:t>
      </w:r>
    </w:p>
    <w:p w14:paraId="3F7641D8">
      <w:pPr>
        <w:spacing w:before="17" w:line="378" w:lineRule="auto"/>
        <w:ind w:left="44" w:right="238" w:firstLine="530"/>
        <w:rPr>
          <w:rFonts w:ascii="宋体" w:hAnsi="宋体" w:eastAsia="宋体" w:cs="宋体"/>
          <w:sz w:val="24"/>
          <w:szCs w:val="24"/>
        </w:rPr>
      </w:pPr>
      <w:r>
        <w:rPr>
          <w:rFonts w:ascii="宋体" w:hAnsi="宋体" w:eastAsia="宋体" w:cs="宋体"/>
          <w:spacing w:val="2"/>
          <w:sz w:val="24"/>
          <w:szCs w:val="24"/>
        </w:rPr>
        <w:t>附表八云南罗平锌电股份有限公司富乐铅锌矿采矿权出让收益评估总成本</w:t>
      </w:r>
      <w:r>
        <w:rPr>
          <w:rFonts w:ascii="宋体" w:hAnsi="宋体" w:eastAsia="宋体" w:cs="宋体"/>
          <w:spacing w:val="16"/>
          <w:sz w:val="24"/>
          <w:szCs w:val="24"/>
        </w:rPr>
        <w:t xml:space="preserve"> </w:t>
      </w:r>
      <w:r>
        <w:rPr>
          <w:rFonts w:ascii="宋体" w:hAnsi="宋体" w:eastAsia="宋体" w:cs="宋体"/>
          <w:sz w:val="24"/>
          <w:szCs w:val="24"/>
        </w:rPr>
        <w:t>费用估算表</w:t>
      </w:r>
    </w:p>
    <w:p w14:paraId="407F9949">
      <w:pPr>
        <w:spacing w:before="16" w:line="388" w:lineRule="auto"/>
        <w:ind w:left="44" w:right="218" w:firstLine="530"/>
        <w:rPr>
          <w:rFonts w:ascii="宋体" w:hAnsi="宋体" w:eastAsia="宋体" w:cs="宋体"/>
          <w:sz w:val="24"/>
          <w:szCs w:val="24"/>
        </w:rPr>
      </w:pPr>
      <w:r>
        <w:rPr>
          <w:rFonts w:ascii="宋体" w:hAnsi="宋体" w:eastAsia="宋体" w:cs="宋体"/>
          <w:spacing w:val="3"/>
          <w:sz w:val="24"/>
          <w:szCs w:val="24"/>
        </w:rPr>
        <w:t>附表九云南罗平锌电股份有限公司富乐铅锌矿采矿权出让收益评估税费估</w:t>
      </w:r>
      <w:r>
        <w:rPr>
          <w:rFonts w:ascii="宋体" w:hAnsi="宋体" w:eastAsia="宋体" w:cs="宋体"/>
          <w:spacing w:val="4"/>
          <w:sz w:val="24"/>
          <w:szCs w:val="24"/>
        </w:rPr>
        <w:t xml:space="preserve"> </w:t>
      </w:r>
      <w:r>
        <w:rPr>
          <w:rFonts w:ascii="宋体" w:hAnsi="宋体" w:eastAsia="宋体" w:cs="宋体"/>
          <w:spacing w:val="5"/>
          <w:sz w:val="24"/>
          <w:szCs w:val="24"/>
        </w:rPr>
        <w:t>算表</w:t>
      </w:r>
    </w:p>
    <w:p w14:paraId="14392663">
      <w:pPr>
        <w:spacing w:before="12" w:line="219" w:lineRule="auto"/>
        <w:ind w:left="44"/>
        <w:rPr>
          <w:rFonts w:ascii="宋体" w:hAnsi="宋体" w:eastAsia="宋体" w:cs="宋体"/>
          <w:sz w:val="24"/>
          <w:szCs w:val="24"/>
        </w:rPr>
      </w:pPr>
      <w:r>
        <w:rPr>
          <w:rFonts w:ascii="宋体" w:hAnsi="宋体" w:eastAsia="宋体" w:cs="宋体"/>
          <w:spacing w:val="-4"/>
          <w:sz w:val="24"/>
          <w:szCs w:val="24"/>
        </w:rPr>
        <w:t>三、附件目录</w:t>
      </w:r>
    </w:p>
    <w:p w14:paraId="1D1AB4FE">
      <w:pPr>
        <w:spacing w:before="224" w:line="218" w:lineRule="auto"/>
        <w:ind w:left="575"/>
        <w:rPr>
          <w:rFonts w:ascii="宋体" w:hAnsi="宋体" w:eastAsia="宋体" w:cs="宋体"/>
          <w:sz w:val="24"/>
          <w:szCs w:val="24"/>
        </w:rPr>
      </w:pPr>
      <w:r>
        <w:rPr>
          <w:rFonts w:ascii="宋体" w:hAnsi="宋体" w:eastAsia="宋体" w:cs="宋体"/>
          <w:spacing w:val="2"/>
          <w:sz w:val="24"/>
          <w:szCs w:val="24"/>
        </w:rPr>
        <w:t>附件一评估机构法人营业执照及矿业权评估机构资格证书</w:t>
      </w:r>
    </w:p>
    <w:p w14:paraId="3AB56AD9">
      <w:pPr>
        <w:spacing w:before="227" w:line="218" w:lineRule="auto"/>
        <w:ind w:left="575"/>
        <w:rPr>
          <w:rFonts w:ascii="宋体" w:hAnsi="宋体" w:eastAsia="宋体" w:cs="宋体"/>
          <w:sz w:val="24"/>
          <w:szCs w:val="24"/>
        </w:rPr>
      </w:pPr>
      <w:r>
        <w:rPr>
          <w:rFonts w:ascii="宋体" w:hAnsi="宋体" w:eastAsia="宋体" w:cs="宋体"/>
          <w:spacing w:val="5"/>
          <w:sz w:val="24"/>
          <w:szCs w:val="24"/>
        </w:rPr>
        <w:t>附件二矿业权评估师执业登记证书</w:t>
      </w:r>
    </w:p>
    <w:p w14:paraId="396560C8">
      <w:pPr>
        <w:spacing w:before="226" w:line="218" w:lineRule="auto"/>
        <w:ind w:left="575"/>
        <w:rPr>
          <w:rFonts w:ascii="宋体" w:hAnsi="宋体" w:eastAsia="宋体" w:cs="宋体"/>
          <w:sz w:val="24"/>
          <w:szCs w:val="24"/>
        </w:rPr>
      </w:pPr>
      <w:r>
        <w:rPr>
          <w:rFonts w:ascii="宋体" w:hAnsi="宋体" w:eastAsia="宋体" w:cs="宋体"/>
          <w:spacing w:val="4"/>
          <w:sz w:val="24"/>
          <w:szCs w:val="24"/>
        </w:rPr>
        <w:t>附件三《矿业权评估委托书》</w:t>
      </w:r>
    </w:p>
    <w:p w14:paraId="4F284BA3">
      <w:pPr>
        <w:spacing w:before="228" w:line="219" w:lineRule="auto"/>
        <w:ind w:left="575"/>
        <w:rPr>
          <w:rFonts w:ascii="宋体" w:hAnsi="宋体" w:eastAsia="宋体" w:cs="宋体"/>
          <w:sz w:val="24"/>
          <w:szCs w:val="24"/>
        </w:rPr>
      </w:pPr>
      <w:r>
        <w:rPr>
          <w:rFonts w:ascii="宋体" w:hAnsi="宋体" w:eastAsia="宋体" w:cs="宋体"/>
          <w:spacing w:val="5"/>
          <w:sz w:val="24"/>
          <w:szCs w:val="24"/>
        </w:rPr>
        <w:t>附件四矿业权人营业执照</w:t>
      </w:r>
    </w:p>
    <w:p w14:paraId="7E7F38AD">
      <w:pPr>
        <w:spacing w:before="225" w:line="219" w:lineRule="auto"/>
        <w:ind w:left="575"/>
        <w:rPr>
          <w:rFonts w:ascii="宋体" w:hAnsi="宋体" w:eastAsia="宋体" w:cs="宋体"/>
          <w:sz w:val="24"/>
          <w:szCs w:val="24"/>
        </w:rPr>
      </w:pPr>
      <w:r>
        <w:rPr>
          <w:rFonts w:ascii="宋体" w:hAnsi="宋体" w:eastAsia="宋体" w:cs="宋体"/>
          <w:spacing w:val="5"/>
          <w:sz w:val="24"/>
          <w:szCs w:val="24"/>
        </w:rPr>
        <w:t>附件五资料提供方承诺函</w:t>
      </w:r>
    </w:p>
    <w:p w14:paraId="22EB7C7C">
      <w:pPr>
        <w:spacing w:before="235" w:line="219" w:lineRule="auto"/>
        <w:ind w:left="575"/>
        <w:rPr>
          <w:rFonts w:ascii="宋体" w:hAnsi="宋体" w:eastAsia="宋体" w:cs="宋体"/>
          <w:sz w:val="23"/>
          <w:szCs w:val="23"/>
        </w:rPr>
      </w:pPr>
      <w:r>
        <w:rPr>
          <w:rFonts w:ascii="宋体" w:hAnsi="宋体" w:eastAsia="宋体" w:cs="宋体"/>
          <w:spacing w:val="14"/>
          <w:sz w:val="23"/>
          <w:szCs w:val="23"/>
        </w:rPr>
        <w:t>附件六云南罗平锌电股份有限公司富乐铅锌矿采矿许可证(证号：</w:t>
      </w:r>
    </w:p>
    <w:p w14:paraId="151B5EA1">
      <w:pPr>
        <w:spacing w:before="208" w:line="192" w:lineRule="auto"/>
        <w:ind w:left="44"/>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C5300002010123240111524)</w:t>
      </w:r>
    </w:p>
    <w:p w14:paraId="7987CB6F">
      <w:pPr>
        <w:spacing w:before="268" w:line="396" w:lineRule="auto"/>
        <w:ind w:left="44" w:right="238" w:firstLine="530"/>
        <w:rPr>
          <w:rFonts w:ascii="宋体" w:hAnsi="宋体" w:eastAsia="宋体" w:cs="宋体"/>
          <w:sz w:val="24"/>
          <w:szCs w:val="24"/>
        </w:rPr>
      </w:pPr>
      <w:r>
        <w:rPr>
          <w:rFonts w:ascii="宋体" w:hAnsi="宋体" w:eastAsia="宋体" w:cs="宋体"/>
          <w:spacing w:val="2"/>
          <w:sz w:val="24"/>
          <w:szCs w:val="24"/>
        </w:rPr>
        <w:t>附件七《&lt;云南省罗平县富乐铅锌矿资源储量核实报告&gt;矿产资源储量审查</w:t>
      </w:r>
      <w:r>
        <w:rPr>
          <w:rFonts w:ascii="宋体" w:hAnsi="宋体" w:eastAsia="宋体" w:cs="宋体"/>
          <w:spacing w:val="14"/>
          <w:sz w:val="24"/>
          <w:szCs w:val="24"/>
        </w:rPr>
        <w:t xml:space="preserve"> </w:t>
      </w:r>
      <w:r>
        <w:rPr>
          <w:rFonts w:ascii="宋体" w:hAnsi="宋体" w:eastAsia="宋体" w:cs="宋体"/>
          <w:spacing w:val="16"/>
          <w:sz w:val="24"/>
          <w:szCs w:val="24"/>
        </w:rPr>
        <w:t>意见书》(云地一大队矿评储字[2022]2号)</w:t>
      </w:r>
    </w:p>
    <w:p w14:paraId="1CA23573">
      <w:pPr>
        <w:spacing w:line="380" w:lineRule="auto"/>
        <w:ind w:left="44" w:right="72" w:firstLine="530"/>
        <w:rPr>
          <w:rFonts w:ascii="宋体" w:hAnsi="宋体" w:eastAsia="宋体" w:cs="宋体"/>
          <w:sz w:val="24"/>
          <w:szCs w:val="24"/>
        </w:rPr>
      </w:pPr>
      <w:r>
        <w:rPr>
          <w:rFonts w:ascii="宋体" w:hAnsi="宋体" w:eastAsia="宋体" w:cs="宋体"/>
          <w:spacing w:val="3"/>
          <w:sz w:val="24"/>
          <w:szCs w:val="24"/>
        </w:rPr>
        <w:t>附件八《云南省罗平县富乐铅锌矿资源储量核实报告(2021)》(云南省地质</w:t>
      </w:r>
      <w:r>
        <w:rPr>
          <w:rFonts w:ascii="宋体" w:hAnsi="宋体" w:eastAsia="宋体" w:cs="宋体"/>
          <w:spacing w:val="18"/>
          <w:sz w:val="24"/>
          <w:szCs w:val="24"/>
        </w:rPr>
        <w:t xml:space="preserve"> </w:t>
      </w:r>
      <w:r>
        <w:rPr>
          <w:rFonts w:ascii="宋体" w:hAnsi="宋体" w:eastAsia="宋体" w:cs="宋体"/>
          <w:spacing w:val="12"/>
          <w:sz w:val="24"/>
          <w:szCs w:val="24"/>
        </w:rPr>
        <w:t>工程勘察有限公司，2021年11月)</w:t>
      </w:r>
    </w:p>
    <w:p w14:paraId="070558BF">
      <w:pPr>
        <w:spacing w:before="12" w:line="379" w:lineRule="auto"/>
        <w:ind w:left="44" w:right="47" w:firstLine="530"/>
        <w:rPr>
          <w:rFonts w:ascii="宋体" w:hAnsi="宋体" w:eastAsia="宋体" w:cs="宋体"/>
          <w:sz w:val="24"/>
          <w:szCs w:val="24"/>
        </w:rPr>
      </w:pPr>
      <w:r>
        <w:rPr>
          <w:rFonts w:ascii="宋体" w:hAnsi="宋体" w:eastAsia="宋体" w:cs="宋体"/>
          <w:spacing w:val="4"/>
          <w:sz w:val="24"/>
          <w:szCs w:val="24"/>
        </w:rPr>
        <w:t>附件九《矿产资源开发利用方案评审意见表》(华联矿开评字[2022]003号)</w:t>
      </w:r>
      <w:r>
        <w:rPr>
          <w:rFonts w:ascii="宋体" w:hAnsi="宋体" w:eastAsia="宋体" w:cs="宋体"/>
          <w:sz w:val="24"/>
          <w:szCs w:val="24"/>
        </w:rPr>
        <w:t xml:space="preserve"> </w:t>
      </w:r>
      <w:r>
        <w:rPr>
          <w:rFonts w:ascii="宋体" w:hAnsi="宋体" w:eastAsia="宋体" w:cs="宋体"/>
          <w:spacing w:val="1"/>
          <w:sz w:val="24"/>
          <w:szCs w:val="24"/>
        </w:rPr>
        <w:t>及《曲靖市矿产资源开发利用方案评审意见</w:t>
      </w:r>
      <w:r>
        <w:rPr>
          <w:rFonts w:ascii="宋体" w:hAnsi="宋体" w:eastAsia="宋体" w:cs="宋体"/>
          <w:sz w:val="24"/>
          <w:szCs w:val="24"/>
        </w:rPr>
        <w:t>书》</w:t>
      </w:r>
    </w:p>
    <w:p w14:paraId="40B37642">
      <w:pPr>
        <w:spacing w:before="14" w:line="380" w:lineRule="auto"/>
        <w:ind w:left="245" w:right="250" w:firstLine="329"/>
        <w:rPr>
          <w:rFonts w:ascii="宋体" w:hAnsi="宋体" w:eastAsia="宋体" w:cs="宋体"/>
          <w:sz w:val="24"/>
          <w:szCs w:val="24"/>
        </w:rPr>
      </w:pPr>
      <w:r>
        <w:rPr>
          <w:rFonts w:ascii="宋体" w:hAnsi="宋体" w:eastAsia="宋体" w:cs="宋体"/>
          <w:spacing w:val="2"/>
          <w:sz w:val="24"/>
          <w:szCs w:val="24"/>
        </w:rPr>
        <w:t>附件十《云南罗平锌电股份有限公司富乐铅锌矿矿产资源开发利用方案》</w:t>
      </w:r>
      <w:r>
        <w:rPr>
          <w:rFonts w:ascii="宋体" w:hAnsi="宋体" w:eastAsia="宋体" w:cs="宋体"/>
          <w:spacing w:val="4"/>
          <w:sz w:val="24"/>
          <w:szCs w:val="24"/>
        </w:rPr>
        <w:t xml:space="preserve"> </w:t>
      </w:r>
      <w:r>
        <w:rPr>
          <w:rFonts w:ascii="宋体" w:hAnsi="宋体" w:eastAsia="宋体" w:cs="宋体"/>
          <w:spacing w:val="12"/>
          <w:sz w:val="24"/>
          <w:szCs w:val="24"/>
        </w:rPr>
        <w:t>(云南罗平锌电股份有限公司，2016年</w:t>
      </w:r>
      <w:r>
        <w:rPr>
          <w:rFonts w:ascii="宋体" w:hAnsi="宋体" w:eastAsia="宋体" w:cs="宋体"/>
          <w:spacing w:val="11"/>
          <w:sz w:val="24"/>
          <w:szCs w:val="24"/>
        </w:rPr>
        <w:t>6月)</w:t>
      </w:r>
    </w:p>
    <w:p w14:paraId="0339FA35">
      <w:pPr>
        <w:spacing w:before="14" w:line="387" w:lineRule="auto"/>
        <w:ind w:left="44" w:right="249" w:firstLine="530"/>
        <w:rPr>
          <w:rFonts w:ascii="宋体" w:hAnsi="宋体" w:eastAsia="宋体" w:cs="宋体"/>
          <w:sz w:val="24"/>
          <w:szCs w:val="24"/>
        </w:rPr>
      </w:pPr>
      <w:r>
        <w:rPr>
          <w:rFonts w:ascii="宋体" w:hAnsi="宋体" w:eastAsia="宋体" w:cs="宋体"/>
          <w:spacing w:val="-1"/>
          <w:sz w:val="24"/>
          <w:szCs w:val="24"/>
        </w:rPr>
        <w:t>附件十一</w:t>
      </w:r>
      <w:r>
        <w:rPr>
          <w:rFonts w:ascii="宋体" w:hAnsi="宋体" w:eastAsia="宋体" w:cs="宋体"/>
          <w:spacing w:val="-19"/>
          <w:sz w:val="24"/>
          <w:szCs w:val="24"/>
        </w:rPr>
        <w:t xml:space="preserve"> </w:t>
      </w:r>
      <w:r>
        <w:rPr>
          <w:rFonts w:ascii="宋体" w:hAnsi="宋体" w:eastAsia="宋体" w:cs="宋体"/>
          <w:spacing w:val="-1"/>
          <w:sz w:val="24"/>
          <w:szCs w:val="24"/>
        </w:rPr>
        <w:t>《云南罗平锌电股份有限公司富乐铅锌矿矿产资源开发利用方案</w:t>
      </w:r>
      <w:r>
        <w:rPr>
          <w:rFonts w:ascii="宋体" w:hAnsi="宋体" w:eastAsia="宋体" w:cs="宋体"/>
          <w:sz w:val="24"/>
          <w:szCs w:val="24"/>
        </w:rPr>
        <w:t xml:space="preserve"> </w:t>
      </w:r>
      <w:r>
        <w:rPr>
          <w:rFonts w:ascii="宋体" w:hAnsi="宋体" w:eastAsia="宋体" w:cs="宋体"/>
          <w:spacing w:val="14"/>
          <w:sz w:val="24"/>
          <w:szCs w:val="24"/>
        </w:rPr>
        <w:t>修编》(云南罗平锌电股份有限公司，2022年9月10日)</w:t>
      </w:r>
    </w:p>
    <w:p w14:paraId="44FF1D70">
      <w:pPr>
        <w:spacing w:line="387" w:lineRule="auto"/>
        <w:rPr>
          <w:rFonts w:ascii="宋体" w:hAnsi="宋体" w:eastAsia="宋体" w:cs="宋体"/>
          <w:sz w:val="24"/>
          <w:szCs w:val="24"/>
        </w:rPr>
        <w:sectPr>
          <w:headerReference r:id="rId19" w:type="default"/>
          <w:footerReference r:id="rId20" w:type="default"/>
          <w:pgSz w:w="11900" w:h="16830"/>
          <w:pgMar w:top="1267" w:right="1539" w:bottom="1269" w:left="1785" w:header="990" w:footer="938" w:gutter="0"/>
          <w:cols w:space="720" w:num="1"/>
        </w:sectPr>
      </w:pPr>
    </w:p>
    <w:p w14:paraId="4923ACB9">
      <w:pPr>
        <w:pStyle w:val="2"/>
        <w:spacing w:line="331" w:lineRule="auto"/>
      </w:pPr>
    </w:p>
    <w:p w14:paraId="0BEBC588">
      <w:pPr>
        <w:spacing w:before="78" w:line="379" w:lineRule="auto"/>
        <w:ind w:left="74" w:right="181" w:firstLine="490"/>
        <w:rPr>
          <w:rFonts w:ascii="宋体" w:hAnsi="宋体" w:eastAsia="宋体" w:cs="宋体"/>
          <w:sz w:val="24"/>
          <w:szCs w:val="24"/>
        </w:rPr>
      </w:pPr>
      <w:r>
        <w:rPr>
          <w:rFonts w:ascii="宋体" w:hAnsi="宋体" w:eastAsia="宋体" w:cs="宋体"/>
          <w:sz w:val="24"/>
          <w:szCs w:val="24"/>
        </w:rPr>
        <w:t>附件十二</w:t>
      </w:r>
      <w:r>
        <w:rPr>
          <w:rFonts w:ascii="宋体" w:hAnsi="宋体" w:eastAsia="宋体" w:cs="宋体"/>
          <w:spacing w:val="37"/>
          <w:sz w:val="24"/>
          <w:szCs w:val="24"/>
        </w:rPr>
        <w:t xml:space="preserve"> </w:t>
      </w:r>
      <w:r>
        <w:rPr>
          <w:rFonts w:ascii="宋体" w:hAnsi="宋体" w:eastAsia="宋体" w:cs="宋体"/>
          <w:sz w:val="24"/>
          <w:szCs w:val="24"/>
        </w:rPr>
        <w:t>《云南罗平锌电股份有限公司富乐铅锌矿</w:t>
      </w:r>
      <w:r>
        <w:rPr>
          <w:rFonts w:ascii="宋体" w:hAnsi="宋体" w:eastAsia="宋体" w:cs="宋体"/>
          <w:spacing w:val="-1"/>
          <w:sz w:val="24"/>
          <w:szCs w:val="24"/>
        </w:rPr>
        <w:t>矿山地质环境保护与土</w:t>
      </w:r>
      <w:r>
        <w:rPr>
          <w:rFonts w:ascii="宋体" w:hAnsi="宋体" w:eastAsia="宋体" w:cs="宋体"/>
          <w:sz w:val="24"/>
          <w:szCs w:val="24"/>
        </w:rPr>
        <w:t xml:space="preserve"> </w:t>
      </w:r>
      <w:r>
        <w:rPr>
          <w:rFonts w:ascii="宋体" w:hAnsi="宋体" w:eastAsia="宋体" w:cs="宋体"/>
          <w:spacing w:val="8"/>
          <w:sz w:val="24"/>
          <w:szCs w:val="24"/>
        </w:rPr>
        <w:t>地复垦方案》(曲靖市加能比地质工程勘察有限公司，2022年7月)节选</w:t>
      </w:r>
    </w:p>
    <w:p w14:paraId="77EDCDBD">
      <w:pPr>
        <w:spacing w:before="5" w:line="385" w:lineRule="auto"/>
        <w:ind w:left="74" w:right="133" w:firstLine="490"/>
        <w:rPr>
          <w:rFonts w:ascii="宋体" w:hAnsi="宋体" w:eastAsia="宋体" w:cs="宋体"/>
          <w:sz w:val="24"/>
          <w:szCs w:val="24"/>
        </w:rPr>
      </w:pPr>
      <w:r>
        <w:rPr>
          <w:rFonts w:ascii="宋体" w:hAnsi="宋体" w:eastAsia="宋体" w:cs="宋体"/>
          <w:spacing w:val="1"/>
          <w:sz w:val="24"/>
          <w:szCs w:val="24"/>
        </w:rPr>
        <w:t>附件十三《云南罗平锌电股份有限公司富乐铅</w:t>
      </w:r>
      <w:r>
        <w:rPr>
          <w:rFonts w:ascii="宋体" w:hAnsi="宋体" w:eastAsia="宋体" w:cs="宋体"/>
          <w:sz w:val="24"/>
          <w:szCs w:val="24"/>
        </w:rPr>
        <w:t xml:space="preserve">锌矿采矿权评估报告》(俊成 </w:t>
      </w:r>
      <w:r>
        <w:rPr>
          <w:rFonts w:ascii="宋体" w:hAnsi="宋体" w:eastAsia="宋体" w:cs="宋体"/>
          <w:spacing w:val="-1"/>
          <w:sz w:val="24"/>
          <w:szCs w:val="24"/>
        </w:rPr>
        <w:t>评报字[2015]第020号)摘要、《云南省国土资源厅关于云南罗平锌电股份有限公</w:t>
      </w:r>
      <w:r>
        <w:rPr>
          <w:rFonts w:ascii="宋体" w:hAnsi="宋体" w:eastAsia="宋体" w:cs="宋体"/>
          <w:spacing w:val="3"/>
          <w:sz w:val="24"/>
          <w:szCs w:val="24"/>
        </w:rPr>
        <w:t xml:space="preserve"> </w:t>
      </w:r>
      <w:r>
        <w:rPr>
          <w:rFonts w:ascii="宋体" w:hAnsi="宋体" w:eastAsia="宋体" w:cs="宋体"/>
          <w:spacing w:val="-11"/>
          <w:sz w:val="24"/>
          <w:szCs w:val="24"/>
        </w:rPr>
        <w:t>司富乐铅锌矿分期缴纳采矿权价款的批复》、《矿业权价款缴纳通知书》(云国土资</w:t>
      </w:r>
      <w:r>
        <w:rPr>
          <w:rFonts w:ascii="宋体" w:hAnsi="宋体" w:eastAsia="宋体" w:cs="宋体"/>
          <w:spacing w:val="12"/>
          <w:sz w:val="24"/>
          <w:szCs w:val="24"/>
        </w:rPr>
        <w:t xml:space="preserve"> </w:t>
      </w:r>
      <w:r>
        <w:rPr>
          <w:rFonts w:ascii="宋体" w:hAnsi="宋体" w:eastAsia="宋体" w:cs="宋体"/>
          <w:spacing w:val="11"/>
          <w:sz w:val="24"/>
          <w:szCs w:val="24"/>
        </w:rPr>
        <w:t>财矿价[2015]第082号)及缴款凭证</w:t>
      </w:r>
    </w:p>
    <w:p w14:paraId="3FA58EB6">
      <w:pPr>
        <w:spacing w:before="6" w:line="218" w:lineRule="auto"/>
        <w:ind w:left="565"/>
        <w:rPr>
          <w:rFonts w:ascii="宋体" w:hAnsi="宋体" w:eastAsia="宋体" w:cs="宋体"/>
          <w:sz w:val="24"/>
          <w:szCs w:val="24"/>
        </w:rPr>
      </w:pPr>
      <w:r>
        <w:rPr>
          <w:rFonts w:ascii="宋体" w:hAnsi="宋体" w:eastAsia="宋体" w:cs="宋体"/>
          <w:spacing w:val="3"/>
          <w:sz w:val="24"/>
          <w:szCs w:val="24"/>
        </w:rPr>
        <w:t>附件十四评估人员收集的其他资料</w:t>
      </w:r>
    </w:p>
    <w:p w14:paraId="25851A73">
      <w:pPr>
        <w:spacing w:before="207" w:line="219" w:lineRule="auto"/>
        <w:ind w:left="74"/>
        <w:rPr>
          <w:rFonts w:ascii="宋体" w:hAnsi="宋体" w:eastAsia="宋体" w:cs="宋体"/>
          <w:sz w:val="24"/>
          <w:szCs w:val="24"/>
        </w:rPr>
      </w:pPr>
      <w:r>
        <w:rPr>
          <w:rFonts w:ascii="宋体" w:hAnsi="宋体" w:eastAsia="宋体" w:cs="宋体"/>
          <w:spacing w:val="1"/>
          <w:sz w:val="24"/>
          <w:szCs w:val="24"/>
        </w:rPr>
        <w:t>四、附图目录</w:t>
      </w:r>
    </w:p>
    <w:p w14:paraId="1F264E21">
      <w:pPr>
        <w:spacing w:before="215" w:line="219" w:lineRule="auto"/>
        <w:ind w:left="565"/>
        <w:rPr>
          <w:rFonts w:ascii="宋体" w:hAnsi="宋体" w:eastAsia="宋体" w:cs="宋体"/>
          <w:sz w:val="24"/>
          <w:szCs w:val="24"/>
        </w:rPr>
      </w:pPr>
      <w:r>
        <w:rPr>
          <w:rFonts w:ascii="宋体" w:hAnsi="宋体" w:eastAsia="宋体" w:cs="宋体"/>
          <w:spacing w:val="4"/>
          <w:sz w:val="24"/>
          <w:szCs w:val="24"/>
        </w:rPr>
        <w:t>附图一云南省罗平县富乐铅锌矿地形地质及矿区范围图</w:t>
      </w:r>
    </w:p>
    <w:p w14:paraId="16150042">
      <w:pPr>
        <w:spacing w:before="214" w:line="218" w:lineRule="auto"/>
        <w:ind w:left="565"/>
        <w:rPr>
          <w:rFonts w:ascii="宋体" w:hAnsi="宋体" w:eastAsia="宋体" w:cs="宋体"/>
          <w:sz w:val="24"/>
          <w:szCs w:val="24"/>
        </w:rPr>
      </w:pPr>
      <w:r>
        <w:rPr>
          <w:rFonts w:ascii="宋体" w:hAnsi="宋体" w:eastAsia="宋体" w:cs="宋体"/>
          <w:spacing w:val="13"/>
          <w:sz w:val="24"/>
          <w:szCs w:val="24"/>
        </w:rPr>
        <w:t>附图二富乐铅锌矿资源储量估算水平投影图(1)</w:t>
      </w:r>
    </w:p>
    <w:p w14:paraId="069D773C">
      <w:pPr>
        <w:spacing w:before="217" w:line="218" w:lineRule="auto"/>
        <w:ind w:left="565"/>
        <w:rPr>
          <w:rFonts w:ascii="宋体" w:hAnsi="宋体" w:eastAsia="宋体" w:cs="宋体"/>
          <w:sz w:val="24"/>
          <w:szCs w:val="24"/>
        </w:rPr>
      </w:pPr>
      <w:r>
        <w:rPr>
          <w:rFonts w:ascii="宋体" w:hAnsi="宋体" w:eastAsia="宋体" w:cs="宋体"/>
          <w:spacing w:val="13"/>
          <w:sz w:val="24"/>
          <w:szCs w:val="24"/>
        </w:rPr>
        <w:t>附图三富乐铅锌矿资源储量估算水平投影图(2)</w:t>
      </w:r>
    </w:p>
    <w:p w14:paraId="101585B1">
      <w:pPr>
        <w:spacing w:line="218" w:lineRule="auto"/>
        <w:rPr>
          <w:rFonts w:ascii="宋体" w:hAnsi="宋体" w:eastAsia="宋体" w:cs="宋体"/>
          <w:sz w:val="24"/>
          <w:szCs w:val="24"/>
        </w:rPr>
        <w:sectPr>
          <w:headerReference r:id="rId21" w:type="default"/>
          <w:footerReference r:id="rId22" w:type="default"/>
          <w:pgSz w:w="11900" w:h="16830"/>
          <w:pgMar w:top="1306" w:right="1539" w:bottom="1229" w:left="1785" w:header="1030" w:footer="898" w:gutter="0"/>
          <w:cols w:space="720" w:num="1"/>
        </w:sectPr>
      </w:pPr>
    </w:p>
    <w:p w14:paraId="38D9397B">
      <w:pPr>
        <w:pStyle w:val="2"/>
        <w:spacing w:line="299" w:lineRule="auto"/>
      </w:pPr>
    </w:p>
    <w:p w14:paraId="4DEE2FDE">
      <w:pPr>
        <w:spacing w:before="91" w:line="219" w:lineRule="auto"/>
        <w:ind w:left="1514"/>
        <w:rPr>
          <w:rFonts w:ascii="宋体" w:hAnsi="宋体" w:eastAsia="宋体" w:cs="宋体"/>
          <w:sz w:val="28"/>
          <w:szCs w:val="28"/>
        </w:rPr>
      </w:pPr>
      <w:bookmarkStart w:id="2" w:name="bookmark45"/>
      <w:bookmarkEnd w:id="2"/>
      <w:r>
        <w:rPr>
          <w:rFonts w:ascii="宋体" w:hAnsi="宋体" w:eastAsia="宋体" w:cs="宋体"/>
          <w:spacing w:val="-1"/>
          <w:sz w:val="28"/>
          <w:szCs w:val="28"/>
        </w:rPr>
        <w:t>云南罗平锌电股份有限公司富乐铅锌矿采矿权</w:t>
      </w:r>
    </w:p>
    <w:p w14:paraId="41C64FEA">
      <w:pPr>
        <w:spacing w:before="207" w:line="218" w:lineRule="auto"/>
        <w:ind w:left="3185"/>
        <w:rPr>
          <w:rFonts w:ascii="宋体" w:hAnsi="宋体" w:eastAsia="宋体" w:cs="宋体"/>
          <w:sz w:val="28"/>
          <w:szCs w:val="28"/>
        </w:rPr>
      </w:pPr>
      <w:r>
        <w:rPr>
          <w:rFonts w:ascii="宋体" w:hAnsi="宋体" w:eastAsia="宋体" w:cs="宋体"/>
          <w:spacing w:val="-4"/>
          <w:sz w:val="28"/>
          <w:szCs w:val="28"/>
        </w:rPr>
        <w:t>出让收益评估报告</w:t>
      </w:r>
    </w:p>
    <w:p w14:paraId="3CB4B09C">
      <w:pPr>
        <w:spacing w:before="250" w:line="219" w:lineRule="auto"/>
        <w:ind w:left="2794"/>
        <w:rPr>
          <w:rFonts w:ascii="宋体" w:hAnsi="宋体" w:eastAsia="宋体" w:cs="宋体"/>
          <w:sz w:val="24"/>
          <w:szCs w:val="24"/>
        </w:rPr>
      </w:pPr>
      <w:r>
        <w:rPr>
          <w:rFonts w:ascii="宋体" w:hAnsi="宋体" w:eastAsia="宋体" w:cs="宋体"/>
          <w:spacing w:val="1"/>
          <w:sz w:val="24"/>
          <w:szCs w:val="24"/>
        </w:rPr>
        <w:t>俊成矿评报字[2022]第083号</w:t>
      </w:r>
    </w:p>
    <w:p w14:paraId="11BBD949">
      <w:pPr>
        <w:spacing w:before="223" w:line="386" w:lineRule="auto"/>
        <w:ind w:left="104" w:right="218" w:firstLine="470"/>
        <w:jc w:val="both"/>
        <w:rPr>
          <w:rFonts w:ascii="宋体" w:hAnsi="宋体" w:eastAsia="宋体" w:cs="宋体"/>
          <w:sz w:val="24"/>
          <w:szCs w:val="24"/>
        </w:rPr>
      </w:pPr>
      <w:r>
        <w:rPr>
          <w:rFonts w:ascii="宋体" w:hAnsi="宋体" w:eastAsia="宋体" w:cs="宋体"/>
          <w:spacing w:val="-1"/>
          <w:sz w:val="24"/>
          <w:szCs w:val="24"/>
        </w:rPr>
        <w:t>云南俊成矿业权评估有限公司受曲靖市自然资源和规划局委托，根据国家有</w:t>
      </w:r>
      <w:r>
        <w:rPr>
          <w:rFonts w:ascii="宋体" w:hAnsi="宋体" w:eastAsia="宋体" w:cs="宋体"/>
          <w:spacing w:val="16"/>
          <w:sz w:val="24"/>
          <w:szCs w:val="24"/>
        </w:rPr>
        <w:t xml:space="preserve"> </w:t>
      </w:r>
      <w:r>
        <w:rPr>
          <w:rFonts w:ascii="宋体" w:hAnsi="宋体" w:eastAsia="宋体" w:cs="宋体"/>
          <w:spacing w:val="-1"/>
          <w:sz w:val="24"/>
          <w:szCs w:val="24"/>
        </w:rPr>
        <w:t>关采矿权评估的规定，本着独立、客观、公正、科学的原则，采</w:t>
      </w:r>
      <w:r>
        <w:rPr>
          <w:rFonts w:ascii="宋体" w:hAnsi="宋体" w:eastAsia="宋体" w:cs="宋体"/>
          <w:spacing w:val="-2"/>
          <w:sz w:val="24"/>
          <w:szCs w:val="24"/>
        </w:rPr>
        <w:t>用恰当的采矿权</w:t>
      </w:r>
      <w:r>
        <w:rPr>
          <w:rFonts w:ascii="宋体" w:hAnsi="宋体" w:eastAsia="宋体" w:cs="宋体"/>
          <w:sz w:val="24"/>
          <w:szCs w:val="24"/>
        </w:rPr>
        <w:t xml:space="preserve"> 评估方法，对“云南罗平锌电股份有限公司富乐铅锌矿采</w:t>
      </w:r>
      <w:r>
        <w:rPr>
          <w:rFonts w:ascii="宋体" w:hAnsi="宋体" w:eastAsia="宋体" w:cs="宋体"/>
          <w:spacing w:val="-1"/>
          <w:sz w:val="24"/>
          <w:szCs w:val="24"/>
        </w:rPr>
        <w:t>矿权”进行了评估。本</w:t>
      </w:r>
      <w:r>
        <w:rPr>
          <w:rFonts w:ascii="宋体" w:hAnsi="宋体" w:eastAsia="宋体" w:cs="宋体"/>
          <w:sz w:val="24"/>
          <w:szCs w:val="24"/>
        </w:rPr>
        <w:t xml:space="preserve"> </w:t>
      </w:r>
      <w:r>
        <w:rPr>
          <w:rFonts w:ascii="宋体" w:hAnsi="宋体" w:eastAsia="宋体" w:cs="宋体"/>
          <w:spacing w:val="-1"/>
          <w:sz w:val="24"/>
          <w:szCs w:val="24"/>
        </w:rPr>
        <w:t>公司评估人员按照必要的评估程序对委托评估的“云南罗平锌电股份有限公司富</w:t>
      </w:r>
      <w:r>
        <w:rPr>
          <w:rFonts w:ascii="宋体" w:hAnsi="宋体" w:eastAsia="宋体" w:cs="宋体"/>
          <w:spacing w:val="17"/>
          <w:sz w:val="24"/>
          <w:szCs w:val="24"/>
        </w:rPr>
        <w:t xml:space="preserve"> </w:t>
      </w:r>
      <w:r>
        <w:rPr>
          <w:rFonts w:ascii="宋体" w:hAnsi="宋体" w:eastAsia="宋体" w:cs="宋体"/>
          <w:spacing w:val="-1"/>
          <w:sz w:val="24"/>
          <w:szCs w:val="24"/>
        </w:rPr>
        <w:t>乐铅锌矿采矿权”进行了尽职调查、收集资料和评定估算，并对委托</w:t>
      </w:r>
      <w:r>
        <w:rPr>
          <w:rFonts w:ascii="宋体" w:hAnsi="宋体" w:eastAsia="宋体" w:cs="宋体"/>
          <w:spacing w:val="-2"/>
          <w:sz w:val="24"/>
          <w:szCs w:val="24"/>
        </w:rPr>
        <w:t>方委托评估</w:t>
      </w:r>
      <w:r>
        <w:rPr>
          <w:rFonts w:ascii="宋体" w:hAnsi="宋体" w:eastAsia="宋体" w:cs="宋体"/>
          <w:sz w:val="24"/>
          <w:szCs w:val="24"/>
        </w:rPr>
        <w:t xml:space="preserve"> </w:t>
      </w:r>
      <w:r>
        <w:rPr>
          <w:rFonts w:ascii="宋体" w:hAnsi="宋体" w:eastAsia="宋体" w:cs="宋体"/>
          <w:spacing w:val="9"/>
          <w:sz w:val="24"/>
          <w:szCs w:val="24"/>
        </w:rPr>
        <w:t>的“云南罗平锌电股份有限公司富乐铅锌矿采矿权</w:t>
      </w:r>
      <w:r>
        <w:rPr>
          <w:rFonts w:ascii="宋体" w:hAnsi="宋体" w:eastAsia="宋体" w:cs="宋体"/>
          <w:spacing w:val="8"/>
          <w:sz w:val="24"/>
          <w:szCs w:val="24"/>
        </w:rPr>
        <w:t>”在2022年9月30日所表现</w:t>
      </w:r>
      <w:r>
        <w:rPr>
          <w:rFonts w:ascii="宋体" w:hAnsi="宋体" w:eastAsia="宋体" w:cs="宋体"/>
          <w:sz w:val="24"/>
          <w:szCs w:val="24"/>
        </w:rPr>
        <w:t xml:space="preserve"> </w:t>
      </w:r>
      <w:r>
        <w:rPr>
          <w:rFonts w:ascii="宋体" w:hAnsi="宋体" w:eastAsia="宋体" w:cs="宋体"/>
          <w:spacing w:val="-1"/>
          <w:sz w:val="24"/>
          <w:szCs w:val="24"/>
        </w:rPr>
        <w:t>出的出让收益评估价值作出公允反映。现将该采矿权出让收益价值评估情况及评</w:t>
      </w:r>
      <w:r>
        <w:rPr>
          <w:rFonts w:ascii="宋体" w:hAnsi="宋体" w:eastAsia="宋体" w:cs="宋体"/>
          <w:spacing w:val="4"/>
          <w:sz w:val="24"/>
          <w:szCs w:val="24"/>
        </w:rPr>
        <w:t xml:space="preserve"> </w:t>
      </w:r>
      <w:r>
        <w:rPr>
          <w:rFonts w:ascii="宋体" w:hAnsi="宋体" w:eastAsia="宋体" w:cs="宋体"/>
          <w:spacing w:val="-4"/>
          <w:sz w:val="24"/>
          <w:szCs w:val="24"/>
        </w:rPr>
        <w:t>估结论报告如下：</w:t>
      </w:r>
    </w:p>
    <w:p w14:paraId="2A1AE7AD">
      <w:pPr>
        <w:spacing w:before="25" w:line="218" w:lineRule="auto"/>
        <w:ind w:left="104"/>
        <w:outlineLvl w:val="0"/>
        <w:rPr>
          <w:rFonts w:ascii="宋体" w:hAnsi="宋体" w:eastAsia="宋体" w:cs="宋体"/>
          <w:sz w:val="24"/>
          <w:szCs w:val="24"/>
        </w:rPr>
      </w:pPr>
      <w:bookmarkStart w:id="3" w:name="bookmark3"/>
      <w:bookmarkEnd w:id="3"/>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评估机构</w:t>
      </w:r>
    </w:p>
    <w:p w14:paraId="39463284">
      <w:pPr>
        <w:spacing w:before="226" w:line="218" w:lineRule="auto"/>
        <w:ind w:left="575"/>
        <w:rPr>
          <w:rFonts w:ascii="宋体" w:hAnsi="宋体" w:eastAsia="宋体" w:cs="宋体"/>
          <w:sz w:val="24"/>
          <w:szCs w:val="24"/>
        </w:rPr>
      </w:pPr>
      <w:r>
        <w:rPr>
          <w:rFonts w:ascii="宋体" w:hAnsi="宋体" w:eastAsia="宋体" w:cs="宋体"/>
          <w:spacing w:val="-2"/>
          <w:sz w:val="24"/>
          <w:szCs w:val="24"/>
        </w:rPr>
        <w:t>名称：云南俊成矿业权评估有限公司；</w:t>
      </w:r>
    </w:p>
    <w:p w14:paraId="15DFEFBE">
      <w:pPr>
        <w:spacing w:before="189" w:line="219" w:lineRule="auto"/>
        <w:ind w:left="575"/>
        <w:rPr>
          <w:rFonts w:ascii="宋体" w:hAnsi="宋体" w:eastAsia="宋体" w:cs="宋体"/>
          <w:sz w:val="24"/>
          <w:szCs w:val="24"/>
        </w:rPr>
      </w:pPr>
      <w:r>
        <w:rPr>
          <w:rFonts w:ascii="宋体" w:hAnsi="宋体" w:eastAsia="宋体" w:cs="宋体"/>
          <w:spacing w:val="3"/>
          <w:sz w:val="24"/>
          <w:szCs w:val="24"/>
        </w:rPr>
        <w:t>地址：云南省昆明市西山区云投财富商业广场</w:t>
      </w:r>
      <w:r>
        <w:rPr>
          <w:rFonts w:ascii="Times New Roman" w:hAnsi="Times New Roman" w:eastAsia="Times New Roman" w:cs="Times New Roman"/>
          <w:spacing w:val="3"/>
          <w:sz w:val="24"/>
          <w:szCs w:val="24"/>
        </w:rPr>
        <w:t xml:space="preserve">B3 </w:t>
      </w:r>
      <w:r>
        <w:rPr>
          <w:rFonts w:ascii="宋体" w:hAnsi="宋体" w:eastAsia="宋体" w:cs="宋体"/>
          <w:spacing w:val="3"/>
          <w:sz w:val="24"/>
          <w:szCs w:val="24"/>
        </w:rPr>
        <w:t>幢23层；</w:t>
      </w:r>
    </w:p>
    <w:p w14:paraId="2F3D5B10">
      <w:pPr>
        <w:spacing w:before="235" w:line="219" w:lineRule="auto"/>
        <w:ind w:left="575"/>
        <w:rPr>
          <w:rFonts w:ascii="宋体" w:hAnsi="宋体" w:eastAsia="宋体" w:cs="宋体"/>
          <w:sz w:val="24"/>
          <w:szCs w:val="24"/>
        </w:rPr>
      </w:pPr>
      <w:r>
        <w:rPr>
          <w:rFonts w:ascii="宋体" w:hAnsi="宋体" w:eastAsia="宋体" w:cs="宋体"/>
          <w:spacing w:val="-6"/>
          <w:sz w:val="24"/>
          <w:szCs w:val="24"/>
        </w:rPr>
        <w:t>法定代表人：何文俊；</w:t>
      </w:r>
    </w:p>
    <w:p w14:paraId="6B9EFA02">
      <w:pPr>
        <w:spacing w:before="200" w:line="212" w:lineRule="auto"/>
        <w:ind w:left="575"/>
        <w:rPr>
          <w:rFonts w:ascii="Times New Roman" w:hAnsi="Times New Roman" w:eastAsia="Times New Roman" w:cs="Times New Roman"/>
          <w:sz w:val="24"/>
          <w:szCs w:val="24"/>
        </w:rPr>
      </w:pPr>
      <w:r>
        <w:rPr>
          <w:rFonts w:ascii="宋体" w:hAnsi="宋体" w:eastAsia="宋体" w:cs="宋体"/>
          <w:sz w:val="24"/>
          <w:szCs w:val="24"/>
        </w:rPr>
        <w:t>统一社会信用代码：915301007873</w:t>
      </w:r>
      <w:r>
        <w:rPr>
          <w:rFonts w:ascii="宋体" w:hAnsi="宋体" w:eastAsia="宋体" w:cs="宋体"/>
          <w:spacing w:val="-1"/>
          <w:sz w:val="24"/>
          <w:szCs w:val="24"/>
        </w:rPr>
        <w:t>76342</w:t>
      </w:r>
      <w:r>
        <w:rPr>
          <w:rFonts w:ascii="Times New Roman" w:hAnsi="Times New Roman" w:eastAsia="Times New Roman" w:cs="Times New Roman"/>
          <w:spacing w:val="-1"/>
          <w:sz w:val="24"/>
          <w:szCs w:val="24"/>
        </w:rPr>
        <w:t>N;</w:t>
      </w:r>
    </w:p>
    <w:p w14:paraId="776E1D79">
      <w:pPr>
        <w:spacing w:before="238" w:line="218" w:lineRule="auto"/>
        <w:ind w:left="575"/>
        <w:rPr>
          <w:rFonts w:ascii="宋体" w:hAnsi="宋体" w:eastAsia="宋体" w:cs="宋体"/>
          <w:sz w:val="24"/>
          <w:szCs w:val="24"/>
        </w:rPr>
      </w:pPr>
      <w:r>
        <w:rPr>
          <w:rFonts w:ascii="宋体" w:hAnsi="宋体" w:eastAsia="宋体" w:cs="宋体"/>
          <w:spacing w:val="2"/>
          <w:sz w:val="24"/>
          <w:szCs w:val="24"/>
        </w:rPr>
        <w:t>探矿权采矿权评估资格证书编号：矿权评资</w:t>
      </w:r>
      <w:r>
        <w:rPr>
          <w:rFonts w:ascii="宋体" w:hAnsi="宋体" w:eastAsia="宋体" w:cs="宋体"/>
          <w:spacing w:val="1"/>
          <w:sz w:val="24"/>
          <w:szCs w:val="24"/>
        </w:rPr>
        <w:t>[2012]001号。</w:t>
      </w:r>
    </w:p>
    <w:p w14:paraId="511B5E0A">
      <w:pPr>
        <w:spacing w:before="228" w:line="219" w:lineRule="auto"/>
        <w:ind w:left="104"/>
        <w:outlineLvl w:val="0"/>
        <w:rPr>
          <w:rFonts w:ascii="宋体" w:hAnsi="宋体" w:eastAsia="宋体" w:cs="宋体"/>
          <w:sz w:val="26"/>
          <w:szCs w:val="26"/>
        </w:rPr>
      </w:pPr>
      <w:bookmarkStart w:id="4" w:name="bookmark4"/>
      <w:bookmarkEnd w:id="4"/>
      <w:r>
        <w:rPr>
          <w:rFonts w:ascii="Times New Roman" w:hAnsi="Times New Roman" w:eastAsia="Times New Roman" w:cs="Times New Roman"/>
          <w:spacing w:val="-7"/>
          <w:sz w:val="26"/>
          <w:szCs w:val="26"/>
        </w:rPr>
        <w:t>2.</w:t>
      </w:r>
      <w:r>
        <w:rPr>
          <w:rFonts w:ascii="宋体" w:hAnsi="宋体" w:eastAsia="宋体" w:cs="宋体"/>
          <w:spacing w:val="-7"/>
          <w:sz w:val="26"/>
          <w:szCs w:val="26"/>
        </w:rPr>
        <w:t>委托方及采矿权人</w:t>
      </w:r>
    </w:p>
    <w:p w14:paraId="5CE617DC">
      <w:pPr>
        <w:spacing w:before="223" w:line="221" w:lineRule="auto"/>
        <w:ind w:left="575"/>
        <w:rPr>
          <w:rFonts w:ascii="宋体" w:hAnsi="宋体" w:eastAsia="宋体" w:cs="宋体"/>
          <w:sz w:val="24"/>
          <w:szCs w:val="24"/>
        </w:rPr>
      </w:pPr>
      <w:r>
        <w:rPr>
          <w:rFonts w:ascii="宋体" w:hAnsi="宋体" w:eastAsia="宋体" w:cs="宋体"/>
          <w:spacing w:val="14"/>
          <w:sz w:val="24"/>
          <w:szCs w:val="24"/>
        </w:rPr>
        <w:t>2.1委托方</w:t>
      </w:r>
    </w:p>
    <w:p w14:paraId="7BF90C4A">
      <w:pPr>
        <w:spacing w:before="210" w:line="219" w:lineRule="auto"/>
        <w:ind w:left="575"/>
        <w:rPr>
          <w:rFonts w:ascii="宋体" w:hAnsi="宋体" w:eastAsia="宋体" w:cs="宋体"/>
          <w:sz w:val="24"/>
          <w:szCs w:val="24"/>
        </w:rPr>
      </w:pPr>
      <w:r>
        <w:rPr>
          <w:rFonts w:ascii="宋体" w:hAnsi="宋体" w:eastAsia="宋体" w:cs="宋体"/>
          <w:sz w:val="24"/>
          <w:szCs w:val="24"/>
        </w:rPr>
        <w:t>名称：曲靖市自然资源和规划局。</w:t>
      </w:r>
    </w:p>
    <w:p w14:paraId="23DF539D">
      <w:pPr>
        <w:spacing w:before="225" w:line="219" w:lineRule="auto"/>
        <w:ind w:left="575"/>
        <w:rPr>
          <w:rFonts w:ascii="宋体" w:hAnsi="宋体" w:eastAsia="宋体" w:cs="宋体"/>
          <w:sz w:val="24"/>
          <w:szCs w:val="24"/>
        </w:rPr>
      </w:pPr>
      <w:r>
        <w:rPr>
          <w:rFonts w:ascii="宋体" w:hAnsi="宋体" w:eastAsia="宋体" w:cs="宋体"/>
          <w:spacing w:val="14"/>
          <w:sz w:val="24"/>
          <w:szCs w:val="24"/>
        </w:rPr>
        <w:t>2.2采矿权人</w:t>
      </w:r>
    </w:p>
    <w:p w14:paraId="74EAC726">
      <w:pPr>
        <w:spacing w:before="237" w:line="219" w:lineRule="auto"/>
        <w:ind w:left="575"/>
        <w:rPr>
          <w:rFonts w:ascii="宋体" w:hAnsi="宋体" w:eastAsia="宋体" w:cs="宋体"/>
          <w:sz w:val="24"/>
          <w:szCs w:val="24"/>
        </w:rPr>
      </w:pPr>
      <w:r>
        <w:rPr>
          <w:rFonts w:ascii="宋体" w:hAnsi="宋体" w:eastAsia="宋体" w:cs="宋体"/>
          <w:spacing w:val="-2"/>
          <w:sz w:val="24"/>
          <w:szCs w:val="24"/>
        </w:rPr>
        <w:t>名称：云南罗平锌电股份有限公司；</w:t>
      </w:r>
    </w:p>
    <w:p w14:paraId="0177702A">
      <w:pPr>
        <w:spacing w:before="264" w:line="219" w:lineRule="auto"/>
        <w:ind w:left="575"/>
        <w:rPr>
          <w:rFonts w:ascii="宋体" w:hAnsi="宋体" w:eastAsia="宋体" w:cs="宋体"/>
          <w:sz w:val="24"/>
          <w:szCs w:val="24"/>
        </w:rPr>
      </w:pPr>
      <w:r>
        <w:rPr>
          <w:rFonts w:ascii="宋体" w:hAnsi="宋体" w:eastAsia="宋体" w:cs="宋体"/>
          <w:spacing w:val="1"/>
          <w:sz w:val="24"/>
          <w:szCs w:val="24"/>
        </w:rPr>
        <w:t>统一社会信用代码：915300007098268547;</w:t>
      </w:r>
    </w:p>
    <w:p w14:paraId="5F30B6E9">
      <w:pPr>
        <w:spacing w:before="257" w:line="219" w:lineRule="auto"/>
        <w:ind w:left="575"/>
        <w:rPr>
          <w:rFonts w:ascii="宋体" w:hAnsi="宋体" w:eastAsia="宋体" w:cs="宋体"/>
          <w:sz w:val="24"/>
          <w:szCs w:val="24"/>
        </w:rPr>
      </w:pPr>
      <w:r>
        <w:rPr>
          <w:rFonts w:ascii="宋体" w:hAnsi="宋体" w:eastAsia="宋体" w:cs="宋体"/>
          <w:spacing w:val="2"/>
          <w:sz w:val="24"/>
          <w:szCs w:val="24"/>
        </w:rPr>
        <w:t>类型：股份有限公司(上市);</w:t>
      </w:r>
    </w:p>
    <w:p w14:paraId="3DABC2EE">
      <w:pPr>
        <w:spacing w:before="264" w:line="219" w:lineRule="auto"/>
        <w:ind w:left="575"/>
        <w:rPr>
          <w:rFonts w:ascii="宋体" w:hAnsi="宋体" w:eastAsia="宋体" w:cs="宋体"/>
          <w:sz w:val="24"/>
          <w:szCs w:val="24"/>
        </w:rPr>
      </w:pPr>
      <w:r>
        <w:rPr>
          <w:rFonts w:ascii="宋体" w:hAnsi="宋体" w:eastAsia="宋体" w:cs="宋体"/>
          <w:spacing w:val="-1"/>
          <w:sz w:val="24"/>
          <w:szCs w:val="24"/>
        </w:rPr>
        <w:t>住所：云南省曲靖市罗平县罗雄镇九龙大道南段；</w:t>
      </w:r>
    </w:p>
    <w:p w14:paraId="7FDE1A48">
      <w:pPr>
        <w:spacing w:before="247" w:line="219" w:lineRule="auto"/>
        <w:ind w:left="575"/>
        <w:rPr>
          <w:rFonts w:ascii="宋体" w:hAnsi="宋体" w:eastAsia="宋体" w:cs="宋体"/>
          <w:sz w:val="24"/>
          <w:szCs w:val="24"/>
        </w:rPr>
      </w:pPr>
      <w:r>
        <w:rPr>
          <w:rFonts w:ascii="宋体" w:hAnsi="宋体" w:eastAsia="宋体" w:cs="宋体"/>
          <w:spacing w:val="-6"/>
          <w:sz w:val="24"/>
          <w:szCs w:val="24"/>
        </w:rPr>
        <w:t>法定代表人：李尤立；</w:t>
      </w:r>
    </w:p>
    <w:p w14:paraId="2AFB9133">
      <w:pPr>
        <w:spacing w:before="253" w:line="219" w:lineRule="auto"/>
        <w:ind w:left="575"/>
        <w:rPr>
          <w:rFonts w:ascii="宋体" w:hAnsi="宋体" w:eastAsia="宋体" w:cs="宋体"/>
          <w:sz w:val="24"/>
          <w:szCs w:val="24"/>
        </w:rPr>
      </w:pPr>
      <w:r>
        <w:rPr>
          <w:rFonts w:ascii="宋体" w:hAnsi="宋体" w:eastAsia="宋体" w:cs="宋体"/>
          <w:spacing w:val="2"/>
          <w:sz w:val="24"/>
          <w:szCs w:val="24"/>
        </w:rPr>
        <w:t>注册资本：32339.5267万人民币；</w:t>
      </w:r>
    </w:p>
    <w:p w14:paraId="03CCD8C7">
      <w:pPr>
        <w:spacing w:line="219" w:lineRule="auto"/>
        <w:rPr>
          <w:rFonts w:ascii="宋体" w:hAnsi="宋体" w:eastAsia="宋体" w:cs="宋体"/>
          <w:sz w:val="24"/>
          <w:szCs w:val="24"/>
        </w:rPr>
        <w:sectPr>
          <w:headerReference r:id="rId23" w:type="default"/>
          <w:footerReference r:id="rId24" w:type="default"/>
          <w:pgSz w:w="11900" w:h="16830"/>
          <w:pgMar w:top="1267" w:right="1400" w:bottom="1279" w:left="1785" w:header="990" w:footer="928" w:gutter="0"/>
          <w:cols w:space="720" w:num="1"/>
        </w:sectPr>
      </w:pPr>
    </w:p>
    <w:p w14:paraId="7C593436">
      <w:pPr>
        <w:pStyle w:val="2"/>
        <w:spacing w:line="372" w:lineRule="auto"/>
      </w:pPr>
    </w:p>
    <w:p w14:paraId="70256605">
      <w:pPr>
        <w:spacing w:before="78" w:line="219" w:lineRule="auto"/>
        <w:ind w:left="585"/>
        <w:rPr>
          <w:rFonts w:ascii="宋体" w:hAnsi="宋体" w:eastAsia="宋体" w:cs="宋体"/>
          <w:sz w:val="24"/>
          <w:szCs w:val="24"/>
        </w:rPr>
      </w:pPr>
      <w:r>
        <w:rPr>
          <w:rFonts w:ascii="宋体" w:hAnsi="宋体" w:eastAsia="宋体" w:cs="宋体"/>
          <w:spacing w:val="12"/>
          <w:sz w:val="24"/>
          <w:szCs w:val="24"/>
        </w:rPr>
        <w:t>成立日期：2000年12月21日；</w:t>
      </w:r>
    </w:p>
    <w:p w14:paraId="006EC4D3">
      <w:pPr>
        <w:spacing w:before="255" w:line="219" w:lineRule="auto"/>
        <w:ind w:left="585"/>
        <w:rPr>
          <w:rFonts w:ascii="宋体" w:hAnsi="宋体" w:eastAsia="宋体" w:cs="宋体"/>
          <w:sz w:val="24"/>
          <w:szCs w:val="24"/>
        </w:rPr>
      </w:pPr>
      <w:r>
        <w:rPr>
          <w:rFonts w:ascii="宋体" w:hAnsi="宋体" w:eastAsia="宋体" w:cs="宋体"/>
          <w:spacing w:val="11"/>
          <w:sz w:val="24"/>
          <w:szCs w:val="24"/>
        </w:rPr>
        <w:t>营业期限：2000年12月21日至长期；</w:t>
      </w:r>
    </w:p>
    <w:p w14:paraId="5F2DFE01">
      <w:pPr>
        <w:spacing w:before="227" w:line="378" w:lineRule="auto"/>
        <w:ind w:left="84" w:right="189" w:firstLine="500"/>
        <w:rPr>
          <w:rFonts w:ascii="宋体" w:hAnsi="宋体" w:eastAsia="宋体" w:cs="宋体"/>
          <w:sz w:val="24"/>
          <w:szCs w:val="24"/>
        </w:rPr>
      </w:pPr>
      <w:r>
        <w:rPr>
          <w:rFonts w:ascii="宋体" w:hAnsi="宋体" w:eastAsia="宋体" w:cs="宋体"/>
          <w:spacing w:val="9"/>
          <w:sz w:val="24"/>
          <w:szCs w:val="24"/>
        </w:rPr>
        <w:t>经营范围：许可项目：矿产资源(非煤矿山)开采；矿产资源勘查；危险化</w:t>
      </w:r>
      <w:r>
        <w:rPr>
          <w:rFonts w:ascii="宋体" w:hAnsi="宋体" w:eastAsia="宋体" w:cs="宋体"/>
          <w:spacing w:val="12"/>
          <w:sz w:val="24"/>
          <w:szCs w:val="24"/>
        </w:rPr>
        <w:t xml:space="preserve"> </w:t>
      </w:r>
      <w:r>
        <w:rPr>
          <w:rFonts w:ascii="宋体" w:hAnsi="宋体" w:eastAsia="宋体" w:cs="宋体"/>
          <w:spacing w:val="4"/>
          <w:sz w:val="24"/>
          <w:szCs w:val="24"/>
        </w:rPr>
        <w:t>学品生产；金属与非金属矿产资源地质勘探；水力发电(依法须经批准的项</w:t>
      </w:r>
      <w:r>
        <w:rPr>
          <w:rFonts w:ascii="宋体" w:hAnsi="宋体" w:eastAsia="宋体" w:cs="宋体"/>
          <w:spacing w:val="3"/>
          <w:sz w:val="24"/>
          <w:szCs w:val="24"/>
        </w:rPr>
        <w:t>目，</w:t>
      </w:r>
      <w:r>
        <w:rPr>
          <w:rFonts w:ascii="宋体" w:hAnsi="宋体" w:eastAsia="宋体" w:cs="宋体"/>
          <w:sz w:val="24"/>
          <w:szCs w:val="24"/>
        </w:rPr>
        <w:t xml:space="preserve"> </w:t>
      </w:r>
      <w:r>
        <w:rPr>
          <w:rFonts w:ascii="宋体" w:hAnsi="宋体" w:eastAsia="宋体" w:cs="宋体"/>
          <w:spacing w:val="5"/>
          <w:sz w:val="24"/>
          <w:szCs w:val="24"/>
        </w:rPr>
        <w:t>经相关部门批准后方可开展经营活动，具体经营</w:t>
      </w:r>
      <w:r>
        <w:rPr>
          <w:rFonts w:ascii="宋体" w:hAnsi="宋体" w:eastAsia="宋体" w:cs="宋体"/>
          <w:spacing w:val="4"/>
          <w:sz w:val="24"/>
          <w:szCs w:val="24"/>
        </w:rPr>
        <w:t>项目以审批结果为准)  一般项</w:t>
      </w:r>
      <w:r>
        <w:rPr>
          <w:rFonts w:ascii="宋体" w:hAnsi="宋体" w:eastAsia="宋体" w:cs="宋体"/>
          <w:sz w:val="24"/>
          <w:szCs w:val="24"/>
        </w:rPr>
        <w:t xml:space="preserve"> </w:t>
      </w:r>
      <w:r>
        <w:rPr>
          <w:rFonts w:ascii="宋体" w:hAnsi="宋体" w:eastAsia="宋体" w:cs="宋体"/>
          <w:spacing w:val="1"/>
          <w:sz w:val="24"/>
          <w:szCs w:val="24"/>
        </w:rPr>
        <w:t>目：常用有色金属冶炼；选矿；有色金属合金制造；有色金属合金销售；金属材</w:t>
      </w:r>
      <w:r>
        <w:rPr>
          <w:rFonts w:ascii="宋体" w:hAnsi="宋体" w:eastAsia="宋体" w:cs="宋体"/>
          <w:spacing w:val="2"/>
          <w:sz w:val="24"/>
          <w:szCs w:val="24"/>
        </w:rPr>
        <w:t xml:space="preserve"> 料制造；有色金属压延加工；贵金属冶炼；矿山机械制造；金属链条及其他金属</w:t>
      </w:r>
      <w:r>
        <w:rPr>
          <w:rFonts w:ascii="宋体" w:hAnsi="宋体" w:eastAsia="宋体" w:cs="宋体"/>
          <w:sz w:val="24"/>
          <w:szCs w:val="24"/>
        </w:rPr>
        <w:t xml:space="preserve"> 制品销售；货物进出口；锻件及粉末冶金制品制造；锻件及粉末冶金制品销售；</w:t>
      </w:r>
      <w:r>
        <w:rPr>
          <w:rFonts w:ascii="宋体" w:hAnsi="宋体" w:eastAsia="宋体" w:cs="宋体"/>
          <w:spacing w:val="18"/>
          <w:sz w:val="24"/>
          <w:szCs w:val="24"/>
        </w:rPr>
        <w:t xml:space="preserve"> </w:t>
      </w:r>
      <w:r>
        <w:rPr>
          <w:rFonts w:ascii="宋体" w:hAnsi="宋体" w:eastAsia="宋体" w:cs="宋体"/>
          <w:spacing w:val="2"/>
          <w:sz w:val="24"/>
          <w:szCs w:val="24"/>
        </w:rPr>
        <w:t>新材料技术研发；高性能有色金属及合金材料销售；金属链条及其他金属制品制</w:t>
      </w:r>
      <w:r>
        <w:rPr>
          <w:rFonts w:ascii="宋体" w:hAnsi="宋体" w:eastAsia="宋体" w:cs="宋体"/>
          <w:sz w:val="24"/>
          <w:szCs w:val="24"/>
        </w:rPr>
        <w:t xml:space="preserve"> </w:t>
      </w:r>
      <w:r>
        <w:rPr>
          <w:rFonts w:ascii="宋体" w:hAnsi="宋体" w:eastAsia="宋体" w:cs="宋体"/>
          <w:spacing w:val="5"/>
          <w:sz w:val="24"/>
          <w:szCs w:val="24"/>
        </w:rPr>
        <w:t xml:space="preserve">造；农产品的生产、销售、加工、运输、贮藏及其他相关服务(除依法须经批准 </w:t>
      </w:r>
      <w:r>
        <w:rPr>
          <w:rFonts w:ascii="宋体" w:hAnsi="宋体" w:eastAsia="宋体" w:cs="宋体"/>
          <w:spacing w:val="-2"/>
          <w:sz w:val="24"/>
          <w:szCs w:val="24"/>
        </w:rPr>
        <w:t>的项目外，凭营业执照依法自主开展经营活动)。</w:t>
      </w:r>
    </w:p>
    <w:p w14:paraId="3C8A5500">
      <w:pPr>
        <w:spacing w:before="93" w:line="218" w:lineRule="auto"/>
        <w:ind w:left="84"/>
        <w:outlineLvl w:val="0"/>
        <w:rPr>
          <w:rFonts w:ascii="宋体" w:hAnsi="宋体" w:eastAsia="宋体" w:cs="宋体"/>
          <w:sz w:val="24"/>
          <w:szCs w:val="24"/>
        </w:rPr>
      </w:pPr>
      <w:bookmarkStart w:id="5" w:name="bookmark5"/>
      <w:bookmarkEnd w:id="5"/>
      <w:r>
        <w:rPr>
          <w:rFonts w:ascii="Times New Roman" w:hAnsi="Times New Roman" w:eastAsia="Times New Roman" w:cs="Times New Roman"/>
          <w:spacing w:val="4"/>
          <w:sz w:val="24"/>
          <w:szCs w:val="24"/>
        </w:rPr>
        <w:t xml:space="preserve">3. </w:t>
      </w:r>
      <w:r>
        <w:rPr>
          <w:rFonts w:ascii="宋体" w:hAnsi="宋体" w:eastAsia="宋体" w:cs="宋体"/>
          <w:spacing w:val="4"/>
          <w:sz w:val="24"/>
          <w:szCs w:val="24"/>
        </w:rPr>
        <w:t>评估目的</w:t>
      </w:r>
    </w:p>
    <w:p w14:paraId="6F7A7F05">
      <w:pPr>
        <w:spacing w:before="241" w:line="379" w:lineRule="auto"/>
        <w:ind w:left="84" w:right="183" w:firstLine="500"/>
        <w:jc w:val="both"/>
        <w:rPr>
          <w:rFonts w:ascii="仿宋" w:hAnsi="仿宋" w:eastAsia="仿宋" w:cs="仿宋"/>
          <w:sz w:val="24"/>
          <w:szCs w:val="24"/>
        </w:rPr>
      </w:pPr>
      <w:r>
        <w:rPr>
          <w:rFonts w:ascii="宋体" w:hAnsi="宋体" w:eastAsia="宋体" w:cs="宋体"/>
          <w:spacing w:val="2"/>
          <w:sz w:val="24"/>
          <w:szCs w:val="24"/>
        </w:rPr>
        <w:t>云南罗平锌电股份有限公司拟向曲靖市自然资源和</w:t>
      </w:r>
      <w:r>
        <w:rPr>
          <w:rFonts w:ascii="宋体" w:hAnsi="宋体" w:eastAsia="宋体" w:cs="宋体"/>
          <w:spacing w:val="1"/>
          <w:sz w:val="24"/>
          <w:szCs w:val="24"/>
        </w:rPr>
        <w:t>规划局申请处置“云南罗</w:t>
      </w:r>
      <w:r>
        <w:rPr>
          <w:rFonts w:ascii="宋体" w:hAnsi="宋体" w:eastAsia="宋体" w:cs="宋体"/>
          <w:sz w:val="24"/>
          <w:szCs w:val="24"/>
        </w:rPr>
        <w:t xml:space="preserve"> </w:t>
      </w:r>
      <w:r>
        <w:rPr>
          <w:rFonts w:ascii="宋体" w:hAnsi="宋体" w:eastAsia="宋体" w:cs="宋体"/>
          <w:spacing w:val="3"/>
          <w:sz w:val="24"/>
          <w:szCs w:val="24"/>
        </w:rPr>
        <w:t>平锌电股份有限公司富乐铅锌矿采矿权”出让</w:t>
      </w:r>
      <w:r>
        <w:rPr>
          <w:rFonts w:ascii="宋体" w:hAnsi="宋体" w:eastAsia="宋体" w:cs="宋体"/>
          <w:spacing w:val="2"/>
          <w:sz w:val="24"/>
          <w:szCs w:val="24"/>
        </w:rPr>
        <w:t>收益。根据《财政部国土资源部关</w:t>
      </w:r>
      <w:r>
        <w:rPr>
          <w:rFonts w:ascii="宋体" w:hAnsi="宋体" w:eastAsia="宋体" w:cs="宋体"/>
          <w:sz w:val="24"/>
          <w:szCs w:val="24"/>
        </w:rPr>
        <w:t xml:space="preserve"> </w:t>
      </w:r>
      <w:r>
        <w:rPr>
          <w:rFonts w:ascii="宋体" w:hAnsi="宋体" w:eastAsia="宋体" w:cs="宋体"/>
          <w:spacing w:val="4"/>
          <w:sz w:val="24"/>
          <w:szCs w:val="24"/>
        </w:rPr>
        <w:t>于印发&lt;矿业权出让收益征收管理暂行办法&gt;的通知》(财综[2017]35号),需要对</w:t>
      </w:r>
      <w:r>
        <w:rPr>
          <w:rFonts w:ascii="宋体" w:hAnsi="宋体" w:eastAsia="宋体" w:cs="宋体"/>
          <w:spacing w:val="15"/>
          <w:sz w:val="24"/>
          <w:szCs w:val="24"/>
        </w:rPr>
        <w:t xml:space="preserve"> </w:t>
      </w:r>
      <w:r>
        <w:rPr>
          <w:rFonts w:ascii="宋体" w:hAnsi="宋体" w:eastAsia="宋体" w:cs="宋体"/>
          <w:spacing w:val="2"/>
          <w:sz w:val="24"/>
          <w:szCs w:val="24"/>
        </w:rPr>
        <w:t>该采矿权出让收益进行评估，本次评估即为实现上述</w:t>
      </w:r>
      <w:r>
        <w:rPr>
          <w:rFonts w:ascii="宋体" w:hAnsi="宋体" w:eastAsia="宋体" w:cs="宋体"/>
          <w:spacing w:val="1"/>
          <w:sz w:val="24"/>
          <w:szCs w:val="24"/>
        </w:rPr>
        <w:t>目的而提供该采矿权在本评</w:t>
      </w:r>
      <w:r>
        <w:rPr>
          <w:rFonts w:ascii="宋体" w:hAnsi="宋体" w:eastAsia="宋体" w:cs="宋体"/>
          <w:sz w:val="24"/>
          <w:szCs w:val="24"/>
        </w:rPr>
        <w:t xml:space="preserve"> </w:t>
      </w:r>
      <w:r>
        <w:rPr>
          <w:rFonts w:ascii="宋体" w:hAnsi="宋体" w:eastAsia="宋体" w:cs="宋体"/>
          <w:spacing w:val="3"/>
          <w:sz w:val="24"/>
          <w:szCs w:val="24"/>
        </w:rPr>
        <w:t>估报告中所述各种条件下和评估基准日时点上的采矿权出</w:t>
      </w:r>
      <w:r>
        <w:rPr>
          <w:rFonts w:ascii="宋体" w:hAnsi="宋体" w:eastAsia="宋体" w:cs="宋体"/>
          <w:spacing w:val="2"/>
          <w:sz w:val="24"/>
          <w:szCs w:val="24"/>
        </w:rPr>
        <w:t>让收益评估价值参考意</w:t>
      </w:r>
      <w:r>
        <w:rPr>
          <w:rFonts w:ascii="宋体" w:hAnsi="宋体" w:eastAsia="宋体" w:cs="宋体"/>
          <w:sz w:val="24"/>
          <w:szCs w:val="24"/>
        </w:rPr>
        <w:t xml:space="preserve"> </w:t>
      </w:r>
      <w:r>
        <w:rPr>
          <w:rFonts w:ascii="仿宋" w:hAnsi="仿宋" w:eastAsia="仿宋" w:cs="仿宋"/>
          <w:spacing w:val="-9"/>
          <w:sz w:val="24"/>
          <w:szCs w:val="24"/>
        </w:rPr>
        <w:t>见。</w:t>
      </w:r>
    </w:p>
    <w:p w14:paraId="5A7DDDFF">
      <w:pPr>
        <w:spacing w:before="58" w:line="218" w:lineRule="auto"/>
        <w:ind w:left="84"/>
        <w:outlineLvl w:val="0"/>
        <w:rPr>
          <w:rFonts w:ascii="宋体" w:hAnsi="宋体" w:eastAsia="宋体" w:cs="宋体"/>
          <w:sz w:val="24"/>
          <w:szCs w:val="24"/>
        </w:rPr>
      </w:pPr>
      <w:bookmarkStart w:id="6" w:name="bookmark6"/>
      <w:bookmarkEnd w:id="6"/>
      <w:r>
        <w:rPr>
          <w:rFonts w:ascii="Times New Roman" w:hAnsi="Times New Roman" w:eastAsia="Times New Roman" w:cs="Times New Roman"/>
          <w:spacing w:val="6"/>
          <w:sz w:val="24"/>
          <w:szCs w:val="24"/>
        </w:rPr>
        <w:t>4.</w:t>
      </w:r>
      <w:r>
        <w:rPr>
          <w:rFonts w:ascii="Times New Roman" w:hAnsi="Times New Roman" w:eastAsia="Times New Roman" w:cs="Times New Roman"/>
          <w:spacing w:val="-23"/>
          <w:sz w:val="24"/>
          <w:szCs w:val="24"/>
        </w:rPr>
        <w:t xml:space="preserve"> </w:t>
      </w:r>
      <w:r>
        <w:rPr>
          <w:rFonts w:ascii="宋体" w:hAnsi="宋体" w:eastAsia="宋体" w:cs="宋体"/>
          <w:spacing w:val="6"/>
          <w:sz w:val="24"/>
          <w:szCs w:val="24"/>
        </w:rPr>
        <w:t>评估对象和范围</w:t>
      </w:r>
    </w:p>
    <w:p w14:paraId="17669825">
      <w:pPr>
        <w:spacing w:before="257" w:line="218" w:lineRule="auto"/>
        <w:ind w:left="585"/>
        <w:rPr>
          <w:rFonts w:ascii="宋体" w:hAnsi="宋体" w:eastAsia="宋体" w:cs="宋体"/>
          <w:sz w:val="24"/>
          <w:szCs w:val="24"/>
        </w:rPr>
      </w:pPr>
      <w:r>
        <w:rPr>
          <w:rFonts w:ascii="宋体" w:hAnsi="宋体" w:eastAsia="宋体" w:cs="宋体"/>
          <w:spacing w:val="12"/>
          <w:sz w:val="24"/>
          <w:szCs w:val="24"/>
        </w:rPr>
        <w:t>4.1评估对象</w:t>
      </w:r>
    </w:p>
    <w:p w14:paraId="253C1247">
      <w:pPr>
        <w:spacing w:before="237" w:line="388" w:lineRule="auto"/>
        <w:ind w:left="115" w:right="150" w:firstLine="469"/>
        <w:rPr>
          <w:rFonts w:ascii="宋体" w:hAnsi="宋体" w:eastAsia="宋体" w:cs="宋体"/>
          <w:sz w:val="24"/>
          <w:szCs w:val="24"/>
        </w:rPr>
      </w:pPr>
      <w:r>
        <w:rPr>
          <w:rFonts w:ascii="宋体" w:hAnsi="宋体" w:eastAsia="宋体" w:cs="宋体"/>
          <w:sz w:val="24"/>
          <w:szCs w:val="24"/>
        </w:rPr>
        <w:t>本次评估对象为“云南罗平锌电股份有限公司富乐</w:t>
      </w:r>
      <w:r>
        <w:rPr>
          <w:rFonts w:ascii="宋体" w:hAnsi="宋体" w:eastAsia="宋体" w:cs="宋体"/>
          <w:spacing w:val="-1"/>
          <w:sz w:val="24"/>
          <w:szCs w:val="24"/>
        </w:rPr>
        <w:t>铅锌矿采矿权”(以下简称</w:t>
      </w:r>
      <w:r>
        <w:rPr>
          <w:rFonts w:ascii="宋体" w:hAnsi="宋体" w:eastAsia="宋体" w:cs="宋体"/>
          <w:sz w:val="24"/>
          <w:szCs w:val="24"/>
        </w:rPr>
        <w:t xml:space="preserve"> </w:t>
      </w:r>
      <w:r>
        <w:rPr>
          <w:rFonts w:ascii="宋体" w:hAnsi="宋体" w:eastAsia="宋体" w:cs="宋体"/>
          <w:spacing w:val="-9"/>
          <w:sz w:val="24"/>
          <w:szCs w:val="24"/>
        </w:rPr>
        <w:t>“富乐铅锌矿”)。</w:t>
      </w:r>
    </w:p>
    <w:p w14:paraId="3C5C27C4">
      <w:pPr>
        <w:spacing w:before="11" w:line="218" w:lineRule="auto"/>
        <w:ind w:left="585"/>
        <w:rPr>
          <w:rFonts w:ascii="宋体" w:hAnsi="宋体" w:eastAsia="宋体" w:cs="宋体"/>
          <w:sz w:val="24"/>
          <w:szCs w:val="24"/>
        </w:rPr>
      </w:pPr>
      <w:r>
        <w:rPr>
          <w:rFonts w:ascii="宋体" w:hAnsi="宋体" w:eastAsia="宋体" w:cs="宋体"/>
          <w:spacing w:val="14"/>
          <w:sz w:val="24"/>
          <w:szCs w:val="24"/>
        </w:rPr>
        <w:t>4.2评估范围</w:t>
      </w:r>
    </w:p>
    <w:p w14:paraId="085FBF3A">
      <w:pPr>
        <w:spacing w:before="260" w:line="385" w:lineRule="auto"/>
        <w:ind w:left="84" w:right="136" w:firstLine="500"/>
        <w:rPr>
          <w:rFonts w:ascii="宋体" w:hAnsi="宋体" w:eastAsia="宋体" w:cs="宋体"/>
          <w:sz w:val="24"/>
          <w:szCs w:val="24"/>
        </w:rPr>
      </w:pPr>
      <w:r>
        <w:rPr>
          <w:rFonts w:ascii="宋体" w:hAnsi="宋体" w:eastAsia="宋体" w:cs="宋体"/>
          <w:spacing w:val="14"/>
          <w:sz w:val="24"/>
          <w:szCs w:val="24"/>
        </w:rPr>
        <w:t>根据云南省国土资源厅2016年5月30日颁发的云南罗</w:t>
      </w:r>
      <w:r>
        <w:rPr>
          <w:rFonts w:ascii="宋体" w:hAnsi="宋体" w:eastAsia="宋体" w:cs="宋体"/>
          <w:spacing w:val="13"/>
          <w:sz w:val="24"/>
          <w:szCs w:val="24"/>
        </w:rPr>
        <w:t>平锌电股份有限公司</w:t>
      </w:r>
      <w:r>
        <w:rPr>
          <w:rFonts w:ascii="宋体" w:hAnsi="宋体" w:eastAsia="宋体" w:cs="宋体"/>
          <w:sz w:val="24"/>
          <w:szCs w:val="24"/>
        </w:rPr>
        <w:t xml:space="preserve"> </w:t>
      </w:r>
      <w:r>
        <w:rPr>
          <w:rFonts w:ascii="宋体" w:hAnsi="宋体" w:eastAsia="宋体" w:cs="宋体"/>
          <w:spacing w:val="8"/>
          <w:sz w:val="24"/>
          <w:szCs w:val="24"/>
        </w:rPr>
        <w:t>富乐铅锌矿采矿许可证(证号:</w:t>
      </w:r>
      <w:r>
        <w:rPr>
          <w:rFonts w:ascii="宋体" w:hAnsi="宋体" w:eastAsia="宋体" w:cs="宋体"/>
          <w:spacing w:val="-49"/>
          <w:sz w:val="24"/>
          <w:szCs w:val="24"/>
        </w:rPr>
        <w:t xml:space="preserve"> </w:t>
      </w:r>
      <w:r>
        <w:rPr>
          <w:rFonts w:ascii="Times New Roman" w:hAnsi="Times New Roman" w:eastAsia="Times New Roman" w:cs="Times New Roman"/>
          <w:spacing w:val="8"/>
          <w:sz w:val="24"/>
          <w:szCs w:val="24"/>
        </w:rPr>
        <w:t>C</w:t>
      </w:r>
      <w:r>
        <w:rPr>
          <w:rFonts w:ascii="宋体" w:hAnsi="宋体" w:eastAsia="宋体" w:cs="宋体"/>
          <w:spacing w:val="8"/>
          <w:sz w:val="24"/>
          <w:szCs w:val="24"/>
        </w:rPr>
        <w:t>5300002010123240111524), 采矿权人:云南罗</w:t>
      </w:r>
      <w:r>
        <w:rPr>
          <w:rFonts w:ascii="宋体" w:hAnsi="宋体" w:eastAsia="宋体" w:cs="宋体"/>
          <w:sz w:val="24"/>
          <w:szCs w:val="24"/>
        </w:rPr>
        <w:t xml:space="preserve"> </w:t>
      </w:r>
      <w:r>
        <w:rPr>
          <w:rFonts w:ascii="宋体" w:hAnsi="宋体" w:eastAsia="宋体" w:cs="宋体"/>
          <w:spacing w:val="3"/>
          <w:sz w:val="24"/>
          <w:szCs w:val="24"/>
        </w:rPr>
        <w:t>平锌电股份有限公司；矿山名称：云南罗平锌电股份有限公司富乐铅锌矿；开采</w:t>
      </w:r>
      <w:r>
        <w:rPr>
          <w:rFonts w:ascii="宋体" w:hAnsi="宋体" w:eastAsia="宋体" w:cs="宋体"/>
          <w:spacing w:val="14"/>
          <w:sz w:val="24"/>
          <w:szCs w:val="24"/>
        </w:rPr>
        <w:t xml:space="preserve"> </w:t>
      </w:r>
      <w:r>
        <w:rPr>
          <w:rFonts w:ascii="宋体" w:hAnsi="宋体" w:eastAsia="宋体" w:cs="宋体"/>
          <w:spacing w:val="3"/>
          <w:sz w:val="24"/>
          <w:szCs w:val="24"/>
        </w:rPr>
        <w:t>矿种：铅矿、锌矿；开采方式：地下开采；生产规模：1</w:t>
      </w:r>
      <w:r>
        <w:rPr>
          <w:rFonts w:ascii="宋体" w:hAnsi="宋体" w:eastAsia="宋体" w:cs="宋体"/>
          <w:spacing w:val="2"/>
          <w:sz w:val="24"/>
          <w:szCs w:val="24"/>
        </w:rPr>
        <w:t>0.00万吨/年；有效期：</w:t>
      </w:r>
    </w:p>
    <w:p w14:paraId="7A4C6B53">
      <w:pPr>
        <w:spacing w:line="385" w:lineRule="auto"/>
        <w:rPr>
          <w:rFonts w:ascii="宋体" w:hAnsi="宋体" w:eastAsia="宋体" w:cs="宋体"/>
          <w:sz w:val="24"/>
          <w:szCs w:val="24"/>
        </w:rPr>
        <w:sectPr>
          <w:headerReference r:id="rId25" w:type="default"/>
          <w:footerReference r:id="rId26" w:type="default"/>
          <w:pgSz w:w="11900" w:h="16830"/>
          <w:pgMar w:top="1247" w:right="1350" w:bottom="1290" w:left="1785" w:header="970" w:footer="948" w:gutter="0"/>
          <w:cols w:space="720" w:num="1"/>
        </w:sectPr>
      </w:pPr>
    </w:p>
    <w:p w14:paraId="2C7041D4">
      <w:pPr>
        <w:pStyle w:val="2"/>
        <w:spacing w:line="319" w:lineRule="auto"/>
      </w:pPr>
    </w:p>
    <w:p w14:paraId="43351627">
      <w:pPr>
        <w:spacing w:before="78" w:line="386" w:lineRule="auto"/>
        <w:ind w:left="94" w:right="198"/>
        <w:rPr>
          <w:rFonts w:ascii="宋体" w:hAnsi="宋体" w:eastAsia="宋体" w:cs="宋体"/>
          <w:sz w:val="24"/>
          <w:szCs w:val="24"/>
        </w:rPr>
      </w:pPr>
      <w:r>
        <w:rPr>
          <w:rFonts w:ascii="宋体" w:hAnsi="宋体" w:eastAsia="宋体" w:cs="宋体"/>
          <w:spacing w:val="18"/>
          <w:sz w:val="24"/>
          <w:szCs w:val="24"/>
        </w:rPr>
        <w:t>陆年零伍月，自2016年5月30日至2022年10月30日；矿区面积3.</w:t>
      </w:r>
      <w:r>
        <w:rPr>
          <w:rFonts w:ascii="宋体" w:hAnsi="宋体" w:eastAsia="宋体" w:cs="宋体"/>
          <w:spacing w:val="17"/>
          <w:sz w:val="24"/>
          <w:szCs w:val="24"/>
        </w:rPr>
        <w:t>571</w:t>
      </w:r>
      <w:r>
        <w:rPr>
          <w:rFonts w:ascii="宋体" w:hAnsi="宋体" w:eastAsia="宋体" w:cs="宋体"/>
          <w:sz w:val="24"/>
          <w:szCs w:val="24"/>
        </w:rPr>
        <w:t>km</w:t>
      </w:r>
      <w:r>
        <w:rPr>
          <w:rFonts w:ascii="宋体" w:hAnsi="宋体" w:eastAsia="宋体" w:cs="宋体"/>
          <w:spacing w:val="17"/>
          <w:sz w:val="24"/>
          <w:szCs w:val="24"/>
        </w:rPr>
        <w:t>²,矿</w:t>
      </w:r>
      <w:r>
        <w:rPr>
          <w:rFonts w:ascii="宋体" w:hAnsi="宋体" w:eastAsia="宋体" w:cs="宋体"/>
          <w:sz w:val="24"/>
          <w:szCs w:val="24"/>
        </w:rPr>
        <w:t xml:space="preserve"> </w:t>
      </w:r>
      <w:r>
        <w:rPr>
          <w:rFonts w:ascii="宋体" w:hAnsi="宋体" w:eastAsia="宋体" w:cs="宋体"/>
          <w:spacing w:val="2"/>
          <w:sz w:val="24"/>
          <w:szCs w:val="24"/>
        </w:rPr>
        <w:t>区范围共由8个拐点圈定，拐点坐标如下表所示：</w:t>
      </w:r>
    </w:p>
    <w:p w14:paraId="791A18D6">
      <w:pPr>
        <w:spacing w:line="219" w:lineRule="auto"/>
        <w:ind w:left="3255"/>
        <w:rPr>
          <w:rFonts w:ascii="宋体" w:hAnsi="宋体" w:eastAsia="宋体" w:cs="宋体"/>
          <w:sz w:val="25"/>
          <w:szCs w:val="25"/>
        </w:rPr>
      </w:pPr>
      <w:r>
        <w:rPr>
          <w:rFonts w:ascii="宋体" w:hAnsi="宋体" w:eastAsia="宋体" w:cs="宋体"/>
          <w:spacing w:val="1"/>
          <w:sz w:val="25"/>
          <w:szCs w:val="25"/>
        </w:rPr>
        <w:t>矿区范围拐点坐标表</w:t>
      </w:r>
    </w:p>
    <w:p w14:paraId="3D437F7E">
      <w:pPr>
        <w:spacing w:line="83" w:lineRule="auto"/>
        <w:rPr>
          <w:rFonts w:ascii="Arial"/>
          <w:sz w:val="2"/>
        </w:rPr>
      </w:pPr>
    </w:p>
    <w:tbl>
      <w:tblPr>
        <w:tblStyle w:val="5"/>
        <w:tblW w:w="86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1"/>
        <w:gridCol w:w="2877"/>
        <w:gridCol w:w="2891"/>
      </w:tblGrid>
      <w:tr w14:paraId="397A3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2921" w:type="dxa"/>
            <w:vMerge w:val="restart"/>
            <w:tcBorders>
              <w:bottom w:val="nil"/>
            </w:tcBorders>
            <w:vAlign w:val="top"/>
          </w:tcPr>
          <w:p w14:paraId="2E1CAE06">
            <w:pPr>
              <w:pStyle w:val="6"/>
              <w:spacing w:before="263" w:line="219" w:lineRule="auto"/>
              <w:ind w:left="1035"/>
            </w:pPr>
            <w:r>
              <w:rPr>
                <w:spacing w:val="3"/>
              </w:rPr>
              <w:t>拐点编号</w:t>
            </w:r>
          </w:p>
        </w:tc>
        <w:tc>
          <w:tcPr>
            <w:tcW w:w="5768" w:type="dxa"/>
            <w:gridSpan w:val="2"/>
            <w:vAlign w:val="top"/>
          </w:tcPr>
          <w:p w14:paraId="7B81CFDB">
            <w:pPr>
              <w:pStyle w:val="6"/>
              <w:spacing w:before="84" w:line="220" w:lineRule="auto"/>
              <w:ind w:left="2133"/>
            </w:pPr>
            <w:r>
              <w:rPr>
                <w:spacing w:val="2"/>
              </w:rPr>
              <w:t>1980西安坐标系</w:t>
            </w:r>
          </w:p>
        </w:tc>
      </w:tr>
      <w:tr w14:paraId="7D7FB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Merge w:val="continue"/>
            <w:tcBorders>
              <w:top w:val="nil"/>
            </w:tcBorders>
            <w:vAlign w:val="top"/>
          </w:tcPr>
          <w:p w14:paraId="74F7AF84">
            <w:pPr>
              <w:rPr>
                <w:rFonts w:ascii="Arial"/>
                <w:sz w:val="21"/>
              </w:rPr>
            </w:pPr>
          </w:p>
        </w:tc>
        <w:tc>
          <w:tcPr>
            <w:tcW w:w="2877" w:type="dxa"/>
            <w:vAlign w:val="top"/>
          </w:tcPr>
          <w:p w14:paraId="50D7A544">
            <w:pPr>
              <w:pStyle w:val="6"/>
              <w:spacing w:before="80" w:line="220" w:lineRule="auto"/>
              <w:ind w:left="1164"/>
            </w:pPr>
            <w:r>
              <w:rPr>
                <w:spacing w:val="-2"/>
              </w:rPr>
              <w:t>X坐标</w:t>
            </w:r>
          </w:p>
        </w:tc>
        <w:tc>
          <w:tcPr>
            <w:tcW w:w="2891" w:type="dxa"/>
            <w:vAlign w:val="top"/>
          </w:tcPr>
          <w:p w14:paraId="748E11B3">
            <w:pPr>
              <w:pStyle w:val="6"/>
              <w:spacing w:before="80" w:line="220" w:lineRule="auto"/>
              <w:ind w:left="1176"/>
            </w:pPr>
            <w:r>
              <w:rPr>
                <w:spacing w:val="-1"/>
              </w:rPr>
              <w:t>Y坐标</w:t>
            </w:r>
          </w:p>
        </w:tc>
      </w:tr>
      <w:tr w14:paraId="2CF43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6781EC78">
            <w:pPr>
              <w:pStyle w:val="6"/>
              <w:spacing w:before="80" w:line="219" w:lineRule="auto"/>
              <w:ind w:left="1294"/>
            </w:pPr>
            <w:r>
              <w:rPr>
                <w:spacing w:val="8"/>
              </w:rPr>
              <w:t>矿1</w:t>
            </w:r>
          </w:p>
        </w:tc>
        <w:tc>
          <w:tcPr>
            <w:tcW w:w="2877" w:type="dxa"/>
            <w:vAlign w:val="top"/>
          </w:tcPr>
          <w:p w14:paraId="268D22E6">
            <w:pPr>
              <w:pStyle w:val="6"/>
              <w:spacing w:before="102" w:line="217" w:lineRule="auto"/>
              <w:ind w:left="904"/>
            </w:pPr>
            <w:r>
              <w:rPr>
                <w:spacing w:val="-1"/>
              </w:rPr>
              <w:t>2808242.78</w:t>
            </w:r>
          </w:p>
        </w:tc>
        <w:tc>
          <w:tcPr>
            <w:tcW w:w="2891" w:type="dxa"/>
            <w:vAlign w:val="top"/>
          </w:tcPr>
          <w:p w14:paraId="68CC68A6">
            <w:pPr>
              <w:pStyle w:val="6"/>
              <w:spacing w:before="102" w:line="217" w:lineRule="auto"/>
              <w:ind w:left="856"/>
            </w:pPr>
            <w:r>
              <w:rPr>
                <w:spacing w:val="-2"/>
              </w:rPr>
              <w:t>35438381.39</w:t>
            </w:r>
          </w:p>
        </w:tc>
      </w:tr>
      <w:tr w14:paraId="2E3D7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27482AD4">
            <w:pPr>
              <w:pStyle w:val="6"/>
              <w:spacing w:before="81" w:line="219" w:lineRule="auto"/>
              <w:ind w:left="1294"/>
            </w:pPr>
            <w:r>
              <w:rPr>
                <w:spacing w:val="-3"/>
              </w:rPr>
              <w:t>矿2</w:t>
            </w:r>
          </w:p>
        </w:tc>
        <w:tc>
          <w:tcPr>
            <w:tcW w:w="2877" w:type="dxa"/>
            <w:vAlign w:val="top"/>
          </w:tcPr>
          <w:p w14:paraId="19741412">
            <w:pPr>
              <w:pStyle w:val="6"/>
              <w:spacing w:before="102" w:line="217" w:lineRule="auto"/>
              <w:ind w:left="904"/>
            </w:pPr>
            <w:r>
              <w:rPr>
                <w:spacing w:val="-1"/>
              </w:rPr>
              <w:t>2807421.78</w:t>
            </w:r>
          </w:p>
        </w:tc>
        <w:tc>
          <w:tcPr>
            <w:tcW w:w="2891" w:type="dxa"/>
            <w:vAlign w:val="top"/>
          </w:tcPr>
          <w:p w14:paraId="1C5FD530">
            <w:pPr>
              <w:pStyle w:val="6"/>
              <w:spacing w:before="102" w:line="217" w:lineRule="auto"/>
              <w:ind w:left="856"/>
            </w:pPr>
            <w:r>
              <w:rPr>
                <w:spacing w:val="-2"/>
              </w:rPr>
              <w:t>35439240.40</w:t>
            </w:r>
          </w:p>
        </w:tc>
      </w:tr>
      <w:tr w14:paraId="49BDD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2B5AFCAB">
            <w:pPr>
              <w:pStyle w:val="6"/>
              <w:spacing w:before="82" w:line="219" w:lineRule="auto"/>
              <w:ind w:left="1294"/>
            </w:pPr>
            <w:r>
              <w:rPr>
                <w:spacing w:val="-3"/>
              </w:rPr>
              <w:t>矿3</w:t>
            </w:r>
          </w:p>
        </w:tc>
        <w:tc>
          <w:tcPr>
            <w:tcW w:w="2877" w:type="dxa"/>
            <w:vAlign w:val="top"/>
          </w:tcPr>
          <w:p w14:paraId="74B762FF">
            <w:pPr>
              <w:pStyle w:val="6"/>
              <w:spacing w:before="163" w:line="163" w:lineRule="auto"/>
              <w:ind w:left="904"/>
            </w:pPr>
            <w:r>
              <w:rPr>
                <w:spacing w:val="-1"/>
              </w:rPr>
              <w:t>2806426.77</w:t>
            </w:r>
          </w:p>
        </w:tc>
        <w:tc>
          <w:tcPr>
            <w:tcW w:w="2891" w:type="dxa"/>
            <w:vAlign w:val="top"/>
          </w:tcPr>
          <w:p w14:paraId="0EAD29CE">
            <w:pPr>
              <w:pStyle w:val="6"/>
              <w:spacing w:before="143" w:line="181" w:lineRule="auto"/>
              <w:ind w:left="856"/>
            </w:pPr>
            <w:r>
              <w:rPr>
                <w:spacing w:val="-2"/>
              </w:rPr>
              <w:t>35439295.40</w:t>
            </w:r>
          </w:p>
        </w:tc>
      </w:tr>
      <w:tr w14:paraId="2F309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46C8661E">
            <w:pPr>
              <w:pStyle w:val="6"/>
              <w:spacing w:before="103" w:line="216" w:lineRule="auto"/>
              <w:ind w:left="1294"/>
            </w:pPr>
            <w:r>
              <w:rPr>
                <w:spacing w:val="-3"/>
              </w:rPr>
              <w:t>矿4</w:t>
            </w:r>
          </w:p>
        </w:tc>
        <w:tc>
          <w:tcPr>
            <w:tcW w:w="2877" w:type="dxa"/>
            <w:vAlign w:val="top"/>
          </w:tcPr>
          <w:p w14:paraId="3CC692A4">
            <w:pPr>
              <w:pStyle w:val="6"/>
              <w:spacing w:before="154" w:line="171" w:lineRule="auto"/>
              <w:ind w:left="904"/>
            </w:pPr>
            <w:r>
              <w:rPr>
                <w:spacing w:val="-1"/>
              </w:rPr>
              <w:t>2805941.76</w:t>
            </w:r>
          </w:p>
        </w:tc>
        <w:tc>
          <w:tcPr>
            <w:tcW w:w="2891" w:type="dxa"/>
            <w:vAlign w:val="top"/>
          </w:tcPr>
          <w:p w14:paraId="5AB6FDC5">
            <w:pPr>
              <w:pStyle w:val="6"/>
              <w:spacing w:before="164" w:line="162" w:lineRule="auto"/>
              <w:ind w:left="856"/>
            </w:pPr>
            <w:r>
              <w:rPr>
                <w:spacing w:val="-2"/>
              </w:rPr>
              <w:t>35439435.40</w:t>
            </w:r>
          </w:p>
        </w:tc>
      </w:tr>
      <w:tr w14:paraId="1417E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444E12BF">
            <w:pPr>
              <w:pStyle w:val="6"/>
              <w:spacing w:before="84" w:line="219" w:lineRule="auto"/>
              <w:ind w:left="1294"/>
            </w:pPr>
            <w:r>
              <w:rPr>
                <w:spacing w:val="-3"/>
              </w:rPr>
              <w:t>矿5</w:t>
            </w:r>
          </w:p>
        </w:tc>
        <w:tc>
          <w:tcPr>
            <w:tcW w:w="2877" w:type="dxa"/>
            <w:vAlign w:val="top"/>
          </w:tcPr>
          <w:p w14:paraId="3DAE6FE0">
            <w:pPr>
              <w:pStyle w:val="6"/>
              <w:spacing w:before="105" w:line="214" w:lineRule="auto"/>
              <w:ind w:left="904"/>
            </w:pPr>
            <w:r>
              <w:rPr>
                <w:spacing w:val="-1"/>
              </w:rPr>
              <w:t>2804913.76</w:t>
            </w:r>
          </w:p>
        </w:tc>
        <w:tc>
          <w:tcPr>
            <w:tcW w:w="2891" w:type="dxa"/>
            <w:vAlign w:val="top"/>
          </w:tcPr>
          <w:p w14:paraId="40C6CA7A">
            <w:pPr>
              <w:pStyle w:val="6"/>
              <w:spacing w:before="105" w:line="214" w:lineRule="auto"/>
              <w:ind w:left="856"/>
            </w:pPr>
            <w:r>
              <w:rPr>
                <w:spacing w:val="-2"/>
              </w:rPr>
              <w:t>35439197.40</w:t>
            </w:r>
          </w:p>
        </w:tc>
      </w:tr>
      <w:tr w14:paraId="78FD2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0D85DDF7">
            <w:pPr>
              <w:pStyle w:val="6"/>
              <w:spacing w:before="85" w:line="219" w:lineRule="auto"/>
              <w:ind w:left="1294"/>
            </w:pPr>
            <w:r>
              <w:rPr>
                <w:spacing w:val="-3"/>
              </w:rPr>
              <w:t>矿6</w:t>
            </w:r>
          </w:p>
        </w:tc>
        <w:tc>
          <w:tcPr>
            <w:tcW w:w="2877" w:type="dxa"/>
            <w:vAlign w:val="top"/>
          </w:tcPr>
          <w:p w14:paraId="1A1595B2">
            <w:pPr>
              <w:pStyle w:val="6"/>
              <w:spacing w:before="106" w:line="213" w:lineRule="auto"/>
              <w:ind w:left="904"/>
            </w:pPr>
            <w:r>
              <w:rPr>
                <w:spacing w:val="-1"/>
              </w:rPr>
              <w:t>2805158.76</w:t>
            </w:r>
          </w:p>
        </w:tc>
        <w:tc>
          <w:tcPr>
            <w:tcW w:w="2891" w:type="dxa"/>
            <w:vAlign w:val="top"/>
          </w:tcPr>
          <w:p w14:paraId="6EA25FDC">
            <w:pPr>
              <w:pStyle w:val="6"/>
              <w:spacing w:before="106" w:line="213" w:lineRule="auto"/>
              <w:ind w:left="856"/>
            </w:pPr>
            <w:r>
              <w:rPr>
                <w:spacing w:val="-2"/>
              </w:rPr>
              <w:t>35438480.40</w:t>
            </w:r>
          </w:p>
        </w:tc>
      </w:tr>
      <w:tr w14:paraId="4D3FB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921" w:type="dxa"/>
            <w:vAlign w:val="top"/>
          </w:tcPr>
          <w:p w14:paraId="5604F21C">
            <w:pPr>
              <w:pStyle w:val="6"/>
              <w:spacing w:before="106" w:line="213" w:lineRule="auto"/>
              <w:ind w:left="1294"/>
            </w:pPr>
            <w:r>
              <w:rPr>
                <w:spacing w:val="-3"/>
              </w:rPr>
              <w:t>矿7</w:t>
            </w:r>
          </w:p>
        </w:tc>
        <w:tc>
          <w:tcPr>
            <w:tcW w:w="2877" w:type="dxa"/>
            <w:vAlign w:val="top"/>
          </w:tcPr>
          <w:p w14:paraId="04E0089E">
            <w:pPr>
              <w:pStyle w:val="6"/>
              <w:spacing w:before="147" w:line="177" w:lineRule="auto"/>
              <w:ind w:left="904"/>
            </w:pPr>
            <w:r>
              <w:rPr>
                <w:spacing w:val="-1"/>
              </w:rPr>
              <w:t>2806363.76</w:t>
            </w:r>
          </w:p>
        </w:tc>
        <w:tc>
          <w:tcPr>
            <w:tcW w:w="2891" w:type="dxa"/>
            <w:vAlign w:val="top"/>
          </w:tcPr>
          <w:p w14:paraId="34A5D944">
            <w:pPr>
              <w:pStyle w:val="6"/>
              <w:spacing w:before="157" w:line="168" w:lineRule="auto"/>
              <w:ind w:left="856"/>
            </w:pPr>
            <w:r>
              <w:rPr>
                <w:spacing w:val="-2"/>
              </w:rPr>
              <w:t>35437648.39</w:t>
            </w:r>
          </w:p>
        </w:tc>
      </w:tr>
      <w:tr w14:paraId="32E7F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921" w:type="dxa"/>
            <w:vAlign w:val="top"/>
          </w:tcPr>
          <w:p w14:paraId="30EEA27F">
            <w:pPr>
              <w:pStyle w:val="6"/>
              <w:spacing w:before="107" w:line="213" w:lineRule="auto"/>
              <w:ind w:left="1294"/>
            </w:pPr>
            <w:r>
              <w:rPr>
                <w:spacing w:val="-3"/>
              </w:rPr>
              <w:t>矿8</w:t>
            </w:r>
          </w:p>
        </w:tc>
        <w:tc>
          <w:tcPr>
            <w:tcW w:w="2877" w:type="dxa"/>
            <w:vAlign w:val="top"/>
          </w:tcPr>
          <w:p w14:paraId="5BA32308">
            <w:pPr>
              <w:pStyle w:val="6"/>
              <w:spacing w:before="158" w:line="168" w:lineRule="auto"/>
              <w:ind w:left="904"/>
            </w:pPr>
            <w:r>
              <w:rPr>
                <w:spacing w:val="-1"/>
              </w:rPr>
              <w:t>2806828.77</w:t>
            </w:r>
          </w:p>
        </w:tc>
        <w:tc>
          <w:tcPr>
            <w:tcW w:w="2891" w:type="dxa"/>
            <w:vAlign w:val="top"/>
          </w:tcPr>
          <w:p w14:paraId="6216A485">
            <w:pPr>
              <w:pStyle w:val="6"/>
              <w:spacing w:before="169" w:line="159" w:lineRule="auto"/>
              <w:ind w:left="856"/>
            </w:pPr>
            <w:r>
              <w:rPr>
                <w:spacing w:val="-2"/>
              </w:rPr>
              <w:t>35437894.39</w:t>
            </w:r>
          </w:p>
        </w:tc>
      </w:tr>
      <w:tr w14:paraId="132A0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8689" w:type="dxa"/>
            <w:gridSpan w:val="3"/>
            <w:vAlign w:val="top"/>
          </w:tcPr>
          <w:p w14:paraId="08E709DB">
            <w:pPr>
              <w:pStyle w:val="6"/>
              <w:spacing w:before="126" w:line="200" w:lineRule="auto"/>
              <w:ind w:left="515"/>
            </w:pPr>
            <w:r>
              <w:rPr>
                <w:spacing w:val="4"/>
              </w:rPr>
              <w:t>矿区面积：3.571</w:t>
            </w:r>
            <w:r>
              <w:t>km</w:t>
            </w:r>
            <w:r>
              <w:rPr>
                <w:spacing w:val="4"/>
              </w:rPr>
              <w:t>²;开采深度：188</w:t>
            </w:r>
            <w:r>
              <w:rPr>
                <w:spacing w:val="3"/>
              </w:rPr>
              <w:t>1m～1490m</w:t>
            </w:r>
          </w:p>
        </w:tc>
      </w:tr>
    </w:tbl>
    <w:p w14:paraId="28EEA57B">
      <w:pPr>
        <w:spacing w:before="201" w:line="378" w:lineRule="auto"/>
        <w:ind w:left="94" w:right="210" w:firstLine="510"/>
        <w:rPr>
          <w:rFonts w:ascii="宋体" w:hAnsi="宋体" w:eastAsia="宋体" w:cs="宋体"/>
          <w:sz w:val="24"/>
          <w:szCs w:val="24"/>
        </w:rPr>
      </w:pPr>
      <w:r>
        <w:rPr>
          <w:rFonts w:ascii="宋体" w:hAnsi="宋体" w:eastAsia="宋体" w:cs="宋体"/>
          <w:sz w:val="24"/>
          <w:szCs w:val="24"/>
        </w:rPr>
        <w:t>本次评估范围以上述采矿权证拐点坐标圈定范围</w:t>
      </w:r>
      <w:r>
        <w:rPr>
          <w:rFonts w:ascii="宋体" w:hAnsi="宋体" w:eastAsia="宋体" w:cs="宋体"/>
          <w:spacing w:val="-1"/>
          <w:sz w:val="24"/>
          <w:szCs w:val="24"/>
        </w:rPr>
        <w:t>为准，截至评估基准日，该</w:t>
      </w:r>
      <w:r>
        <w:rPr>
          <w:rFonts w:ascii="宋体" w:hAnsi="宋体" w:eastAsia="宋体" w:cs="宋体"/>
          <w:sz w:val="24"/>
          <w:szCs w:val="24"/>
        </w:rPr>
        <w:t xml:space="preserve"> </w:t>
      </w:r>
      <w:r>
        <w:rPr>
          <w:rFonts w:ascii="宋体" w:hAnsi="宋体" w:eastAsia="宋体" w:cs="宋体"/>
          <w:spacing w:val="-1"/>
          <w:sz w:val="24"/>
          <w:szCs w:val="24"/>
        </w:rPr>
        <w:t>评估范围内未设置其他矿业权，矿业权权属无争议。</w:t>
      </w:r>
      <w:r>
        <w:rPr>
          <w:rFonts w:ascii="宋体" w:hAnsi="宋体" w:eastAsia="宋体" w:cs="宋体"/>
          <w:spacing w:val="-2"/>
          <w:sz w:val="24"/>
          <w:szCs w:val="24"/>
        </w:rPr>
        <w:t>矿界关系图详见下页。</w:t>
      </w:r>
    </w:p>
    <w:p w14:paraId="18C19929">
      <w:pPr>
        <w:spacing w:before="3" w:line="385" w:lineRule="auto"/>
        <w:ind w:left="94" w:right="150" w:firstLine="500"/>
        <w:jc w:val="both"/>
        <w:rPr>
          <w:rFonts w:ascii="宋体" w:hAnsi="宋体" w:eastAsia="宋体" w:cs="宋体"/>
          <w:sz w:val="24"/>
          <w:szCs w:val="24"/>
        </w:rPr>
      </w:pPr>
      <w:r>
        <w:rPr>
          <w:rFonts w:ascii="宋体" w:hAnsi="宋体" w:eastAsia="宋体" w:cs="宋体"/>
          <w:spacing w:val="7"/>
          <w:sz w:val="24"/>
          <w:szCs w:val="24"/>
        </w:rPr>
        <w:t>根据云南省地质工程勘察有限公司于2021年11月编制的</w:t>
      </w:r>
      <w:r>
        <w:rPr>
          <w:rFonts w:ascii="宋体" w:hAnsi="宋体" w:eastAsia="宋体" w:cs="宋体"/>
          <w:spacing w:val="6"/>
          <w:sz w:val="24"/>
          <w:szCs w:val="24"/>
        </w:rPr>
        <w:t>《云南省罗平县富</w:t>
      </w:r>
      <w:r>
        <w:rPr>
          <w:rFonts w:ascii="宋体" w:hAnsi="宋体" w:eastAsia="宋体" w:cs="宋体"/>
          <w:sz w:val="24"/>
          <w:szCs w:val="24"/>
        </w:rPr>
        <w:t xml:space="preserve"> </w:t>
      </w:r>
      <w:r>
        <w:rPr>
          <w:rFonts w:ascii="宋体" w:hAnsi="宋体" w:eastAsia="宋体" w:cs="宋体"/>
          <w:spacing w:val="9"/>
          <w:sz w:val="24"/>
          <w:szCs w:val="24"/>
        </w:rPr>
        <w:t>乐铅锌矿资源储量核实报告(2021)》,截止储量核实基准日(2021年9月</w:t>
      </w:r>
      <w:r>
        <w:rPr>
          <w:rFonts w:ascii="宋体" w:hAnsi="宋体" w:eastAsia="宋体" w:cs="宋体"/>
          <w:spacing w:val="8"/>
          <w:sz w:val="24"/>
          <w:szCs w:val="24"/>
        </w:rPr>
        <w:t>30日),</w:t>
      </w:r>
      <w:r>
        <w:rPr>
          <w:rFonts w:ascii="宋体" w:hAnsi="宋体" w:eastAsia="宋体" w:cs="宋体"/>
          <w:sz w:val="24"/>
          <w:szCs w:val="24"/>
        </w:rPr>
        <w:t xml:space="preserve"> </w:t>
      </w:r>
      <w:r>
        <w:rPr>
          <w:rFonts w:ascii="宋体" w:hAnsi="宋体" w:eastAsia="宋体" w:cs="宋体"/>
          <w:spacing w:val="8"/>
          <w:sz w:val="24"/>
          <w:szCs w:val="24"/>
        </w:rPr>
        <w:t>评估范围内保有</w:t>
      </w:r>
      <w:r>
        <w:rPr>
          <w:rFonts w:ascii="Times New Roman" w:hAnsi="Times New Roman" w:eastAsia="Times New Roman" w:cs="Times New Roman"/>
          <w:sz w:val="24"/>
          <w:szCs w:val="24"/>
        </w:rPr>
        <w:t>TM</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TD</w:t>
      </w:r>
      <w:r>
        <w:rPr>
          <w:rFonts w:ascii="宋体" w:hAnsi="宋体" w:eastAsia="宋体" w:cs="宋体"/>
          <w:spacing w:val="8"/>
          <w:sz w:val="24"/>
          <w:szCs w:val="24"/>
        </w:rPr>
        <w:t>类锌矿石量140.31万吨，锌金属量60957吨，锌平</w:t>
      </w:r>
      <w:r>
        <w:rPr>
          <w:rFonts w:ascii="宋体" w:hAnsi="宋体" w:eastAsia="宋体" w:cs="宋体"/>
          <w:spacing w:val="12"/>
          <w:sz w:val="24"/>
          <w:szCs w:val="24"/>
        </w:rPr>
        <w:t xml:space="preserve"> </w:t>
      </w:r>
      <w:r>
        <w:rPr>
          <w:rFonts w:ascii="宋体" w:hAnsi="宋体" w:eastAsia="宋体" w:cs="宋体"/>
          <w:spacing w:val="10"/>
          <w:sz w:val="24"/>
          <w:szCs w:val="24"/>
        </w:rPr>
        <w:t>均品位4.34%;保有</w:t>
      </w:r>
      <w:r>
        <w:rPr>
          <w:rFonts w:ascii="Times New Roman" w:hAnsi="Times New Roman" w:eastAsia="Times New Roman" w:cs="Times New Roman"/>
          <w:sz w:val="24"/>
          <w:szCs w:val="24"/>
        </w:rPr>
        <w:t>TM</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TD</w:t>
      </w:r>
      <w:r>
        <w:rPr>
          <w:rFonts w:ascii="宋体" w:hAnsi="宋体" w:eastAsia="宋体" w:cs="宋体"/>
          <w:spacing w:val="10"/>
          <w:sz w:val="24"/>
          <w:szCs w:val="24"/>
        </w:rPr>
        <w:t>类伴生铅矿石量76.11万</w:t>
      </w:r>
      <w:r>
        <w:rPr>
          <w:rFonts w:ascii="宋体" w:hAnsi="宋体" w:eastAsia="宋体" w:cs="宋体"/>
          <w:spacing w:val="9"/>
          <w:sz w:val="24"/>
          <w:szCs w:val="24"/>
        </w:rPr>
        <w:t>吨，铅金属量6015吨，</w:t>
      </w:r>
      <w:r>
        <w:rPr>
          <w:rFonts w:ascii="宋体" w:hAnsi="宋体" w:eastAsia="宋体" w:cs="宋体"/>
          <w:sz w:val="24"/>
          <w:szCs w:val="24"/>
        </w:rPr>
        <w:t xml:space="preserve"> </w:t>
      </w:r>
      <w:r>
        <w:rPr>
          <w:rFonts w:ascii="宋体" w:hAnsi="宋体" w:eastAsia="宋体" w:cs="宋体"/>
          <w:spacing w:val="5"/>
          <w:sz w:val="24"/>
          <w:szCs w:val="24"/>
        </w:rPr>
        <w:t>铅平均品位0.79%;保有</w:t>
      </w:r>
      <w:r>
        <w:rPr>
          <w:rFonts w:ascii="Times New Roman" w:hAnsi="Times New Roman" w:eastAsia="Times New Roman" w:cs="Times New Roman"/>
          <w:sz w:val="24"/>
          <w:szCs w:val="24"/>
        </w:rPr>
        <w:t>TM</w:t>
      </w:r>
      <w:r>
        <w:rPr>
          <w:rFonts w:ascii="Times New Roman" w:hAnsi="Times New Roman" w:eastAsia="Times New Roman" w:cs="Times New Roman"/>
          <w:spacing w:val="5"/>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5"/>
          <w:sz w:val="24"/>
          <w:szCs w:val="24"/>
        </w:rPr>
        <w:t>+</w:t>
      </w:r>
      <w:r>
        <w:rPr>
          <w:rFonts w:ascii="Times New Roman" w:hAnsi="Times New Roman" w:eastAsia="Times New Roman" w:cs="Times New Roman"/>
          <w:sz w:val="24"/>
          <w:szCs w:val="24"/>
        </w:rPr>
        <w:t>TD</w:t>
      </w:r>
      <w:r>
        <w:rPr>
          <w:rFonts w:ascii="宋体" w:hAnsi="宋体" w:eastAsia="宋体" w:cs="宋体"/>
          <w:spacing w:val="5"/>
          <w:sz w:val="24"/>
          <w:szCs w:val="24"/>
        </w:rPr>
        <w:t>类伴生镉矿石量140.</w:t>
      </w:r>
      <w:r>
        <w:rPr>
          <w:rFonts w:ascii="宋体" w:hAnsi="宋体" w:eastAsia="宋体" w:cs="宋体"/>
          <w:spacing w:val="4"/>
          <w:sz w:val="24"/>
          <w:szCs w:val="24"/>
        </w:rPr>
        <w:t>31万吨，镉金属量1888</w:t>
      </w:r>
      <w:r>
        <w:rPr>
          <w:rFonts w:ascii="宋体" w:hAnsi="宋体" w:eastAsia="宋体" w:cs="宋体"/>
          <w:sz w:val="24"/>
          <w:szCs w:val="24"/>
        </w:rPr>
        <w:t xml:space="preserve"> </w:t>
      </w:r>
      <w:r>
        <w:rPr>
          <w:rFonts w:ascii="宋体" w:hAnsi="宋体" w:eastAsia="宋体" w:cs="宋体"/>
          <w:spacing w:val="10"/>
          <w:sz w:val="24"/>
          <w:szCs w:val="24"/>
        </w:rPr>
        <w:t>吨，镉平均品位0.135%。根据云南罗平锌电股份有限公</w:t>
      </w:r>
      <w:r>
        <w:rPr>
          <w:rFonts w:ascii="宋体" w:hAnsi="宋体" w:eastAsia="宋体" w:cs="宋体"/>
          <w:spacing w:val="9"/>
          <w:sz w:val="24"/>
          <w:szCs w:val="24"/>
        </w:rPr>
        <w:t>司于2022年4月编制的</w:t>
      </w:r>
      <w:r>
        <w:rPr>
          <w:rFonts w:ascii="宋体" w:hAnsi="宋体" w:eastAsia="宋体" w:cs="宋体"/>
          <w:sz w:val="24"/>
          <w:szCs w:val="24"/>
        </w:rPr>
        <w:t xml:space="preserve"> </w:t>
      </w:r>
      <w:r>
        <w:rPr>
          <w:rFonts w:ascii="宋体" w:hAnsi="宋体" w:eastAsia="宋体" w:cs="宋体"/>
          <w:spacing w:val="-2"/>
          <w:sz w:val="24"/>
          <w:szCs w:val="24"/>
        </w:rPr>
        <w:t>《云南罗平锌电股份有限公司富乐铅锌矿矿产资源开发利用方</w:t>
      </w:r>
      <w:r>
        <w:rPr>
          <w:rFonts w:ascii="宋体" w:hAnsi="宋体" w:eastAsia="宋体" w:cs="宋体"/>
          <w:spacing w:val="-3"/>
          <w:sz w:val="24"/>
          <w:szCs w:val="24"/>
        </w:rPr>
        <w:t>案》,设计富乐铅锌</w:t>
      </w:r>
      <w:r>
        <w:rPr>
          <w:rFonts w:ascii="宋体" w:hAnsi="宋体" w:eastAsia="宋体" w:cs="宋体"/>
          <w:sz w:val="24"/>
          <w:szCs w:val="24"/>
        </w:rPr>
        <w:t xml:space="preserve"> </w:t>
      </w:r>
      <w:r>
        <w:rPr>
          <w:rFonts w:ascii="宋体" w:hAnsi="宋体" w:eastAsia="宋体" w:cs="宋体"/>
          <w:spacing w:val="-1"/>
          <w:sz w:val="24"/>
          <w:szCs w:val="24"/>
        </w:rPr>
        <w:t>矿采矿权范围内保有</w:t>
      </w:r>
      <w:r>
        <w:rPr>
          <w:rFonts w:ascii="Times New Roman" w:hAnsi="Times New Roman" w:eastAsia="Times New Roman" w:cs="Times New Roman"/>
          <w:spacing w:val="-1"/>
          <w:sz w:val="24"/>
          <w:szCs w:val="24"/>
        </w:rPr>
        <w:t>TM+KZ+TD</w:t>
      </w:r>
      <w:r>
        <w:rPr>
          <w:rFonts w:ascii="宋体" w:hAnsi="宋体" w:eastAsia="宋体" w:cs="宋体"/>
          <w:spacing w:val="-1"/>
          <w:sz w:val="24"/>
          <w:szCs w:val="24"/>
        </w:rPr>
        <w:t>类锌矿石量140.31万吨，锌金属量60957</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62"/>
          <w:w w:val="101"/>
          <w:sz w:val="24"/>
          <w:szCs w:val="24"/>
        </w:rPr>
        <w:t xml:space="preserve"> </w:t>
      </w:r>
      <w:r>
        <w:rPr>
          <w:rFonts w:ascii="宋体" w:hAnsi="宋体" w:eastAsia="宋体" w:cs="宋体"/>
          <w:spacing w:val="-1"/>
          <w:sz w:val="24"/>
          <w:szCs w:val="24"/>
        </w:rPr>
        <w:t>平 均</w:t>
      </w:r>
      <w:r>
        <w:rPr>
          <w:rFonts w:ascii="宋体" w:hAnsi="宋体" w:eastAsia="宋体" w:cs="宋体"/>
          <w:sz w:val="24"/>
          <w:szCs w:val="24"/>
        </w:rPr>
        <w:t xml:space="preserve"> </w:t>
      </w:r>
      <w:r>
        <w:rPr>
          <w:rFonts w:ascii="宋体" w:hAnsi="宋体" w:eastAsia="宋体" w:cs="宋体"/>
          <w:spacing w:val="3"/>
          <w:sz w:val="24"/>
          <w:szCs w:val="24"/>
        </w:rPr>
        <w:t>品位4.34%;保有</w:t>
      </w:r>
      <w:r>
        <w:rPr>
          <w:rFonts w:ascii="Times New Roman" w:hAnsi="Times New Roman" w:eastAsia="Times New Roman" w:cs="Times New Roman"/>
          <w:sz w:val="24"/>
          <w:szCs w:val="24"/>
        </w:rPr>
        <w:t>TM</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28"/>
          <w:sz w:val="24"/>
          <w:szCs w:val="24"/>
        </w:rPr>
        <w:t xml:space="preserve"> </w:t>
      </w:r>
      <w:r>
        <w:rPr>
          <w:rFonts w:ascii="宋体" w:hAnsi="宋体" w:eastAsia="宋体" w:cs="宋体"/>
          <w:spacing w:val="3"/>
          <w:sz w:val="24"/>
          <w:szCs w:val="24"/>
        </w:rPr>
        <w:t>类伴生铅矿石量76.11万吨，铅金</w:t>
      </w:r>
      <w:r>
        <w:rPr>
          <w:rFonts w:ascii="宋体" w:hAnsi="宋体" w:eastAsia="宋体" w:cs="宋体"/>
          <w:spacing w:val="2"/>
          <w:sz w:val="24"/>
          <w:szCs w:val="24"/>
        </w:rPr>
        <w:t>属量6015</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平 均</w:t>
      </w:r>
      <w:r>
        <w:rPr>
          <w:rFonts w:ascii="宋体" w:hAnsi="宋体" w:eastAsia="宋体" w:cs="宋体"/>
          <w:sz w:val="24"/>
          <w:szCs w:val="24"/>
        </w:rPr>
        <w:t xml:space="preserve"> </w:t>
      </w:r>
      <w:r>
        <w:rPr>
          <w:rFonts w:ascii="宋体" w:hAnsi="宋体" w:eastAsia="宋体" w:cs="宋体"/>
          <w:spacing w:val="3"/>
          <w:sz w:val="24"/>
          <w:szCs w:val="24"/>
        </w:rPr>
        <w:t>品位0.79%;保有</w:t>
      </w:r>
      <w:r>
        <w:rPr>
          <w:rFonts w:ascii="Times New Roman" w:hAnsi="Times New Roman" w:eastAsia="Times New Roman" w:cs="Times New Roman"/>
          <w:sz w:val="24"/>
          <w:szCs w:val="24"/>
        </w:rPr>
        <w:t>TM</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TD</w:t>
      </w:r>
      <w:r>
        <w:rPr>
          <w:rFonts w:ascii="宋体" w:hAnsi="宋体" w:eastAsia="宋体" w:cs="宋体"/>
          <w:spacing w:val="3"/>
          <w:sz w:val="24"/>
          <w:szCs w:val="24"/>
        </w:rPr>
        <w:t>类伴生镉矿石量</w:t>
      </w:r>
      <w:r>
        <w:rPr>
          <w:rFonts w:ascii="宋体" w:hAnsi="宋体" w:eastAsia="宋体" w:cs="宋体"/>
          <w:spacing w:val="2"/>
          <w:sz w:val="24"/>
          <w:szCs w:val="24"/>
        </w:rPr>
        <w:t>140.31万吨，镉金属量1888</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平</w:t>
      </w:r>
      <w:r>
        <w:rPr>
          <w:rFonts w:ascii="宋体" w:hAnsi="宋体" w:eastAsia="宋体" w:cs="宋体"/>
          <w:spacing w:val="-46"/>
          <w:sz w:val="24"/>
          <w:szCs w:val="24"/>
        </w:rPr>
        <w:t xml:space="preserve"> </w:t>
      </w:r>
      <w:r>
        <w:rPr>
          <w:rFonts w:ascii="宋体" w:hAnsi="宋体" w:eastAsia="宋体" w:cs="宋体"/>
          <w:spacing w:val="2"/>
          <w:sz w:val="24"/>
          <w:szCs w:val="24"/>
        </w:rPr>
        <w:t>均</w:t>
      </w:r>
      <w:r>
        <w:rPr>
          <w:rFonts w:ascii="宋体" w:hAnsi="宋体" w:eastAsia="宋体" w:cs="宋体"/>
          <w:sz w:val="24"/>
          <w:szCs w:val="24"/>
        </w:rPr>
        <w:t xml:space="preserve"> </w:t>
      </w:r>
      <w:r>
        <w:rPr>
          <w:rFonts w:ascii="宋体" w:hAnsi="宋体" w:eastAsia="宋体" w:cs="宋体"/>
          <w:spacing w:val="3"/>
          <w:sz w:val="24"/>
          <w:szCs w:val="24"/>
        </w:rPr>
        <w:t>品位0.135%。设计生产规模为10万吨/年，该矿资源储量估算范围及设计利用范</w:t>
      </w:r>
      <w:r>
        <w:rPr>
          <w:rFonts w:ascii="宋体" w:hAnsi="宋体" w:eastAsia="宋体" w:cs="宋体"/>
          <w:spacing w:val="16"/>
          <w:sz w:val="24"/>
          <w:szCs w:val="24"/>
        </w:rPr>
        <w:t xml:space="preserve"> </w:t>
      </w:r>
      <w:r>
        <w:rPr>
          <w:rFonts w:ascii="宋体" w:hAnsi="宋体" w:eastAsia="宋体" w:cs="宋体"/>
          <w:spacing w:val="-2"/>
          <w:sz w:val="24"/>
          <w:szCs w:val="24"/>
        </w:rPr>
        <w:t>围均在本次评估范围内。</w:t>
      </w:r>
    </w:p>
    <w:p w14:paraId="4A9CE5D3">
      <w:pPr>
        <w:spacing w:line="385" w:lineRule="auto"/>
        <w:rPr>
          <w:rFonts w:ascii="宋体" w:hAnsi="宋体" w:eastAsia="宋体" w:cs="宋体"/>
          <w:sz w:val="24"/>
          <w:szCs w:val="24"/>
        </w:rPr>
        <w:sectPr>
          <w:headerReference r:id="rId27" w:type="default"/>
          <w:footerReference r:id="rId28" w:type="default"/>
          <w:pgSz w:w="11900" w:h="16830"/>
          <w:pgMar w:top="1256" w:right="1390" w:bottom="1290" w:left="1784" w:header="980" w:footer="938" w:gutter="0"/>
          <w:cols w:space="720" w:num="1"/>
        </w:sectPr>
      </w:pPr>
    </w:p>
    <w:p w14:paraId="45F528BF">
      <w:pPr>
        <w:pStyle w:val="2"/>
        <w:spacing w:line="465" w:lineRule="auto"/>
      </w:pPr>
    </w:p>
    <w:p w14:paraId="549C4118">
      <w:pPr>
        <w:spacing w:before="62" w:line="236" w:lineRule="auto"/>
        <w:ind w:left="3220"/>
        <w:rPr>
          <w:rFonts w:ascii="华文行楷" w:hAnsi="华文行楷" w:eastAsia="华文行楷" w:cs="华文行楷"/>
          <w:sz w:val="18"/>
          <w:szCs w:val="18"/>
        </w:rPr>
      </w:pPr>
      <w:r>
        <w:rPr>
          <w:rFonts w:ascii="华文行楷" w:hAnsi="华文行楷" w:eastAsia="华文行楷" w:cs="华文行楷"/>
          <w:spacing w:val="28"/>
          <w:sz w:val="18"/>
          <w:szCs w:val="18"/>
        </w:rPr>
        <w:t>云南罗平锌电股份有限公司富乐铅锌矿采矿权出让收益评估报告</w:t>
      </w:r>
    </w:p>
    <w:p w14:paraId="2F492D4E">
      <w:pPr>
        <w:spacing w:before="161"/>
      </w:pPr>
    </w:p>
    <w:tbl>
      <w:tblPr>
        <w:tblStyle w:val="5"/>
        <w:tblW w:w="8199" w:type="dxa"/>
        <w:tblInd w:w="22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
        <w:gridCol w:w="2037"/>
        <w:gridCol w:w="754"/>
        <w:gridCol w:w="796"/>
        <w:gridCol w:w="2155"/>
        <w:gridCol w:w="1778"/>
        <w:gridCol w:w="180"/>
        <w:gridCol w:w="255"/>
      </w:tblGrid>
      <w:tr w14:paraId="09ECA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244" w:type="dxa"/>
            <w:vAlign w:val="top"/>
          </w:tcPr>
          <w:p w14:paraId="2ECD26FA">
            <w:pPr>
              <w:spacing w:line="215" w:lineRule="exact"/>
              <w:rPr>
                <w:rFonts w:ascii="Arial"/>
                <w:sz w:val="18"/>
              </w:rPr>
            </w:pPr>
          </w:p>
        </w:tc>
        <w:tc>
          <w:tcPr>
            <w:tcW w:w="7700" w:type="dxa"/>
            <w:gridSpan w:val="6"/>
            <w:vAlign w:val="top"/>
          </w:tcPr>
          <w:p w14:paraId="7F889250">
            <w:pPr>
              <w:spacing w:line="215" w:lineRule="exact"/>
              <w:rPr>
                <w:rFonts w:ascii="Arial"/>
                <w:sz w:val="18"/>
              </w:rPr>
            </w:pPr>
          </w:p>
        </w:tc>
        <w:tc>
          <w:tcPr>
            <w:tcW w:w="255" w:type="dxa"/>
            <w:vAlign w:val="top"/>
          </w:tcPr>
          <w:p w14:paraId="1EC83890">
            <w:pPr>
              <w:spacing w:line="215" w:lineRule="exact"/>
              <w:rPr>
                <w:rFonts w:ascii="Arial"/>
                <w:sz w:val="18"/>
              </w:rPr>
            </w:pPr>
          </w:p>
        </w:tc>
      </w:tr>
      <w:tr w14:paraId="13F74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244" w:type="dxa"/>
            <w:vMerge w:val="restart"/>
            <w:tcBorders>
              <w:bottom w:val="nil"/>
            </w:tcBorders>
            <w:vAlign w:val="top"/>
          </w:tcPr>
          <w:p w14:paraId="3B13B587">
            <w:pPr>
              <w:rPr>
                <w:rFonts w:ascii="Arial"/>
                <w:sz w:val="21"/>
              </w:rPr>
            </w:pPr>
          </w:p>
        </w:tc>
        <w:tc>
          <w:tcPr>
            <w:tcW w:w="7520" w:type="dxa"/>
            <w:gridSpan w:val="5"/>
            <w:vAlign w:val="top"/>
          </w:tcPr>
          <w:p w14:paraId="03CEAB31">
            <w:pPr>
              <w:pStyle w:val="6"/>
              <w:spacing w:before="290" w:line="221" w:lineRule="auto"/>
              <w:ind w:left="240"/>
              <w:rPr>
                <w:sz w:val="22"/>
                <w:szCs w:val="22"/>
              </w:rPr>
            </w:pPr>
            <w:r>
              <w:pict>
                <v:shape id="_x0000_s1026" o:spid="_x0000_s1026" o:spt="202" type="#_x0000_t202" style="position:absolute;left:0pt;margin-left:282.55pt;margin-top:11.15pt;height:72.2pt;width:94.7pt;z-index:251703296;mso-width-relative:page;mso-height-relative:page;" filled="f" stroked="f" coordsize="21600,21600">
                  <v:path/>
                  <v:fill on="f" focussize="0,0"/>
                  <v:stroke on="f"/>
                  <v:imagedata o:title=""/>
                  <o:lock v:ext="edit" aspectratio="f"/>
                  <v:textbox inset="0mm,0mm,0mm,0mm">
                    <w:txbxContent>
                      <w:p w14:paraId="3A8A9E7A">
                        <w:pPr>
                          <w:pStyle w:val="6"/>
                          <w:spacing w:before="20" w:line="225" w:lineRule="auto"/>
                          <w:ind w:left="29" w:right="20" w:hanging="9"/>
                          <w:rPr>
                            <w:sz w:val="15"/>
                            <w:szCs w:val="15"/>
                          </w:rPr>
                        </w:pPr>
                        <w:r>
                          <w:rPr>
                            <w:spacing w:val="-12"/>
                            <w:w w:val="93"/>
                            <w:sz w:val="13"/>
                            <w:szCs w:val="13"/>
                          </w:rPr>
                          <w:t>2013年核实报告资源量估算范围坐标表</w:t>
                        </w:r>
                        <w:r>
                          <w:rPr>
                            <w:spacing w:val="16"/>
                            <w:w w:val="101"/>
                            <w:sz w:val="13"/>
                            <w:szCs w:val="13"/>
                          </w:rPr>
                          <w:t xml:space="preserve"> </w:t>
                        </w:r>
                        <w:r>
                          <w:rPr>
                            <w:spacing w:val="-10"/>
                            <w:position w:val="2"/>
                            <w:sz w:val="15"/>
                            <w:szCs w:val="15"/>
                          </w:rPr>
                          <w:t>拐点</w:t>
                        </w:r>
                        <w:r>
                          <w:rPr>
                            <w:spacing w:val="5"/>
                            <w:position w:val="2"/>
                            <w:sz w:val="15"/>
                            <w:szCs w:val="15"/>
                          </w:rPr>
                          <w:t xml:space="preserve">    </w:t>
                        </w:r>
                        <w:r>
                          <w:rPr>
                            <w:spacing w:val="-10"/>
                            <w:sz w:val="15"/>
                            <w:szCs w:val="15"/>
                          </w:rPr>
                          <w:t>国家2000大地坐标系</w:t>
                        </w:r>
                      </w:p>
                      <w:p w14:paraId="613C74EC">
                        <w:pPr>
                          <w:pStyle w:val="6"/>
                          <w:spacing w:line="187" w:lineRule="auto"/>
                          <w:ind w:left="119"/>
                          <w:rPr>
                            <w:sz w:val="14"/>
                            <w:szCs w:val="14"/>
                          </w:rPr>
                        </w:pPr>
                        <w:r>
                          <w:rPr>
                            <w:spacing w:val="-3"/>
                            <w:sz w:val="15"/>
                            <w:szCs w:val="15"/>
                          </w:rPr>
                          <w:t>编号</w:t>
                        </w:r>
                        <w:r>
                          <w:rPr>
                            <w:spacing w:val="14"/>
                            <w:sz w:val="15"/>
                            <w:szCs w:val="15"/>
                          </w:rPr>
                          <w:t xml:space="preserve">   </w:t>
                        </w:r>
                        <w:r>
                          <w:rPr>
                            <w:spacing w:val="-3"/>
                            <w:position w:val="-2"/>
                            <w:sz w:val="15"/>
                            <w:szCs w:val="15"/>
                          </w:rPr>
                          <w:t>X</w:t>
                        </w:r>
                        <w:r>
                          <w:rPr>
                            <w:position w:val="-2"/>
                            <w:sz w:val="15"/>
                            <w:szCs w:val="15"/>
                          </w:rPr>
                          <w:t xml:space="preserve">         </w:t>
                        </w:r>
                        <w:r>
                          <w:rPr>
                            <w:spacing w:val="-3"/>
                            <w:sz w:val="14"/>
                            <w:szCs w:val="14"/>
                          </w:rPr>
                          <w:t>Y</w:t>
                        </w:r>
                      </w:p>
                      <w:p w14:paraId="3F20F3FD">
                        <w:pPr>
                          <w:pStyle w:val="6"/>
                          <w:spacing w:before="2" w:line="200" w:lineRule="auto"/>
                          <w:ind w:left="89" w:right="25" w:firstLine="9"/>
                          <w:rPr>
                            <w:sz w:val="12"/>
                            <w:szCs w:val="12"/>
                          </w:rPr>
                        </w:pPr>
                        <w:r>
                          <w:rPr>
                            <w:spacing w:val="-3"/>
                            <w:position w:val="-1"/>
                            <w:sz w:val="14"/>
                            <w:szCs w:val="14"/>
                          </w:rPr>
                          <w:t>做</w:t>
                        </w:r>
                        <w:r>
                          <w:rPr>
                            <w:spacing w:val="17"/>
                            <w:position w:val="-1"/>
                            <w:sz w:val="14"/>
                            <w:szCs w:val="14"/>
                          </w:rPr>
                          <w:t xml:space="preserve">   </w:t>
                        </w:r>
                        <w:r>
                          <w:rPr>
                            <w:spacing w:val="-3"/>
                            <w:sz w:val="13"/>
                            <w:szCs w:val="13"/>
                          </w:rPr>
                          <w:t>2807014.82 35438302.14</w:t>
                        </w:r>
                        <w:r>
                          <w:rPr>
                            <w:spacing w:val="1"/>
                            <w:sz w:val="13"/>
                            <w:szCs w:val="13"/>
                          </w:rPr>
                          <w:t xml:space="preserve"> </w:t>
                        </w:r>
                        <w:r>
                          <w:rPr>
                            <w:spacing w:val="-1"/>
                            <w:sz w:val="13"/>
                            <w:szCs w:val="13"/>
                          </w:rPr>
                          <w:t>估3</w:t>
                        </w:r>
                        <w:r>
                          <w:rPr>
                            <w:spacing w:val="21"/>
                            <w:sz w:val="13"/>
                            <w:szCs w:val="13"/>
                          </w:rPr>
                          <w:t xml:space="preserve">  </w:t>
                        </w:r>
                        <w:r>
                          <w:rPr>
                            <w:spacing w:val="-1"/>
                            <w:sz w:val="12"/>
                            <w:szCs w:val="12"/>
                          </w:rPr>
                          <w:t>2807031.84</w:t>
                        </w:r>
                        <w:r>
                          <w:rPr>
                            <w:spacing w:val="56"/>
                            <w:sz w:val="12"/>
                            <w:szCs w:val="12"/>
                          </w:rPr>
                          <w:t xml:space="preserve"> </w:t>
                        </w:r>
                        <w:r>
                          <w:rPr>
                            <w:spacing w:val="-1"/>
                            <w:sz w:val="13"/>
                            <w:szCs w:val="13"/>
                          </w:rPr>
                          <w:t>35438556.90</w:t>
                        </w:r>
                        <w:r>
                          <w:rPr>
                            <w:sz w:val="13"/>
                            <w:szCs w:val="13"/>
                          </w:rPr>
                          <w:t xml:space="preserve"> </w:t>
                        </w:r>
                        <w:r>
                          <w:rPr>
                            <w:spacing w:val="1"/>
                            <w:sz w:val="13"/>
                            <w:szCs w:val="13"/>
                          </w:rPr>
                          <w:t>估4  2807095.76 35439</w:t>
                        </w:r>
                        <w:r>
                          <w:rPr>
                            <w:sz w:val="13"/>
                            <w:szCs w:val="13"/>
                          </w:rPr>
                          <w:t xml:space="preserve">105.56 </w:t>
                        </w:r>
                        <w:r>
                          <w:rPr>
                            <w:spacing w:val="-5"/>
                            <w:position w:val="1"/>
                            <w:sz w:val="13"/>
                            <w:szCs w:val="13"/>
                          </w:rPr>
                          <w:t>估</w:t>
                        </w:r>
                        <w:r>
                          <w:rPr>
                            <w:spacing w:val="4"/>
                            <w:position w:val="1"/>
                            <w:sz w:val="13"/>
                            <w:szCs w:val="13"/>
                          </w:rPr>
                          <w:t xml:space="preserve">    </w:t>
                        </w:r>
                        <w:r>
                          <w:rPr>
                            <w:spacing w:val="-5"/>
                            <w:position w:val="1"/>
                            <w:sz w:val="13"/>
                            <w:szCs w:val="13"/>
                          </w:rPr>
                          <w:t xml:space="preserve">2806892.84 </w:t>
                        </w:r>
                        <w:r>
                          <w:rPr>
                            <w:spacing w:val="-5"/>
                            <w:sz w:val="14"/>
                            <w:szCs w:val="14"/>
                          </w:rPr>
                          <w:t>35439183.45</w:t>
                        </w:r>
                        <w:r>
                          <w:rPr>
                            <w:sz w:val="14"/>
                            <w:szCs w:val="14"/>
                          </w:rPr>
                          <w:t xml:space="preserve"> </w:t>
                        </w:r>
                        <w:r>
                          <w:rPr>
                            <w:spacing w:val="2"/>
                            <w:sz w:val="13"/>
                            <w:szCs w:val="13"/>
                          </w:rPr>
                          <w:t>估6</w:t>
                        </w:r>
                        <w:r>
                          <w:rPr>
                            <w:spacing w:val="17"/>
                            <w:w w:val="101"/>
                            <w:sz w:val="13"/>
                            <w:szCs w:val="13"/>
                          </w:rPr>
                          <w:t xml:space="preserve">  </w:t>
                        </w:r>
                        <w:r>
                          <w:rPr>
                            <w:spacing w:val="2"/>
                            <w:sz w:val="11"/>
                            <w:szCs w:val="11"/>
                          </w:rPr>
                          <w:t>2806778.12</w:t>
                        </w:r>
                        <w:r>
                          <w:rPr>
                            <w:spacing w:val="13"/>
                            <w:sz w:val="11"/>
                            <w:szCs w:val="11"/>
                          </w:rPr>
                          <w:t xml:space="preserve">  </w:t>
                        </w:r>
                        <w:r>
                          <w:rPr>
                            <w:spacing w:val="2"/>
                            <w:sz w:val="11"/>
                            <w:szCs w:val="11"/>
                          </w:rPr>
                          <w:t>35439275.46</w:t>
                        </w:r>
                        <w:r>
                          <w:rPr>
                            <w:sz w:val="11"/>
                            <w:szCs w:val="11"/>
                          </w:rPr>
                          <w:t xml:space="preserve">  </w:t>
                        </w:r>
                        <w:r>
                          <w:rPr>
                            <w:spacing w:val="-1"/>
                            <w:position w:val="-1"/>
                            <w:sz w:val="13"/>
                            <w:szCs w:val="13"/>
                          </w:rPr>
                          <w:t xml:space="preserve">估    </w:t>
                        </w:r>
                        <w:r>
                          <w:rPr>
                            <w:spacing w:val="-1"/>
                            <w:sz w:val="12"/>
                            <w:szCs w:val="12"/>
                          </w:rPr>
                          <w:t>2806688.80</w:t>
                        </w:r>
                        <w:r>
                          <w:rPr>
                            <w:spacing w:val="58"/>
                            <w:sz w:val="12"/>
                            <w:szCs w:val="12"/>
                          </w:rPr>
                          <w:t xml:space="preserve"> </w:t>
                        </w:r>
                        <w:r>
                          <w:rPr>
                            <w:spacing w:val="-1"/>
                            <w:sz w:val="12"/>
                            <w:szCs w:val="12"/>
                          </w:rPr>
                          <w:t>35439393.61</w:t>
                        </w:r>
                      </w:p>
                    </w:txbxContent>
                  </v:textbox>
                </v:shape>
              </w:pict>
            </w:r>
            <w:r>
              <w:rPr>
                <w:spacing w:val="-16"/>
                <w:sz w:val="22"/>
                <w:szCs w:val="22"/>
              </w:rPr>
              <w:t>图</w:t>
            </w:r>
            <w:r>
              <w:rPr>
                <w:spacing w:val="8"/>
                <w:sz w:val="22"/>
                <w:szCs w:val="22"/>
              </w:rPr>
              <w:t xml:space="preserve">  </w:t>
            </w:r>
            <w:r>
              <w:rPr>
                <w:spacing w:val="-16"/>
                <w:sz w:val="22"/>
                <w:szCs w:val="22"/>
              </w:rPr>
              <w:t>例</w:t>
            </w:r>
          </w:p>
          <w:p w14:paraId="72AC6C3B">
            <w:pPr>
              <w:pStyle w:val="6"/>
              <w:spacing w:before="221" w:line="219" w:lineRule="auto"/>
              <w:ind w:left="890"/>
              <w:rPr>
                <w:sz w:val="15"/>
                <w:szCs w:val="15"/>
              </w:rPr>
            </w:pPr>
            <w:r>
              <w:rPr>
                <w:spacing w:val="-1"/>
                <w:sz w:val="15"/>
                <w:szCs w:val="15"/>
              </w:rPr>
              <w:t>采矿权范围及拐点编号</w:t>
            </w:r>
          </w:p>
          <w:p w14:paraId="000791E9">
            <w:pPr>
              <w:pStyle w:val="6"/>
              <w:spacing w:before="261" w:line="225" w:lineRule="auto"/>
              <w:ind w:left="960" w:right="5508" w:hanging="29"/>
              <w:rPr>
                <w:sz w:val="15"/>
                <w:szCs w:val="15"/>
              </w:rPr>
            </w:pPr>
            <w:r>
              <w:pict>
                <v:shape id="_x0000_s1027" o:spid="_x0000_s1027" o:spt="202" type="#_x0000_t202" style="position:absolute;left:0pt;margin-left:137.5pt;margin-top:13.6pt;height:22.55pt;width:112.85pt;z-index:251704320;mso-width-relative:page;mso-height-relative:page;" filled="f" stroked="f" coordsize="21600,21600">
                  <v:path/>
                  <v:fill on="f" focussize="0,0"/>
                  <v:stroke on="f"/>
                  <v:imagedata o:title=""/>
                  <o:lock v:ext="edit" aspectratio="f"/>
                  <v:textbox inset="0mm,0mm,0mm,0mm">
                    <w:txbxContent>
                      <w:p w14:paraId="4E2D223C">
                        <w:pPr>
                          <w:pStyle w:val="6"/>
                          <w:spacing w:before="19" w:line="265" w:lineRule="auto"/>
                          <w:ind w:left="20" w:right="20" w:firstLine="580"/>
                          <w:rPr>
                            <w:sz w:val="15"/>
                            <w:szCs w:val="15"/>
                          </w:rPr>
                        </w:pPr>
                        <w:r>
                          <w:rPr>
                            <w:spacing w:val="-2"/>
                            <w:sz w:val="15"/>
                            <w:szCs w:val="15"/>
                          </w:rPr>
                          <w:t>富源县富村镇富利铅锌矿</w:t>
                        </w:r>
                        <w:r>
                          <w:rPr>
                            <w:spacing w:val="7"/>
                            <w:sz w:val="15"/>
                            <w:szCs w:val="15"/>
                          </w:rPr>
                          <w:t xml:space="preserve"> </w:t>
                        </w:r>
                        <w:r>
                          <w:rPr>
                            <w:spacing w:val="-3"/>
                            <w:sz w:val="15"/>
                            <w:szCs w:val="15"/>
                          </w:rPr>
                          <w:t>er1</w:t>
                        </w:r>
                      </w:p>
                    </w:txbxContent>
                  </v:textbox>
                </v:shape>
              </w:pict>
            </w:r>
            <w:r>
              <w:rPr>
                <w:spacing w:val="-1"/>
                <w:sz w:val="15"/>
                <w:szCs w:val="15"/>
              </w:rPr>
              <w:t>本次资源量估算</w:t>
            </w:r>
            <w:r>
              <w:rPr>
                <w:sz w:val="15"/>
                <w:szCs w:val="15"/>
              </w:rPr>
              <w:t xml:space="preserve"> </w:t>
            </w:r>
            <w:r>
              <w:rPr>
                <w:spacing w:val="-2"/>
                <w:sz w:val="15"/>
                <w:szCs w:val="15"/>
              </w:rPr>
              <w:t>范围及拐点编号</w:t>
            </w:r>
          </w:p>
        </w:tc>
        <w:tc>
          <w:tcPr>
            <w:tcW w:w="180" w:type="dxa"/>
            <w:vMerge w:val="restart"/>
            <w:tcBorders>
              <w:bottom w:val="nil"/>
            </w:tcBorders>
            <w:vAlign w:val="top"/>
          </w:tcPr>
          <w:p w14:paraId="45AA0B76">
            <w:pPr>
              <w:rPr>
                <w:rFonts w:ascii="Arial"/>
                <w:sz w:val="21"/>
              </w:rPr>
            </w:pPr>
          </w:p>
        </w:tc>
        <w:tc>
          <w:tcPr>
            <w:tcW w:w="255" w:type="dxa"/>
            <w:vMerge w:val="restart"/>
            <w:tcBorders>
              <w:bottom w:val="nil"/>
            </w:tcBorders>
            <w:vAlign w:val="top"/>
          </w:tcPr>
          <w:p w14:paraId="0C52B565">
            <w:pPr>
              <w:rPr>
                <w:rFonts w:ascii="Arial"/>
                <w:sz w:val="21"/>
              </w:rPr>
            </w:pPr>
          </w:p>
        </w:tc>
      </w:tr>
      <w:tr w14:paraId="36C25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244" w:type="dxa"/>
            <w:vMerge w:val="continue"/>
            <w:tcBorders>
              <w:top w:val="nil"/>
              <w:bottom w:val="nil"/>
            </w:tcBorders>
            <w:vAlign w:val="top"/>
          </w:tcPr>
          <w:p w14:paraId="6699104A">
            <w:pPr>
              <w:rPr>
                <w:rFonts w:ascii="Arial"/>
                <w:sz w:val="21"/>
              </w:rPr>
            </w:pPr>
          </w:p>
        </w:tc>
        <w:tc>
          <w:tcPr>
            <w:tcW w:w="5742" w:type="dxa"/>
            <w:gridSpan w:val="4"/>
            <w:vMerge w:val="restart"/>
            <w:tcBorders>
              <w:bottom w:val="nil"/>
            </w:tcBorders>
            <w:vAlign w:val="top"/>
          </w:tcPr>
          <w:p w14:paraId="5FD55A80">
            <w:pPr>
              <w:pStyle w:val="6"/>
              <w:spacing w:before="105" w:line="216" w:lineRule="auto"/>
              <w:ind w:left="940" w:right="3008" w:hanging="9"/>
              <w:rPr>
                <w:sz w:val="15"/>
                <w:szCs w:val="15"/>
              </w:rPr>
            </w:pPr>
            <w:r>
              <w:rPr>
                <w:spacing w:val="-1"/>
                <w:sz w:val="15"/>
                <w:szCs w:val="15"/>
              </w:rPr>
              <w:t>2013年核实报告资源量估算</w:t>
            </w:r>
            <w:r>
              <w:rPr>
                <w:spacing w:val="5"/>
                <w:sz w:val="15"/>
                <w:szCs w:val="15"/>
              </w:rPr>
              <w:t xml:space="preserve"> </w:t>
            </w:r>
            <w:r>
              <w:rPr>
                <w:spacing w:val="-2"/>
                <w:sz w:val="15"/>
                <w:szCs w:val="15"/>
              </w:rPr>
              <w:t>范围及拐点坐标</w:t>
            </w:r>
          </w:p>
        </w:tc>
        <w:tc>
          <w:tcPr>
            <w:tcW w:w="1778" w:type="dxa"/>
            <w:vAlign w:val="top"/>
          </w:tcPr>
          <w:p w14:paraId="1DBCA083">
            <w:pPr>
              <w:pStyle w:val="6"/>
              <w:spacing w:before="5" w:line="125" w:lineRule="exact"/>
              <w:jc w:val="right"/>
              <w:rPr>
                <w:sz w:val="14"/>
                <w:szCs w:val="14"/>
              </w:rPr>
            </w:pPr>
            <w:r>
              <w:rPr>
                <w:spacing w:val="-4"/>
                <w:position w:val="-1"/>
                <w:sz w:val="14"/>
                <w:szCs w:val="14"/>
              </w:rPr>
              <w:t xml:space="preserve">估8  </w:t>
            </w:r>
            <w:r>
              <w:rPr>
                <w:spacing w:val="-4"/>
                <w:position w:val="-2"/>
                <w:sz w:val="14"/>
                <w:szCs w:val="14"/>
              </w:rPr>
              <w:t>2806496.4235439404.</w:t>
            </w:r>
            <w:r>
              <w:rPr>
                <w:spacing w:val="-5"/>
                <w:position w:val="-2"/>
                <w:sz w:val="14"/>
                <w:szCs w:val="14"/>
              </w:rPr>
              <w:t>25</w:t>
            </w:r>
          </w:p>
        </w:tc>
        <w:tc>
          <w:tcPr>
            <w:tcW w:w="180" w:type="dxa"/>
            <w:vMerge w:val="continue"/>
            <w:tcBorders>
              <w:top w:val="nil"/>
              <w:bottom w:val="nil"/>
            </w:tcBorders>
            <w:vAlign w:val="top"/>
          </w:tcPr>
          <w:p w14:paraId="74C75403">
            <w:pPr>
              <w:rPr>
                <w:rFonts w:ascii="Arial"/>
                <w:sz w:val="21"/>
              </w:rPr>
            </w:pPr>
          </w:p>
        </w:tc>
        <w:tc>
          <w:tcPr>
            <w:tcW w:w="255" w:type="dxa"/>
            <w:vMerge w:val="continue"/>
            <w:tcBorders>
              <w:top w:val="nil"/>
              <w:bottom w:val="nil"/>
            </w:tcBorders>
            <w:vAlign w:val="top"/>
          </w:tcPr>
          <w:p w14:paraId="612303A9">
            <w:pPr>
              <w:rPr>
                <w:rFonts w:ascii="Arial"/>
                <w:sz w:val="21"/>
              </w:rPr>
            </w:pPr>
          </w:p>
        </w:tc>
      </w:tr>
      <w:tr w14:paraId="5E35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44" w:type="dxa"/>
            <w:vMerge w:val="continue"/>
            <w:tcBorders>
              <w:top w:val="nil"/>
              <w:bottom w:val="nil"/>
            </w:tcBorders>
            <w:vAlign w:val="top"/>
          </w:tcPr>
          <w:p w14:paraId="1D8A339A">
            <w:pPr>
              <w:rPr>
                <w:rFonts w:ascii="Arial"/>
                <w:sz w:val="21"/>
              </w:rPr>
            </w:pPr>
          </w:p>
        </w:tc>
        <w:tc>
          <w:tcPr>
            <w:tcW w:w="5742" w:type="dxa"/>
            <w:gridSpan w:val="4"/>
            <w:vMerge w:val="continue"/>
            <w:tcBorders>
              <w:top w:val="nil"/>
              <w:bottom w:val="nil"/>
            </w:tcBorders>
            <w:vAlign w:val="top"/>
          </w:tcPr>
          <w:p w14:paraId="0CDC1936">
            <w:pPr>
              <w:rPr>
                <w:rFonts w:ascii="Arial"/>
                <w:sz w:val="21"/>
              </w:rPr>
            </w:pPr>
          </w:p>
        </w:tc>
        <w:tc>
          <w:tcPr>
            <w:tcW w:w="1778" w:type="dxa"/>
            <w:vMerge w:val="restart"/>
            <w:tcBorders>
              <w:bottom w:val="nil"/>
            </w:tcBorders>
            <w:vAlign w:val="top"/>
          </w:tcPr>
          <w:p w14:paraId="6EDA1852">
            <w:pPr>
              <w:pStyle w:val="6"/>
              <w:spacing w:before="25" w:line="198" w:lineRule="auto"/>
              <w:ind w:left="18" w:firstLine="19"/>
              <w:jc w:val="both"/>
              <w:rPr>
                <w:sz w:val="12"/>
                <w:szCs w:val="12"/>
              </w:rPr>
            </w:pPr>
            <w:r>
              <w:rPr>
                <w:spacing w:val="-1"/>
                <w:position w:val="1"/>
                <w:sz w:val="12"/>
                <w:szCs w:val="12"/>
              </w:rPr>
              <w:t xml:space="preserve">估9   2806486.97  </w:t>
            </w:r>
            <w:r>
              <w:rPr>
                <w:spacing w:val="-1"/>
                <w:position w:val="-1"/>
                <w:sz w:val="12"/>
                <w:szCs w:val="12"/>
              </w:rPr>
              <w:t>35439379.04</w:t>
            </w:r>
            <w:r>
              <w:rPr>
                <w:spacing w:val="16"/>
                <w:position w:val="-1"/>
                <w:sz w:val="12"/>
                <w:szCs w:val="12"/>
              </w:rPr>
              <w:t xml:space="preserve"> </w:t>
            </w:r>
            <w:r>
              <w:rPr>
                <w:spacing w:val="-1"/>
                <w:sz w:val="12"/>
                <w:szCs w:val="12"/>
              </w:rPr>
              <w:t>估10</w:t>
            </w:r>
            <w:r>
              <w:rPr>
                <w:spacing w:val="13"/>
                <w:sz w:val="12"/>
                <w:szCs w:val="12"/>
              </w:rPr>
              <w:t xml:space="preserve">  </w:t>
            </w:r>
            <w:r>
              <w:rPr>
                <w:spacing w:val="-1"/>
                <w:sz w:val="12"/>
                <w:szCs w:val="12"/>
              </w:rPr>
              <w:t>2806539.55</w:t>
            </w:r>
            <w:r>
              <w:rPr>
                <w:spacing w:val="45"/>
                <w:w w:val="101"/>
                <w:sz w:val="12"/>
                <w:szCs w:val="12"/>
              </w:rPr>
              <w:t xml:space="preserve"> </w:t>
            </w:r>
            <w:r>
              <w:rPr>
                <w:spacing w:val="-1"/>
                <w:sz w:val="12"/>
                <w:szCs w:val="12"/>
              </w:rPr>
              <w:t>35439219.44</w:t>
            </w:r>
            <w:r>
              <w:rPr>
                <w:sz w:val="12"/>
                <w:szCs w:val="12"/>
              </w:rPr>
              <w:t xml:space="preserve"> 估11</w:t>
            </w:r>
            <w:r>
              <w:rPr>
                <w:spacing w:val="55"/>
                <w:sz w:val="12"/>
                <w:szCs w:val="12"/>
              </w:rPr>
              <w:t xml:space="preserve"> </w:t>
            </w:r>
            <w:r>
              <w:rPr>
                <w:sz w:val="12"/>
                <w:szCs w:val="12"/>
              </w:rPr>
              <w:t>2806458.37</w:t>
            </w:r>
            <w:r>
              <w:rPr>
                <w:spacing w:val="55"/>
                <w:w w:val="101"/>
                <w:sz w:val="12"/>
                <w:szCs w:val="12"/>
              </w:rPr>
              <w:t xml:space="preserve"> </w:t>
            </w:r>
            <w:r>
              <w:rPr>
                <w:sz w:val="12"/>
                <w:szCs w:val="12"/>
              </w:rPr>
              <w:t>35439127</w:t>
            </w:r>
            <w:r>
              <w:rPr>
                <w:spacing w:val="-1"/>
                <w:sz w:val="12"/>
                <w:szCs w:val="12"/>
              </w:rPr>
              <w:t>.19</w:t>
            </w:r>
            <w:r>
              <w:rPr>
                <w:sz w:val="12"/>
                <w:szCs w:val="12"/>
              </w:rPr>
              <w:t xml:space="preserve"> </w:t>
            </w:r>
            <w:r>
              <w:rPr>
                <w:spacing w:val="-1"/>
                <w:sz w:val="12"/>
                <w:szCs w:val="12"/>
              </w:rPr>
              <w:t xml:space="preserve">估12  </w:t>
            </w:r>
            <w:r>
              <w:rPr>
                <w:spacing w:val="-1"/>
                <w:position w:val="1"/>
                <w:sz w:val="12"/>
                <w:szCs w:val="12"/>
              </w:rPr>
              <w:t xml:space="preserve">2806408.55  </w:t>
            </w:r>
            <w:r>
              <w:rPr>
                <w:spacing w:val="-1"/>
                <w:sz w:val="12"/>
                <w:szCs w:val="12"/>
              </w:rPr>
              <w:t>35438930.69</w:t>
            </w:r>
            <w:r>
              <w:rPr>
                <w:spacing w:val="15"/>
                <w:w w:val="101"/>
                <w:sz w:val="12"/>
                <w:szCs w:val="12"/>
              </w:rPr>
              <w:t xml:space="preserve"> </w:t>
            </w:r>
            <w:r>
              <w:rPr>
                <w:spacing w:val="-1"/>
                <w:sz w:val="12"/>
                <w:szCs w:val="12"/>
              </w:rPr>
              <w:t>估13</w:t>
            </w:r>
            <w:r>
              <w:rPr>
                <w:spacing w:val="18"/>
                <w:sz w:val="12"/>
                <w:szCs w:val="12"/>
              </w:rPr>
              <w:t xml:space="preserve">  </w:t>
            </w:r>
            <w:r>
              <w:rPr>
                <w:spacing w:val="-1"/>
                <w:position w:val="1"/>
                <w:sz w:val="12"/>
                <w:szCs w:val="12"/>
              </w:rPr>
              <w:t>2806366.55</w:t>
            </w:r>
            <w:r>
              <w:rPr>
                <w:spacing w:val="56"/>
                <w:position w:val="1"/>
                <w:sz w:val="12"/>
                <w:szCs w:val="12"/>
              </w:rPr>
              <w:t xml:space="preserve"> </w:t>
            </w:r>
            <w:r>
              <w:rPr>
                <w:spacing w:val="-1"/>
                <w:position w:val="-1"/>
                <w:sz w:val="12"/>
                <w:szCs w:val="12"/>
              </w:rPr>
              <w:t>35438858.31</w:t>
            </w:r>
          </w:p>
        </w:tc>
        <w:tc>
          <w:tcPr>
            <w:tcW w:w="180" w:type="dxa"/>
            <w:vMerge w:val="continue"/>
            <w:tcBorders>
              <w:top w:val="nil"/>
              <w:bottom w:val="nil"/>
            </w:tcBorders>
            <w:vAlign w:val="top"/>
          </w:tcPr>
          <w:p w14:paraId="3BAE1CEE">
            <w:pPr>
              <w:rPr>
                <w:rFonts w:ascii="Arial"/>
                <w:sz w:val="21"/>
              </w:rPr>
            </w:pPr>
          </w:p>
        </w:tc>
        <w:tc>
          <w:tcPr>
            <w:tcW w:w="255" w:type="dxa"/>
            <w:vMerge w:val="continue"/>
            <w:tcBorders>
              <w:top w:val="nil"/>
              <w:bottom w:val="nil"/>
            </w:tcBorders>
            <w:vAlign w:val="top"/>
          </w:tcPr>
          <w:p w14:paraId="58014003">
            <w:pPr>
              <w:rPr>
                <w:rFonts w:ascii="Arial"/>
                <w:sz w:val="21"/>
              </w:rPr>
            </w:pPr>
          </w:p>
        </w:tc>
      </w:tr>
      <w:tr w14:paraId="610A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44" w:type="dxa"/>
            <w:vMerge w:val="continue"/>
            <w:tcBorders>
              <w:top w:val="nil"/>
              <w:bottom w:val="nil"/>
            </w:tcBorders>
            <w:vAlign w:val="top"/>
          </w:tcPr>
          <w:p w14:paraId="7491314D">
            <w:pPr>
              <w:rPr>
                <w:rFonts w:ascii="Arial"/>
                <w:sz w:val="21"/>
              </w:rPr>
            </w:pPr>
          </w:p>
        </w:tc>
        <w:tc>
          <w:tcPr>
            <w:tcW w:w="2791" w:type="dxa"/>
            <w:gridSpan w:val="2"/>
            <w:vMerge w:val="restart"/>
            <w:tcBorders>
              <w:top w:val="nil"/>
              <w:bottom w:val="nil"/>
              <w:right w:val="nil"/>
            </w:tcBorders>
            <w:vAlign w:val="top"/>
          </w:tcPr>
          <w:p w14:paraId="02CDAA66">
            <w:pPr>
              <w:pStyle w:val="6"/>
              <w:spacing w:before="86" w:line="199" w:lineRule="auto"/>
              <w:ind w:left="979" w:right="308" w:hanging="19"/>
              <w:rPr>
                <w:sz w:val="15"/>
                <w:szCs w:val="15"/>
              </w:rPr>
            </w:pPr>
            <w:r>
              <w:rPr>
                <w:spacing w:val="1"/>
                <w:sz w:val="15"/>
                <w:szCs w:val="15"/>
              </w:rPr>
              <w:t>1959年勘探报告老君台</w:t>
            </w:r>
            <w:r>
              <w:rPr>
                <w:spacing w:val="3"/>
                <w:sz w:val="15"/>
                <w:szCs w:val="15"/>
              </w:rPr>
              <w:t xml:space="preserve"> </w:t>
            </w:r>
            <w:r>
              <w:rPr>
                <w:spacing w:val="-1"/>
                <w:sz w:val="15"/>
                <w:szCs w:val="15"/>
              </w:rPr>
              <w:t>矿段储量估算范围</w:t>
            </w:r>
          </w:p>
          <w:p w14:paraId="60638085">
            <w:pPr>
              <w:pStyle w:val="6"/>
              <w:spacing w:line="182" w:lineRule="auto"/>
              <w:ind w:left="2411"/>
              <w:rPr>
                <w:sz w:val="20"/>
                <w:szCs w:val="20"/>
              </w:rPr>
            </w:pPr>
            <w:r>
              <w:rPr>
                <w:sz w:val="20"/>
                <w:szCs w:val="20"/>
              </w:rPr>
              <w:t>从</w:t>
            </w:r>
          </w:p>
          <w:p w14:paraId="58317E14">
            <w:pPr>
              <w:pStyle w:val="6"/>
              <w:spacing w:before="1" w:line="211" w:lineRule="auto"/>
              <w:ind w:left="890" w:right="528"/>
              <w:rPr>
                <w:sz w:val="15"/>
                <w:szCs w:val="15"/>
              </w:rPr>
            </w:pPr>
            <w:r>
              <w:rPr>
                <w:spacing w:val="1"/>
                <w:sz w:val="15"/>
                <w:szCs w:val="15"/>
              </w:rPr>
              <w:t>本次估算占用老君台</w:t>
            </w:r>
            <w:r>
              <w:rPr>
                <w:spacing w:val="6"/>
                <w:sz w:val="15"/>
                <w:szCs w:val="15"/>
              </w:rPr>
              <w:t xml:space="preserve"> </w:t>
            </w:r>
            <w:r>
              <w:rPr>
                <w:spacing w:val="-1"/>
                <w:sz w:val="15"/>
                <w:szCs w:val="15"/>
              </w:rPr>
              <w:t>矿段储量范围</w:t>
            </w:r>
          </w:p>
          <w:p w14:paraId="7EEAB477">
            <w:pPr>
              <w:pStyle w:val="6"/>
              <w:spacing w:line="238" w:lineRule="auto"/>
              <w:ind w:left="2091"/>
              <w:rPr>
                <w:sz w:val="15"/>
                <w:szCs w:val="15"/>
              </w:rPr>
            </w:pPr>
            <w:r>
              <w:rPr>
                <w:spacing w:val="-3"/>
                <w:sz w:val="15"/>
                <w:szCs w:val="15"/>
              </w:rPr>
              <w:t>v.</w:t>
            </w:r>
          </w:p>
          <w:p w14:paraId="63D9E7E9">
            <w:pPr>
              <w:pStyle w:val="6"/>
              <w:spacing w:before="80" w:line="207" w:lineRule="auto"/>
              <w:ind w:left="1920" w:right="310" w:firstLine="69"/>
              <w:rPr>
                <w:sz w:val="15"/>
                <w:szCs w:val="15"/>
              </w:rPr>
            </w:pPr>
            <w:r>
              <w:rPr>
                <w:spacing w:val="-6"/>
                <w:sz w:val="15"/>
                <w:szCs w:val="15"/>
              </w:rPr>
              <w:t>做</w:t>
            </w:r>
            <w:r>
              <w:rPr>
                <w:spacing w:val="22"/>
                <w:w w:val="101"/>
                <w:sz w:val="15"/>
                <w:szCs w:val="15"/>
              </w:rPr>
              <w:t xml:space="preserve">  </w:t>
            </w:r>
            <w:r>
              <w:rPr>
                <w:spacing w:val="-6"/>
                <w:sz w:val="15"/>
                <w:szCs w:val="15"/>
              </w:rPr>
              <w:t>做</w:t>
            </w:r>
            <w:r>
              <w:rPr>
                <w:sz w:val="15"/>
                <w:szCs w:val="15"/>
              </w:rPr>
              <w:t xml:space="preserve"> </w:t>
            </w:r>
            <w:r>
              <w:rPr>
                <w:spacing w:val="-2"/>
                <w:sz w:val="15"/>
                <w:szCs w:val="15"/>
              </w:rPr>
              <w:t>2人</w:t>
            </w:r>
          </w:p>
        </w:tc>
        <w:tc>
          <w:tcPr>
            <w:tcW w:w="796" w:type="dxa"/>
            <w:vMerge w:val="restart"/>
            <w:tcBorders>
              <w:top w:val="nil"/>
              <w:left w:val="nil"/>
              <w:bottom w:val="nil"/>
              <w:right w:val="nil"/>
            </w:tcBorders>
            <w:vAlign w:val="top"/>
          </w:tcPr>
          <w:p w14:paraId="62C9F231">
            <w:pPr>
              <w:spacing w:line="265" w:lineRule="auto"/>
              <w:rPr>
                <w:rFonts w:ascii="Arial"/>
                <w:sz w:val="21"/>
              </w:rPr>
            </w:pPr>
          </w:p>
          <w:p w14:paraId="39580EDE">
            <w:pPr>
              <w:spacing w:line="265" w:lineRule="auto"/>
              <w:rPr>
                <w:rFonts w:ascii="Arial"/>
                <w:sz w:val="21"/>
              </w:rPr>
            </w:pPr>
          </w:p>
          <w:p w14:paraId="7CF95F5D">
            <w:pPr>
              <w:spacing w:line="266" w:lineRule="auto"/>
              <w:rPr>
                <w:rFonts w:ascii="Arial"/>
                <w:sz w:val="21"/>
              </w:rPr>
            </w:pPr>
          </w:p>
          <w:p w14:paraId="0D5916ED">
            <w:pPr>
              <w:spacing w:line="266" w:lineRule="auto"/>
              <w:rPr>
                <w:rFonts w:ascii="Arial"/>
                <w:sz w:val="21"/>
              </w:rPr>
            </w:pPr>
          </w:p>
          <w:p w14:paraId="632FBB63">
            <w:pPr>
              <w:spacing w:line="266" w:lineRule="auto"/>
              <w:rPr>
                <w:rFonts w:ascii="Arial"/>
                <w:sz w:val="21"/>
              </w:rPr>
            </w:pPr>
          </w:p>
          <w:p w14:paraId="4BF241A4">
            <w:pPr>
              <w:pStyle w:val="6"/>
              <w:spacing w:before="49" w:line="218" w:lineRule="auto"/>
              <w:ind w:left="184"/>
              <w:rPr>
                <w:sz w:val="15"/>
                <w:szCs w:val="15"/>
              </w:rPr>
            </w:pPr>
            <w:r>
              <w:rPr>
                <w:sz w:val="15"/>
                <w:szCs w:val="15"/>
              </w:rPr>
              <w:t>估</w:t>
            </w:r>
          </w:p>
        </w:tc>
        <w:tc>
          <w:tcPr>
            <w:tcW w:w="2155" w:type="dxa"/>
            <w:vMerge w:val="restart"/>
            <w:tcBorders>
              <w:top w:val="nil"/>
              <w:left w:val="nil"/>
              <w:bottom w:val="nil"/>
            </w:tcBorders>
            <w:vAlign w:val="top"/>
          </w:tcPr>
          <w:p w14:paraId="5CE7C837">
            <w:pPr>
              <w:spacing w:line="310" w:lineRule="auto"/>
              <w:rPr>
                <w:rFonts w:ascii="Arial"/>
                <w:sz w:val="21"/>
              </w:rPr>
            </w:pPr>
          </w:p>
          <w:p w14:paraId="6C061B86">
            <w:pPr>
              <w:spacing w:line="310" w:lineRule="auto"/>
              <w:rPr>
                <w:rFonts w:ascii="Arial"/>
                <w:sz w:val="21"/>
              </w:rPr>
            </w:pPr>
          </w:p>
          <w:p w14:paraId="0BFEB733">
            <w:pPr>
              <w:pStyle w:val="6"/>
              <w:spacing w:before="65" w:line="241" w:lineRule="auto"/>
              <w:ind w:left="978"/>
              <w:rPr>
                <w:sz w:val="20"/>
                <w:szCs w:val="20"/>
              </w:rPr>
            </w:pPr>
            <w:r>
              <w:rPr>
                <w:sz w:val="20"/>
                <w:szCs w:val="20"/>
              </w:rPr>
              <w:t>2</w:t>
            </w:r>
          </w:p>
          <w:p w14:paraId="28DE27EB">
            <w:pPr>
              <w:pStyle w:val="6"/>
              <w:spacing w:before="89" w:line="245" w:lineRule="auto"/>
              <w:ind w:left="468" w:right="1049" w:firstLine="440"/>
              <w:rPr>
                <w:sz w:val="15"/>
                <w:szCs w:val="15"/>
              </w:rPr>
            </w:pPr>
            <w:r>
              <w:rPr>
                <w:spacing w:val="-9"/>
                <w:sz w:val="20"/>
                <w:szCs w:val="20"/>
              </w:rPr>
              <w:t>十</w:t>
            </w:r>
            <w:r>
              <w:rPr>
                <w:sz w:val="20"/>
                <w:szCs w:val="20"/>
              </w:rPr>
              <w:t xml:space="preserve"> </w:t>
            </w:r>
            <w:r>
              <w:rPr>
                <w:sz w:val="15"/>
                <w:szCs w:val="15"/>
              </w:rPr>
              <w:t>估</w:t>
            </w:r>
          </w:p>
          <w:p w14:paraId="1425213E">
            <w:pPr>
              <w:pStyle w:val="6"/>
              <w:spacing w:before="170" w:line="279" w:lineRule="auto"/>
              <w:ind w:left="768" w:right="1290" w:hanging="169"/>
              <w:rPr>
                <w:sz w:val="20"/>
                <w:szCs w:val="20"/>
              </w:rPr>
            </w:pPr>
            <w:r>
              <w:rPr>
                <w:spacing w:val="-3"/>
                <w:sz w:val="15"/>
                <w:szCs w:val="15"/>
              </w:rPr>
              <w:t>估5</w:t>
            </w:r>
            <w:r>
              <w:rPr>
                <w:sz w:val="15"/>
                <w:szCs w:val="15"/>
              </w:rPr>
              <w:t xml:space="preserve"> </w:t>
            </w:r>
            <w:r>
              <w:rPr>
                <w:spacing w:val="-10"/>
                <w:sz w:val="20"/>
                <w:szCs w:val="20"/>
              </w:rPr>
              <w:t>6</w:t>
            </w:r>
          </w:p>
        </w:tc>
        <w:tc>
          <w:tcPr>
            <w:tcW w:w="1778" w:type="dxa"/>
            <w:vMerge w:val="continue"/>
            <w:tcBorders>
              <w:top w:val="nil"/>
            </w:tcBorders>
            <w:vAlign w:val="top"/>
          </w:tcPr>
          <w:p w14:paraId="04F25CB4">
            <w:pPr>
              <w:rPr>
                <w:rFonts w:ascii="Arial"/>
                <w:sz w:val="21"/>
              </w:rPr>
            </w:pPr>
          </w:p>
        </w:tc>
        <w:tc>
          <w:tcPr>
            <w:tcW w:w="180" w:type="dxa"/>
            <w:vMerge w:val="continue"/>
            <w:tcBorders>
              <w:top w:val="nil"/>
              <w:bottom w:val="nil"/>
            </w:tcBorders>
            <w:vAlign w:val="top"/>
          </w:tcPr>
          <w:p w14:paraId="6BA5100D">
            <w:pPr>
              <w:rPr>
                <w:rFonts w:ascii="Arial"/>
                <w:sz w:val="21"/>
              </w:rPr>
            </w:pPr>
          </w:p>
        </w:tc>
        <w:tc>
          <w:tcPr>
            <w:tcW w:w="255" w:type="dxa"/>
            <w:vMerge w:val="continue"/>
            <w:tcBorders>
              <w:top w:val="nil"/>
              <w:bottom w:val="nil"/>
            </w:tcBorders>
            <w:vAlign w:val="top"/>
          </w:tcPr>
          <w:p w14:paraId="652AA820">
            <w:pPr>
              <w:rPr>
                <w:rFonts w:ascii="Arial"/>
                <w:sz w:val="21"/>
              </w:rPr>
            </w:pPr>
          </w:p>
        </w:tc>
      </w:tr>
      <w:tr w14:paraId="40AA7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244" w:type="dxa"/>
            <w:vMerge w:val="continue"/>
            <w:tcBorders>
              <w:top w:val="nil"/>
              <w:bottom w:val="nil"/>
            </w:tcBorders>
            <w:vAlign w:val="top"/>
          </w:tcPr>
          <w:p w14:paraId="485E3D50">
            <w:pPr>
              <w:rPr>
                <w:rFonts w:ascii="Arial"/>
                <w:sz w:val="21"/>
              </w:rPr>
            </w:pPr>
          </w:p>
        </w:tc>
        <w:tc>
          <w:tcPr>
            <w:tcW w:w="2791" w:type="dxa"/>
            <w:gridSpan w:val="2"/>
            <w:vMerge w:val="continue"/>
            <w:tcBorders>
              <w:top w:val="nil"/>
              <w:bottom w:val="nil"/>
              <w:right w:val="nil"/>
            </w:tcBorders>
            <w:vAlign w:val="top"/>
          </w:tcPr>
          <w:p w14:paraId="73E20E55">
            <w:pPr>
              <w:rPr>
                <w:rFonts w:ascii="Arial"/>
                <w:sz w:val="21"/>
              </w:rPr>
            </w:pPr>
          </w:p>
        </w:tc>
        <w:tc>
          <w:tcPr>
            <w:tcW w:w="796" w:type="dxa"/>
            <w:vMerge w:val="continue"/>
            <w:tcBorders>
              <w:top w:val="nil"/>
              <w:left w:val="nil"/>
              <w:bottom w:val="nil"/>
              <w:right w:val="nil"/>
            </w:tcBorders>
            <w:vAlign w:val="top"/>
          </w:tcPr>
          <w:p w14:paraId="402082FD">
            <w:pPr>
              <w:rPr>
                <w:rFonts w:ascii="Arial"/>
                <w:sz w:val="21"/>
              </w:rPr>
            </w:pPr>
          </w:p>
        </w:tc>
        <w:tc>
          <w:tcPr>
            <w:tcW w:w="2155" w:type="dxa"/>
            <w:vMerge w:val="continue"/>
            <w:tcBorders>
              <w:top w:val="nil"/>
              <w:left w:val="nil"/>
              <w:bottom w:val="nil"/>
            </w:tcBorders>
            <w:vAlign w:val="top"/>
          </w:tcPr>
          <w:p w14:paraId="4AC97F42">
            <w:pPr>
              <w:rPr>
                <w:rFonts w:ascii="Arial"/>
                <w:sz w:val="21"/>
              </w:rPr>
            </w:pPr>
          </w:p>
        </w:tc>
        <w:tc>
          <w:tcPr>
            <w:tcW w:w="1778" w:type="dxa"/>
            <w:vMerge w:val="restart"/>
            <w:tcBorders>
              <w:bottom w:val="nil"/>
            </w:tcBorders>
            <w:vAlign w:val="top"/>
          </w:tcPr>
          <w:p w14:paraId="1A6BC65C">
            <w:pPr>
              <w:pStyle w:val="6"/>
              <w:spacing w:before="28" w:line="208" w:lineRule="auto"/>
              <w:ind w:left="18" w:right="16"/>
              <w:rPr>
                <w:sz w:val="12"/>
                <w:szCs w:val="12"/>
              </w:rPr>
            </w:pPr>
            <w:r>
              <w:pict>
                <v:shape id="_x0000_s1028" o:spid="_x0000_s1028" o:spt="202" type="#_x0000_t202" style="position:absolute;left:0pt;margin-left:15.25pt;margin-top:83.8pt;height:138.4pt;width:8.7pt;mso-position-horizontal-relative:page;mso-position-vertical-relative:page;z-index:251699200;mso-width-relative:page;mso-height-relative:page;" filled="f" stroked="f" coordsize="21600,21600">
                  <v:path/>
                  <v:fill on="f" focussize="0,0"/>
                  <v:stroke on="f"/>
                  <v:imagedata o:title=""/>
                  <o:lock v:ext="edit" aspectratio="f"/>
                  <v:textbox inset="0mm,0mm,0mm,0mm" style="layout-flow:vertical-ideographic;">
                    <w:txbxContent>
                      <w:p w14:paraId="14368938">
                        <w:pPr>
                          <w:pStyle w:val="6"/>
                          <w:spacing w:before="20" w:line="200" w:lineRule="auto"/>
                          <w:ind w:left="20"/>
                          <w:rPr>
                            <w:sz w:val="12"/>
                            <w:szCs w:val="12"/>
                          </w:rPr>
                        </w:pPr>
                        <w:r>
                          <w:rPr>
                            <w:spacing w:val="-1"/>
                            <w:sz w:val="12"/>
                            <w:szCs w:val="12"/>
                          </w:rPr>
                          <w:t>曲 靖 富 盛</w:t>
                        </w:r>
                        <w:r>
                          <w:rPr>
                            <w:spacing w:val="-7"/>
                            <w:sz w:val="12"/>
                            <w:szCs w:val="12"/>
                          </w:rPr>
                          <w:t xml:space="preserve"> </w:t>
                        </w:r>
                        <w:r>
                          <w:rPr>
                            <w:spacing w:val="-1"/>
                            <w:sz w:val="12"/>
                            <w:szCs w:val="12"/>
                          </w:rPr>
                          <w:t>铅</w:t>
                        </w:r>
                        <w:r>
                          <w:rPr>
                            <w:spacing w:val="-6"/>
                            <w:sz w:val="12"/>
                            <w:szCs w:val="12"/>
                          </w:rPr>
                          <w:t xml:space="preserve"> </w:t>
                        </w:r>
                        <w:r>
                          <w:rPr>
                            <w:spacing w:val="-1"/>
                            <w:sz w:val="12"/>
                            <w:szCs w:val="12"/>
                          </w:rPr>
                          <w:t>锌</w:t>
                        </w:r>
                        <w:r>
                          <w:rPr>
                            <w:spacing w:val="-6"/>
                            <w:sz w:val="12"/>
                            <w:szCs w:val="12"/>
                          </w:rPr>
                          <w:t xml:space="preserve"> </w:t>
                        </w:r>
                        <w:r>
                          <w:rPr>
                            <w:spacing w:val="-1"/>
                            <w:sz w:val="12"/>
                            <w:szCs w:val="12"/>
                          </w:rPr>
                          <w:t>矿</w:t>
                        </w:r>
                        <w:r>
                          <w:rPr>
                            <w:spacing w:val="-6"/>
                            <w:sz w:val="12"/>
                            <w:szCs w:val="12"/>
                          </w:rPr>
                          <w:t xml:space="preserve"> </w:t>
                        </w:r>
                        <w:r>
                          <w:rPr>
                            <w:spacing w:val="-1"/>
                            <w:sz w:val="12"/>
                            <w:szCs w:val="12"/>
                          </w:rPr>
                          <w:t>有</w:t>
                        </w:r>
                        <w:r>
                          <w:rPr>
                            <w:spacing w:val="-7"/>
                            <w:sz w:val="12"/>
                            <w:szCs w:val="12"/>
                          </w:rPr>
                          <w:t xml:space="preserve"> </w:t>
                        </w:r>
                        <w:r>
                          <w:rPr>
                            <w:spacing w:val="-1"/>
                            <w:sz w:val="12"/>
                            <w:szCs w:val="12"/>
                          </w:rPr>
                          <w:t>限</w:t>
                        </w:r>
                        <w:r>
                          <w:rPr>
                            <w:spacing w:val="-6"/>
                            <w:sz w:val="12"/>
                            <w:szCs w:val="12"/>
                          </w:rPr>
                          <w:t xml:space="preserve"> </w:t>
                        </w:r>
                        <w:r>
                          <w:rPr>
                            <w:spacing w:val="-1"/>
                            <w:sz w:val="12"/>
                            <w:szCs w:val="12"/>
                          </w:rPr>
                          <w:t>公</w:t>
                        </w:r>
                        <w:r>
                          <w:rPr>
                            <w:spacing w:val="-6"/>
                            <w:sz w:val="12"/>
                            <w:szCs w:val="12"/>
                          </w:rPr>
                          <w:t xml:space="preserve"> </w:t>
                        </w:r>
                        <w:r>
                          <w:rPr>
                            <w:spacing w:val="-1"/>
                            <w:sz w:val="12"/>
                            <w:szCs w:val="12"/>
                          </w:rPr>
                          <w:t>司</w:t>
                        </w:r>
                        <w:r>
                          <w:rPr>
                            <w:spacing w:val="-6"/>
                            <w:sz w:val="12"/>
                            <w:szCs w:val="12"/>
                          </w:rPr>
                          <w:t xml:space="preserve"> </w:t>
                        </w:r>
                        <w:r>
                          <w:rPr>
                            <w:spacing w:val="-1"/>
                            <w:sz w:val="12"/>
                            <w:szCs w:val="12"/>
                          </w:rPr>
                          <w:t>富</w:t>
                        </w:r>
                        <w:r>
                          <w:rPr>
                            <w:spacing w:val="-6"/>
                            <w:sz w:val="12"/>
                            <w:szCs w:val="12"/>
                          </w:rPr>
                          <w:t xml:space="preserve"> </w:t>
                        </w:r>
                        <w:r>
                          <w:rPr>
                            <w:spacing w:val="-1"/>
                            <w:sz w:val="12"/>
                            <w:szCs w:val="12"/>
                          </w:rPr>
                          <w:t>盛</w:t>
                        </w:r>
                        <w:r>
                          <w:rPr>
                            <w:spacing w:val="-6"/>
                            <w:sz w:val="12"/>
                            <w:szCs w:val="12"/>
                          </w:rPr>
                          <w:t xml:space="preserve"> </w:t>
                        </w:r>
                        <w:r>
                          <w:rPr>
                            <w:spacing w:val="-1"/>
                            <w:sz w:val="12"/>
                            <w:szCs w:val="12"/>
                          </w:rPr>
                          <w:t>铅</w:t>
                        </w:r>
                        <w:r>
                          <w:rPr>
                            <w:spacing w:val="-6"/>
                            <w:sz w:val="12"/>
                            <w:szCs w:val="12"/>
                          </w:rPr>
                          <w:t xml:space="preserve"> </w:t>
                        </w:r>
                        <w:r>
                          <w:rPr>
                            <w:spacing w:val="-1"/>
                            <w:sz w:val="12"/>
                            <w:szCs w:val="12"/>
                          </w:rPr>
                          <w:t>锌</w:t>
                        </w:r>
                        <w:r>
                          <w:rPr>
                            <w:spacing w:val="-7"/>
                            <w:sz w:val="12"/>
                            <w:szCs w:val="12"/>
                          </w:rPr>
                          <w:t xml:space="preserve"> </w:t>
                        </w:r>
                        <w:r>
                          <w:rPr>
                            <w:spacing w:val="-1"/>
                            <w:sz w:val="12"/>
                            <w:szCs w:val="12"/>
                          </w:rPr>
                          <w:t>矿</w:t>
                        </w:r>
                      </w:p>
                    </w:txbxContent>
                  </v:textbox>
                </v:shape>
              </w:pict>
            </w:r>
            <w:r>
              <w:rPr>
                <w:spacing w:val="-1"/>
                <w:position w:val="-1"/>
                <w:sz w:val="12"/>
                <w:szCs w:val="12"/>
              </w:rPr>
              <w:t>值14</w:t>
            </w:r>
            <w:r>
              <w:rPr>
                <w:spacing w:val="14"/>
                <w:position w:val="-1"/>
                <w:sz w:val="12"/>
                <w:szCs w:val="12"/>
              </w:rPr>
              <w:t xml:space="preserve">  </w:t>
            </w:r>
            <w:r>
              <w:rPr>
                <w:spacing w:val="-1"/>
                <w:sz w:val="12"/>
                <w:szCs w:val="12"/>
              </w:rPr>
              <w:t>2806292.52</w:t>
            </w:r>
            <w:r>
              <w:rPr>
                <w:spacing w:val="47"/>
                <w:w w:val="101"/>
                <w:sz w:val="12"/>
                <w:szCs w:val="12"/>
              </w:rPr>
              <w:t xml:space="preserve"> </w:t>
            </w:r>
            <w:r>
              <w:rPr>
                <w:spacing w:val="-1"/>
                <w:sz w:val="12"/>
                <w:szCs w:val="12"/>
              </w:rPr>
              <w:t>35438734.44</w:t>
            </w:r>
            <w:r>
              <w:rPr>
                <w:sz w:val="12"/>
                <w:szCs w:val="12"/>
              </w:rPr>
              <w:t xml:space="preserve"> </w:t>
            </w:r>
            <w:r>
              <w:rPr>
                <w:spacing w:val="-1"/>
                <w:position w:val="1"/>
                <w:sz w:val="12"/>
                <w:szCs w:val="12"/>
              </w:rPr>
              <w:t>估15</w:t>
            </w:r>
            <w:r>
              <w:rPr>
                <w:spacing w:val="14"/>
                <w:position w:val="1"/>
                <w:sz w:val="12"/>
                <w:szCs w:val="12"/>
              </w:rPr>
              <w:t xml:space="preserve">  </w:t>
            </w:r>
            <w:r>
              <w:rPr>
                <w:spacing w:val="-1"/>
                <w:sz w:val="12"/>
                <w:szCs w:val="12"/>
              </w:rPr>
              <w:t>2806026.64</w:t>
            </w:r>
            <w:r>
              <w:rPr>
                <w:spacing w:val="47"/>
                <w:w w:val="101"/>
                <w:sz w:val="12"/>
                <w:szCs w:val="12"/>
              </w:rPr>
              <w:t xml:space="preserve"> </w:t>
            </w:r>
            <w:r>
              <w:rPr>
                <w:spacing w:val="-1"/>
                <w:position w:val="-1"/>
                <w:sz w:val="12"/>
                <w:szCs w:val="12"/>
              </w:rPr>
              <w:t>35438689.83</w:t>
            </w:r>
          </w:p>
          <w:p w14:paraId="2CCECC45">
            <w:pPr>
              <w:pStyle w:val="6"/>
              <w:spacing w:line="200" w:lineRule="auto"/>
              <w:ind w:left="18" w:right="16"/>
              <w:rPr>
                <w:sz w:val="12"/>
                <w:szCs w:val="12"/>
              </w:rPr>
            </w:pPr>
            <w:r>
              <w:rPr>
                <w:spacing w:val="-1"/>
                <w:sz w:val="12"/>
                <w:szCs w:val="12"/>
              </w:rPr>
              <w:t>估16</w:t>
            </w:r>
            <w:r>
              <w:rPr>
                <w:spacing w:val="14"/>
                <w:sz w:val="12"/>
                <w:szCs w:val="12"/>
              </w:rPr>
              <w:t xml:space="preserve">  </w:t>
            </w:r>
            <w:r>
              <w:rPr>
                <w:spacing w:val="-1"/>
                <w:sz w:val="12"/>
                <w:szCs w:val="12"/>
              </w:rPr>
              <w:t>2806019.46</w:t>
            </w:r>
            <w:r>
              <w:rPr>
                <w:spacing w:val="47"/>
                <w:w w:val="101"/>
                <w:sz w:val="12"/>
                <w:szCs w:val="12"/>
              </w:rPr>
              <w:t xml:space="preserve"> </w:t>
            </w:r>
            <w:r>
              <w:rPr>
                <w:spacing w:val="-1"/>
                <w:sz w:val="12"/>
                <w:szCs w:val="12"/>
              </w:rPr>
              <w:t>35438648.23</w:t>
            </w:r>
            <w:r>
              <w:rPr>
                <w:sz w:val="12"/>
                <w:szCs w:val="12"/>
              </w:rPr>
              <w:t xml:space="preserve"> </w:t>
            </w:r>
            <w:r>
              <w:rPr>
                <w:spacing w:val="-1"/>
                <w:sz w:val="12"/>
                <w:szCs w:val="12"/>
              </w:rPr>
              <w:t>估17</w:t>
            </w:r>
            <w:r>
              <w:rPr>
                <w:spacing w:val="14"/>
                <w:sz w:val="12"/>
                <w:szCs w:val="12"/>
              </w:rPr>
              <w:t xml:space="preserve">  </w:t>
            </w:r>
            <w:r>
              <w:rPr>
                <w:spacing w:val="-1"/>
                <w:sz w:val="12"/>
                <w:szCs w:val="12"/>
              </w:rPr>
              <w:t>2806165.13</w:t>
            </w:r>
            <w:r>
              <w:rPr>
                <w:spacing w:val="47"/>
                <w:w w:val="101"/>
                <w:sz w:val="12"/>
                <w:szCs w:val="12"/>
              </w:rPr>
              <w:t xml:space="preserve"> </w:t>
            </w:r>
            <w:r>
              <w:rPr>
                <w:spacing w:val="-1"/>
                <w:sz w:val="12"/>
                <w:szCs w:val="12"/>
              </w:rPr>
              <w:t>35438468.77</w:t>
            </w:r>
          </w:p>
          <w:p w14:paraId="6FE8D70D">
            <w:pPr>
              <w:pStyle w:val="6"/>
              <w:spacing w:line="216" w:lineRule="auto"/>
              <w:ind w:left="18" w:right="16"/>
              <w:rPr>
                <w:sz w:val="12"/>
                <w:szCs w:val="12"/>
              </w:rPr>
            </w:pPr>
            <w:r>
              <w:rPr>
                <w:spacing w:val="-1"/>
                <w:position w:val="-1"/>
                <w:sz w:val="12"/>
                <w:szCs w:val="12"/>
              </w:rPr>
              <w:t>估18</w:t>
            </w:r>
            <w:r>
              <w:rPr>
                <w:spacing w:val="14"/>
                <w:position w:val="-1"/>
                <w:sz w:val="12"/>
                <w:szCs w:val="12"/>
              </w:rPr>
              <w:t xml:space="preserve">  </w:t>
            </w:r>
            <w:r>
              <w:rPr>
                <w:spacing w:val="-1"/>
                <w:sz w:val="12"/>
                <w:szCs w:val="12"/>
              </w:rPr>
              <w:t>2806207.33</w:t>
            </w:r>
            <w:r>
              <w:rPr>
                <w:spacing w:val="47"/>
                <w:w w:val="101"/>
                <w:sz w:val="12"/>
                <w:szCs w:val="12"/>
              </w:rPr>
              <w:t xml:space="preserve"> </w:t>
            </w:r>
            <w:r>
              <w:rPr>
                <w:spacing w:val="-1"/>
                <w:sz w:val="12"/>
                <w:szCs w:val="12"/>
              </w:rPr>
              <w:t>35438458.47</w:t>
            </w:r>
            <w:r>
              <w:rPr>
                <w:sz w:val="12"/>
                <w:szCs w:val="12"/>
              </w:rPr>
              <w:t xml:space="preserve"> </w:t>
            </w:r>
            <w:r>
              <w:rPr>
                <w:spacing w:val="-1"/>
                <w:sz w:val="12"/>
                <w:szCs w:val="12"/>
              </w:rPr>
              <w:t>估19</w:t>
            </w:r>
            <w:r>
              <w:rPr>
                <w:spacing w:val="15"/>
                <w:sz w:val="12"/>
                <w:szCs w:val="12"/>
              </w:rPr>
              <w:t xml:space="preserve">  </w:t>
            </w:r>
            <w:r>
              <w:rPr>
                <w:spacing w:val="-1"/>
                <w:sz w:val="12"/>
                <w:szCs w:val="12"/>
              </w:rPr>
              <w:t>2806451.48</w:t>
            </w:r>
            <w:r>
              <w:rPr>
                <w:spacing w:val="36"/>
                <w:sz w:val="12"/>
                <w:szCs w:val="12"/>
              </w:rPr>
              <w:t xml:space="preserve"> </w:t>
            </w:r>
            <w:r>
              <w:rPr>
                <w:spacing w:val="-1"/>
                <w:sz w:val="12"/>
                <w:szCs w:val="12"/>
              </w:rPr>
              <w:t>35438447.46</w:t>
            </w:r>
          </w:p>
          <w:p w14:paraId="300FF3BD">
            <w:pPr>
              <w:pStyle w:val="6"/>
              <w:spacing w:before="18" w:line="221" w:lineRule="auto"/>
              <w:ind w:left="18" w:right="16"/>
              <w:rPr>
                <w:sz w:val="12"/>
                <w:szCs w:val="12"/>
              </w:rPr>
            </w:pPr>
            <w:r>
              <w:rPr>
                <w:spacing w:val="-1"/>
                <w:sz w:val="12"/>
                <w:szCs w:val="12"/>
              </w:rPr>
              <w:t>估20</w:t>
            </w:r>
            <w:r>
              <w:rPr>
                <w:spacing w:val="14"/>
                <w:sz w:val="12"/>
                <w:szCs w:val="12"/>
              </w:rPr>
              <w:t xml:space="preserve">  </w:t>
            </w:r>
            <w:r>
              <w:rPr>
                <w:spacing w:val="-1"/>
                <w:sz w:val="12"/>
                <w:szCs w:val="12"/>
              </w:rPr>
              <w:t>2806519.89</w:t>
            </w:r>
            <w:r>
              <w:rPr>
                <w:spacing w:val="47"/>
                <w:w w:val="101"/>
                <w:sz w:val="12"/>
                <w:szCs w:val="12"/>
              </w:rPr>
              <w:t xml:space="preserve"> </w:t>
            </w:r>
            <w:r>
              <w:rPr>
                <w:spacing w:val="-1"/>
                <w:sz w:val="12"/>
                <w:szCs w:val="12"/>
              </w:rPr>
              <w:t>35438346.69</w:t>
            </w:r>
            <w:r>
              <w:rPr>
                <w:sz w:val="12"/>
                <w:szCs w:val="12"/>
              </w:rPr>
              <w:t xml:space="preserve"> </w:t>
            </w:r>
            <w:r>
              <w:rPr>
                <w:spacing w:val="-1"/>
                <w:sz w:val="12"/>
                <w:szCs w:val="12"/>
              </w:rPr>
              <w:t>估21</w:t>
            </w:r>
            <w:r>
              <w:rPr>
                <w:spacing w:val="15"/>
                <w:sz w:val="12"/>
                <w:szCs w:val="12"/>
              </w:rPr>
              <w:t xml:space="preserve">  </w:t>
            </w:r>
            <w:r>
              <w:rPr>
                <w:spacing w:val="-1"/>
                <w:sz w:val="12"/>
                <w:szCs w:val="12"/>
              </w:rPr>
              <w:t>2806915.20</w:t>
            </w:r>
            <w:r>
              <w:rPr>
                <w:spacing w:val="36"/>
                <w:sz w:val="12"/>
                <w:szCs w:val="12"/>
              </w:rPr>
              <w:t xml:space="preserve"> </w:t>
            </w:r>
            <w:r>
              <w:rPr>
                <w:spacing w:val="-1"/>
                <w:sz w:val="12"/>
                <w:szCs w:val="12"/>
              </w:rPr>
              <w:t>35438176.11</w:t>
            </w:r>
          </w:p>
          <w:p w14:paraId="5C1B0033">
            <w:pPr>
              <w:pStyle w:val="6"/>
              <w:spacing w:line="278" w:lineRule="auto"/>
              <w:ind w:left="128" w:right="262" w:firstLine="210"/>
              <w:rPr>
                <w:sz w:val="12"/>
                <w:szCs w:val="12"/>
              </w:rPr>
            </w:pPr>
            <w:r>
              <w:rPr>
                <w:spacing w:val="7"/>
                <w:sz w:val="12"/>
                <w:szCs w:val="12"/>
              </w:rPr>
              <w:t>估算面积：0.691</w:t>
            </w:r>
            <w:r>
              <w:rPr>
                <w:sz w:val="12"/>
                <w:szCs w:val="12"/>
              </w:rPr>
              <w:t>km</w:t>
            </w:r>
            <w:r>
              <w:rPr>
                <w:spacing w:val="7"/>
                <w:sz w:val="12"/>
                <w:szCs w:val="12"/>
              </w:rPr>
              <w:t>²</w:t>
            </w:r>
            <w:r>
              <w:rPr>
                <w:spacing w:val="8"/>
                <w:sz w:val="12"/>
                <w:szCs w:val="12"/>
              </w:rPr>
              <w:t xml:space="preserve"> </w:t>
            </w:r>
            <w:r>
              <w:rPr>
                <w:spacing w:val="-1"/>
                <w:sz w:val="12"/>
                <w:szCs w:val="12"/>
              </w:rPr>
              <w:t>估算标高：1700m～1500m</w:t>
            </w:r>
          </w:p>
          <w:p w14:paraId="0E514B65">
            <w:pPr>
              <w:spacing w:line="323" w:lineRule="auto"/>
              <w:rPr>
                <w:rFonts w:ascii="Arial"/>
                <w:sz w:val="21"/>
              </w:rPr>
            </w:pPr>
          </w:p>
          <w:p w14:paraId="22AEB8A5">
            <w:pPr>
              <w:spacing w:line="323" w:lineRule="auto"/>
              <w:rPr>
                <w:rFonts w:ascii="Arial"/>
                <w:sz w:val="21"/>
              </w:rPr>
            </w:pPr>
          </w:p>
          <w:p w14:paraId="5327164B">
            <w:pPr>
              <w:pStyle w:val="6"/>
              <w:spacing w:before="39" w:line="219" w:lineRule="auto"/>
              <w:ind w:left="18"/>
              <w:rPr>
                <w:sz w:val="12"/>
                <w:szCs w:val="12"/>
              </w:rPr>
            </w:pPr>
            <w:r>
              <w:rPr>
                <w:sz w:val="12"/>
                <w:szCs w:val="12"/>
              </w:rPr>
              <w:t>矿</w:t>
            </w:r>
          </w:p>
        </w:tc>
        <w:tc>
          <w:tcPr>
            <w:tcW w:w="180" w:type="dxa"/>
            <w:vMerge w:val="continue"/>
            <w:tcBorders>
              <w:top w:val="nil"/>
              <w:bottom w:val="nil"/>
            </w:tcBorders>
            <w:vAlign w:val="top"/>
          </w:tcPr>
          <w:p w14:paraId="6910CA12">
            <w:pPr>
              <w:rPr>
                <w:rFonts w:ascii="Arial"/>
                <w:sz w:val="21"/>
              </w:rPr>
            </w:pPr>
          </w:p>
        </w:tc>
        <w:tc>
          <w:tcPr>
            <w:tcW w:w="255" w:type="dxa"/>
            <w:vMerge w:val="continue"/>
            <w:tcBorders>
              <w:top w:val="nil"/>
              <w:bottom w:val="nil"/>
            </w:tcBorders>
            <w:vAlign w:val="top"/>
          </w:tcPr>
          <w:p w14:paraId="7162AC37">
            <w:pPr>
              <w:rPr>
                <w:rFonts w:ascii="Arial"/>
                <w:sz w:val="21"/>
              </w:rPr>
            </w:pPr>
          </w:p>
        </w:tc>
      </w:tr>
      <w:tr w14:paraId="6D42D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244" w:type="dxa"/>
            <w:vMerge w:val="continue"/>
            <w:tcBorders>
              <w:top w:val="nil"/>
              <w:bottom w:val="nil"/>
            </w:tcBorders>
            <w:vAlign w:val="top"/>
          </w:tcPr>
          <w:p w14:paraId="4803B0FD">
            <w:pPr>
              <w:rPr>
                <w:rFonts w:ascii="Arial"/>
                <w:sz w:val="21"/>
              </w:rPr>
            </w:pPr>
          </w:p>
        </w:tc>
        <w:tc>
          <w:tcPr>
            <w:tcW w:w="2037" w:type="dxa"/>
            <w:tcBorders>
              <w:top w:val="nil"/>
              <w:bottom w:val="nil"/>
              <w:right w:val="nil"/>
            </w:tcBorders>
            <w:vAlign w:val="top"/>
          </w:tcPr>
          <w:p w14:paraId="18585DC8">
            <w:pPr>
              <w:pStyle w:val="6"/>
              <w:spacing w:before="184" w:line="219" w:lineRule="auto"/>
              <w:ind w:left="1730"/>
              <w:rPr>
                <w:sz w:val="15"/>
                <w:szCs w:val="15"/>
              </w:rPr>
            </w:pPr>
            <w:r>
              <w:rPr>
                <w:spacing w:val="-2"/>
                <w:sz w:val="15"/>
                <w:szCs w:val="15"/>
              </w:rPr>
              <w:t>矿8</w:t>
            </w:r>
          </w:p>
        </w:tc>
        <w:tc>
          <w:tcPr>
            <w:tcW w:w="754" w:type="dxa"/>
            <w:tcBorders>
              <w:top w:val="nil"/>
              <w:left w:val="nil"/>
              <w:bottom w:val="nil"/>
              <w:right w:val="nil"/>
            </w:tcBorders>
            <w:vAlign w:val="top"/>
          </w:tcPr>
          <w:p w14:paraId="2197108A">
            <w:pPr>
              <w:pStyle w:val="6"/>
              <w:spacing w:before="29" w:line="200" w:lineRule="exact"/>
              <w:ind w:left="79"/>
              <w:rPr>
                <w:sz w:val="15"/>
                <w:szCs w:val="15"/>
              </w:rPr>
            </w:pPr>
            <w:r>
              <w:rPr>
                <w:spacing w:val="2"/>
                <w:position w:val="1"/>
                <w:sz w:val="15"/>
                <w:szCs w:val="15"/>
              </w:rPr>
              <w:t>估2</w:t>
            </w:r>
            <w:r>
              <w:rPr>
                <w:color w:val="202050"/>
                <w:spacing w:val="2"/>
                <w:position w:val="1"/>
                <w:sz w:val="15"/>
                <w:szCs w:val="15"/>
              </w:rPr>
              <w:t>2</w:t>
            </w:r>
          </w:p>
        </w:tc>
        <w:tc>
          <w:tcPr>
            <w:tcW w:w="796" w:type="dxa"/>
            <w:vMerge w:val="continue"/>
            <w:tcBorders>
              <w:top w:val="nil"/>
              <w:left w:val="nil"/>
              <w:bottom w:val="nil"/>
              <w:right w:val="nil"/>
            </w:tcBorders>
            <w:vAlign w:val="top"/>
          </w:tcPr>
          <w:p w14:paraId="47C47472">
            <w:pPr>
              <w:rPr>
                <w:rFonts w:ascii="Arial"/>
                <w:sz w:val="21"/>
              </w:rPr>
            </w:pPr>
          </w:p>
        </w:tc>
        <w:tc>
          <w:tcPr>
            <w:tcW w:w="2155" w:type="dxa"/>
            <w:vMerge w:val="continue"/>
            <w:tcBorders>
              <w:top w:val="nil"/>
              <w:left w:val="nil"/>
              <w:bottom w:val="nil"/>
            </w:tcBorders>
            <w:vAlign w:val="top"/>
          </w:tcPr>
          <w:p w14:paraId="28BD0E1D">
            <w:pPr>
              <w:rPr>
                <w:rFonts w:ascii="Arial"/>
                <w:sz w:val="21"/>
              </w:rPr>
            </w:pPr>
          </w:p>
        </w:tc>
        <w:tc>
          <w:tcPr>
            <w:tcW w:w="1778" w:type="dxa"/>
            <w:vMerge w:val="continue"/>
            <w:tcBorders>
              <w:top w:val="nil"/>
              <w:bottom w:val="nil"/>
            </w:tcBorders>
            <w:vAlign w:val="top"/>
          </w:tcPr>
          <w:p w14:paraId="7A204562">
            <w:pPr>
              <w:rPr>
                <w:rFonts w:ascii="Arial"/>
                <w:sz w:val="21"/>
              </w:rPr>
            </w:pPr>
          </w:p>
        </w:tc>
        <w:tc>
          <w:tcPr>
            <w:tcW w:w="180" w:type="dxa"/>
            <w:vMerge w:val="continue"/>
            <w:tcBorders>
              <w:top w:val="nil"/>
              <w:bottom w:val="nil"/>
            </w:tcBorders>
            <w:vAlign w:val="top"/>
          </w:tcPr>
          <w:p w14:paraId="67A53FE0">
            <w:pPr>
              <w:rPr>
                <w:rFonts w:ascii="Arial"/>
                <w:sz w:val="21"/>
              </w:rPr>
            </w:pPr>
          </w:p>
        </w:tc>
        <w:tc>
          <w:tcPr>
            <w:tcW w:w="255" w:type="dxa"/>
            <w:vMerge w:val="continue"/>
            <w:tcBorders>
              <w:top w:val="nil"/>
              <w:bottom w:val="nil"/>
            </w:tcBorders>
            <w:vAlign w:val="top"/>
          </w:tcPr>
          <w:p w14:paraId="3F64D115">
            <w:pPr>
              <w:rPr>
                <w:rFonts w:ascii="Arial"/>
                <w:sz w:val="21"/>
              </w:rPr>
            </w:pPr>
          </w:p>
        </w:tc>
      </w:tr>
      <w:tr w14:paraId="757C7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5" w:hRule="atLeast"/>
        </w:trPr>
        <w:tc>
          <w:tcPr>
            <w:tcW w:w="244" w:type="dxa"/>
            <w:vMerge w:val="continue"/>
            <w:tcBorders>
              <w:top w:val="nil"/>
              <w:bottom w:val="nil"/>
            </w:tcBorders>
            <w:vAlign w:val="top"/>
          </w:tcPr>
          <w:p w14:paraId="6F73A761">
            <w:pPr>
              <w:rPr>
                <w:rFonts w:ascii="Arial"/>
                <w:sz w:val="21"/>
              </w:rPr>
            </w:pPr>
          </w:p>
        </w:tc>
        <w:tc>
          <w:tcPr>
            <w:tcW w:w="5742" w:type="dxa"/>
            <w:gridSpan w:val="4"/>
            <w:vMerge w:val="restart"/>
            <w:tcBorders>
              <w:top w:val="nil"/>
              <w:bottom w:val="nil"/>
            </w:tcBorders>
            <w:vAlign w:val="top"/>
          </w:tcPr>
          <w:p w14:paraId="4A885EC7">
            <w:pPr>
              <w:pStyle w:val="6"/>
              <w:spacing w:before="197" w:line="184" w:lineRule="auto"/>
              <w:ind w:left="2460"/>
              <w:rPr>
                <w:sz w:val="12"/>
                <w:szCs w:val="12"/>
              </w:rPr>
            </w:pPr>
            <w:r>
              <w:pict>
                <v:shape id="_x0000_s1029" o:spid="_x0000_s1029" o:spt="202" type="#_x0000_t202" style="position:absolute;left:0pt;margin-left:202.5pt;margin-top:7.85pt;height:15.4pt;width:25.1pt;z-index:251702272;mso-width-relative:page;mso-height-relative:page;" filled="f" stroked="f" coordsize="21600,21600">
                  <v:path/>
                  <v:fill on="f" focussize="0,0"/>
                  <v:stroke on="f"/>
                  <v:imagedata o:title=""/>
                  <o:lock v:ext="edit" aspectratio="f"/>
                  <v:textbox inset="0mm,0mm,0mm,0mm">
                    <w:txbxContent>
                      <w:p w14:paraId="3AE74C66">
                        <w:pPr>
                          <w:pStyle w:val="6"/>
                          <w:spacing w:before="19" w:line="190" w:lineRule="auto"/>
                          <w:ind w:left="20" w:right="20" w:firstLine="170"/>
                          <w:rPr>
                            <w:sz w:val="13"/>
                            <w:szCs w:val="13"/>
                          </w:rPr>
                        </w:pPr>
                        <w:r>
                          <w:rPr>
                            <w:spacing w:val="-13"/>
                            <w:sz w:val="13"/>
                            <w:szCs w:val="13"/>
                          </w:rPr>
                          <w:t>佶</w:t>
                        </w:r>
                        <w:r>
                          <w:rPr>
                            <w:spacing w:val="-8"/>
                            <w:sz w:val="13"/>
                            <w:szCs w:val="13"/>
                          </w:rPr>
                          <w:t xml:space="preserve"> </w:t>
                        </w:r>
                        <w:r>
                          <w:rPr>
                            <w:spacing w:val="-13"/>
                            <w:sz w:val="13"/>
                            <w:szCs w:val="13"/>
                          </w:rPr>
                          <w:t>以</w:t>
                        </w:r>
                        <w:r>
                          <w:rPr>
                            <w:sz w:val="13"/>
                            <w:szCs w:val="13"/>
                          </w:rPr>
                          <w:t xml:space="preserve"> </w:t>
                        </w:r>
                        <w:r>
                          <w:rPr>
                            <w:spacing w:val="11"/>
                            <w:sz w:val="13"/>
                            <w:szCs w:val="13"/>
                          </w:rPr>
                          <w:t>估11</w:t>
                        </w:r>
                      </w:p>
                    </w:txbxContent>
                  </v:textbox>
                </v:shape>
              </w:pict>
            </w:r>
            <w:r>
              <w:pict>
                <v:shape id="_x0000_s1030" o:spid="_x0000_s1030" o:spt="202" type="#_x0000_t202" style="position:absolute;left:0pt;margin-left:130.5pt;margin-top:13.75pt;height:37.8pt;width:17.85pt;z-index:251698176;mso-width-relative:page;mso-height-relative:page;" filled="f" stroked="f" coordsize="21600,21600">
                  <v:path/>
                  <v:fill on="f" focussize="0,0"/>
                  <v:stroke on="f"/>
                  <v:imagedata o:title=""/>
                  <o:lock v:ext="edit" aspectratio="f"/>
                  <v:textbox inset="0mm,0mm,0mm,0mm">
                    <w:txbxContent>
                      <w:p w14:paraId="5C1DDADC">
                        <w:pPr>
                          <w:pStyle w:val="6"/>
                          <w:spacing w:before="19" w:line="218" w:lineRule="auto"/>
                          <w:ind w:left="59"/>
                          <w:rPr>
                            <w:sz w:val="12"/>
                            <w:szCs w:val="12"/>
                          </w:rPr>
                        </w:pPr>
                        <w:r>
                          <w:rPr>
                            <w:spacing w:val="12"/>
                            <w:sz w:val="12"/>
                            <w:szCs w:val="12"/>
                          </w:rPr>
                          <w:t>估19</w:t>
                        </w:r>
                      </w:p>
                      <w:p w14:paraId="326E2419">
                        <w:pPr>
                          <w:pStyle w:val="6"/>
                          <w:spacing w:before="268" w:line="217" w:lineRule="auto"/>
                          <w:ind w:left="39" w:right="28" w:hanging="19"/>
                          <w:rPr>
                            <w:sz w:val="13"/>
                            <w:szCs w:val="13"/>
                          </w:rPr>
                        </w:pPr>
                        <w:r>
                          <w:rPr>
                            <w:spacing w:val="9"/>
                            <w:sz w:val="13"/>
                            <w:szCs w:val="13"/>
                          </w:rPr>
                          <w:t>估18</w:t>
                        </w:r>
                        <w:r>
                          <w:rPr>
                            <w:sz w:val="13"/>
                            <w:szCs w:val="13"/>
                          </w:rPr>
                          <w:t xml:space="preserve"> </w:t>
                        </w:r>
                        <w:r>
                          <w:rPr>
                            <w:spacing w:val="9"/>
                            <w:sz w:val="13"/>
                            <w:szCs w:val="13"/>
                          </w:rPr>
                          <w:t>达17</w:t>
                        </w:r>
                      </w:p>
                    </w:txbxContent>
                  </v:textbox>
                </v:shape>
              </w:pict>
            </w:r>
            <w:r>
              <w:pict>
                <v:shape id="_x0000_s1031" o:spid="_x0000_s1031" o:spt="202" type="#_x0000_t202" style="position:absolute;left:0pt;margin-left:254.65pt;margin-top:65.65pt;height:69.5pt;width:26.4pt;mso-position-horizontal-relative:page;mso-position-vertical-relative:page;z-index:251697152;mso-width-relative:page;mso-height-relative:page;" filled="f" stroked="f" coordsize="21600,21600">
                  <v:path/>
                  <v:fill on="f" focussize="0,0"/>
                  <v:stroke on="f"/>
                  <v:imagedata o:title=""/>
                  <o:lock v:ext="edit" aspectratio="f"/>
                  <v:textbox inset="0mm,0mm,0mm,0mm" style="layout-flow:vertical-ideographic;">
                    <w:txbxContent>
                      <w:p w14:paraId="5C481C28">
                        <w:pPr>
                          <w:pStyle w:val="6"/>
                          <w:spacing w:before="19" w:line="201" w:lineRule="auto"/>
                          <w:ind w:left="250"/>
                          <w:rPr>
                            <w:sz w:val="15"/>
                            <w:szCs w:val="15"/>
                          </w:rPr>
                        </w:pPr>
                        <w:r>
                          <w:rPr>
                            <w:sz w:val="15"/>
                            <w:szCs w:val="15"/>
                          </w:rPr>
                          <w:t>富利铅锌采选厂</w:t>
                        </w:r>
                      </w:p>
                      <w:p w14:paraId="487BB9A2">
                        <w:pPr>
                          <w:pStyle w:val="6"/>
                          <w:spacing w:before="151" w:line="201" w:lineRule="auto"/>
                          <w:ind w:left="20"/>
                          <w:rPr>
                            <w:sz w:val="15"/>
                            <w:szCs w:val="15"/>
                          </w:rPr>
                        </w:pPr>
                        <w:r>
                          <w:rPr>
                            <w:sz w:val="15"/>
                            <w:szCs w:val="15"/>
                          </w:rPr>
                          <w:t>富源县富村乡热水塘</w:t>
                        </w:r>
                      </w:p>
                    </w:txbxContent>
                  </v:textbox>
                </v:shape>
              </w:pict>
            </w:r>
            <w:r>
              <w:pict>
                <v:shape id="_x0000_s1032" o:spid="_x0000_s1032" o:spt="202" type="#_x0000_t202" style="position:absolute;left:0pt;margin-left:171.6pt;margin-top:168.1pt;height:24.25pt;width:10.4pt;mso-position-horizontal-relative:page;mso-position-vertical-relative:page;z-index:251700224;mso-width-relative:page;mso-height-relative:page;" filled="f" stroked="f" coordsize="21600,21600">
                  <v:path/>
                  <v:fill on="f" focussize="0,0"/>
                  <v:stroke on="f"/>
                  <v:imagedata o:title=""/>
                  <o:lock v:ext="edit" aspectratio="f"/>
                  <v:textbox inset="0mm,0mm,0mm,0mm" style="layout-flow:vertical-ideographic;">
                    <w:txbxContent>
                      <w:p w14:paraId="37D5EA46">
                        <w:pPr>
                          <w:pStyle w:val="6"/>
                          <w:spacing w:before="19" w:line="201" w:lineRule="auto"/>
                          <w:ind w:left="20"/>
                          <w:rPr>
                            <w:sz w:val="15"/>
                            <w:szCs w:val="15"/>
                          </w:rPr>
                        </w:pPr>
                        <w:r>
                          <w:rPr>
                            <w:spacing w:val="23"/>
                            <w:sz w:val="15"/>
                            <w:szCs w:val="15"/>
                          </w:rPr>
                          <w:t>矿界)</w:t>
                        </w:r>
                      </w:p>
                    </w:txbxContent>
                  </v:textbox>
                </v:shape>
              </w:pict>
            </w:r>
            <w:r>
              <w:pict>
                <v:shape id="_x0000_s1033" o:spid="_x0000_s1033" o:spt="202" type="#_x0000_t202" style="position:absolute;left:0pt;margin-left:166.3pt;margin-top:28.85pt;height:9.8pt;width:16.25pt;mso-position-horizontal-relative:page;mso-position-vertical-relative:page;z-index:251706368;mso-width-relative:page;mso-height-relative:page;" filled="f" stroked="f" coordsize="21600,21600">
                  <v:path/>
                  <v:fill on="f" focussize="0,0"/>
                  <v:stroke on="f"/>
                  <v:imagedata o:title=""/>
                  <o:lock v:ext="edit" aspectratio="f"/>
                  <v:textbox inset="0mm,0mm,0mm,0mm">
                    <w:txbxContent>
                      <w:p w14:paraId="38194360">
                        <w:pPr>
                          <w:pStyle w:val="6"/>
                          <w:spacing w:before="19" w:line="221" w:lineRule="auto"/>
                          <w:ind w:left="20"/>
                          <w:rPr>
                            <w:sz w:val="13"/>
                            <w:szCs w:val="13"/>
                          </w:rPr>
                        </w:pPr>
                        <w:r>
                          <w:rPr>
                            <w:spacing w:val="8"/>
                            <w:sz w:val="13"/>
                            <w:szCs w:val="13"/>
                          </w:rPr>
                          <w:t>结14</w:t>
                        </w:r>
                      </w:p>
                    </w:txbxContent>
                  </v:textbox>
                </v:shape>
              </w:pict>
            </w:r>
            <w:r>
              <w:pict>
                <v:shape id="_x0000_s1034" o:spid="_x0000_s1034" o:spt="202" type="#_x0000_t202" style="position:absolute;left:0pt;margin-left:138.8pt;margin-top:132.85pt;height:10.95pt;width:13pt;mso-position-horizontal-relative:page;mso-position-vertical-relative:page;z-index:251695104;mso-width-relative:page;mso-height-relative:page;" filled="f" stroked="f" coordsize="21600,21600">
                  <v:path/>
                  <v:fill on="f" focussize="0,0"/>
                  <v:stroke on="f"/>
                  <v:imagedata o:title=""/>
                  <o:lock v:ext="edit" aspectratio="f"/>
                  <v:textbox inset="0mm,0mm,0mm,0mm">
                    <w:txbxContent>
                      <w:p w14:paraId="22C73EE1">
                        <w:pPr>
                          <w:pStyle w:val="6"/>
                          <w:spacing w:before="20" w:line="219" w:lineRule="auto"/>
                          <w:ind w:left="20"/>
                          <w:rPr>
                            <w:sz w:val="15"/>
                            <w:szCs w:val="15"/>
                          </w:rPr>
                        </w:pPr>
                        <w:r>
                          <w:rPr>
                            <w:spacing w:val="-2"/>
                            <w:sz w:val="15"/>
                            <w:szCs w:val="15"/>
                          </w:rPr>
                          <w:t>矿6</w:t>
                        </w:r>
                      </w:p>
                    </w:txbxContent>
                  </v:textbox>
                </v:shape>
              </w:pict>
            </w:r>
            <w:r>
              <w:pict>
                <v:shape id="_x0000_s1035" o:spid="_x0000_s1035" o:spt="202" type="#_x0000_t202" style="position:absolute;left:0pt;margin-left:193.35pt;margin-top:145.45pt;height:11.05pt;width:9.15pt;mso-position-horizontal-relative:page;mso-position-vertical-relative:page;z-index:251689984;mso-width-relative:page;mso-height-relative:page;" filled="f" stroked="f" coordsize="21600,21600">
                  <v:path/>
                  <v:fill on="f" focussize="0,0"/>
                  <v:stroke on="f"/>
                  <v:imagedata o:title=""/>
                  <o:lock v:ext="edit" aspectratio="f"/>
                  <v:textbox inset="0mm,0mm,0mm,0mm">
                    <w:txbxContent>
                      <w:p w14:paraId="335120D2">
                        <w:pPr>
                          <w:pStyle w:val="6"/>
                          <w:spacing w:before="20" w:line="222" w:lineRule="auto"/>
                          <w:ind w:left="20"/>
                          <w:rPr>
                            <w:sz w:val="15"/>
                            <w:szCs w:val="15"/>
                          </w:rPr>
                        </w:pPr>
                        <w:r>
                          <w:rPr>
                            <w:sz w:val="15"/>
                            <w:szCs w:val="15"/>
                          </w:rPr>
                          <w:t>人</w:t>
                        </w:r>
                      </w:p>
                    </w:txbxContent>
                  </v:textbox>
                </v:shape>
              </w:pict>
            </w:r>
            <w:r>
              <w:pict>
                <v:shape id="_x0000_s1036" o:spid="_x0000_s1036" o:spt="202" type="#_x0000_t202" style="position:absolute;left:0pt;margin-left:208.85pt;margin-top:157.3pt;height:9pt;width:13.45pt;mso-position-horizontal-relative:page;mso-position-vertical-relative:page;z-index:251691008;mso-width-relative:page;mso-height-relative:page;" filled="f" stroked="f" coordsize="21600,21600">
                  <v:path/>
                  <v:fill on="f" focussize="0,0"/>
                  <v:stroke on="f"/>
                  <v:imagedata o:title=""/>
                  <o:lock v:ext="edit" aspectratio="f"/>
                  <v:textbox inset="0mm,0mm,0mm,0mm">
                    <w:txbxContent>
                      <w:p w14:paraId="31260897">
                        <w:pPr>
                          <w:pStyle w:val="6"/>
                          <w:spacing w:before="20" w:line="184" w:lineRule="auto"/>
                          <w:ind w:left="20"/>
                          <w:rPr>
                            <w:sz w:val="14"/>
                            <w:szCs w:val="14"/>
                          </w:rPr>
                        </w:pPr>
                        <w:r>
                          <w:rPr>
                            <w:spacing w:val="9"/>
                            <w:sz w:val="14"/>
                            <w:szCs w:val="14"/>
                          </w:rPr>
                          <w:t>矿5</w:t>
                        </w:r>
                      </w:p>
                    </w:txbxContent>
                  </v:textbox>
                </v:shape>
              </w:pict>
            </w:r>
            <w:r>
              <w:pict>
                <v:shape id="_x0000_s1037" o:spid="_x0000_s1037" o:spt="202" type="#_x0000_t202" style="position:absolute;left:0pt;margin-left:212.8pt;margin-top:163.8pt;height:10.35pt;width:66.1pt;mso-position-horizontal-relative:page;mso-position-vertical-relative:page;z-index:251688960;mso-width-relative:page;mso-height-relative:page;" filled="f" stroked="f" coordsize="21600,21600">
                  <v:path/>
                  <v:fill on="f" focussize="0,0"/>
                  <v:stroke on="f"/>
                  <v:imagedata o:title=""/>
                  <o:lock v:ext="edit" aspectratio="f"/>
                  <v:textbox inset="0mm,0mm,0mm,0mm">
                    <w:txbxContent>
                      <w:p w14:paraId="77B124E5">
                        <w:pPr>
                          <w:pStyle w:val="6"/>
                          <w:spacing w:before="20" w:line="219" w:lineRule="auto"/>
                          <w:ind w:left="20"/>
                          <w:rPr>
                            <w:sz w:val="14"/>
                            <w:szCs w:val="14"/>
                          </w:rPr>
                        </w:pPr>
                        <w:r>
                          <w:rPr>
                            <w:spacing w:val="9"/>
                            <w:sz w:val="14"/>
                            <w:szCs w:val="14"/>
                          </w:rPr>
                          <w:t>富乐铅锌矿V-V′剖</w:t>
                        </w:r>
                      </w:p>
                    </w:txbxContent>
                  </v:textbox>
                </v:shape>
              </w:pict>
            </w:r>
            <w:r>
              <w:pict>
                <v:shape id="_x0000_s1038" o:spid="_x0000_s1038" o:spt="202" type="#_x0000_t202" style="position:absolute;left:0pt;margin-left:194.35pt;margin-top:182.45pt;height:40pt;width:71.2pt;mso-position-horizontal-relative:page;mso-position-vertical-relative:page;z-index:251692032;mso-width-relative:page;mso-height-relative:page;" filled="f" stroked="f" coordsize="21600,21600">
                  <v:path/>
                  <v:fill on="f" focussize="0,0"/>
                  <v:stroke on="f"/>
                  <v:imagedata o:title=""/>
                  <o:lock v:ext="edit" aspectratio="f"/>
                  <v:textbox inset="0mm,0mm,0mm,0mm">
                    <w:txbxContent>
                      <w:p w14:paraId="77655136">
                        <w:pPr>
                          <w:pStyle w:val="6"/>
                          <w:spacing w:before="19" w:line="194" w:lineRule="auto"/>
                          <w:ind w:left="329"/>
                          <w:rPr>
                            <w:sz w:val="20"/>
                            <w:szCs w:val="20"/>
                          </w:rPr>
                        </w:pPr>
                        <w:r>
                          <w:rPr>
                            <w:spacing w:val="-2"/>
                            <w:sz w:val="20"/>
                            <w:szCs w:val="20"/>
                          </w:rPr>
                          <w:t>P</w:t>
                        </w:r>
                        <w:r>
                          <w:rPr>
                            <w:rFonts w:ascii="Calibri" w:hAnsi="Calibri" w:eastAsia="Calibri" w:cs="Calibri"/>
                            <w:spacing w:val="-2"/>
                            <w:sz w:val="20"/>
                            <w:szCs w:val="20"/>
                          </w:rPr>
                          <w:t>₂</w:t>
                        </w:r>
                        <w:r>
                          <w:rPr>
                            <w:rFonts w:ascii="Calibri" w:hAnsi="Calibri" w:eastAsia="Calibri" w:cs="Calibri"/>
                            <w:spacing w:val="4"/>
                            <w:sz w:val="20"/>
                            <w:szCs w:val="20"/>
                          </w:rPr>
                          <w:t xml:space="preserve"> </w:t>
                        </w:r>
                        <w:r>
                          <w:rPr>
                            <w:spacing w:val="-2"/>
                            <w:sz w:val="20"/>
                            <w:szCs w:val="20"/>
                          </w:rPr>
                          <w:t>β</w:t>
                        </w:r>
                      </w:p>
                      <w:p w14:paraId="614C33ED">
                        <w:pPr>
                          <w:pStyle w:val="6"/>
                          <w:spacing w:line="215" w:lineRule="auto"/>
                          <w:ind w:left="20"/>
                          <w:rPr>
                            <w:sz w:val="15"/>
                            <w:szCs w:val="15"/>
                          </w:rPr>
                        </w:pPr>
                        <w:r>
                          <w:rPr>
                            <w:spacing w:val="-1"/>
                            <w:sz w:val="15"/>
                            <w:szCs w:val="15"/>
                          </w:rPr>
                          <w:t>P</w:t>
                        </w:r>
                        <w:r>
                          <w:rPr>
                            <w:rFonts w:ascii="Calibri" w:hAnsi="Calibri" w:eastAsia="Calibri" w:cs="Calibri"/>
                            <w:spacing w:val="-1"/>
                            <w:sz w:val="15"/>
                            <w:szCs w:val="15"/>
                          </w:rPr>
                          <w:t>₁</w:t>
                        </w:r>
                        <w:r>
                          <w:rPr>
                            <w:spacing w:val="-1"/>
                            <w:sz w:val="15"/>
                            <w:szCs w:val="15"/>
                          </w:rPr>
                          <w:t>y</w:t>
                        </w:r>
                        <w:r>
                          <w:rPr>
                            <w:spacing w:val="1"/>
                            <w:sz w:val="15"/>
                            <w:szCs w:val="15"/>
                          </w:rPr>
                          <w:t xml:space="preserve">              </w:t>
                        </w:r>
                        <w:r>
                          <w:rPr>
                            <w:spacing w:val="-1"/>
                            <w:sz w:val="15"/>
                            <w:szCs w:val="15"/>
                          </w:rPr>
                          <w:t>四</w:t>
                        </w:r>
                      </w:p>
                      <w:p w14:paraId="659CBAA6">
                        <w:pPr>
                          <w:pStyle w:val="6"/>
                          <w:spacing w:before="16" w:line="223" w:lineRule="auto"/>
                          <w:ind w:left="489"/>
                          <w:rPr>
                            <w:rFonts w:ascii="Calibri" w:hAnsi="Calibri" w:eastAsia="Calibri" w:cs="Calibri"/>
                            <w:sz w:val="22"/>
                            <w:szCs w:val="22"/>
                          </w:rPr>
                        </w:pPr>
                        <w:r>
                          <w:rPr>
                            <w:rFonts w:ascii="Calibri" w:hAnsi="Calibri" w:eastAsia="Calibri" w:cs="Calibri"/>
                            <w:spacing w:val="-18"/>
                            <w:w w:val="96"/>
                            <w:sz w:val="20"/>
                            <w:szCs w:val="20"/>
                          </w:rPr>
                          <w:t>⑬</w:t>
                        </w:r>
                        <w:r>
                          <w:rPr>
                            <w:rFonts w:ascii="Calibri" w:hAnsi="Calibri" w:eastAsia="Calibri" w:cs="Calibri"/>
                            <w:spacing w:val="1"/>
                            <w:sz w:val="20"/>
                            <w:szCs w:val="20"/>
                          </w:rPr>
                          <w:t xml:space="preserve">      </w:t>
                        </w:r>
                        <w:r>
                          <w:rPr>
                            <w:spacing w:val="-18"/>
                            <w:w w:val="96"/>
                            <w:sz w:val="22"/>
                            <w:szCs w:val="22"/>
                          </w:rPr>
                          <w:t>F</w:t>
                        </w:r>
                        <w:r>
                          <w:rPr>
                            <w:rFonts w:ascii="Calibri" w:hAnsi="Calibri" w:eastAsia="Calibri" w:cs="Calibri"/>
                            <w:spacing w:val="-18"/>
                            <w:w w:val="96"/>
                            <w:sz w:val="22"/>
                            <w:szCs w:val="22"/>
                          </w:rPr>
                          <w:t>₃</w:t>
                        </w:r>
                      </w:p>
                      <w:p w14:paraId="5A42B52E">
                        <w:pPr>
                          <w:pStyle w:val="6"/>
                          <w:spacing w:line="213" w:lineRule="auto"/>
                          <w:ind w:left="610"/>
                          <w:rPr>
                            <w:sz w:val="8"/>
                            <w:szCs w:val="8"/>
                          </w:rPr>
                        </w:pPr>
                        <w:r>
                          <w:rPr>
                            <w:spacing w:val="6"/>
                            <w:sz w:val="8"/>
                            <w:szCs w:val="8"/>
                          </w:rPr>
                          <w:t>最低开采标高：1490</w:t>
                        </w:r>
                      </w:p>
                    </w:txbxContent>
                  </v:textbox>
                </v:shape>
              </w:pict>
            </w:r>
            <w:r>
              <w:pict>
                <v:shape id="_x0000_s1039" o:spid="_x0000_s1039" o:spt="202" type="#_x0000_t202" style="position:absolute;left:0pt;margin-left:274.8pt;margin-top:182.5pt;height:29.7pt;width:13.05pt;mso-position-horizontal-relative:page;mso-position-vertical-relative:page;z-index:251687936;mso-width-relative:page;mso-height-relative:page;" filled="f" stroked="f" coordsize="21600,21600">
                  <v:path/>
                  <v:fill on="f" focussize="0,0"/>
                  <v:stroke on="f"/>
                  <v:imagedata o:title=""/>
                  <o:lock v:ext="edit" aspectratio="f"/>
                  <v:textbox inset="0mm,0mm,0mm,0mm">
                    <w:txbxContent>
                      <w:p w14:paraId="67101038">
                        <w:pPr>
                          <w:pStyle w:val="6"/>
                          <w:spacing w:before="19" w:line="182" w:lineRule="auto"/>
                          <w:ind w:left="20"/>
                          <w:rPr>
                            <w:sz w:val="14"/>
                            <w:szCs w:val="14"/>
                          </w:rPr>
                        </w:pPr>
                        <w:r>
                          <w:rPr>
                            <w:spacing w:val="-2"/>
                            <w:sz w:val="14"/>
                            <w:szCs w:val="14"/>
                          </w:rPr>
                          <w:t>P</w:t>
                        </w:r>
                        <w:r>
                          <w:rPr>
                            <w:rFonts w:ascii="Calibri" w:hAnsi="Calibri" w:eastAsia="Calibri" w:cs="Calibri"/>
                            <w:spacing w:val="-2"/>
                            <w:sz w:val="14"/>
                            <w:szCs w:val="14"/>
                          </w:rPr>
                          <w:t>₂</w:t>
                        </w:r>
                        <w:r>
                          <w:rPr>
                            <w:spacing w:val="-2"/>
                            <w:sz w:val="14"/>
                            <w:szCs w:val="14"/>
                          </w:rPr>
                          <w:t>B</w:t>
                        </w:r>
                      </w:p>
                      <w:p w14:paraId="672B9C2F">
                        <w:pPr>
                          <w:pStyle w:val="6"/>
                          <w:spacing w:before="215" w:line="201" w:lineRule="exact"/>
                          <w:jc w:val="right"/>
                          <w:rPr>
                            <w:rFonts w:ascii="Calibri" w:hAnsi="Calibri" w:eastAsia="Calibri" w:cs="Calibri"/>
                            <w:sz w:val="15"/>
                            <w:szCs w:val="15"/>
                          </w:rPr>
                        </w:pPr>
                        <w:r>
                          <w:rPr>
                            <w:spacing w:val="-36"/>
                            <w:w w:val="91"/>
                            <w:position w:val="1"/>
                            <w:sz w:val="15"/>
                            <w:szCs w:val="15"/>
                          </w:rPr>
                          <w:t>1</w:t>
                        </w:r>
                        <w:r>
                          <w:rPr>
                            <w:rFonts w:ascii="Calibri" w:hAnsi="Calibri" w:eastAsia="Calibri" w:cs="Calibri"/>
                            <w:spacing w:val="-14"/>
                            <w:w w:val="91"/>
                            <w:position w:val="1"/>
                            <w:sz w:val="15"/>
                            <w:szCs w:val="15"/>
                          </w:rPr>
                          <w:t>⑫</w:t>
                        </w:r>
                      </w:p>
                    </w:txbxContent>
                  </v:textbox>
                </v:shape>
              </w:pict>
            </w:r>
            <w:r>
              <w:pict>
                <v:shape id="_x0000_s1040" o:spid="_x0000_s1040" o:spt="202" type="#_x0000_t202" style="position:absolute;left:0pt;margin-left:157.8pt;margin-top:189.6pt;height:15pt;width:20.45pt;mso-position-horizontal-relative:page;mso-position-vertical-relative:page;z-index:251696128;mso-width-relative:page;mso-height-relative:page;" filled="f" stroked="f" coordsize="21600,21600">
                  <v:path/>
                  <v:fill on="f" focussize="0,0"/>
                  <v:stroke on="f"/>
                  <v:imagedata o:title=""/>
                  <o:lock v:ext="edit" aspectratio="f"/>
                  <v:textbox inset="0mm,0mm,0mm,0mm">
                    <w:txbxContent>
                      <w:p w14:paraId="546ADF96">
                        <w:pPr>
                          <w:pStyle w:val="6"/>
                          <w:spacing w:before="19" w:line="160" w:lineRule="auto"/>
                          <w:ind w:left="318" w:right="20" w:hanging="299"/>
                          <w:rPr>
                            <w:sz w:val="15"/>
                            <w:szCs w:val="15"/>
                          </w:rPr>
                        </w:pPr>
                        <w:r>
                          <w:rPr>
                            <w:spacing w:val="-5"/>
                            <w:sz w:val="15"/>
                            <w:szCs w:val="15"/>
                          </w:rPr>
                          <w:t>1700</w:t>
                        </w:r>
                        <w:r>
                          <w:rPr>
                            <w:spacing w:val="1"/>
                            <w:sz w:val="15"/>
                            <w:szCs w:val="15"/>
                          </w:rPr>
                          <w:t xml:space="preserve">  </w:t>
                        </w:r>
                        <w:r>
                          <w:rPr>
                            <w:spacing w:val="-7"/>
                            <w:sz w:val="15"/>
                            <w:szCs w:val="15"/>
                          </w:rPr>
                          <w:t>+</w:t>
                        </w:r>
                      </w:p>
                    </w:txbxContent>
                  </v:textbox>
                </v:shape>
              </w:pict>
            </w:r>
            <w:r>
              <w:pict>
                <v:shape id="_x0000_s1041" o:spid="_x0000_s1041" o:spt="202" type="#_x0000_t202" style="position:absolute;left:0pt;margin-left:156.8pt;margin-top:200.1pt;height:34.75pt;width:16.2pt;mso-position-horizontal-relative:page;mso-position-vertical-relative:page;z-index:251694080;mso-width-relative:page;mso-height-relative:page;" filled="f" stroked="f" coordsize="21600,21600">
                  <v:path/>
                  <v:fill on="f" focussize="0,0"/>
                  <v:stroke on="f"/>
                  <v:imagedata o:title=""/>
                  <o:lock v:ext="edit" aspectratio="f"/>
                  <v:textbox inset="0mm,0mm,0mm,0mm">
                    <w:txbxContent>
                      <w:p w14:paraId="1BE3711A">
                        <w:pPr>
                          <w:pStyle w:val="6"/>
                          <w:spacing w:before="19"/>
                          <w:ind w:left="20"/>
                          <w:rPr>
                            <w:sz w:val="15"/>
                            <w:szCs w:val="15"/>
                          </w:rPr>
                        </w:pPr>
                        <w:r>
                          <w:rPr>
                            <w:spacing w:val="-4"/>
                            <w:sz w:val="15"/>
                            <w:szCs w:val="15"/>
                          </w:rPr>
                          <w:t>1600</w:t>
                        </w:r>
                      </w:p>
                      <w:p w14:paraId="039596DE">
                        <w:pPr>
                          <w:pStyle w:val="6"/>
                          <w:spacing w:before="34"/>
                          <w:ind w:left="20"/>
                          <w:rPr>
                            <w:sz w:val="15"/>
                            <w:szCs w:val="15"/>
                          </w:rPr>
                        </w:pPr>
                        <w:r>
                          <w:rPr>
                            <w:spacing w:val="-4"/>
                            <w:sz w:val="15"/>
                            <w:szCs w:val="15"/>
                          </w:rPr>
                          <w:t>1500</w:t>
                        </w:r>
                      </w:p>
                      <w:p w14:paraId="0504443F">
                        <w:pPr>
                          <w:pStyle w:val="6"/>
                          <w:spacing w:before="35"/>
                          <w:ind w:left="20"/>
                          <w:rPr>
                            <w:sz w:val="15"/>
                            <w:szCs w:val="15"/>
                          </w:rPr>
                        </w:pPr>
                        <w:r>
                          <w:rPr>
                            <w:spacing w:val="-4"/>
                            <w:sz w:val="15"/>
                            <w:szCs w:val="15"/>
                          </w:rPr>
                          <w:t>1400</w:t>
                        </w:r>
                      </w:p>
                    </w:txbxContent>
                  </v:textbox>
                </v:shape>
              </w:pict>
            </w:r>
            <w:r>
              <w:pict>
                <v:shape id="_x0000_s1042" o:spid="_x0000_s1042" o:spt="202" type="#_x0000_t202" style="position:absolute;left:0pt;margin-left:210.3pt;margin-top:220.45pt;height:46.95pt;width:78.6pt;mso-position-horizontal-relative:page;mso-position-vertical-relative:page;z-index:251685888;mso-width-relative:page;mso-height-relative:page;" filled="f" stroked="f" coordsize="21600,21600">
                  <v:path/>
                  <v:fill on="f" focussize="0,0"/>
                  <v:stroke on="f"/>
                  <v:imagedata o:title=""/>
                  <o:lock v:ext="edit" aspectratio="f"/>
                  <v:textbox inset="0mm,0mm,0mm,0mm">
                    <w:txbxContent>
                      <w:p w14:paraId="252DAF35">
                        <w:pPr>
                          <w:pStyle w:val="6"/>
                          <w:spacing w:before="20" w:line="262" w:lineRule="auto"/>
                          <w:ind w:left="179" w:right="35" w:firstLine="1229"/>
                          <w:rPr>
                            <w:sz w:val="15"/>
                            <w:szCs w:val="15"/>
                          </w:rPr>
                        </w:pPr>
                        <w:r>
                          <w:rPr>
                            <w:spacing w:val="-1"/>
                            <w:w w:val="99"/>
                            <w:sz w:val="13"/>
                            <w:szCs w:val="13"/>
                          </w:rPr>
                          <w:t>m</w:t>
                        </w:r>
                        <w:r>
                          <w:rPr>
                            <w:sz w:val="13"/>
                            <w:szCs w:val="13"/>
                          </w:rPr>
                          <w:t xml:space="preserve">  </w:t>
                        </w:r>
                        <w:r>
                          <w:rPr>
                            <w:spacing w:val="-15"/>
                            <w:sz w:val="15"/>
                            <w:szCs w:val="15"/>
                          </w:rPr>
                          <w:t>采矿权范围拐点坐标表</w:t>
                        </w:r>
                      </w:p>
                      <w:p w14:paraId="5D16518A">
                        <w:pPr>
                          <w:pStyle w:val="6"/>
                          <w:spacing w:line="208" w:lineRule="auto"/>
                          <w:ind w:left="20"/>
                          <w:rPr>
                            <w:sz w:val="14"/>
                            <w:szCs w:val="14"/>
                          </w:rPr>
                        </w:pPr>
                        <w:r>
                          <w:rPr>
                            <w:spacing w:val="-15"/>
                            <w:position w:val="-2"/>
                            <w:sz w:val="15"/>
                            <w:szCs w:val="15"/>
                          </w:rPr>
                          <w:t>拐点</w:t>
                        </w:r>
                        <w:r>
                          <w:rPr>
                            <w:spacing w:val="13"/>
                            <w:position w:val="-2"/>
                            <w:sz w:val="15"/>
                            <w:szCs w:val="15"/>
                          </w:rPr>
                          <w:t xml:space="preserve">  </w:t>
                        </w:r>
                        <w:r>
                          <w:rPr>
                            <w:spacing w:val="-15"/>
                            <w:sz w:val="14"/>
                            <w:szCs w:val="14"/>
                          </w:rPr>
                          <w:t>国家2000大地</w:t>
                        </w:r>
                        <w:r>
                          <w:rPr>
                            <w:color w:val="002020"/>
                            <w:spacing w:val="-15"/>
                            <w:sz w:val="14"/>
                            <w:szCs w:val="14"/>
                          </w:rPr>
                          <w:t>坐标系</w:t>
                        </w:r>
                      </w:p>
                      <w:p w14:paraId="10C1619C">
                        <w:pPr>
                          <w:pStyle w:val="6"/>
                          <w:spacing w:line="172" w:lineRule="auto"/>
                          <w:ind w:left="29"/>
                          <w:rPr>
                            <w:sz w:val="15"/>
                            <w:szCs w:val="15"/>
                          </w:rPr>
                        </w:pPr>
                        <w:r>
                          <w:rPr>
                            <w:spacing w:val="8"/>
                            <w:sz w:val="14"/>
                            <w:szCs w:val="14"/>
                          </w:rPr>
                          <w:t>编号[</w:t>
                        </w:r>
                        <w:r>
                          <w:rPr>
                            <w:spacing w:val="15"/>
                            <w:sz w:val="14"/>
                            <w:szCs w:val="14"/>
                          </w:rPr>
                          <w:t xml:space="preserve">  </w:t>
                        </w:r>
                        <w:r>
                          <w:rPr>
                            <w:sz w:val="13"/>
                            <w:szCs w:val="13"/>
                          </w:rPr>
                          <w:t>X</w:t>
                        </w:r>
                        <w:r>
                          <w:rPr>
                            <w:spacing w:val="5"/>
                            <w:sz w:val="13"/>
                            <w:szCs w:val="13"/>
                          </w:rPr>
                          <w:t xml:space="preserve">          </w:t>
                        </w:r>
                        <w:r>
                          <w:rPr>
                            <w:sz w:val="15"/>
                            <w:szCs w:val="15"/>
                          </w:rPr>
                          <w:t>Y</w:t>
                        </w:r>
                      </w:p>
                      <w:p w14:paraId="380339BD">
                        <w:pPr>
                          <w:pStyle w:val="6"/>
                          <w:spacing w:line="239" w:lineRule="auto"/>
                          <w:ind w:left="20"/>
                          <w:rPr>
                            <w:sz w:val="14"/>
                            <w:szCs w:val="14"/>
                          </w:rPr>
                        </w:pPr>
                        <w:r>
                          <w:rPr>
                            <w:spacing w:val="-2"/>
                            <w:sz w:val="13"/>
                            <w:szCs w:val="13"/>
                          </w:rPr>
                          <w:t>矿</w:t>
                        </w:r>
                        <w:r>
                          <w:rPr>
                            <w:spacing w:val="-13"/>
                            <w:sz w:val="13"/>
                            <w:szCs w:val="13"/>
                          </w:rPr>
                          <w:t xml:space="preserve"> </w:t>
                        </w:r>
                        <w:r>
                          <w:rPr>
                            <w:spacing w:val="-2"/>
                            <w:sz w:val="13"/>
                            <w:szCs w:val="13"/>
                          </w:rPr>
                          <w:t>1</w:t>
                        </w:r>
                        <w:r>
                          <w:rPr>
                            <w:spacing w:val="23"/>
                            <w:sz w:val="13"/>
                            <w:szCs w:val="13"/>
                          </w:rPr>
                          <w:t xml:space="preserve">  </w:t>
                        </w:r>
                        <w:r>
                          <w:rPr>
                            <w:spacing w:val="-2"/>
                            <w:position w:val="1"/>
                            <w:sz w:val="11"/>
                            <w:szCs w:val="11"/>
                          </w:rPr>
                          <w:t>2808247.78</w:t>
                        </w:r>
                        <w:r>
                          <w:rPr>
                            <w:spacing w:val="51"/>
                            <w:w w:val="101"/>
                            <w:position w:val="1"/>
                            <w:sz w:val="11"/>
                            <w:szCs w:val="11"/>
                          </w:rPr>
                          <w:t xml:space="preserve"> </w:t>
                        </w:r>
                        <w:r>
                          <w:rPr>
                            <w:spacing w:val="-2"/>
                            <w:position w:val="-1"/>
                            <w:sz w:val="14"/>
                            <w:szCs w:val="14"/>
                          </w:rPr>
                          <w:t>3543849</w:t>
                        </w:r>
                      </w:p>
                    </w:txbxContent>
                  </v:textbox>
                </v:shape>
              </w:pict>
            </w:r>
            <w:r>
              <w:pict>
                <v:shape id="_x0000_s1043" o:spid="_x0000_s1043" o:spt="202" type="#_x0000_t202" style="position:absolute;left:0pt;margin-left:210.3pt;margin-top:262.95pt;height:69.25pt;width:79.8pt;mso-position-horizontal-relative:page;mso-position-vertical-relative:page;z-index:251686912;mso-width-relative:page;mso-height-relative:page;" filled="f" stroked="f" coordsize="21600,21600">
                  <v:path/>
                  <v:fill on="f" focussize="0,0"/>
                  <v:stroke on="f"/>
                  <v:imagedata o:title=""/>
                  <o:lock v:ext="edit" aspectratio="f"/>
                  <v:textbox inset="0mm,0mm,0mm,0mm">
                    <w:txbxContent>
                      <w:p w14:paraId="5EE64B4D">
                        <w:pPr>
                          <w:pStyle w:val="6"/>
                          <w:spacing w:before="21" w:line="186" w:lineRule="auto"/>
                          <w:ind w:left="20" w:right="20" w:firstLine="9"/>
                          <w:jc w:val="right"/>
                          <w:rPr>
                            <w:sz w:val="14"/>
                            <w:szCs w:val="14"/>
                          </w:rPr>
                        </w:pPr>
                        <w:r>
                          <w:rPr>
                            <w:position w:val="-1"/>
                            <w:sz w:val="14"/>
                            <w:szCs w:val="14"/>
                          </w:rPr>
                          <w:t>矿2</w:t>
                        </w:r>
                        <w:r>
                          <w:rPr>
                            <w:spacing w:val="45"/>
                            <w:position w:val="-1"/>
                            <w:sz w:val="14"/>
                            <w:szCs w:val="14"/>
                          </w:rPr>
                          <w:t xml:space="preserve"> </w:t>
                        </w:r>
                        <w:r>
                          <w:rPr>
                            <w:sz w:val="13"/>
                            <w:szCs w:val="13"/>
                          </w:rPr>
                          <w:t>2807426.78</w:t>
                        </w:r>
                        <w:r>
                          <w:rPr>
                            <w:spacing w:val="-29"/>
                            <w:sz w:val="13"/>
                            <w:szCs w:val="13"/>
                          </w:rPr>
                          <w:t xml:space="preserve"> </w:t>
                        </w:r>
                        <w:r>
                          <w:rPr>
                            <w:sz w:val="12"/>
                            <w:szCs w:val="12"/>
                          </w:rPr>
                          <w:t xml:space="preserve">35439352  </w:t>
                        </w:r>
                        <w:r>
                          <w:rPr>
                            <w:spacing w:val="-4"/>
                            <w:position w:val="-1"/>
                            <w:sz w:val="14"/>
                            <w:szCs w:val="14"/>
                          </w:rPr>
                          <w:t>矿3</w:t>
                        </w:r>
                        <w:r>
                          <w:rPr>
                            <w:spacing w:val="56"/>
                            <w:position w:val="-1"/>
                            <w:sz w:val="14"/>
                            <w:szCs w:val="14"/>
                          </w:rPr>
                          <w:t xml:space="preserve"> </w:t>
                        </w:r>
                        <w:r>
                          <w:rPr>
                            <w:spacing w:val="-4"/>
                            <w:sz w:val="14"/>
                            <w:szCs w:val="14"/>
                          </w:rPr>
                          <w:t>2806431.7635439407</w:t>
                        </w:r>
                        <w:r>
                          <w:rPr>
                            <w:sz w:val="14"/>
                            <w:szCs w:val="14"/>
                          </w:rPr>
                          <w:t xml:space="preserve"> </w:t>
                        </w:r>
                        <w:r>
                          <w:rPr>
                            <w:spacing w:val="-4"/>
                            <w:position w:val="-1"/>
                            <w:sz w:val="14"/>
                            <w:szCs w:val="14"/>
                          </w:rPr>
                          <w:t>矿4</w:t>
                        </w:r>
                        <w:r>
                          <w:rPr>
                            <w:spacing w:val="72"/>
                            <w:w w:val="101"/>
                            <w:position w:val="-1"/>
                            <w:sz w:val="14"/>
                            <w:szCs w:val="14"/>
                          </w:rPr>
                          <w:t xml:space="preserve"> </w:t>
                        </w:r>
                        <w:r>
                          <w:rPr>
                            <w:spacing w:val="-4"/>
                            <w:sz w:val="13"/>
                            <w:szCs w:val="13"/>
                          </w:rPr>
                          <w:t>2805946.75</w:t>
                        </w:r>
                        <w:r>
                          <w:rPr>
                            <w:spacing w:val="31"/>
                            <w:sz w:val="13"/>
                            <w:szCs w:val="13"/>
                          </w:rPr>
                          <w:t xml:space="preserve"> </w:t>
                        </w:r>
                        <w:r>
                          <w:rPr>
                            <w:spacing w:val="-4"/>
                            <w:sz w:val="14"/>
                            <w:szCs w:val="14"/>
                          </w:rPr>
                          <w:t>3543954</w:t>
                        </w:r>
                        <w:r>
                          <w:rPr>
                            <w:sz w:val="14"/>
                            <w:szCs w:val="14"/>
                          </w:rPr>
                          <w:t xml:space="preserve"> </w:t>
                        </w:r>
                        <w:r>
                          <w:rPr>
                            <w:spacing w:val="-1"/>
                            <w:position w:val="-1"/>
                            <w:sz w:val="14"/>
                            <w:szCs w:val="14"/>
                          </w:rPr>
                          <w:t>矿5</w:t>
                        </w:r>
                        <w:r>
                          <w:rPr>
                            <w:spacing w:val="50"/>
                            <w:w w:val="101"/>
                            <w:position w:val="-1"/>
                            <w:sz w:val="14"/>
                            <w:szCs w:val="14"/>
                          </w:rPr>
                          <w:t xml:space="preserve"> </w:t>
                        </w:r>
                        <w:r>
                          <w:rPr>
                            <w:spacing w:val="-1"/>
                            <w:sz w:val="13"/>
                            <w:szCs w:val="13"/>
                          </w:rPr>
                          <w:t xml:space="preserve">2804918.74 </w:t>
                        </w:r>
                        <w:r>
                          <w:rPr>
                            <w:spacing w:val="-1"/>
                            <w:sz w:val="14"/>
                            <w:szCs w:val="14"/>
                          </w:rPr>
                          <w:t>3543930</w:t>
                        </w:r>
                        <w:r>
                          <w:rPr>
                            <w:sz w:val="14"/>
                            <w:szCs w:val="14"/>
                          </w:rPr>
                          <w:t xml:space="preserve"> </w:t>
                        </w:r>
                        <w:r>
                          <w:rPr>
                            <w:spacing w:val="-1"/>
                            <w:position w:val="-1"/>
                            <w:sz w:val="13"/>
                            <w:szCs w:val="13"/>
                          </w:rPr>
                          <w:t xml:space="preserve">矿6  </w:t>
                        </w:r>
                        <w:r>
                          <w:rPr>
                            <w:spacing w:val="-1"/>
                            <w:sz w:val="14"/>
                            <w:szCs w:val="14"/>
                          </w:rPr>
                          <w:t>2805163.74</w:t>
                        </w:r>
                        <w:r>
                          <w:rPr>
                            <w:spacing w:val="-1"/>
                            <w:sz w:val="12"/>
                            <w:szCs w:val="12"/>
                          </w:rPr>
                          <w:t>35438592</w:t>
                        </w:r>
                        <w:r>
                          <w:rPr>
                            <w:spacing w:val="9"/>
                            <w:sz w:val="12"/>
                            <w:szCs w:val="12"/>
                          </w:rPr>
                          <w:t xml:space="preserve">  </w:t>
                        </w:r>
                        <w:r>
                          <w:rPr>
                            <w:spacing w:val="-4"/>
                            <w:sz w:val="13"/>
                            <w:szCs w:val="13"/>
                          </w:rPr>
                          <w:t>矿7</w:t>
                        </w:r>
                        <w:r>
                          <w:rPr>
                            <w:spacing w:val="75"/>
                            <w:sz w:val="13"/>
                            <w:szCs w:val="13"/>
                          </w:rPr>
                          <w:t xml:space="preserve"> </w:t>
                        </w:r>
                        <w:r>
                          <w:rPr>
                            <w:spacing w:val="-4"/>
                            <w:sz w:val="14"/>
                            <w:szCs w:val="14"/>
                          </w:rPr>
                          <w:t>2806368.7535437760</w:t>
                        </w:r>
                        <w:r>
                          <w:rPr>
                            <w:sz w:val="14"/>
                            <w:szCs w:val="14"/>
                          </w:rPr>
                          <w:t xml:space="preserve"> </w:t>
                        </w:r>
                        <w:r>
                          <w:rPr>
                            <w:spacing w:val="-2"/>
                            <w:position w:val="-1"/>
                            <w:sz w:val="14"/>
                            <w:szCs w:val="14"/>
                          </w:rPr>
                          <w:t>矿8</w:t>
                        </w:r>
                        <w:r>
                          <w:rPr>
                            <w:spacing w:val="68"/>
                            <w:position w:val="-1"/>
                            <w:sz w:val="14"/>
                            <w:szCs w:val="14"/>
                          </w:rPr>
                          <w:t xml:space="preserve"> </w:t>
                        </w:r>
                        <w:r>
                          <w:rPr>
                            <w:spacing w:val="-2"/>
                            <w:sz w:val="13"/>
                            <w:szCs w:val="13"/>
                          </w:rPr>
                          <w:t>2806833.76</w:t>
                        </w:r>
                        <w:r>
                          <w:rPr>
                            <w:spacing w:val="-28"/>
                            <w:sz w:val="13"/>
                            <w:szCs w:val="13"/>
                          </w:rPr>
                          <w:t xml:space="preserve"> </w:t>
                        </w:r>
                        <w:r>
                          <w:rPr>
                            <w:spacing w:val="-2"/>
                            <w:sz w:val="13"/>
                            <w:szCs w:val="13"/>
                          </w:rPr>
                          <w:t>35438006</w:t>
                        </w:r>
                        <w:r>
                          <w:rPr>
                            <w:sz w:val="13"/>
                            <w:szCs w:val="13"/>
                          </w:rPr>
                          <w:t xml:space="preserve"> </w:t>
                        </w:r>
                        <w:r>
                          <w:rPr>
                            <w:spacing w:val="-1"/>
                            <w:sz w:val="14"/>
                            <w:szCs w:val="14"/>
                          </w:rPr>
                          <w:t>矿区面积：3.571km²</w:t>
                        </w:r>
                      </w:p>
                      <w:p w14:paraId="4ADF6197">
                        <w:pPr>
                          <w:pStyle w:val="6"/>
                          <w:spacing w:line="218" w:lineRule="auto"/>
                          <w:ind w:left="159"/>
                          <w:rPr>
                            <w:sz w:val="15"/>
                            <w:szCs w:val="15"/>
                          </w:rPr>
                        </w:pPr>
                        <w:r>
                          <w:rPr>
                            <w:spacing w:val="-13"/>
                            <w:sz w:val="15"/>
                            <w:szCs w:val="15"/>
                          </w:rPr>
                          <w:t>开采深度：1881m~1490m</w:t>
                        </w:r>
                      </w:p>
                    </w:txbxContent>
                  </v:textbox>
                </v:shape>
              </w:pict>
            </w:r>
            <w:r>
              <w:rPr>
                <w:spacing w:val="8"/>
                <w:sz w:val="12"/>
                <w:szCs w:val="12"/>
              </w:rPr>
              <w:t>佶20</w:t>
            </w:r>
          </w:p>
          <w:p w14:paraId="643B308A">
            <w:pPr>
              <w:pStyle w:val="6"/>
              <w:spacing w:line="166" w:lineRule="auto"/>
              <w:ind w:left="1250"/>
              <w:rPr>
                <w:sz w:val="15"/>
                <w:szCs w:val="15"/>
              </w:rPr>
            </w:pPr>
            <w:r>
              <w:pict>
                <v:shape id="_x0000_s1044" o:spid="_x0000_s1044" o:spt="202" type="#_x0000_t202" style="position:absolute;left:0pt;margin-left:251.5pt;margin-top:1.05pt;height:10.95pt;width:32.45pt;z-index:251701248;mso-width-relative:page;mso-height-relative:page;" filled="f" stroked="f" coordsize="21600,21600">
                  <v:path/>
                  <v:fill on="f" focussize="0,0"/>
                  <v:stroke on="f"/>
                  <v:imagedata o:title=""/>
                  <o:lock v:ext="edit" aspectratio="f"/>
                  <v:textbox inset="0mm,0mm,0mm,0mm">
                    <w:txbxContent>
                      <w:p w14:paraId="58EC8544">
                        <w:pPr>
                          <w:pStyle w:val="6"/>
                          <w:spacing w:before="20" w:line="220" w:lineRule="auto"/>
                          <w:ind w:left="20"/>
                          <w:rPr>
                            <w:sz w:val="15"/>
                            <w:szCs w:val="15"/>
                          </w:rPr>
                        </w:pPr>
                        <w:r>
                          <w:rPr>
                            <w:spacing w:val="2"/>
                            <w:sz w:val="15"/>
                            <w:szCs w:val="15"/>
                          </w:rPr>
                          <w:t>富源铅锌</w:t>
                        </w:r>
                      </w:p>
                    </w:txbxContent>
                  </v:textbox>
                </v:shape>
              </w:pict>
            </w:r>
            <w:r>
              <w:pict>
                <v:shape id="_x0000_s1045" o:spid="_x0000_s1045" o:spt="202" type="#_x0000_t202" style="position:absolute;left:0pt;margin-left:178.55pt;margin-top:2.7pt;height:14.25pt;width:17.6pt;z-index:251705344;mso-width-relative:page;mso-height-relative:page;" filled="f" stroked="f" coordsize="21600,21600">
                  <v:path/>
                  <v:fill on="f" focussize="0,0"/>
                  <v:stroke on="f"/>
                  <v:imagedata o:title=""/>
                  <o:lock v:ext="edit" aspectratio="f"/>
                  <v:textbox inset="0mm,0mm,0mm,0mm">
                    <w:txbxContent>
                      <w:p w14:paraId="56403667">
                        <w:pPr>
                          <w:pStyle w:val="6"/>
                          <w:spacing w:before="20" w:line="174" w:lineRule="auto"/>
                          <w:ind w:right="17"/>
                          <w:jc w:val="right"/>
                          <w:rPr>
                            <w:sz w:val="14"/>
                            <w:szCs w:val="14"/>
                          </w:rPr>
                        </w:pPr>
                        <w:r>
                          <w:rPr>
                            <w:spacing w:val="-2"/>
                            <w:sz w:val="14"/>
                            <w:szCs w:val="14"/>
                          </w:rPr>
                          <w:t>512</w:t>
                        </w:r>
                      </w:p>
                      <w:p w14:paraId="5A33AD64">
                        <w:pPr>
                          <w:pStyle w:val="6"/>
                          <w:spacing w:line="172" w:lineRule="auto"/>
                          <w:ind w:left="20"/>
                          <w:rPr>
                            <w:sz w:val="12"/>
                            <w:szCs w:val="12"/>
                          </w:rPr>
                        </w:pPr>
                        <w:r>
                          <w:rPr>
                            <w:spacing w:val="12"/>
                            <w:sz w:val="12"/>
                            <w:szCs w:val="12"/>
                          </w:rPr>
                          <w:t>估13</w:t>
                        </w:r>
                      </w:p>
                    </w:txbxContent>
                  </v:textbox>
                </v:shape>
              </w:pict>
            </w:r>
            <w:r>
              <w:rPr>
                <w:spacing w:val="-3"/>
                <w:sz w:val="15"/>
                <w:szCs w:val="15"/>
              </w:rPr>
              <w:t>矿</w:t>
            </w:r>
            <w:r>
              <w:rPr>
                <w:color w:val="406050"/>
                <w:spacing w:val="-3"/>
                <w:sz w:val="15"/>
                <w:szCs w:val="15"/>
              </w:rPr>
              <w:t>7</w:t>
            </w:r>
          </w:p>
          <w:p w14:paraId="4A158A48">
            <w:pPr>
              <w:pStyle w:val="6"/>
              <w:spacing w:line="203" w:lineRule="auto"/>
              <w:ind w:left="4640"/>
              <w:rPr>
                <w:sz w:val="15"/>
                <w:szCs w:val="15"/>
              </w:rPr>
            </w:pPr>
            <w:r>
              <w:rPr>
                <w:sz w:val="15"/>
                <w:szCs w:val="15"/>
              </w:rPr>
              <w:t>十</w:t>
            </w:r>
          </w:p>
          <w:p w14:paraId="21CC1FCC">
            <w:pPr>
              <w:pStyle w:val="6"/>
              <w:spacing w:before="34" w:line="201" w:lineRule="exact"/>
              <w:ind w:left="1580"/>
              <w:rPr>
                <w:sz w:val="15"/>
                <w:szCs w:val="15"/>
              </w:rPr>
            </w:pPr>
            <w:r>
              <w:rPr>
                <w:position w:val="1"/>
                <w:sz w:val="15"/>
                <w:szCs w:val="15"/>
              </w:rPr>
              <w:t>×</w:t>
            </w:r>
          </w:p>
          <w:p w14:paraId="3093BAA1">
            <w:pPr>
              <w:pStyle w:val="6"/>
              <w:spacing w:before="94" w:line="296" w:lineRule="auto"/>
              <w:ind w:left="4680" w:right="718" w:firstLine="100"/>
              <w:rPr>
                <w:sz w:val="15"/>
                <w:szCs w:val="15"/>
              </w:rPr>
            </w:pPr>
            <w:r>
              <w:pict>
                <v:shape id="_x0000_s1046" o:spid="_x0000_s1046" o:spt="202" type="#_x0000_t202" style="position:absolute;left:0pt;margin-left:155pt;margin-top:9.55pt;height:12.9pt;width:14.35pt;z-index:251693056;mso-width-relative:page;mso-height-relative:page;" filled="f" stroked="f" coordsize="21600,21600">
                  <v:path/>
                  <v:fill on="f" focussize="0,0"/>
                  <v:stroke on="f"/>
                  <v:imagedata o:title=""/>
                  <o:lock v:ext="edit" aspectratio="f"/>
                  <v:textbox inset="0mm,0mm,0mm,0mm">
                    <w:txbxContent>
                      <w:p w14:paraId="6E77CAC5">
                        <w:pPr>
                          <w:pStyle w:val="6"/>
                          <w:spacing w:before="19" w:line="201" w:lineRule="auto"/>
                          <w:ind w:left="20" w:right="20" w:firstLine="149"/>
                          <w:rPr>
                            <w:sz w:val="10"/>
                            <w:szCs w:val="10"/>
                          </w:rPr>
                        </w:pPr>
                        <w:r>
                          <w:rPr>
                            <w:spacing w:val="-2"/>
                            <w:sz w:val="10"/>
                            <w:szCs w:val="10"/>
                          </w:rPr>
                          <w:t>41</w:t>
                        </w:r>
                        <w:r>
                          <w:rPr>
                            <w:sz w:val="10"/>
                            <w:szCs w:val="10"/>
                          </w:rPr>
                          <w:t xml:space="preserve"> </w:t>
                        </w:r>
                        <w:r>
                          <w:rPr>
                            <w:spacing w:val="8"/>
                            <w:sz w:val="10"/>
                            <w:szCs w:val="10"/>
                          </w:rPr>
                          <w:t>估16</w:t>
                        </w:r>
                      </w:p>
                    </w:txbxContent>
                  </v:textbox>
                </v:shape>
              </w:pict>
            </w:r>
            <w:r>
              <w:rPr>
                <w:spacing w:val="-7"/>
                <w:sz w:val="15"/>
                <w:szCs w:val="15"/>
              </w:rPr>
              <w:t>十</w:t>
            </w:r>
            <w:r>
              <w:rPr>
                <w:sz w:val="15"/>
                <w:szCs w:val="15"/>
              </w:rPr>
              <w:t xml:space="preserve">  </w:t>
            </w:r>
            <w:r>
              <w:rPr>
                <w:spacing w:val="10"/>
                <w:sz w:val="15"/>
                <w:szCs w:val="15"/>
              </w:rPr>
              <w:t>矿4)</w:t>
            </w:r>
          </w:p>
          <w:p w14:paraId="439A662C">
            <w:pPr>
              <w:spacing w:line="346" w:lineRule="auto"/>
              <w:rPr>
                <w:rFonts w:ascii="Arial"/>
                <w:sz w:val="21"/>
              </w:rPr>
            </w:pPr>
          </w:p>
          <w:p w14:paraId="18AE34A6">
            <w:pPr>
              <w:spacing w:line="347" w:lineRule="auto"/>
              <w:rPr>
                <w:rFonts w:ascii="Arial"/>
                <w:sz w:val="21"/>
              </w:rPr>
            </w:pPr>
          </w:p>
          <w:p w14:paraId="5AE2BA10">
            <w:pPr>
              <w:pStyle w:val="6"/>
              <w:spacing w:before="50" w:line="218" w:lineRule="auto"/>
              <w:ind w:left="450"/>
              <w:rPr>
                <w:sz w:val="15"/>
                <w:szCs w:val="15"/>
              </w:rPr>
            </w:pPr>
            <w:r>
              <w:rPr>
                <w:spacing w:val="-1"/>
                <w:sz w:val="15"/>
                <w:szCs w:val="15"/>
              </w:rPr>
              <w:t>本次资源量估算范围坐标表</w:t>
            </w:r>
          </w:p>
          <w:p w14:paraId="62875445">
            <w:pPr>
              <w:spacing w:line="137" w:lineRule="auto"/>
              <w:rPr>
                <w:rFonts w:ascii="Arial"/>
                <w:sz w:val="2"/>
              </w:rPr>
            </w:pPr>
          </w:p>
          <w:tbl>
            <w:tblPr>
              <w:tblStyle w:val="5"/>
              <w:tblW w:w="1940"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
              <w:gridCol w:w="826"/>
              <w:gridCol w:w="811"/>
            </w:tblGrid>
            <w:tr w14:paraId="53149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303" w:type="dxa"/>
                  <w:vMerge w:val="restart"/>
                  <w:tcBorders>
                    <w:bottom w:val="nil"/>
                  </w:tcBorders>
                  <w:vAlign w:val="top"/>
                </w:tcPr>
                <w:p w14:paraId="5D06E811">
                  <w:pPr>
                    <w:pStyle w:val="6"/>
                    <w:spacing w:before="20" w:line="203" w:lineRule="auto"/>
                    <w:ind w:left="14" w:right="3" w:firstLine="40"/>
                    <w:rPr>
                      <w:sz w:val="12"/>
                      <w:szCs w:val="12"/>
                    </w:rPr>
                  </w:pPr>
                  <w:r>
                    <w:rPr>
                      <w:spacing w:val="-3"/>
                      <w:sz w:val="12"/>
                      <w:szCs w:val="12"/>
                    </w:rPr>
                    <w:t>拐点</w:t>
                  </w:r>
                  <w:r>
                    <w:rPr>
                      <w:sz w:val="12"/>
                      <w:szCs w:val="12"/>
                    </w:rPr>
                    <w:t xml:space="preserve"> </w:t>
                  </w:r>
                  <w:r>
                    <w:rPr>
                      <w:spacing w:val="-2"/>
                      <w:sz w:val="12"/>
                      <w:szCs w:val="12"/>
                    </w:rPr>
                    <w:t>编号</w:t>
                  </w:r>
                </w:p>
              </w:tc>
              <w:tc>
                <w:tcPr>
                  <w:tcW w:w="1637" w:type="dxa"/>
                  <w:gridSpan w:val="2"/>
                  <w:vAlign w:val="top"/>
                </w:tcPr>
                <w:p w14:paraId="271F1C77">
                  <w:pPr>
                    <w:pStyle w:val="6"/>
                    <w:spacing w:before="20" w:line="190" w:lineRule="auto"/>
                    <w:ind w:left="392"/>
                    <w:rPr>
                      <w:sz w:val="12"/>
                      <w:szCs w:val="12"/>
                    </w:rPr>
                  </w:pPr>
                  <w:r>
                    <w:rPr>
                      <w:spacing w:val="1"/>
                      <w:sz w:val="12"/>
                      <w:szCs w:val="12"/>
                    </w:rPr>
                    <w:t>国家2000大地坐标系</w:t>
                  </w:r>
                </w:p>
              </w:tc>
            </w:tr>
            <w:tr w14:paraId="6E2E6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Merge w:val="continue"/>
                  <w:tcBorders>
                    <w:top w:val="nil"/>
                  </w:tcBorders>
                  <w:vAlign w:val="top"/>
                </w:tcPr>
                <w:p w14:paraId="498DF4D6">
                  <w:pPr>
                    <w:rPr>
                      <w:rFonts w:ascii="Arial"/>
                      <w:sz w:val="21"/>
                    </w:rPr>
                  </w:pPr>
                </w:p>
              </w:tc>
              <w:tc>
                <w:tcPr>
                  <w:tcW w:w="826" w:type="dxa"/>
                  <w:vAlign w:val="top"/>
                </w:tcPr>
                <w:p w14:paraId="35264142">
                  <w:pPr>
                    <w:pStyle w:val="6"/>
                    <w:spacing w:before="27" w:line="93" w:lineRule="exact"/>
                    <w:ind w:left="342"/>
                    <w:rPr>
                      <w:sz w:val="12"/>
                      <w:szCs w:val="12"/>
                    </w:rPr>
                  </w:pPr>
                  <w:r>
                    <w:rPr>
                      <w:position w:val="-1"/>
                      <w:sz w:val="12"/>
                      <w:szCs w:val="12"/>
                    </w:rPr>
                    <w:t>X</w:t>
                  </w:r>
                </w:p>
              </w:tc>
              <w:tc>
                <w:tcPr>
                  <w:tcW w:w="811" w:type="dxa"/>
                  <w:vAlign w:val="top"/>
                </w:tcPr>
                <w:p w14:paraId="6993E1CA">
                  <w:pPr>
                    <w:pStyle w:val="6"/>
                    <w:spacing w:before="27" w:line="93" w:lineRule="exact"/>
                    <w:ind w:left="375"/>
                    <w:rPr>
                      <w:sz w:val="12"/>
                      <w:szCs w:val="12"/>
                    </w:rPr>
                  </w:pPr>
                  <w:r>
                    <w:rPr>
                      <w:position w:val="-1"/>
                      <w:sz w:val="12"/>
                      <w:szCs w:val="12"/>
                    </w:rPr>
                    <w:t>Y</w:t>
                  </w:r>
                </w:p>
              </w:tc>
            </w:tr>
            <w:tr w14:paraId="2A5DE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03" w:type="dxa"/>
                  <w:vAlign w:val="top"/>
                </w:tcPr>
                <w:p w14:paraId="23AAD707">
                  <w:pPr>
                    <w:pStyle w:val="6"/>
                    <w:spacing w:before="14" w:line="191" w:lineRule="auto"/>
                    <w:ind w:left="55"/>
                    <w:rPr>
                      <w:sz w:val="12"/>
                      <w:szCs w:val="12"/>
                    </w:rPr>
                  </w:pPr>
                  <w:r>
                    <w:rPr>
                      <w:spacing w:val="-2"/>
                      <w:sz w:val="12"/>
                      <w:szCs w:val="12"/>
                    </w:rPr>
                    <w:t>估1</w:t>
                  </w:r>
                </w:p>
              </w:tc>
              <w:tc>
                <w:tcPr>
                  <w:tcW w:w="826" w:type="dxa"/>
                  <w:vAlign w:val="top"/>
                </w:tcPr>
                <w:p w14:paraId="541376A2">
                  <w:pPr>
                    <w:pStyle w:val="6"/>
                    <w:spacing w:before="27" w:line="171" w:lineRule="auto"/>
                    <w:ind w:left="132"/>
                    <w:rPr>
                      <w:sz w:val="12"/>
                      <w:szCs w:val="12"/>
                    </w:rPr>
                  </w:pPr>
                  <w:r>
                    <w:rPr>
                      <w:spacing w:val="-1"/>
                      <w:sz w:val="12"/>
                      <w:szCs w:val="12"/>
                    </w:rPr>
                    <w:t>2807124.00</w:t>
                  </w:r>
                </w:p>
              </w:tc>
              <w:tc>
                <w:tcPr>
                  <w:tcW w:w="811" w:type="dxa"/>
                  <w:vAlign w:val="top"/>
                </w:tcPr>
                <w:p w14:paraId="610276F8">
                  <w:pPr>
                    <w:pStyle w:val="6"/>
                    <w:spacing w:before="27" w:line="171" w:lineRule="auto"/>
                    <w:ind w:left="95"/>
                    <w:rPr>
                      <w:sz w:val="12"/>
                      <w:szCs w:val="12"/>
                    </w:rPr>
                  </w:pPr>
                  <w:r>
                    <w:rPr>
                      <w:spacing w:val="-1"/>
                      <w:sz w:val="12"/>
                      <w:szCs w:val="12"/>
                    </w:rPr>
                    <w:t>35433107.21</w:t>
                  </w:r>
                </w:p>
              </w:tc>
            </w:tr>
            <w:tr w14:paraId="4B04E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01AEBB9F">
                  <w:pPr>
                    <w:pStyle w:val="6"/>
                    <w:spacing w:before="15" w:line="191" w:lineRule="auto"/>
                    <w:ind w:left="45"/>
                    <w:rPr>
                      <w:sz w:val="12"/>
                      <w:szCs w:val="12"/>
                    </w:rPr>
                  </w:pPr>
                  <w:r>
                    <w:rPr>
                      <w:spacing w:val="-2"/>
                      <w:sz w:val="12"/>
                      <w:szCs w:val="12"/>
                    </w:rPr>
                    <w:t>估2</w:t>
                  </w:r>
                </w:p>
              </w:tc>
              <w:tc>
                <w:tcPr>
                  <w:tcW w:w="826" w:type="dxa"/>
                  <w:vAlign w:val="top"/>
                </w:tcPr>
                <w:p w14:paraId="35542B3B">
                  <w:pPr>
                    <w:pStyle w:val="6"/>
                    <w:spacing w:before="28" w:line="171" w:lineRule="auto"/>
                    <w:ind w:left="132"/>
                    <w:rPr>
                      <w:sz w:val="12"/>
                      <w:szCs w:val="12"/>
                    </w:rPr>
                  </w:pPr>
                  <w:r>
                    <w:rPr>
                      <w:spacing w:val="-1"/>
                      <w:sz w:val="12"/>
                      <w:szCs w:val="12"/>
                    </w:rPr>
                    <w:t>2907118.84</w:t>
                  </w:r>
                </w:p>
              </w:tc>
              <w:tc>
                <w:tcPr>
                  <w:tcW w:w="811" w:type="dxa"/>
                  <w:vAlign w:val="top"/>
                </w:tcPr>
                <w:p w14:paraId="5692E2D0">
                  <w:pPr>
                    <w:pStyle w:val="6"/>
                    <w:spacing w:before="28" w:line="171" w:lineRule="auto"/>
                    <w:ind w:left="95"/>
                    <w:rPr>
                      <w:sz w:val="12"/>
                      <w:szCs w:val="12"/>
                    </w:rPr>
                  </w:pPr>
                  <w:r>
                    <w:rPr>
                      <w:spacing w:val="-1"/>
                      <w:sz w:val="12"/>
                      <w:szCs w:val="12"/>
                    </w:rPr>
                    <w:t>35438133.60</w:t>
                  </w:r>
                </w:p>
              </w:tc>
            </w:tr>
            <w:tr w14:paraId="7D268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Align w:val="top"/>
                </w:tcPr>
                <w:p w14:paraId="31338955">
                  <w:pPr>
                    <w:pStyle w:val="6"/>
                    <w:spacing w:line="184" w:lineRule="auto"/>
                    <w:ind w:right="1"/>
                    <w:jc w:val="right"/>
                    <w:rPr>
                      <w:sz w:val="12"/>
                      <w:szCs w:val="12"/>
                    </w:rPr>
                  </w:pPr>
                  <w:r>
                    <w:rPr>
                      <w:spacing w:val="-2"/>
                      <w:sz w:val="12"/>
                      <w:szCs w:val="12"/>
                    </w:rPr>
                    <w:t>估3</w:t>
                  </w:r>
                </w:p>
              </w:tc>
              <w:tc>
                <w:tcPr>
                  <w:tcW w:w="826" w:type="dxa"/>
                  <w:vAlign w:val="top"/>
                </w:tcPr>
                <w:p w14:paraId="5E378CE1">
                  <w:pPr>
                    <w:pStyle w:val="6"/>
                    <w:spacing w:before="8" w:line="171" w:lineRule="auto"/>
                    <w:ind w:left="132"/>
                    <w:rPr>
                      <w:sz w:val="12"/>
                      <w:szCs w:val="12"/>
                    </w:rPr>
                  </w:pPr>
                  <w:r>
                    <w:rPr>
                      <w:spacing w:val="-1"/>
                      <w:sz w:val="12"/>
                      <w:szCs w:val="12"/>
                    </w:rPr>
                    <w:t>2807031.84</w:t>
                  </w:r>
                </w:p>
              </w:tc>
              <w:tc>
                <w:tcPr>
                  <w:tcW w:w="811" w:type="dxa"/>
                  <w:vAlign w:val="top"/>
                </w:tcPr>
                <w:p w14:paraId="004A4358">
                  <w:pPr>
                    <w:pStyle w:val="6"/>
                    <w:spacing w:before="8" w:line="171" w:lineRule="auto"/>
                    <w:ind w:left="95"/>
                    <w:rPr>
                      <w:sz w:val="12"/>
                      <w:szCs w:val="12"/>
                    </w:rPr>
                  </w:pPr>
                  <w:r>
                    <w:rPr>
                      <w:spacing w:val="-1"/>
                      <w:sz w:val="12"/>
                      <w:szCs w:val="12"/>
                    </w:rPr>
                    <w:t>35438556.90</w:t>
                  </w:r>
                </w:p>
              </w:tc>
            </w:tr>
            <w:tr w14:paraId="2B8A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576AB86C">
                  <w:pPr>
                    <w:pStyle w:val="6"/>
                    <w:spacing w:before="15" w:line="191" w:lineRule="auto"/>
                    <w:ind w:right="1"/>
                    <w:jc w:val="right"/>
                    <w:rPr>
                      <w:sz w:val="12"/>
                      <w:szCs w:val="12"/>
                    </w:rPr>
                  </w:pPr>
                  <w:r>
                    <w:rPr>
                      <w:spacing w:val="-2"/>
                      <w:sz w:val="12"/>
                      <w:szCs w:val="12"/>
                    </w:rPr>
                    <w:t>估4</w:t>
                  </w:r>
                </w:p>
              </w:tc>
              <w:tc>
                <w:tcPr>
                  <w:tcW w:w="826" w:type="dxa"/>
                  <w:vAlign w:val="top"/>
                </w:tcPr>
                <w:p w14:paraId="4EAFF14B">
                  <w:pPr>
                    <w:pStyle w:val="6"/>
                    <w:spacing w:before="28" w:line="171" w:lineRule="auto"/>
                    <w:ind w:left="132"/>
                    <w:rPr>
                      <w:sz w:val="12"/>
                      <w:szCs w:val="12"/>
                    </w:rPr>
                  </w:pPr>
                  <w:r>
                    <w:rPr>
                      <w:spacing w:val="-1"/>
                      <w:sz w:val="12"/>
                      <w:szCs w:val="12"/>
                    </w:rPr>
                    <w:t>2307095.76</w:t>
                  </w:r>
                </w:p>
              </w:tc>
              <w:tc>
                <w:tcPr>
                  <w:tcW w:w="811" w:type="dxa"/>
                  <w:vAlign w:val="top"/>
                </w:tcPr>
                <w:p w14:paraId="78CB4BDD">
                  <w:pPr>
                    <w:pStyle w:val="6"/>
                    <w:spacing w:before="28" w:line="171" w:lineRule="auto"/>
                    <w:ind w:left="95"/>
                    <w:rPr>
                      <w:sz w:val="12"/>
                      <w:szCs w:val="12"/>
                    </w:rPr>
                  </w:pPr>
                  <w:r>
                    <w:rPr>
                      <w:spacing w:val="-1"/>
                      <w:sz w:val="12"/>
                      <w:szCs w:val="12"/>
                    </w:rPr>
                    <w:t>35439105.56</w:t>
                  </w:r>
                </w:p>
              </w:tc>
            </w:tr>
            <w:tr w14:paraId="69CBB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03" w:type="dxa"/>
                  <w:vAlign w:val="top"/>
                </w:tcPr>
                <w:p w14:paraId="1371A0B0">
                  <w:pPr>
                    <w:pStyle w:val="6"/>
                    <w:spacing w:before="16" w:line="189" w:lineRule="auto"/>
                    <w:ind w:right="1"/>
                    <w:jc w:val="right"/>
                    <w:rPr>
                      <w:sz w:val="12"/>
                      <w:szCs w:val="12"/>
                    </w:rPr>
                  </w:pPr>
                  <w:r>
                    <w:rPr>
                      <w:spacing w:val="-2"/>
                      <w:sz w:val="12"/>
                      <w:szCs w:val="12"/>
                    </w:rPr>
                    <w:t>估5</w:t>
                  </w:r>
                </w:p>
              </w:tc>
              <w:tc>
                <w:tcPr>
                  <w:tcW w:w="826" w:type="dxa"/>
                  <w:vAlign w:val="top"/>
                </w:tcPr>
                <w:p w14:paraId="6EC11A6C">
                  <w:pPr>
                    <w:pStyle w:val="6"/>
                    <w:spacing w:before="29" w:line="169" w:lineRule="auto"/>
                    <w:ind w:left="132"/>
                    <w:rPr>
                      <w:sz w:val="12"/>
                      <w:szCs w:val="12"/>
                    </w:rPr>
                  </w:pPr>
                  <w:r>
                    <w:rPr>
                      <w:spacing w:val="-1"/>
                      <w:sz w:val="12"/>
                      <w:szCs w:val="12"/>
                    </w:rPr>
                    <w:t>2806892.84</w:t>
                  </w:r>
                </w:p>
              </w:tc>
              <w:tc>
                <w:tcPr>
                  <w:tcW w:w="811" w:type="dxa"/>
                  <w:vAlign w:val="top"/>
                </w:tcPr>
                <w:p w14:paraId="0CD21CCC">
                  <w:pPr>
                    <w:pStyle w:val="6"/>
                    <w:spacing w:before="29" w:line="169" w:lineRule="auto"/>
                    <w:ind w:left="95"/>
                    <w:rPr>
                      <w:sz w:val="12"/>
                      <w:szCs w:val="12"/>
                    </w:rPr>
                  </w:pPr>
                  <w:r>
                    <w:rPr>
                      <w:spacing w:val="-1"/>
                      <w:sz w:val="12"/>
                      <w:szCs w:val="12"/>
                    </w:rPr>
                    <w:t>35439183.45</w:t>
                  </w:r>
                </w:p>
              </w:tc>
            </w:tr>
            <w:tr w14:paraId="5B8AC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303" w:type="dxa"/>
                  <w:vAlign w:val="top"/>
                </w:tcPr>
                <w:p w14:paraId="312C65EB">
                  <w:pPr>
                    <w:pStyle w:val="6"/>
                    <w:spacing w:before="7" w:line="189" w:lineRule="auto"/>
                    <w:ind w:right="1"/>
                    <w:jc w:val="right"/>
                    <w:rPr>
                      <w:sz w:val="12"/>
                      <w:szCs w:val="12"/>
                    </w:rPr>
                  </w:pPr>
                  <w:r>
                    <w:rPr>
                      <w:spacing w:val="-2"/>
                      <w:sz w:val="12"/>
                      <w:szCs w:val="12"/>
                    </w:rPr>
                    <w:t>估6</w:t>
                  </w:r>
                </w:p>
              </w:tc>
              <w:tc>
                <w:tcPr>
                  <w:tcW w:w="826" w:type="dxa"/>
                  <w:vAlign w:val="top"/>
                </w:tcPr>
                <w:p w14:paraId="51579D3D">
                  <w:pPr>
                    <w:pStyle w:val="6"/>
                    <w:spacing w:before="20" w:line="169" w:lineRule="auto"/>
                    <w:ind w:left="132"/>
                    <w:rPr>
                      <w:sz w:val="12"/>
                      <w:szCs w:val="12"/>
                    </w:rPr>
                  </w:pPr>
                  <w:r>
                    <w:rPr>
                      <w:spacing w:val="-1"/>
                      <w:sz w:val="12"/>
                      <w:szCs w:val="12"/>
                    </w:rPr>
                    <w:t>2806778.12</w:t>
                  </w:r>
                </w:p>
              </w:tc>
              <w:tc>
                <w:tcPr>
                  <w:tcW w:w="811" w:type="dxa"/>
                  <w:vAlign w:val="top"/>
                </w:tcPr>
                <w:p w14:paraId="5F7E2B48">
                  <w:pPr>
                    <w:pStyle w:val="6"/>
                    <w:spacing w:before="20" w:line="169" w:lineRule="auto"/>
                    <w:ind w:left="95"/>
                    <w:rPr>
                      <w:sz w:val="12"/>
                      <w:szCs w:val="12"/>
                    </w:rPr>
                  </w:pPr>
                  <w:r>
                    <w:rPr>
                      <w:spacing w:val="-1"/>
                      <w:sz w:val="12"/>
                      <w:szCs w:val="12"/>
                    </w:rPr>
                    <w:t>35439275.46</w:t>
                  </w:r>
                </w:p>
              </w:tc>
            </w:tr>
            <w:tr w14:paraId="738F0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03" w:type="dxa"/>
                  <w:vAlign w:val="top"/>
                </w:tcPr>
                <w:p w14:paraId="2F490011">
                  <w:pPr>
                    <w:pStyle w:val="6"/>
                    <w:spacing w:before="16" w:line="188" w:lineRule="auto"/>
                    <w:ind w:right="1"/>
                    <w:jc w:val="right"/>
                    <w:rPr>
                      <w:sz w:val="12"/>
                      <w:szCs w:val="12"/>
                    </w:rPr>
                  </w:pPr>
                  <w:r>
                    <w:rPr>
                      <w:spacing w:val="-2"/>
                      <w:sz w:val="12"/>
                      <w:szCs w:val="12"/>
                    </w:rPr>
                    <w:t>估7</w:t>
                  </w:r>
                </w:p>
              </w:tc>
              <w:tc>
                <w:tcPr>
                  <w:tcW w:w="826" w:type="dxa"/>
                  <w:vAlign w:val="top"/>
                </w:tcPr>
                <w:p w14:paraId="24414A59">
                  <w:pPr>
                    <w:pStyle w:val="6"/>
                    <w:spacing w:before="29" w:line="168" w:lineRule="auto"/>
                    <w:ind w:left="132"/>
                    <w:rPr>
                      <w:sz w:val="12"/>
                      <w:szCs w:val="12"/>
                    </w:rPr>
                  </w:pPr>
                  <w:r>
                    <w:rPr>
                      <w:spacing w:val="-1"/>
                      <w:sz w:val="12"/>
                      <w:szCs w:val="12"/>
                    </w:rPr>
                    <w:t>2806688.80</w:t>
                  </w:r>
                </w:p>
              </w:tc>
              <w:tc>
                <w:tcPr>
                  <w:tcW w:w="811" w:type="dxa"/>
                  <w:vAlign w:val="top"/>
                </w:tcPr>
                <w:p w14:paraId="09B2D40D">
                  <w:pPr>
                    <w:pStyle w:val="6"/>
                    <w:spacing w:before="29" w:line="168" w:lineRule="auto"/>
                    <w:ind w:left="95"/>
                    <w:rPr>
                      <w:sz w:val="12"/>
                      <w:szCs w:val="12"/>
                    </w:rPr>
                  </w:pPr>
                  <w:r>
                    <w:rPr>
                      <w:spacing w:val="-1"/>
                      <w:sz w:val="12"/>
                      <w:szCs w:val="12"/>
                    </w:rPr>
                    <w:t>35439393.61</w:t>
                  </w:r>
                </w:p>
              </w:tc>
            </w:tr>
            <w:tr w14:paraId="06E65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Align w:val="top"/>
                </w:tcPr>
                <w:p w14:paraId="1A178F4F">
                  <w:pPr>
                    <w:pStyle w:val="6"/>
                    <w:spacing w:line="184" w:lineRule="auto"/>
                    <w:ind w:right="1"/>
                    <w:jc w:val="right"/>
                    <w:rPr>
                      <w:sz w:val="12"/>
                      <w:szCs w:val="12"/>
                    </w:rPr>
                  </w:pPr>
                  <w:r>
                    <w:rPr>
                      <w:spacing w:val="-2"/>
                      <w:sz w:val="12"/>
                      <w:szCs w:val="12"/>
                    </w:rPr>
                    <w:t>估8</w:t>
                  </w:r>
                </w:p>
              </w:tc>
              <w:tc>
                <w:tcPr>
                  <w:tcW w:w="826" w:type="dxa"/>
                  <w:vAlign w:val="top"/>
                </w:tcPr>
                <w:p w14:paraId="4A4C67CD">
                  <w:pPr>
                    <w:pStyle w:val="6"/>
                    <w:spacing w:before="10" w:line="168" w:lineRule="auto"/>
                    <w:ind w:left="132"/>
                    <w:rPr>
                      <w:sz w:val="12"/>
                      <w:szCs w:val="12"/>
                    </w:rPr>
                  </w:pPr>
                  <w:r>
                    <w:rPr>
                      <w:spacing w:val="-1"/>
                      <w:sz w:val="12"/>
                      <w:szCs w:val="12"/>
                    </w:rPr>
                    <w:t>2806496.42</w:t>
                  </w:r>
                </w:p>
              </w:tc>
              <w:tc>
                <w:tcPr>
                  <w:tcW w:w="811" w:type="dxa"/>
                  <w:vAlign w:val="top"/>
                </w:tcPr>
                <w:p w14:paraId="5DEF4383">
                  <w:pPr>
                    <w:pStyle w:val="6"/>
                    <w:spacing w:before="10" w:line="168" w:lineRule="auto"/>
                    <w:ind w:left="95"/>
                    <w:rPr>
                      <w:sz w:val="12"/>
                      <w:szCs w:val="12"/>
                    </w:rPr>
                  </w:pPr>
                  <w:r>
                    <w:rPr>
                      <w:spacing w:val="-1"/>
                      <w:sz w:val="12"/>
                      <w:szCs w:val="12"/>
                    </w:rPr>
                    <w:t>35439404.25</w:t>
                  </w:r>
                </w:p>
              </w:tc>
            </w:tr>
            <w:tr w14:paraId="6E824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6F0B3DC3">
                  <w:pPr>
                    <w:pStyle w:val="6"/>
                    <w:spacing w:before="17" w:line="188" w:lineRule="auto"/>
                    <w:ind w:right="1"/>
                    <w:jc w:val="right"/>
                    <w:rPr>
                      <w:sz w:val="12"/>
                      <w:szCs w:val="12"/>
                    </w:rPr>
                  </w:pPr>
                  <w:r>
                    <w:rPr>
                      <w:spacing w:val="-2"/>
                      <w:sz w:val="12"/>
                      <w:szCs w:val="12"/>
                    </w:rPr>
                    <w:t>估9</w:t>
                  </w:r>
                </w:p>
              </w:tc>
              <w:tc>
                <w:tcPr>
                  <w:tcW w:w="826" w:type="dxa"/>
                  <w:vAlign w:val="top"/>
                </w:tcPr>
                <w:p w14:paraId="0E532F5A">
                  <w:pPr>
                    <w:pStyle w:val="6"/>
                    <w:spacing w:before="30" w:line="168" w:lineRule="auto"/>
                    <w:ind w:left="132"/>
                    <w:rPr>
                      <w:sz w:val="12"/>
                      <w:szCs w:val="12"/>
                    </w:rPr>
                  </w:pPr>
                  <w:r>
                    <w:rPr>
                      <w:spacing w:val="-1"/>
                      <w:sz w:val="12"/>
                      <w:szCs w:val="12"/>
                    </w:rPr>
                    <w:t>2806486.97</w:t>
                  </w:r>
                </w:p>
              </w:tc>
              <w:tc>
                <w:tcPr>
                  <w:tcW w:w="811" w:type="dxa"/>
                  <w:vAlign w:val="top"/>
                </w:tcPr>
                <w:p w14:paraId="287832CE">
                  <w:pPr>
                    <w:pStyle w:val="6"/>
                    <w:spacing w:before="30" w:line="168" w:lineRule="auto"/>
                    <w:ind w:left="95"/>
                    <w:rPr>
                      <w:sz w:val="12"/>
                      <w:szCs w:val="12"/>
                    </w:rPr>
                  </w:pPr>
                  <w:r>
                    <w:rPr>
                      <w:spacing w:val="-1"/>
                      <w:sz w:val="12"/>
                      <w:szCs w:val="12"/>
                    </w:rPr>
                    <w:t>35439379.04</w:t>
                  </w:r>
                </w:p>
              </w:tc>
            </w:tr>
            <w:tr w14:paraId="6A715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128E72D2">
                  <w:pPr>
                    <w:pStyle w:val="6"/>
                    <w:spacing w:before="17" w:line="188" w:lineRule="auto"/>
                    <w:ind w:right="1"/>
                    <w:jc w:val="right"/>
                    <w:rPr>
                      <w:sz w:val="12"/>
                      <w:szCs w:val="12"/>
                    </w:rPr>
                  </w:pPr>
                  <w:r>
                    <w:rPr>
                      <w:spacing w:val="-2"/>
                      <w:sz w:val="12"/>
                      <w:szCs w:val="12"/>
                    </w:rPr>
                    <w:t>估10</w:t>
                  </w:r>
                </w:p>
              </w:tc>
              <w:tc>
                <w:tcPr>
                  <w:tcW w:w="826" w:type="dxa"/>
                  <w:vAlign w:val="top"/>
                </w:tcPr>
                <w:p w14:paraId="63F5C948">
                  <w:pPr>
                    <w:pStyle w:val="6"/>
                    <w:spacing w:before="30" w:line="168" w:lineRule="auto"/>
                    <w:ind w:left="132"/>
                    <w:rPr>
                      <w:sz w:val="12"/>
                      <w:szCs w:val="12"/>
                    </w:rPr>
                  </w:pPr>
                  <w:r>
                    <w:rPr>
                      <w:spacing w:val="-1"/>
                      <w:sz w:val="12"/>
                      <w:szCs w:val="12"/>
                    </w:rPr>
                    <w:t>2806539.55</w:t>
                  </w:r>
                </w:p>
              </w:tc>
              <w:tc>
                <w:tcPr>
                  <w:tcW w:w="811" w:type="dxa"/>
                  <w:vAlign w:val="top"/>
                </w:tcPr>
                <w:p w14:paraId="083E74F3">
                  <w:pPr>
                    <w:pStyle w:val="6"/>
                    <w:spacing w:before="30" w:line="168" w:lineRule="auto"/>
                    <w:ind w:left="95"/>
                    <w:rPr>
                      <w:sz w:val="12"/>
                      <w:szCs w:val="12"/>
                    </w:rPr>
                  </w:pPr>
                  <w:r>
                    <w:rPr>
                      <w:spacing w:val="-1"/>
                      <w:sz w:val="12"/>
                      <w:szCs w:val="12"/>
                    </w:rPr>
                    <w:t>35439219.44</w:t>
                  </w:r>
                </w:p>
              </w:tc>
            </w:tr>
            <w:tr w14:paraId="59732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303" w:type="dxa"/>
                  <w:vAlign w:val="top"/>
                </w:tcPr>
                <w:p w14:paraId="343E867E">
                  <w:pPr>
                    <w:pStyle w:val="6"/>
                    <w:spacing w:before="8" w:line="186" w:lineRule="auto"/>
                    <w:ind w:left="45"/>
                    <w:rPr>
                      <w:sz w:val="12"/>
                      <w:szCs w:val="12"/>
                    </w:rPr>
                  </w:pPr>
                  <w:r>
                    <w:rPr>
                      <w:spacing w:val="-2"/>
                      <w:sz w:val="12"/>
                      <w:szCs w:val="12"/>
                    </w:rPr>
                    <w:t>估1</w:t>
                  </w:r>
                </w:p>
              </w:tc>
              <w:tc>
                <w:tcPr>
                  <w:tcW w:w="826" w:type="dxa"/>
                  <w:vAlign w:val="top"/>
                </w:tcPr>
                <w:p w14:paraId="553C0E2B">
                  <w:pPr>
                    <w:pStyle w:val="6"/>
                    <w:spacing w:before="21" w:line="166" w:lineRule="auto"/>
                    <w:ind w:left="132"/>
                    <w:rPr>
                      <w:sz w:val="12"/>
                      <w:szCs w:val="12"/>
                    </w:rPr>
                  </w:pPr>
                  <w:r>
                    <w:rPr>
                      <w:spacing w:val="-1"/>
                      <w:sz w:val="12"/>
                      <w:szCs w:val="12"/>
                    </w:rPr>
                    <w:t>2306458.37</w:t>
                  </w:r>
                </w:p>
              </w:tc>
              <w:tc>
                <w:tcPr>
                  <w:tcW w:w="811" w:type="dxa"/>
                  <w:vAlign w:val="top"/>
                </w:tcPr>
                <w:p w14:paraId="78660624">
                  <w:pPr>
                    <w:pStyle w:val="6"/>
                    <w:spacing w:before="21" w:line="166" w:lineRule="auto"/>
                    <w:ind w:left="95"/>
                    <w:rPr>
                      <w:sz w:val="12"/>
                      <w:szCs w:val="12"/>
                    </w:rPr>
                  </w:pPr>
                  <w:r>
                    <w:rPr>
                      <w:spacing w:val="-1"/>
                      <w:sz w:val="12"/>
                      <w:szCs w:val="12"/>
                    </w:rPr>
                    <w:t>35439127.19</w:t>
                  </w:r>
                </w:p>
              </w:tc>
            </w:tr>
            <w:tr w14:paraId="2A824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03" w:type="dxa"/>
                  <w:vAlign w:val="top"/>
                </w:tcPr>
                <w:p w14:paraId="74A9F85F">
                  <w:pPr>
                    <w:pStyle w:val="6"/>
                    <w:spacing w:before="18" w:line="185" w:lineRule="auto"/>
                    <w:ind w:right="1"/>
                    <w:jc w:val="right"/>
                    <w:rPr>
                      <w:sz w:val="12"/>
                      <w:szCs w:val="12"/>
                    </w:rPr>
                  </w:pPr>
                  <w:r>
                    <w:rPr>
                      <w:spacing w:val="-2"/>
                      <w:sz w:val="12"/>
                      <w:szCs w:val="12"/>
                    </w:rPr>
                    <w:t>估12</w:t>
                  </w:r>
                </w:p>
              </w:tc>
              <w:tc>
                <w:tcPr>
                  <w:tcW w:w="826" w:type="dxa"/>
                  <w:vAlign w:val="top"/>
                </w:tcPr>
                <w:p w14:paraId="1548B120">
                  <w:pPr>
                    <w:pStyle w:val="6"/>
                    <w:spacing w:before="31" w:line="165" w:lineRule="auto"/>
                    <w:ind w:left="132"/>
                    <w:rPr>
                      <w:sz w:val="12"/>
                      <w:szCs w:val="12"/>
                    </w:rPr>
                  </w:pPr>
                  <w:r>
                    <w:rPr>
                      <w:spacing w:val="-1"/>
                      <w:sz w:val="12"/>
                      <w:szCs w:val="12"/>
                    </w:rPr>
                    <w:t>2806408.55</w:t>
                  </w:r>
                </w:p>
              </w:tc>
              <w:tc>
                <w:tcPr>
                  <w:tcW w:w="811" w:type="dxa"/>
                  <w:vAlign w:val="top"/>
                </w:tcPr>
                <w:p w14:paraId="78EFDE55">
                  <w:pPr>
                    <w:pStyle w:val="6"/>
                    <w:spacing w:before="31" w:line="165" w:lineRule="auto"/>
                    <w:ind w:left="156"/>
                    <w:rPr>
                      <w:sz w:val="12"/>
                      <w:szCs w:val="12"/>
                    </w:rPr>
                  </w:pPr>
                  <w:r>
                    <w:rPr>
                      <w:spacing w:val="-1"/>
                      <w:sz w:val="12"/>
                      <w:szCs w:val="12"/>
                    </w:rPr>
                    <w:t>3543930.69</w:t>
                  </w:r>
                </w:p>
              </w:tc>
            </w:tr>
            <w:tr w14:paraId="436D1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0B0883A9">
                  <w:pPr>
                    <w:pStyle w:val="6"/>
                    <w:spacing w:before="19" w:line="185" w:lineRule="auto"/>
                    <w:ind w:right="1"/>
                    <w:jc w:val="right"/>
                    <w:rPr>
                      <w:sz w:val="12"/>
                      <w:szCs w:val="12"/>
                    </w:rPr>
                  </w:pPr>
                  <w:r>
                    <w:rPr>
                      <w:spacing w:val="-2"/>
                      <w:sz w:val="12"/>
                      <w:szCs w:val="12"/>
                    </w:rPr>
                    <w:t>估13</w:t>
                  </w:r>
                </w:p>
              </w:tc>
              <w:tc>
                <w:tcPr>
                  <w:tcW w:w="826" w:type="dxa"/>
                  <w:vAlign w:val="top"/>
                </w:tcPr>
                <w:p w14:paraId="5B2CC4C7">
                  <w:pPr>
                    <w:pStyle w:val="6"/>
                    <w:spacing w:before="32" w:line="165" w:lineRule="auto"/>
                    <w:ind w:left="132"/>
                    <w:rPr>
                      <w:sz w:val="12"/>
                      <w:szCs w:val="12"/>
                    </w:rPr>
                  </w:pPr>
                  <w:r>
                    <w:rPr>
                      <w:spacing w:val="-1"/>
                      <w:sz w:val="12"/>
                      <w:szCs w:val="12"/>
                    </w:rPr>
                    <w:t>2806366.55</w:t>
                  </w:r>
                </w:p>
              </w:tc>
              <w:tc>
                <w:tcPr>
                  <w:tcW w:w="811" w:type="dxa"/>
                  <w:vAlign w:val="top"/>
                </w:tcPr>
                <w:p w14:paraId="7530E66F">
                  <w:pPr>
                    <w:pStyle w:val="6"/>
                    <w:spacing w:before="32" w:line="165" w:lineRule="auto"/>
                    <w:ind w:left="95"/>
                    <w:rPr>
                      <w:sz w:val="12"/>
                      <w:szCs w:val="12"/>
                    </w:rPr>
                  </w:pPr>
                  <w:r>
                    <w:rPr>
                      <w:spacing w:val="-1"/>
                      <w:sz w:val="12"/>
                      <w:szCs w:val="12"/>
                    </w:rPr>
                    <w:t>35438858.81</w:t>
                  </w:r>
                </w:p>
              </w:tc>
            </w:tr>
            <w:tr w14:paraId="70DA4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Align w:val="top"/>
                </w:tcPr>
                <w:p w14:paraId="69E6E61F">
                  <w:pPr>
                    <w:pStyle w:val="6"/>
                    <w:spacing w:line="184" w:lineRule="auto"/>
                    <w:ind w:right="1"/>
                    <w:jc w:val="right"/>
                    <w:rPr>
                      <w:sz w:val="12"/>
                      <w:szCs w:val="12"/>
                    </w:rPr>
                  </w:pPr>
                  <w:r>
                    <w:rPr>
                      <w:spacing w:val="-2"/>
                      <w:sz w:val="12"/>
                      <w:szCs w:val="12"/>
                    </w:rPr>
                    <w:t>估14</w:t>
                  </w:r>
                </w:p>
              </w:tc>
              <w:tc>
                <w:tcPr>
                  <w:tcW w:w="826" w:type="dxa"/>
                  <w:vAlign w:val="top"/>
                </w:tcPr>
                <w:p w14:paraId="109A9DB1">
                  <w:pPr>
                    <w:pStyle w:val="6"/>
                    <w:spacing w:before="12" w:line="165" w:lineRule="auto"/>
                    <w:ind w:left="132"/>
                    <w:rPr>
                      <w:sz w:val="12"/>
                      <w:szCs w:val="12"/>
                    </w:rPr>
                  </w:pPr>
                  <w:r>
                    <w:rPr>
                      <w:spacing w:val="-1"/>
                      <w:sz w:val="12"/>
                      <w:szCs w:val="12"/>
                    </w:rPr>
                    <w:t>2806292.52</w:t>
                  </w:r>
                </w:p>
              </w:tc>
              <w:tc>
                <w:tcPr>
                  <w:tcW w:w="811" w:type="dxa"/>
                  <w:vAlign w:val="top"/>
                </w:tcPr>
                <w:p w14:paraId="52E19A13">
                  <w:pPr>
                    <w:pStyle w:val="6"/>
                    <w:spacing w:before="12" w:line="165" w:lineRule="auto"/>
                    <w:ind w:left="95"/>
                    <w:rPr>
                      <w:sz w:val="12"/>
                      <w:szCs w:val="12"/>
                    </w:rPr>
                  </w:pPr>
                  <w:r>
                    <w:rPr>
                      <w:spacing w:val="-1"/>
                      <w:sz w:val="12"/>
                      <w:szCs w:val="12"/>
                    </w:rPr>
                    <w:t>35438734.44</w:t>
                  </w:r>
                </w:p>
              </w:tc>
            </w:tr>
            <w:tr w14:paraId="16E26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40119966">
                  <w:pPr>
                    <w:pStyle w:val="6"/>
                    <w:spacing w:before="19" w:line="185" w:lineRule="auto"/>
                    <w:ind w:right="1"/>
                    <w:jc w:val="right"/>
                    <w:rPr>
                      <w:sz w:val="12"/>
                      <w:szCs w:val="12"/>
                    </w:rPr>
                  </w:pPr>
                  <w:r>
                    <w:rPr>
                      <w:spacing w:val="-2"/>
                      <w:sz w:val="12"/>
                      <w:szCs w:val="12"/>
                    </w:rPr>
                    <w:t>估15</w:t>
                  </w:r>
                </w:p>
              </w:tc>
              <w:tc>
                <w:tcPr>
                  <w:tcW w:w="826" w:type="dxa"/>
                  <w:vAlign w:val="top"/>
                </w:tcPr>
                <w:p w14:paraId="4C46C693">
                  <w:pPr>
                    <w:pStyle w:val="6"/>
                    <w:spacing w:before="32" w:line="165" w:lineRule="auto"/>
                    <w:ind w:left="132"/>
                    <w:rPr>
                      <w:sz w:val="12"/>
                      <w:szCs w:val="12"/>
                    </w:rPr>
                  </w:pPr>
                  <w:r>
                    <w:rPr>
                      <w:spacing w:val="-1"/>
                      <w:sz w:val="12"/>
                      <w:szCs w:val="12"/>
                    </w:rPr>
                    <w:t>2806026.64</w:t>
                  </w:r>
                </w:p>
              </w:tc>
              <w:tc>
                <w:tcPr>
                  <w:tcW w:w="811" w:type="dxa"/>
                  <w:vAlign w:val="top"/>
                </w:tcPr>
                <w:p w14:paraId="026E553B">
                  <w:pPr>
                    <w:pStyle w:val="6"/>
                    <w:spacing w:before="32" w:line="165" w:lineRule="auto"/>
                    <w:ind w:left="95"/>
                    <w:rPr>
                      <w:sz w:val="12"/>
                      <w:szCs w:val="12"/>
                    </w:rPr>
                  </w:pPr>
                  <w:r>
                    <w:rPr>
                      <w:spacing w:val="-1"/>
                      <w:sz w:val="12"/>
                      <w:szCs w:val="12"/>
                    </w:rPr>
                    <w:t>35438689.83</w:t>
                  </w:r>
                </w:p>
              </w:tc>
            </w:tr>
            <w:tr w14:paraId="625E2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Align w:val="top"/>
                </w:tcPr>
                <w:p w14:paraId="2C1644F6">
                  <w:pPr>
                    <w:pStyle w:val="6"/>
                    <w:spacing w:line="184" w:lineRule="auto"/>
                    <w:ind w:right="1"/>
                    <w:jc w:val="right"/>
                    <w:rPr>
                      <w:sz w:val="12"/>
                      <w:szCs w:val="12"/>
                    </w:rPr>
                  </w:pPr>
                  <w:r>
                    <w:rPr>
                      <w:spacing w:val="-2"/>
                      <w:sz w:val="12"/>
                      <w:szCs w:val="12"/>
                    </w:rPr>
                    <w:t>估16</w:t>
                  </w:r>
                </w:p>
              </w:tc>
              <w:tc>
                <w:tcPr>
                  <w:tcW w:w="826" w:type="dxa"/>
                  <w:vAlign w:val="top"/>
                </w:tcPr>
                <w:p w14:paraId="3D86A12C">
                  <w:pPr>
                    <w:pStyle w:val="6"/>
                    <w:spacing w:before="12" w:line="165" w:lineRule="auto"/>
                    <w:ind w:left="132"/>
                    <w:rPr>
                      <w:sz w:val="12"/>
                      <w:szCs w:val="12"/>
                    </w:rPr>
                  </w:pPr>
                  <w:r>
                    <w:rPr>
                      <w:spacing w:val="-1"/>
                      <w:sz w:val="12"/>
                      <w:szCs w:val="12"/>
                    </w:rPr>
                    <w:t>2806019.46</w:t>
                  </w:r>
                </w:p>
              </w:tc>
              <w:tc>
                <w:tcPr>
                  <w:tcW w:w="811" w:type="dxa"/>
                  <w:vAlign w:val="top"/>
                </w:tcPr>
                <w:p w14:paraId="58170EDC">
                  <w:pPr>
                    <w:pStyle w:val="6"/>
                    <w:spacing w:before="12" w:line="165" w:lineRule="auto"/>
                    <w:ind w:left="95"/>
                    <w:rPr>
                      <w:sz w:val="12"/>
                      <w:szCs w:val="12"/>
                    </w:rPr>
                  </w:pPr>
                  <w:r>
                    <w:rPr>
                      <w:spacing w:val="-1"/>
                      <w:sz w:val="12"/>
                      <w:szCs w:val="12"/>
                    </w:rPr>
                    <w:t>35438648.23</w:t>
                  </w:r>
                </w:p>
              </w:tc>
            </w:tr>
            <w:tr w14:paraId="320A2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303" w:type="dxa"/>
                  <w:vAlign w:val="top"/>
                </w:tcPr>
                <w:p w14:paraId="6A4C0058">
                  <w:pPr>
                    <w:pStyle w:val="6"/>
                    <w:spacing w:before="19" w:line="199" w:lineRule="auto"/>
                    <w:ind w:right="1"/>
                    <w:jc w:val="right"/>
                    <w:rPr>
                      <w:sz w:val="12"/>
                      <w:szCs w:val="12"/>
                    </w:rPr>
                  </w:pPr>
                  <w:r>
                    <w:rPr>
                      <w:spacing w:val="-2"/>
                      <w:sz w:val="12"/>
                      <w:szCs w:val="12"/>
                    </w:rPr>
                    <w:t>估17</w:t>
                  </w:r>
                </w:p>
              </w:tc>
              <w:tc>
                <w:tcPr>
                  <w:tcW w:w="826" w:type="dxa"/>
                  <w:vAlign w:val="top"/>
                </w:tcPr>
                <w:p w14:paraId="56997A35">
                  <w:pPr>
                    <w:pStyle w:val="6"/>
                    <w:spacing w:before="32" w:line="179" w:lineRule="auto"/>
                    <w:ind w:left="132"/>
                    <w:rPr>
                      <w:sz w:val="12"/>
                      <w:szCs w:val="12"/>
                    </w:rPr>
                  </w:pPr>
                  <w:r>
                    <w:rPr>
                      <w:spacing w:val="-1"/>
                      <w:sz w:val="12"/>
                      <w:szCs w:val="12"/>
                    </w:rPr>
                    <w:t>2806165.13</w:t>
                  </w:r>
                </w:p>
              </w:tc>
              <w:tc>
                <w:tcPr>
                  <w:tcW w:w="811" w:type="dxa"/>
                  <w:vAlign w:val="top"/>
                </w:tcPr>
                <w:p w14:paraId="6CD0D792">
                  <w:pPr>
                    <w:pStyle w:val="6"/>
                    <w:spacing w:before="32" w:line="179" w:lineRule="auto"/>
                    <w:ind w:left="95"/>
                    <w:rPr>
                      <w:sz w:val="12"/>
                      <w:szCs w:val="12"/>
                    </w:rPr>
                  </w:pPr>
                  <w:r>
                    <w:rPr>
                      <w:spacing w:val="-1"/>
                      <w:sz w:val="12"/>
                      <w:szCs w:val="12"/>
                    </w:rPr>
                    <w:t>35438468.77</w:t>
                  </w:r>
                </w:p>
              </w:tc>
            </w:tr>
            <w:tr w14:paraId="2EBED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303" w:type="dxa"/>
                  <w:vAlign w:val="top"/>
                </w:tcPr>
                <w:p w14:paraId="14BA2A5A">
                  <w:pPr>
                    <w:pStyle w:val="6"/>
                    <w:spacing w:before="20" w:line="182" w:lineRule="auto"/>
                    <w:ind w:right="1"/>
                    <w:jc w:val="right"/>
                    <w:rPr>
                      <w:sz w:val="12"/>
                      <w:szCs w:val="12"/>
                    </w:rPr>
                  </w:pPr>
                  <w:r>
                    <w:rPr>
                      <w:spacing w:val="-2"/>
                      <w:sz w:val="12"/>
                      <w:szCs w:val="12"/>
                    </w:rPr>
                    <w:t>估18</w:t>
                  </w:r>
                </w:p>
              </w:tc>
              <w:tc>
                <w:tcPr>
                  <w:tcW w:w="826" w:type="dxa"/>
                  <w:vAlign w:val="top"/>
                </w:tcPr>
                <w:p w14:paraId="55FED89A">
                  <w:pPr>
                    <w:pStyle w:val="6"/>
                    <w:spacing w:before="33" w:line="162" w:lineRule="auto"/>
                    <w:ind w:left="132"/>
                    <w:rPr>
                      <w:sz w:val="12"/>
                      <w:szCs w:val="12"/>
                    </w:rPr>
                  </w:pPr>
                  <w:r>
                    <w:rPr>
                      <w:spacing w:val="-1"/>
                      <w:sz w:val="12"/>
                      <w:szCs w:val="12"/>
                    </w:rPr>
                    <w:t>2806207.33</w:t>
                  </w:r>
                </w:p>
              </w:tc>
              <w:tc>
                <w:tcPr>
                  <w:tcW w:w="811" w:type="dxa"/>
                  <w:vAlign w:val="top"/>
                </w:tcPr>
                <w:p w14:paraId="51BE1315">
                  <w:pPr>
                    <w:pStyle w:val="6"/>
                    <w:spacing w:before="33" w:line="162" w:lineRule="auto"/>
                    <w:ind w:left="95"/>
                    <w:rPr>
                      <w:sz w:val="12"/>
                      <w:szCs w:val="12"/>
                    </w:rPr>
                  </w:pPr>
                  <w:r>
                    <w:rPr>
                      <w:spacing w:val="-1"/>
                      <w:sz w:val="12"/>
                      <w:szCs w:val="12"/>
                    </w:rPr>
                    <w:t>35438458.47</w:t>
                  </w:r>
                </w:p>
              </w:tc>
            </w:tr>
            <w:tr w14:paraId="6F148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303" w:type="dxa"/>
                  <w:vAlign w:val="top"/>
                </w:tcPr>
                <w:p w14:paraId="106B92C1">
                  <w:pPr>
                    <w:pStyle w:val="6"/>
                    <w:spacing w:before="1" w:line="182" w:lineRule="auto"/>
                    <w:ind w:right="1"/>
                    <w:jc w:val="right"/>
                    <w:rPr>
                      <w:sz w:val="12"/>
                      <w:szCs w:val="12"/>
                    </w:rPr>
                  </w:pPr>
                  <w:r>
                    <w:rPr>
                      <w:spacing w:val="-2"/>
                      <w:sz w:val="12"/>
                      <w:szCs w:val="12"/>
                    </w:rPr>
                    <w:t>估19</w:t>
                  </w:r>
                </w:p>
              </w:tc>
              <w:tc>
                <w:tcPr>
                  <w:tcW w:w="826" w:type="dxa"/>
                  <w:vAlign w:val="top"/>
                </w:tcPr>
                <w:p w14:paraId="7C431372">
                  <w:pPr>
                    <w:pStyle w:val="6"/>
                    <w:spacing w:before="14" w:line="162" w:lineRule="auto"/>
                    <w:ind w:left="132"/>
                    <w:rPr>
                      <w:sz w:val="12"/>
                      <w:szCs w:val="12"/>
                    </w:rPr>
                  </w:pPr>
                  <w:r>
                    <w:rPr>
                      <w:spacing w:val="-1"/>
                      <w:sz w:val="12"/>
                      <w:szCs w:val="12"/>
                    </w:rPr>
                    <w:t>2806451.48</w:t>
                  </w:r>
                </w:p>
              </w:tc>
              <w:tc>
                <w:tcPr>
                  <w:tcW w:w="811" w:type="dxa"/>
                  <w:vAlign w:val="top"/>
                </w:tcPr>
                <w:p w14:paraId="64968D49">
                  <w:pPr>
                    <w:pStyle w:val="6"/>
                    <w:spacing w:before="14" w:line="162" w:lineRule="auto"/>
                    <w:ind w:left="95"/>
                    <w:rPr>
                      <w:sz w:val="12"/>
                      <w:szCs w:val="12"/>
                    </w:rPr>
                  </w:pPr>
                  <w:r>
                    <w:rPr>
                      <w:spacing w:val="-1"/>
                      <w:sz w:val="12"/>
                      <w:szCs w:val="12"/>
                    </w:rPr>
                    <w:t>35438447.46</w:t>
                  </w:r>
                </w:p>
              </w:tc>
            </w:tr>
            <w:tr w14:paraId="79B49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5ED4F021">
                  <w:pPr>
                    <w:pStyle w:val="6"/>
                    <w:spacing w:before="21" w:line="182" w:lineRule="auto"/>
                    <w:ind w:right="1"/>
                    <w:jc w:val="right"/>
                    <w:rPr>
                      <w:sz w:val="12"/>
                      <w:szCs w:val="12"/>
                    </w:rPr>
                  </w:pPr>
                  <w:r>
                    <w:rPr>
                      <w:spacing w:val="-2"/>
                      <w:sz w:val="12"/>
                      <w:szCs w:val="12"/>
                    </w:rPr>
                    <w:t>估20</w:t>
                  </w:r>
                </w:p>
              </w:tc>
              <w:tc>
                <w:tcPr>
                  <w:tcW w:w="826" w:type="dxa"/>
                  <w:vAlign w:val="top"/>
                </w:tcPr>
                <w:p w14:paraId="738AEFBE">
                  <w:pPr>
                    <w:pStyle w:val="6"/>
                    <w:spacing w:before="34" w:line="162" w:lineRule="auto"/>
                    <w:ind w:left="132"/>
                    <w:rPr>
                      <w:sz w:val="12"/>
                      <w:szCs w:val="12"/>
                    </w:rPr>
                  </w:pPr>
                  <w:r>
                    <w:rPr>
                      <w:spacing w:val="-1"/>
                      <w:sz w:val="12"/>
                      <w:szCs w:val="12"/>
                    </w:rPr>
                    <w:t>2806519.89</w:t>
                  </w:r>
                </w:p>
              </w:tc>
              <w:tc>
                <w:tcPr>
                  <w:tcW w:w="811" w:type="dxa"/>
                  <w:vAlign w:val="top"/>
                </w:tcPr>
                <w:p w14:paraId="2742CA41">
                  <w:pPr>
                    <w:pStyle w:val="6"/>
                    <w:spacing w:before="34" w:line="162" w:lineRule="auto"/>
                    <w:ind w:left="95"/>
                    <w:rPr>
                      <w:sz w:val="12"/>
                      <w:szCs w:val="12"/>
                    </w:rPr>
                  </w:pPr>
                  <w:r>
                    <w:rPr>
                      <w:spacing w:val="-1"/>
                      <w:sz w:val="12"/>
                      <w:szCs w:val="12"/>
                    </w:rPr>
                    <w:t>35438346.69</w:t>
                  </w:r>
                </w:p>
              </w:tc>
            </w:tr>
            <w:tr w14:paraId="78524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303" w:type="dxa"/>
                  <w:vAlign w:val="top"/>
                </w:tcPr>
                <w:p w14:paraId="5CDD7EF6">
                  <w:pPr>
                    <w:pStyle w:val="6"/>
                    <w:spacing w:before="22" w:line="181" w:lineRule="auto"/>
                    <w:ind w:left="55"/>
                    <w:rPr>
                      <w:sz w:val="12"/>
                      <w:szCs w:val="12"/>
                    </w:rPr>
                  </w:pPr>
                  <w:r>
                    <w:rPr>
                      <w:spacing w:val="-2"/>
                      <w:sz w:val="12"/>
                      <w:szCs w:val="12"/>
                    </w:rPr>
                    <w:t>估2</w:t>
                  </w:r>
                </w:p>
              </w:tc>
              <w:tc>
                <w:tcPr>
                  <w:tcW w:w="826" w:type="dxa"/>
                  <w:vAlign w:val="top"/>
                </w:tcPr>
                <w:p w14:paraId="620D513F">
                  <w:pPr>
                    <w:pStyle w:val="6"/>
                    <w:spacing w:before="34" w:line="162" w:lineRule="auto"/>
                    <w:ind w:left="132"/>
                    <w:rPr>
                      <w:sz w:val="12"/>
                      <w:szCs w:val="12"/>
                    </w:rPr>
                  </w:pPr>
                  <w:r>
                    <w:rPr>
                      <w:spacing w:val="-1"/>
                      <w:sz w:val="12"/>
                      <w:szCs w:val="12"/>
                    </w:rPr>
                    <w:t>2806971.78</w:t>
                  </w:r>
                </w:p>
              </w:tc>
              <w:tc>
                <w:tcPr>
                  <w:tcW w:w="811" w:type="dxa"/>
                  <w:vAlign w:val="top"/>
                </w:tcPr>
                <w:p w14:paraId="2901309E">
                  <w:pPr>
                    <w:pStyle w:val="6"/>
                    <w:spacing w:before="34" w:line="162" w:lineRule="auto"/>
                    <w:ind w:left="95"/>
                    <w:rPr>
                      <w:sz w:val="12"/>
                      <w:szCs w:val="12"/>
                    </w:rPr>
                  </w:pPr>
                  <w:r>
                    <w:rPr>
                      <w:spacing w:val="-1"/>
                      <w:sz w:val="12"/>
                      <w:szCs w:val="12"/>
                    </w:rPr>
                    <w:t>35438176.11</w:t>
                  </w:r>
                </w:p>
              </w:tc>
            </w:tr>
            <w:tr w14:paraId="67646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 w:hRule="atLeast"/>
              </w:trPr>
              <w:tc>
                <w:tcPr>
                  <w:tcW w:w="303" w:type="dxa"/>
                  <w:vAlign w:val="top"/>
                </w:tcPr>
                <w:p w14:paraId="02E10C15">
                  <w:pPr>
                    <w:pStyle w:val="6"/>
                    <w:spacing w:before="1" w:line="180" w:lineRule="auto"/>
                    <w:ind w:right="1"/>
                    <w:jc w:val="right"/>
                    <w:rPr>
                      <w:sz w:val="12"/>
                      <w:szCs w:val="12"/>
                    </w:rPr>
                  </w:pPr>
                  <w:r>
                    <w:rPr>
                      <w:spacing w:val="-2"/>
                      <w:sz w:val="12"/>
                      <w:szCs w:val="12"/>
                    </w:rPr>
                    <w:t>估22</w:t>
                  </w:r>
                </w:p>
              </w:tc>
              <w:tc>
                <w:tcPr>
                  <w:tcW w:w="826" w:type="dxa"/>
                  <w:vAlign w:val="top"/>
                </w:tcPr>
                <w:p w14:paraId="4BBEEA12">
                  <w:pPr>
                    <w:pStyle w:val="6"/>
                    <w:spacing w:before="14" w:line="160" w:lineRule="auto"/>
                    <w:ind w:left="132"/>
                    <w:rPr>
                      <w:sz w:val="12"/>
                      <w:szCs w:val="12"/>
                    </w:rPr>
                  </w:pPr>
                  <w:r>
                    <w:rPr>
                      <w:spacing w:val="-1"/>
                      <w:sz w:val="12"/>
                      <w:szCs w:val="12"/>
                    </w:rPr>
                    <w:t>2807066.21</w:t>
                  </w:r>
                </w:p>
              </w:tc>
              <w:tc>
                <w:tcPr>
                  <w:tcW w:w="811" w:type="dxa"/>
                  <w:vAlign w:val="top"/>
                </w:tcPr>
                <w:p w14:paraId="190E6154">
                  <w:pPr>
                    <w:pStyle w:val="6"/>
                    <w:spacing w:before="14" w:line="160" w:lineRule="auto"/>
                    <w:ind w:left="95"/>
                    <w:rPr>
                      <w:sz w:val="12"/>
                      <w:szCs w:val="12"/>
                    </w:rPr>
                  </w:pPr>
                  <w:r>
                    <w:rPr>
                      <w:spacing w:val="-1"/>
                      <w:sz w:val="12"/>
                      <w:szCs w:val="12"/>
                    </w:rPr>
                    <w:t>35438087.01</w:t>
                  </w:r>
                </w:p>
              </w:tc>
            </w:tr>
            <w:tr w14:paraId="603ED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40" w:type="dxa"/>
                  <w:gridSpan w:val="3"/>
                  <w:vAlign w:val="top"/>
                </w:tcPr>
                <w:p w14:paraId="7B919D43">
                  <w:pPr>
                    <w:pStyle w:val="6"/>
                    <w:spacing w:before="52" w:line="218" w:lineRule="auto"/>
                    <w:ind w:left="505"/>
                    <w:rPr>
                      <w:sz w:val="12"/>
                      <w:szCs w:val="12"/>
                    </w:rPr>
                  </w:pPr>
                  <w:r>
                    <w:rPr>
                      <w:spacing w:val="7"/>
                      <w:sz w:val="12"/>
                      <w:szCs w:val="12"/>
                    </w:rPr>
                    <w:t>估算面积：0.748</w:t>
                  </w:r>
                  <w:r>
                    <w:rPr>
                      <w:sz w:val="12"/>
                      <w:szCs w:val="12"/>
                    </w:rPr>
                    <w:t>km</w:t>
                  </w:r>
                  <w:r>
                    <w:rPr>
                      <w:spacing w:val="7"/>
                      <w:sz w:val="12"/>
                      <w:szCs w:val="12"/>
                    </w:rPr>
                    <w:t>²</w:t>
                  </w:r>
                </w:p>
                <w:p w14:paraId="3FE50564">
                  <w:pPr>
                    <w:pStyle w:val="6"/>
                    <w:spacing w:before="28" w:line="218" w:lineRule="auto"/>
                    <w:ind w:left="445"/>
                    <w:rPr>
                      <w:sz w:val="12"/>
                      <w:szCs w:val="12"/>
                    </w:rPr>
                  </w:pPr>
                  <w:r>
                    <w:rPr>
                      <w:spacing w:val="-1"/>
                      <w:sz w:val="12"/>
                      <w:szCs w:val="12"/>
                    </w:rPr>
                    <w:t>估算标高：1700m1500m</w:t>
                  </w:r>
                </w:p>
              </w:tc>
            </w:tr>
          </w:tbl>
          <w:p w14:paraId="7C0AA3F8">
            <w:pPr>
              <w:spacing w:line="164" w:lineRule="exact"/>
              <w:rPr>
                <w:rFonts w:ascii="Arial"/>
                <w:sz w:val="14"/>
              </w:rPr>
            </w:pPr>
          </w:p>
        </w:tc>
        <w:tc>
          <w:tcPr>
            <w:tcW w:w="1778" w:type="dxa"/>
            <w:vMerge w:val="continue"/>
            <w:tcBorders>
              <w:top w:val="nil"/>
            </w:tcBorders>
            <w:vAlign w:val="top"/>
          </w:tcPr>
          <w:p w14:paraId="3DC9260B">
            <w:pPr>
              <w:rPr>
                <w:rFonts w:ascii="Arial"/>
                <w:sz w:val="21"/>
              </w:rPr>
            </w:pPr>
          </w:p>
        </w:tc>
        <w:tc>
          <w:tcPr>
            <w:tcW w:w="180" w:type="dxa"/>
            <w:vMerge w:val="continue"/>
            <w:tcBorders>
              <w:top w:val="nil"/>
            </w:tcBorders>
            <w:vAlign w:val="top"/>
          </w:tcPr>
          <w:p w14:paraId="53DCC4F3">
            <w:pPr>
              <w:rPr>
                <w:rFonts w:ascii="Arial"/>
                <w:sz w:val="21"/>
              </w:rPr>
            </w:pPr>
          </w:p>
        </w:tc>
        <w:tc>
          <w:tcPr>
            <w:tcW w:w="255" w:type="dxa"/>
            <w:vMerge w:val="continue"/>
            <w:tcBorders>
              <w:top w:val="nil"/>
              <w:bottom w:val="nil"/>
            </w:tcBorders>
            <w:vAlign w:val="top"/>
          </w:tcPr>
          <w:p w14:paraId="5753ACAD">
            <w:pPr>
              <w:rPr>
                <w:rFonts w:ascii="Arial"/>
                <w:sz w:val="21"/>
              </w:rPr>
            </w:pPr>
          </w:p>
        </w:tc>
      </w:tr>
      <w:tr w14:paraId="4C318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6" w:hRule="atLeast"/>
        </w:trPr>
        <w:tc>
          <w:tcPr>
            <w:tcW w:w="244" w:type="dxa"/>
            <w:vMerge w:val="continue"/>
            <w:tcBorders>
              <w:top w:val="nil"/>
            </w:tcBorders>
            <w:vAlign w:val="top"/>
          </w:tcPr>
          <w:p w14:paraId="52D739C4">
            <w:pPr>
              <w:rPr>
                <w:rFonts w:ascii="Arial"/>
                <w:sz w:val="21"/>
              </w:rPr>
            </w:pPr>
          </w:p>
        </w:tc>
        <w:tc>
          <w:tcPr>
            <w:tcW w:w="5742" w:type="dxa"/>
            <w:gridSpan w:val="4"/>
            <w:vMerge w:val="continue"/>
            <w:tcBorders>
              <w:top w:val="nil"/>
            </w:tcBorders>
            <w:vAlign w:val="top"/>
          </w:tcPr>
          <w:p w14:paraId="2F02CCEA">
            <w:pPr>
              <w:rPr>
                <w:rFonts w:ascii="Arial"/>
                <w:sz w:val="21"/>
              </w:rPr>
            </w:pPr>
          </w:p>
        </w:tc>
        <w:tc>
          <w:tcPr>
            <w:tcW w:w="1958" w:type="dxa"/>
            <w:gridSpan w:val="2"/>
            <w:vAlign w:val="top"/>
          </w:tcPr>
          <w:p w14:paraId="34FE30EB">
            <w:pPr>
              <w:spacing w:line="347" w:lineRule="auto"/>
              <w:rPr>
                <w:rFonts w:ascii="Arial"/>
                <w:sz w:val="21"/>
              </w:rPr>
            </w:pPr>
            <w:r>
              <w:pict>
                <v:shape id="_x0000_s1047" o:spid="_x0000_s1047" o:spt="202" type="#_x0000_t202" style="position:absolute;left:0pt;margin-left:75.15pt;margin-top:60.4pt;height:15pt;width:9.3pt;mso-position-horizontal-relative:page;mso-position-vertical-relative:page;z-index:251684864;mso-width-relative:page;mso-height-relative:page;" filled="f" stroked="f" coordsize="21600,21600">
                  <v:path/>
                  <v:fill on="f" focussize="0,0"/>
                  <v:stroke on="f"/>
                  <v:imagedata o:title=""/>
                  <o:lock v:ext="edit" aspectratio="f"/>
                  <v:textbox inset="0mm,0mm,0mm,0mm" style="layout-flow:vertical-ideographic;">
                    <w:txbxContent>
                      <w:p w14:paraId="271490F1">
                        <w:pPr>
                          <w:pStyle w:val="6"/>
                          <w:spacing w:before="19" w:line="201" w:lineRule="auto"/>
                          <w:ind w:left="20"/>
                          <w:rPr>
                            <w:sz w:val="13"/>
                            <w:szCs w:val="13"/>
                          </w:rPr>
                        </w:pPr>
                        <w:r>
                          <w:rPr>
                            <w:sz w:val="13"/>
                            <w:szCs w:val="13"/>
                          </w:rPr>
                          <w:t>矿界</w:t>
                        </w:r>
                      </w:p>
                    </w:txbxContent>
                  </v:textbox>
                </v:shape>
              </w:pict>
            </w:r>
          </w:p>
          <w:p w14:paraId="0F9BD68F">
            <w:pPr>
              <w:spacing w:line="348" w:lineRule="auto"/>
              <w:rPr>
                <w:rFonts w:ascii="Arial"/>
                <w:sz w:val="21"/>
              </w:rPr>
            </w:pPr>
          </w:p>
          <w:p w14:paraId="5FF28BD0">
            <w:pPr>
              <w:pStyle w:val="6"/>
              <w:spacing w:before="42" w:line="221" w:lineRule="auto"/>
              <w:ind w:left="28"/>
              <w:rPr>
                <w:sz w:val="13"/>
                <w:szCs w:val="13"/>
              </w:rPr>
            </w:pPr>
            <w:r>
              <w:rPr>
                <w:spacing w:val="-2"/>
                <w:sz w:val="13"/>
                <w:szCs w:val="13"/>
              </w:rPr>
              <w:t>面示意图</w:t>
            </w:r>
          </w:p>
          <w:p w14:paraId="46505065">
            <w:pPr>
              <w:spacing w:line="399" w:lineRule="auto"/>
              <w:rPr>
                <w:rFonts w:ascii="Arial"/>
                <w:sz w:val="21"/>
              </w:rPr>
            </w:pPr>
          </w:p>
          <w:p w14:paraId="76F30C4E">
            <w:pPr>
              <w:pStyle w:val="6"/>
              <w:spacing w:before="59" w:line="182" w:lineRule="auto"/>
              <w:ind w:left="28"/>
              <w:rPr>
                <w:sz w:val="18"/>
                <w:szCs w:val="18"/>
              </w:rPr>
            </w:pPr>
            <w:r>
              <w:rPr>
                <w:spacing w:val="-3"/>
                <w:sz w:val="13"/>
                <w:szCs w:val="13"/>
              </w:rPr>
              <w:t>②</w:t>
            </w:r>
            <w:r>
              <w:rPr>
                <w:spacing w:val="11"/>
                <w:sz w:val="13"/>
                <w:szCs w:val="13"/>
              </w:rPr>
              <w:t xml:space="preserve"> </w:t>
            </w:r>
            <w:r>
              <w:rPr>
                <w:spacing w:val="-3"/>
                <w:sz w:val="18"/>
                <w:szCs w:val="18"/>
              </w:rPr>
              <w:t>P</w:t>
            </w:r>
            <w:r>
              <w:rPr>
                <w:rFonts w:ascii="Calibri" w:hAnsi="Calibri" w:eastAsia="Calibri" w:cs="Calibri"/>
                <w:spacing w:val="-3"/>
                <w:sz w:val="18"/>
                <w:szCs w:val="18"/>
              </w:rPr>
              <w:t>₁</w:t>
            </w:r>
            <w:r>
              <w:rPr>
                <w:spacing w:val="-3"/>
                <w:sz w:val="18"/>
                <w:szCs w:val="18"/>
              </w:rPr>
              <w:t>y</w:t>
            </w:r>
          </w:p>
          <w:p w14:paraId="327502B3">
            <w:pPr>
              <w:pStyle w:val="6"/>
              <w:spacing w:before="23" w:line="249" w:lineRule="auto"/>
              <w:ind w:left="1725" w:hanging="1377"/>
              <w:rPr>
                <w:sz w:val="12"/>
                <w:szCs w:val="12"/>
              </w:rPr>
            </w:pPr>
            <w:r>
              <w:rPr>
                <w:spacing w:val="-5"/>
                <w:position w:val="8"/>
                <w:sz w:val="13"/>
                <w:szCs w:val="13"/>
              </w:rPr>
              <w:t>②</w:t>
            </w:r>
            <w:r>
              <w:rPr>
                <w:spacing w:val="3"/>
                <w:position w:val="8"/>
                <w:sz w:val="13"/>
                <w:szCs w:val="13"/>
              </w:rPr>
              <w:t xml:space="preserve">         </w:t>
            </w:r>
            <w:r>
              <w:rPr>
                <w:spacing w:val="-5"/>
                <w:sz w:val="25"/>
                <w:szCs w:val="25"/>
              </w:rPr>
              <w:t>FsPv</w:t>
            </w:r>
            <w:r>
              <w:rPr>
                <w:spacing w:val="16"/>
                <w:sz w:val="25"/>
                <w:szCs w:val="25"/>
              </w:rPr>
              <w:t xml:space="preserve"> </w:t>
            </w:r>
            <w:r>
              <w:rPr>
                <w:spacing w:val="-5"/>
                <w:position w:val="-2"/>
                <w:sz w:val="13"/>
                <w:szCs w:val="13"/>
              </w:rPr>
              <w:t>1500</w:t>
            </w:r>
            <w:r>
              <w:rPr>
                <w:position w:val="-2"/>
                <w:sz w:val="13"/>
                <w:szCs w:val="13"/>
              </w:rPr>
              <w:t xml:space="preserve"> </w:t>
            </w:r>
            <w:r>
              <w:rPr>
                <w:spacing w:val="-8"/>
                <w:sz w:val="12"/>
                <w:szCs w:val="12"/>
              </w:rPr>
              <w:t>1400</w:t>
            </w:r>
          </w:p>
          <w:p w14:paraId="15F7C9E1">
            <w:pPr>
              <w:spacing w:line="255" w:lineRule="auto"/>
              <w:rPr>
                <w:rFonts w:ascii="Arial"/>
                <w:sz w:val="21"/>
              </w:rPr>
            </w:pPr>
          </w:p>
          <w:p w14:paraId="6293FF99">
            <w:pPr>
              <w:spacing w:line="255" w:lineRule="auto"/>
              <w:rPr>
                <w:rFonts w:ascii="Arial"/>
                <w:sz w:val="21"/>
              </w:rPr>
            </w:pPr>
          </w:p>
          <w:p w14:paraId="20ED8745">
            <w:pPr>
              <w:pStyle w:val="6"/>
              <w:spacing w:before="42" w:line="199" w:lineRule="auto"/>
              <w:ind w:left="28"/>
              <w:rPr>
                <w:sz w:val="13"/>
                <w:szCs w:val="13"/>
              </w:rPr>
            </w:pPr>
            <w:r>
              <w:rPr>
                <w:spacing w:val="-2"/>
                <w:sz w:val="13"/>
                <w:szCs w:val="13"/>
              </w:rPr>
              <w:t>3.88</w:t>
            </w:r>
          </w:p>
          <w:p w14:paraId="3A73CABC">
            <w:pPr>
              <w:pStyle w:val="6"/>
              <w:spacing w:line="184" w:lineRule="auto"/>
              <w:ind w:left="28"/>
              <w:rPr>
                <w:sz w:val="13"/>
                <w:szCs w:val="13"/>
              </w:rPr>
            </w:pPr>
            <w:r>
              <w:rPr>
                <w:spacing w:val="-2"/>
                <w:sz w:val="13"/>
                <w:szCs w:val="13"/>
              </w:rPr>
              <w:t>.89</w:t>
            </w:r>
          </w:p>
          <w:p w14:paraId="6EE6EE25">
            <w:pPr>
              <w:pStyle w:val="6"/>
              <w:spacing w:before="1" w:line="238" w:lineRule="auto"/>
              <w:ind w:left="18"/>
              <w:rPr>
                <w:sz w:val="13"/>
                <w:szCs w:val="13"/>
              </w:rPr>
            </w:pPr>
            <w:r>
              <w:rPr>
                <w:spacing w:val="-2"/>
                <w:sz w:val="13"/>
                <w:szCs w:val="13"/>
              </w:rPr>
              <w:t>.89</w:t>
            </w:r>
          </w:p>
          <w:p w14:paraId="18196669">
            <w:pPr>
              <w:pStyle w:val="6"/>
              <w:spacing w:before="1" w:line="199" w:lineRule="auto"/>
              <w:ind w:left="28"/>
              <w:rPr>
                <w:sz w:val="13"/>
                <w:szCs w:val="13"/>
              </w:rPr>
            </w:pPr>
            <w:r>
              <w:rPr>
                <w:spacing w:val="-2"/>
                <w:sz w:val="13"/>
                <w:szCs w:val="13"/>
              </w:rPr>
              <w:t>7.9</w:t>
            </w:r>
          </w:p>
          <w:p w14:paraId="5D17ADDF">
            <w:pPr>
              <w:pStyle w:val="6"/>
              <w:spacing w:before="1" w:line="198" w:lineRule="auto"/>
              <w:ind w:left="28"/>
              <w:rPr>
                <w:sz w:val="13"/>
                <w:szCs w:val="13"/>
              </w:rPr>
            </w:pPr>
            <w:r>
              <w:rPr>
                <w:spacing w:val="-2"/>
                <w:sz w:val="13"/>
                <w:szCs w:val="13"/>
              </w:rPr>
              <w:t>9.9</w:t>
            </w:r>
          </w:p>
          <w:p w14:paraId="04A3697D">
            <w:pPr>
              <w:pStyle w:val="6"/>
              <w:spacing w:line="227" w:lineRule="auto"/>
              <w:ind w:left="28"/>
              <w:rPr>
                <w:sz w:val="13"/>
                <w:szCs w:val="13"/>
              </w:rPr>
            </w:pPr>
            <w:r>
              <w:rPr>
                <w:spacing w:val="-2"/>
                <w:sz w:val="13"/>
                <w:szCs w:val="13"/>
              </w:rPr>
              <w:t>.89</w:t>
            </w:r>
          </w:p>
          <w:p w14:paraId="0A3A760D">
            <w:pPr>
              <w:pStyle w:val="6"/>
              <w:spacing w:before="1" w:line="198" w:lineRule="auto"/>
              <w:ind w:left="28"/>
              <w:rPr>
                <w:sz w:val="13"/>
                <w:szCs w:val="13"/>
              </w:rPr>
            </w:pPr>
            <w:r>
              <w:rPr>
                <w:spacing w:val="-2"/>
                <w:sz w:val="13"/>
                <w:szCs w:val="13"/>
              </w:rPr>
              <w:t>.87</w:t>
            </w:r>
          </w:p>
          <w:p w14:paraId="2A074F38">
            <w:pPr>
              <w:pStyle w:val="6"/>
              <w:spacing w:line="238" w:lineRule="auto"/>
              <w:ind w:left="28"/>
              <w:rPr>
                <w:sz w:val="13"/>
                <w:szCs w:val="13"/>
              </w:rPr>
            </w:pPr>
            <w:r>
              <w:rPr>
                <w:spacing w:val="-2"/>
                <w:sz w:val="13"/>
                <w:szCs w:val="13"/>
              </w:rPr>
              <w:t>.88</w:t>
            </w:r>
          </w:p>
        </w:tc>
        <w:tc>
          <w:tcPr>
            <w:tcW w:w="255" w:type="dxa"/>
            <w:vMerge w:val="continue"/>
            <w:tcBorders>
              <w:top w:val="nil"/>
            </w:tcBorders>
            <w:vAlign w:val="top"/>
          </w:tcPr>
          <w:p w14:paraId="2311DF3A">
            <w:pPr>
              <w:rPr>
                <w:rFonts w:ascii="Arial"/>
                <w:sz w:val="21"/>
              </w:rPr>
            </w:pPr>
          </w:p>
        </w:tc>
      </w:tr>
      <w:tr w14:paraId="01B8C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244" w:type="dxa"/>
            <w:vAlign w:val="top"/>
          </w:tcPr>
          <w:p w14:paraId="45FF9C96">
            <w:pPr>
              <w:spacing w:line="175" w:lineRule="exact"/>
              <w:rPr>
                <w:rFonts w:ascii="Arial"/>
                <w:sz w:val="15"/>
              </w:rPr>
            </w:pPr>
          </w:p>
        </w:tc>
        <w:tc>
          <w:tcPr>
            <w:tcW w:w="7700" w:type="dxa"/>
            <w:gridSpan w:val="6"/>
            <w:vAlign w:val="top"/>
          </w:tcPr>
          <w:p w14:paraId="5873EF09">
            <w:pPr>
              <w:spacing w:line="175" w:lineRule="exact"/>
              <w:rPr>
                <w:rFonts w:ascii="Arial"/>
                <w:sz w:val="15"/>
              </w:rPr>
            </w:pPr>
          </w:p>
        </w:tc>
        <w:tc>
          <w:tcPr>
            <w:tcW w:w="255" w:type="dxa"/>
            <w:vAlign w:val="top"/>
          </w:tcPr>
          <w:p w14:paraId="4A422873">
            <w:pPr>
              <w:spacing w:line="175" w:lineRule="exact"/>
              <w:rPr>
                <w:rFonts w:ascii="Arial"/>
                <w:sz w:val="15"/>
              </w:rPr>
            </w:pPr>
          </w:p>
        </w:tc>
      </w:tr>
    </w:tbl>
    <w:p w14:paraId="0733A647">
      <w:pPr>
        <w:spacing w:before="204" w:line="219" w:lineRule="auto"/>
        <w:ind w:left="5580"/>
        <w:rPr>
          <w:rFonts w:ascii="宋体" w:hAnsi="宋体" w:eastAsia="宋体" w:cs="宋体"/>
          <w:sz w:val="24"/>
          <w:szCs w:val="24"/>
        </w:rPr>
      </w:pPr>
      <w:r>
        <w:rPr>
          <w:rFonts w:ascii="宋体" w:hAnsi="宋体" w:eastAsia="宋体" w:cs="宋体"/>
          <w:spacing w:val="4"/>
          <w:sz w:val="24"/>
          <w:szCs w:val="24"/>
        </w:rPr>
        <w:t>矿界关系图</w:t>
      </w:r>
    </w:p>
    <w:p w14:paraId="77722EF3">
      <w:pPr>
        <w:spacing w:before="193" w:line="219" w:lineRule="auto"/>
        <w:ind w:left="2429"/>
        <w:rPr>
          <w:rFonts w:ascii="宋体" w:hAnsi="宋体" w:eastAsia="宋体" w:cs="宋体"/>
          <w:sz w:val="24"/>
          <w:szCs w:val="24"/>
        </w:rPr>
      </w:pPr>
      <w:r>
        <w:rPr>
          <w:rFonts w:ascii="宋体" w:hAnsi="宋体" w:eastAsia="宋体" w:cs="宋体"/>
          <w:spacing w:val="9"/>
          <w:sz w:val="24"/>
          <w:szCs w:val="24"/>
        </w:rPr>
        <w:t>4.3采矿权历史沿革</w:t>
      </w:r>
    </w:p>
    <w:p w14:paraId="118A89EB">
      <w:pPr>
        <w:spacing w:before="226" w:line="373" w:lineRule="auto"/>
        <w:ind w:left="1950" w:right="1399" w:firstLine="479"/>
        <w:rPr>
          <w:rFonts w:ascii="宋体" w:hAnsi="宋体" w:eastAsia="宋体" w:cs="宋体"/>
          <w:sz w:val="24"/>
          <w:szCs w:val="24"/>
        </w:rPr>
      </w:pPr>
      <w:r>
        <w:rPr>
          <w:rFonts w:ascii="宋体" w:hAnsi="宋体" w:eastAsia="宋体" w:cs="宋体"/>
          <w:spacing w:val="11"/>
          <w:sz w:val="24"/>
          <w:szCs w:val="24"/>
        </w:rPr>
        <w:t>云南罗平锌电股份有限公司于2004年6月4日取得富乐铅锌矿</w:t>
      </w:r>
      <w:r>
        <w:rPr>
          <w:rFonts w:ascii="宋体" w:hAnsi="宋体" w:eastAsia="宋体" w:cs="宋体"/>
          <w:spacing w:val="10"/>
          <w:sz w:val="24"/>
          <w:szCs w:val="24"/>
        </w:rPr>
        <w:t>采矿权，采矿</w:t>
      </w:r>
      <w:r>
        <w:rPr>
          <w:rFonts w:ascii="宋体" w:hAnsi="宋体" w:eastAsia="宋体" w:cs="宋体"/>
          <w:sz w:val="24"/>
          <w:szCs w:val="24"/>
        </w:rPr>
        <w:t xml:space="preserve"> </w:t>
      </w:r>
      <w:r>
        <w:rPr>
          <w:rFonts w:ascii="宋体" w:hAnsi="宋体" w:eastAsia="宋体" w:cs="宋体"/>
          <w:spacing w:val="8"/>
          <w:sz w:val="24"/>
          <w:szCs w:val="24"/>
        </w:rPr>
        <w:t>许可证号为5300000430114,矿区面积为3.571</w:t>
      </w:r>
      <w:r>
        <w:rPr>
          <w:rFonts w:ascii="Times New Roman" w:hAnsi="Times New Roman" w:eastAsia="Times New Roman" w:cs="Times New Roman"/>
          <w:sz w:val="24"/>
          <w:szCs w:val="24"/>
        </w:rPr>
        <w:t>km</w:t>
      </w:r>
      <w:r>
        <w:rPr>
          <w:rFonts w:ascii="Times New Roman" w:hAnsi="Times New Roman" w:eastAsia="Times New Roman" w:cs="Times New Roman"/>
          <w:spacing w:val="8"/>
          <w:sz w:val="24"/>
          <w:szCs w:val="24"/>
        </w:rPr>
        <w:t xml:space="preserve">², </w:t>
      </w:r>
      <w:r>
        <w:rPr>
          <w:rFonts w:ascii="宋体" w:hAnsi="宋体" w:eastAsia="宋体" w:cs="宋体"/>
          <w:spacing w:val="8"/>
          <w:sz w:val="24"/>
          <w:szCs w:val="24"/>
        </w:rPr>
        <w:t>生产规模为1</w:t>
      </w:r>
      <w:r>
        <w:rPr>
          <w:rFonts w:ascii="宋体" w:hAnsi="宋体" w:eastAsia="宋体" w:cs="宋体"/>
          <w:spacing w:val="7"/>
          <w:sz w:val="24"/>
          <w:szCs w:val="24"/>
        </w:rPr>
        <w:t>0万吨/年，有效</w:t>
      </w:r>
    </w:p>
    <w:p w14:paraId="4405E120">
      <w:pPr>
        <w:spacing w:line="373" w:lineRule="auto"/>
        <w:rPr>
          <w:rFonts w:ascii="宋体" w:hAnsi="宋体" w:eastAsia="宋体" w:cs="宋体"/>
          <w:sz w:val="24"/>
          <w:szCs w:val="24"/>
        </w:rPr>
        <w:sectPr>
          <w:headerReference r:id="rId29" w:type="default"/>
          <w:footerReference r:id="rId30" w:type="default"/>
          <w:pgSz w:w="11900" w:h="16830"/>
          <w:pgMar w:top="400" w:right="9" w:bottom="1189" w:left="0" w:header="0" w:footer="948" w:gutter="0"/>
          <w:cols w:space="720" w:num="1"/>
        </w:sectPr>
      </w:pPr>
    </w:p>
    <w:p w14:paraId="2F23B6DD">
      <w:pPr>
        <w:pStyle w:val="2"/>
        <w:spacing w:line="332" w:lineRule="auto"/>
      </w:pPr>
    </w:p>
    <w:p w14:paraId="6A6F4E14">
      <w:pPr>
        <w:spacing w:before="78" w:line="219" w:lineRule="auto"/>
        <w:ind w:left="74"/>
        <w:rPr>
          <w:rFonts w:ascii="宋体" w:hAnsi="宋体" w:eastAsia="宋体" w:cs="宋体"/>
          <w:sz w:val="24"/>
          <w:szCs w:val="24"/>
        </w:rPr>
      </w:pPr>
      <w:r>
        <w:rPr>
          <w:rFonts w:ascii="宋体" w:hAnsi="宋体" w:eastAsia="宋体" w:cs="宋体"/>
          <w:spacing w:val="30"/>
          <w:sz w:val="24"/>
          <w:szCs w:val="24"/>
        </w:rPr>
        <w:t>期限自2004年6月4日至2014年6月4日。</w:t>
      </w:r>
    </w:p>
    <w:p w14:paraId="34A2CB08">
      <w:pPr>
        <w:spacing w:before="206" w:line="386" w:lineRule="auto"/>
        <w:ind w:left="74" w:right="180" w:firstLine="490"/>
        <w:jc w:val="both"/>
        <w:rPr>
          <w:rFonts w:ascii="宋体" w:hAnsi="宋体" w:eastAsia="宋体" w:cs="宋体"/>
          <w:sz w:val="24"/>
          <w:szCs w:val="24"/>
        </w:rPr>
      </w:pPr>
      <w:r>
        <w:rPr>
          <w:rFonts w:ascii="宋体" w:hAnsi="宋体" w:eastAsia="宋体" w:cs="宋体"/>
          <w:spacing w:val="-4"/>
          <w:sz w:val="24"/>
          <w:szCs w:val="24"/>
        </w:rPr>
        <w:t>到期延续后取得新采矿许可证，采矿许可证证号：</w:t>
      </w:r>
      <w:r>
        <w:rPr>
          <w:rFonts w:ascii="Times New Roman" w:hAnsi="Times New Roman" w:eastAsia="Times New Roman" w:cs="Times New Roman"/>
          <w:spacing w:val="-4"/>
          <w:sz w:val="24"/>
          <w:szCs w:val="24"/>
        </w:rPr>
        <w:t>C53000020101232401</w:t>
      </w:r>
      <w:r>
        <w:rPr>
          <w:rFonts w:ascii="Times New Roman" w:hAnsi="Times New Roman" w:eastAsia="Times New Roman" w:cs="Times New Roman"/>
          <w:spacing w:val="-5"/>
          <w:sz w:val="24"/>
          <w:szCs w:val="24"/>
        </w:rPr>
        <w:t>11524,</w:t>
      </w:r>
      <w:r>
        <w:rPr>
          <w:rFonts w:ascii="Times New Roman" w:hAnsi="Times New Roman" w:eastAsia="Times New Roman" w:cs="Times New Roman"/>
          <w:sz w:val="24"/>
          <w:szCs w:val="24"/>
        </w:rPr>
        <w:t xml:space="preserve"> </w:t>
      </w:r>
      <w:r>
        <w:rPr>
          <w:rFonts w:ascii="宋体" w:hAnsi="宋体" w:eastAsia="宋体" w:cs="宋体"/>
          <w:spacing w:val="1"/>
          <w:sz w:val="24"/>
          <w:szCs w:val="24"/>
        </w:rPr>
        <w:t>采矿权人为云南罗平锌电股份有限公司；矿山名称：云南罗平锌电股份有限公司</w:t>
      </w:r>
      <w:r>
        <w:rPr>
          <w:rFonts w:ascii="宋体" w:hAnsi="宋体" w:eastAsia="宋体" w:cs="宋体"/>
          <w:spacing w:val="16"/>
          <w:sz w:val="24"/>
          <w:szCs w:val="24"/>
        </w:rPr>
        <w:t xml:space="preserve"> </w:t>
      </w:r>
      <w:r>
        <w:rPr>
          <w:rFonts w:ascii="宋体" w:hAnsi="宋体" w:eastAsia="宋体" w:cs="宋体"/>
          <w:spacing w:val="-1"/>
          <w:sz w:val="24"/>
          <w:szCs w:val="24"/>
        </w:rPr>
        <w:t>富乐铅锌矿；开采矿种：铅矿、锌矿；开采方式：</w:t>
      </w:r>
      <w:r>
        <w:rPr>
          <w:rFonts w:ascii="宋体" w:hAnsi="宋体" w:eastAsia="宋体" w:cs="宋体"/>
          <w:spacing w:val="-2"/>
          <w:sz w:val="24"/>
          <w:szCs w:val="24"/>
        </w:rPr>
        <w:t>地下开采；生产规模：10万吨/</w:t>
      </w:r>
      <w:r>
        <w:rPr>
          <w:rFonts w:ascii="宋体" w:hAnsi="宋体" w:eastAsia="宋体" w:cs="宋体"/>
          <w:sz w:val="24"/>
          <w:szCs w:val="24"/>
        </w:rPr>
        <w:t xml:space="preserve"> </w:t>
      </w:r>
      <w:r>
        <w:rPr>
          <w:rFonts w:ascii="宋体" w:hAnsi="宋体" w:eastAsia="宋体" w:cs="宋体"/>
          <w:spacing w:val="18"/>
          <w:sz w:val="24"/>
          <w:szCs w:val="24"/>
        </w:rPr>
        <w:t>年；矿区面积：3.571</w:t>
      </w:r>
      <w:r>
        <w:rPr>
          <w:rFonts w:ascii="宋体" w:hAnsi="宋体" w:eastAsia="宋体" w:cs="宋体"/>
          <w:sz w:val="24"/>
          <w:szCs w:val="24"/>
        </w:rPr>
        <w:t>km</w:t>
      </w:r>
      <w:r>
        <w:rPr>
          <w:rFonts w:ascii="宋体" w:hAnsi="宋体" w:eastAsia="宋体" w:cs="宋体"/>
          <w:spacing w:val="18"/>
          <w:sz w:val="24"/>
          <w:szCs w:val="24"/>
        </w:rPr>
        <w:t>²;有效期限为2015年8月24日至2016年8月24日。</w:t>
      </w:r>
    </w:p>
    <w:p w14:paraId="326B2A70">
      <w:pPr>
        <w:spacing w:line="388" w:lineRule="auto"/>
        <w:ind w:left="74" w:right="157" w:firstLine="490"/>
        <w:rPr>
          <w:rFonts w:ascii="宋体" w:hAnsi="宋体" w:eastAsia="宋体" w:cs="宋体"/>
          <w:sz w:val="24"/>
          <w:szCs w:val="24"/>
        </w:rPr>
      </w:pPr>
      <w:r>
        <w:rPr>
          <w:rFonts w:ascii="宋体" w:hAnsi="宋体" w:eastAsia="宋体" w:cs="宋体"/>
          <w:spacing w:val="13"/>
          <w:sz w:val="24"/>
          <w:szCs w:val="24"/>
        </w:rPr>
        <w:t>采矿许可证到期办理了延续，采矿许可证证载有</w:t>
      </w:r>
      <w:r>
        <w:rPr>
          <w:rFonts w:ascii="宋体" w:hAnsi="宋体" w:eastAsia="宋体" w:cs="宋体"/>
          <w:spacing w:val="12"/>
          <w:sz w:val="24"/>
          <w:szCs w:val="24"/>
        </w:rPr>
        <w:t>效期为2016年5月30日至</w:t>
      </w:r>
      <w:r>
        <w:rPr>
          <w:rFonts w:ascii="宋体" w:hAnsi="宋体" w:eastAsia="宋体" w:cs="宋体"/>
          <w:sz w:val="24"/>
          <w:szCs w:val="24"/>
        </w:rPr>
        <w:t xml:space="preserve"> </w:t>
      </w:r>
      <w:r>
        <w:rPr>
          <w:rFonts w:ascii="宋体" w:hAnsi="宋体" w:eastAsia="宋体" w:cs="宋体"/>
          <w:spacing w:val="12"/>
          <w:sz w:val="24"/>
          <w:szCs w:val="24"/>
        </w:rPr>
        <w:t>2022年10月30日，证载信息详见“4.2评估范围”。</w:t>
      </w:r>
    </w:p>
    <w:p w14:paraId="6C41C78D">
      <w:pPr>
        <w:spacing w:before="1" w:line="217" w:lineRule="auto"/>
        <w:ind w:left="565"/>
        <w:rPr>
          <w:rFonts w:ascii="宋体" w:hAnsi="宋体" w:eastAsia="宋体" w:cs="宋体"/>
          <w:sz w:val="24"/>
          <w:szCs w:val="24"/>
        </w:rPr>
      </w:pPr>
      <w:r>
        <w:rPr>
          <w:rFonts w:ascii="宋体" w:hAnsi="宋体" w:eastAsia="宋体" w:cs="宋体"/>
          <w:spacing w:val="8"/>
          <w:sz w:val="24"/>
          <w:szCs w:val="24"/>
        </w:rPr>
        <w:t>4.4矿业权评估史</w:t>
      </w:r>
    </w:p>
    <w:p w14:paraId="47F3474B">
      <w:pPr>
        <w:spacing w:before="196" w:line="362" w:lineRule="auto"/>
        <w:ind w:left="74" w:right="137" w:firstLine="490"/>
        <w:rPr>
          <w:rFonts w:ascii="宋体" w:hAnsi="宋体" w:eastAsia="宋体" w:cs="宋体"/>
          <w:sz w:val="25"/>
          <w:szCs w:val="25"/>
        </w:rPr>
      </w:pPr>
      <w:r>
        <w:rPr>
          <w:rFonts w:ascii="宋体" w:hAnsi="宋体" w:eastAsia="宋体" w:cs="宋体"/>
          <w:spacing w:val="1"/>
          <w:sz w:val="25"/>
          <w:szCs w:val="25"/>
        </w:rPr>
        <w:t>2015年10月15日，云南俊成矿业权评估</w:t>
      </w:r>
      <w:r>
        <w:rPr>
          <w:rFonts w:ascii="宋体" w:hAnsi="宋体" w:eastAsia="宋体" w:cs="宋体"/>
          <w:sz w:val="25"/>
          <w:szCs w:val="25"/>
        </w:rPr>
        <w:t xml:space="preserve">有限公司对富乐铅锌矿采矿权进行 </w:t>
      </w:r>
      <w:r>
        <w:rPr>
          <w:rFonts w:ascii="宋体" w:hAnsi="宋体" w:eastAsia="宋体" w:cs="宋体"/>
          <w:spacing w:val="-15"/>
          <w:sz w:val="25"/>
          <w:szCs w:val="25"/>
        </w:rPr>
        <w:t>了评估，评估报告概述如下：</w:t>
      </w:r>
    </w:p>
    <w:p w14:paraId="1D2F27E7">
      <w:pPr>
        <w:spacing w:before="1" w:line="396" w:lineRule="auto"/>
        <w:ind w:left="74" w:right="154" w:firstLine="490"/>
        <w:rPr>
          <w:rFonts w:ascii="宋体" w:hAnsi="宋体" w:eastAsia="宋体" w:cs="宋体"/>
          <w:sz w:val="24"/>
          <w:szCs w:val="24"/>
        </w:rPr>
      </w:pPr>
      <w:r>
        <w:rPr>
          <w:rFonts w:ascii="宋体" w:hAnsi="宋体" w:eastAsia="宋体" w:cs="宋体"/>
          <w:spacing w:val="6"/>
          <w:sz w:val="24"/>
          <w:szCs w:val="24"/>
        </w:rPr>
        <w:t xml:space="preserve">报告名称：《云南罗平锌电股份有限公司富乐铅锌矿采矿权评估报告》(俊 </w:t>
      </w:r>
      <w:r>
        <w:rPr>
          <w:rFonts w:ascii="宋体" w:hAnsi="宋体" w:eastAsia="宋体" w:cs="宋体"/>
          <w:spacing w:val="13"/>
          <w:sz w:val="24"/>
          <w:szCs w:val="24"/>
        </w:rPr>
        <w:t>成矿评报字[2015]第020号);</w:t>
      </w:r>
    </w:p>
    <w:p w14:paraId="43E40AB5">
      <w:pPr>
        <w:spacing w:before="1" w:line="217" w:lineRule="auto"/>
        <w:ind w:left="565"/>
        <w:rPr>
          <w:rFonts w:ascii="宋体" w:hAnsi="宋体" w:eastAsia="宋体" w:cs="宋体"/>
          <w:sz w:val="24"/>
          <w:szCs w:val="24"/>
        </w:rPr>
      </w:pPr>
      <w:r>
        <w:rPr>
          <w:rFonts w:ascii="宋体" w:hAnsi="宋体" w:eastAsia="宋体" w:cs="宋体"/>
          <w:spacing w:val="-3"/>
          <w:sz w:val="24"/>
          <w:szCs w:val="24"/>
        </w:rPr>
        <w:t>评估目的：采矿权价款评估；</w:t>
      </w:r>
    </w:p>
    <w:p w14:paraId="2B61D543">
      <w:pPr>
        <w:spacing w:before="216" w:line="218" w:lineRule="auto"/>
        <w:ind w:left="565"/>
        <w:rPr>
          <w:rFonts w:ascii="宋体" w:hAnsi="宋体" w:eastAsia="宋体" w:cs="宋体"/>
          <w:sz w:val="24"/>
          <w:szCs w:val="24"/>
        </w:rPr>
      </w:pPr>
      <w:r>
        <w:rPr>
          <w:rFonts w:ascii="宋体" w:hAnsi="宋体" w:eastAsia="宋体" w:cs="宋体"/>
          <w:spacing w:val="25"/>
          <w:sz w:val="24"/>
          <w:szCs w:val="24"/>
        </w:rPr>
        <w:t>评估基准日：2015年4月30日(储量估算基准日2006年9月30日);</w:t>
      </w:r>
    </w:p>
    <w:p w14:paraId="05573AE9">
      <w:pPr>
        <w:spacing w:before="217" w:line="218" w:lineRule="auto"/>
        <w:ind w:left="565"/>
        <w:rPr>
          <w:rFonts w:ascii="宋体" w:hAnsi="宋体" w:eastAsia="宋体" w:cs="宋体"/>
          <w:sz w:val="24"/>
          <w:szCs w:val="24"/>
        </w:rPr>
      </w:pPr>
      <w:r>
        <w:rPr>
          <w:rFonts w:ascii="宋体" w:hAnsi="宋体" w:eastAsia="宋体" w:cs="宋体"/>
          <w:spacing w:val="-5"/>
          <w:sz w:val="24"/>
          <w:szCs w:val="24"/>
        </w:rPr>
        <w:t>评估方法：折现现金流量法；</w:t>
      </w:r>
    </w:p>
    <w:p w14:paraId="2DF91059">
      <w:pPr>
        <w:tabs>
          <w:tab w:val="left" w:pos="225"/>
        </w:tabs>
        <w:spacing w:before="206" w:line="375" w:lineRule="auto"/>
        <w:ind w:left="74" w:right="29" w:firstLine="490"/>
        <w:jc w:val="both"/>
        <w:rPr>
          <w:rFonts w:ascii="宋体" w:hAnsi="宋体" w:eastAsia="宋体" w:cs="宋体"/>
          <w:sz w:val="24"/>
          <w:szCs w:val="24"/>
        </w:rPr>
      </w:pPr>
      <w:r>
        <w:rPr>
          <w:rFonts w:ascii="宋体" w:hAnsi="宋体" w:eastAsia="宋体" w:cs="宋体"/>
          <w:spacing w:val="20"/>
          <w:sz w:val="24"/>
          <w:szCs w:val="24"/>
        </w:rPr>
        <w:t>主要参数：参与评估计算(截止2006年9月30日)估范围内保有资源</w:t>
      </w:r>
      <w:r>
        <w:rPr>
          <w:rFonts w:ascii="宋体" w:hAnsi="宋体" w:eastAsia="宋体" w:cs="宋体"/>
          <w:spacing w:val="19"/>
          <w:sz w:val="24"/>
          <w:szCs w:val="24"/>
        </w:rPr>
        <w:t>储量</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pacing w:val="2"/>
          <w:sz w:val="24"/>
          <w:szCs w:val="24"/>
        </w:rPr>
        <w:t>(111</w:t>
      </w:r>
      <w:r>
        <w:rPr>
          <w:rFonts w:ascii="Times New Roman" w:hAnsi="Times New Roman" w:eastAsia="Times New Roman" w:cs="Times New Roman"/>
          <w:spacing w:val="2"/>
          <w:sz w:val="24"/>
          <w:szCs w:val="24"/>
        </w:rPr>
        <w:t>b+122b+333)</w:t>
      </w:r>
      <w:r>
        <w:rPr>
          <w:rFonts w:ascii="Times New Roman" w:hAnsi="Times New Roman" w:eastAsia="Times New Roman" w:cs="Times New Roman"/>
          <w:spacing w:val="38"/>
          <w:sz w:val="24"/>
          <w:szCs w:val="24"/>
        </w:rPr>
        <w:t xml:space="preserve"> </w:t>
      </w:r>
      <w:r>
        <w:rPr>
          <w:rFonts w:ascii="宋体" w:hAnsi="宋体" w:eastAsia="宋体" w:cs="宋体"/>
          <w:spacing w:val="2"/>
          <w:sz w:val="24"/>
          <w:szCs w:val="24"/>
        </w:rPr>
        <w:t>锌矿石量196.41万吨，锌金属量86251吨，锌平均品位4.39%。</w:t>
      </w:r>
      <w:r>
        <w:rPr>
          <w:rFonts w:ascii="宋体" w:hAnsi="宋体" w:eastAsia="宋体" w:cs="宋体"/>
          <w:sz w:val="24"/>
          <w:szCs w:val="24"/>
        </w:rPr>
        <w:t xml:space="preserve"> </w:t>
      </w:r>
      <w:r>
        <w:rPr>
          <w:rFonts w:ascii="宋体" w:hAnsi="宋体" w:eastAsia="宋体" w:cs="宋体"/>
          <w:spacing w:val="4"/>
          <w:sz w:val="24"/>
          <w:szCs w:val="24"/>
        </w:rPr>
        <w:t>伴生(111</w:t>
      </w:r>
      <w:r>
        <w:rPr>
          <w:rFonts w:ascii="Times New Roman" w:hAnsi="Times New Roman" w:eastAsia="Times New Roman" w:cs="Times New Roman"/>
          <w:spacing w:val="4"/>
          <w:sz w:val="24"/>
          <w:szCs w:val="24"/>
        </w:rPr>
        <w:t xml:space="preserve">b+333) </w:t>
      </w:r>
      <w:r>
        <w:rPr>
          <w:rFonts w:ascii="宋体" w:hAnsi="宋体" w:eastAsia="宋体" w:cs="宋体"/>
          <w:spacing w:val="4"/>
          <w:sz w:val="24"/>
          <w:szCs w:val="24"/>
        </w:rPr>
        <w:t>铅矿石量114.27万吨，铅金属量978</w:t>
      </w:r>
      <w:r>
        <w:rPr>
          <w:rFonts w:ascii="宋体" w:hAnsi="宋体" w:eastAsia="宋体" w:cs="宋体"/>
          <w:spacing w:val="3"/>
          <w:sz w:val="24"/>
          <w:szCs w:val="24"/>
        </w:rPr>
        <w:t>0.07吨，铅平均品位0.86%。</w:t>
      </w:r>
      <w:r>
        <w:rPr>
          <w:rFonts w:ascii="宋体" w:hAnsi="宋体" w:eastAsia="宋体" w:cs="宋体"/>
          <w:sz w:val="24"/>
          <w:szCs w:val="24"/>
        </w:rPr>
        <w:t xml:space="preserve"> </w:t>
      </w:r>
      <w:r>
        <w:rPr>
          <w:rFonts w:ascii="宋体" w:hAnsi="宋体" w:eastAsia="宋体" w:cs="宋体"/>
          <w:spacing w:val="4"/>
          <w:sz w:val="24"/>
          <w:szCs w:val="24"/>
        </w:rPr>
        <w:t>伴生(111</w:t>
      </w:r>
      <w:r>
        <w:rPr>
          <w:rFonts w:ascii="Times New Roman" w:hAnsi="Times New Roman" w:eastAsia="Times New Roman" w:cs="Times New Roman"/>
          <w:spacing w:val="4"/>
          <w:sz w:val="24"/>
          <w:szCs w:val="24"/>
        </w:rPr>
        <w:t xml:space="preserve">b+333) </w:t>
      </w:r>
      <w:r>
        <w:rPr>
          <w:rFonts w:ascii="宋体" w:hAnsi="宋体" w:eastAsia="宋体" w:cs="宋体"/>
          <w:spacing w:val="4"/>
          <w:sz w:val="24"/>
          <w:szCs w:val="24"/>
        </w:rPr>
        <w:t>镉矿石量196.41万吨，镉金属量233</w:t>
      </w:r>
      <w:r>
        <w:rPr>
          <w:rFonts w:ascii="宋体" w:hAnsi="宋体" w:eastAsia="宋体" w:cs="宋体"/>
          <w:spacing w:val="3"/>
          <w:sz w:val="24"/>
          <w:szCs w:val="24"/>
        </w:rPr>
        <w:t>9.56吨，镉平均品位0.12%。</w:t>
      </w:r>
    </w:p>
    <w:p w14:paraId="2285918E">
      <w:pPr>
        <w:spacing w:before="60" w:line="218" w:lineRule="auto"/>
        <w:ind w:left="565"/>
        <w:rPr>
          <w:rFonts w:ascii="宋体" w:hAnsi="宋体" w:eastAsia="宋体" w:cs="宋体"/>
          <w:sz w:val="24"/>
          <w:szCs w:val="24"/>
        </w:rPr>
      </w:pPr>
      <w:r>
        <w:rPr>
          <w:rFonts w:ascii="宋体" w:hAnsi="宋体" w:eastAsia="宋体" w:cs="宋体"/>
          <w:spacing w:val="3"/>
          <w:sz w:val="24"/>
          <w:szCs w:val="24"/>
        </w:rPr>
        <w:t>评估价值：1104.34万元。</w:t>
      </w:r>
    </w:p>
    <w:p w14:paraId="0E1FB1BA">
      <w:pPr>
        <w:spacing w:before="248" w:line="219" w:lineRule="auto"/>
        <w:ind w:left="565"/>
        <w:rPr>
          <w:rFonts w:ascii="宋体" w:hAnsi="宋体" w:eastAsia="宋体" w:cs="宋体"/>
          <w:sz w:val="24"/>
          <w:szCs w:val="24"/>
        </w:rPr>
      </w:pPr>
      <w:r>
        <w:rPr>
          <w:rFonts w:ascii="宋体" w:hAnsi="宋体" w:eastAsia="宋体" w:cs="宋体"/>
          <w:spacing w:val="5"/>
          <w:sz w:val="24"/>
          <w:szCs w:val="24"/>
        </w:rPr>
        <w:t>4.5采矿权有偿处置情况</w:t>
      </w:r>
    </w:p>
    <w:p w14:paraId="566A4CF0">
      <w:pPr>
        <w:spacing w:before="223" w:line="372" w:lineRule="auto"/>
        <w:ind w:left="74" w:right="109" w:firstLine="490"/>
        <w:rPr>
          <w:rFonts w:ascii="宋体" w:hAnsi="宋体" w:eastAsia="宋体" w:cs="宋体"/>
          <w:sz w:val="24"/>
          <w:szCs w:val="24"/>
        </w:rPr>
      </w:pPr>
      <w:r>
        <w:rPr>
          <w:rFonts w:ascii="宋体" w:hAnsi="宋体" w:eastAsia="宋体" w:cs="宋体"/>
          <w:spacing w:val="3"/>
          <w:sz w:val="24"/>
          <w:szCs w:val="24"/>
        </w:rPr>
        <w:t>富乐铅锌矿以往进行过价款处置，根据《云南省国土资源厅关于罗平锌电股</w:t>
      </w:r>
      <w:r>
        <w:rPr>
          <w:rFonts w:ascii="宋体" w:hAnsi="宋体" w:eastAsia="宋体" w:cs="宋体"/>
          <w:spacing w:val="2"/>
          <w:sz w:val="24"/>
          <w:szCs w:val="24"/>
        </w:rPr>
        <w:t xml:space="preserve"> </w:t>
      </w:r>
      <w:r>
        <w:rPr>
          <w:rFonts w:ascii="宋体" w:hAnsi="宋体" w:eastAsia="宋体" w:cs="宋体"/>
          <w:spacing w:val="7"/>
          <w:sz w:val="24"/>
          <w:szCs w:val="24"/>
        </w:rPr>
        <w:t>份有限公司富乐铅锌矿分期缴纳采矿权的批复》,富乐铅锌矿应缴纳采矿权价款</w:t>
      </w:r>
      <w:r>
        <w:rPr>
          <w:rFonts w:ascii="宋体" w:hAnsi="宋体" w:eastAsia="宋体" w:cs="宋体"/>
          <w:spacing w:val="14"/>
          <w:sz w:val="24"/>
          <w:szCs w:val="24"/>
        </w:rPr>
        <w:t xml:space="preserve"> </w:t>
      </w:r>
      <w:r>
        <w:rPr>
          <w:rFonts w:ascii="宋体" w:hAnsi="宋体" w:eastAsia="宋体" w:cs="宋体"/>
          <w:spacing w:val="3"/>
          <w:sz w:val="24"/>
          <w:szCs w:val="24"/>
        </w:rPr>
        <w:t>1104.34万元，分三期缴纳，根据相关缴款凭证，采矿权价款已缴</w:t>
      </w:r>
      <w:r>
        <w:rPr>
          <w:rFonts w:ascii="宋体" w:hAnsi="宋体" w:eastAsia="宋体" w:cs="宋体"/>
          <w:spacing w:val="2"/>
          <w:sz w:val="24"/>
          <w:szCs w:val="24"/>
        </w:rPr>
        <w:t>清(详见附件十</w:t>
      </w:r>
      <w:r>
        <w:rPr>
          <w:rFonts w:ascii="宋体" w:hAnsi="宋体" w:eastAsia="宋体" w:cs="宋体"/>
          <w:sz w:val="24"/>
          <w:szCs w:val="24"/>
        </w:rPr>
        <w:t xml:space="preserve"> </w:t>
      </w:r>
      <w:r>
        <w:rPr>
          <w:rFonts w:ascii="宋体" w:hAnsi="宋体" w:eastAsia="宋体" w:cs="宋体"/>
          <w:spacing w:val="-8"/>
          <w:sz w:val="24"/>
          <w:szCs w:val="24"/>
        </w:rPr>
        <w:t>三：</w:t>
      </w:r>
      <w:r>
        <w:rPr>
          <w:rFonts w:ascii="Times New Roman" w:hAnsi="Times New Roman" w:eastAsia="Times New Roman" w:cs="Times New Roman"/>
          <w:spacing w:val="-8"/>
          <w:sz w:val="24"/>
          <w:szCs w:val="24"/>
        </w:rPr>
        <w:t>P10</w:t>
      </w:r>
      <w:r>
        <w:rPr>
          <w:rFonts w:ascii="Times New Roman" w:hAnsi="Times New Roman" w:eastAsia="Times New Roman" w:cs="Times New Roman"/>
          <w:spacing w:val="-22"/>
          <w:sz w:val="24"/>
          <w:szCs w:val="24"/>
        </w:rPr>
        <w:t xml:space="preserve"> </w:t>
      </w:r>
      <w:r>
        <w:rPr>
          <w:rFonts w:ascii="宋体" w:hAnsi="宋体" w:eastAsia="宋体" w:cs="宋体"/>
          <w:spacing w:val="-8"/>
          <w:sz w:val="24"/>
          <w:szCs w:val="24"/>
        </w:rPr>
        <w:t>、</w:t>
      </w:r>
      <w:r>
        <w:rPr>
          <w:rFonts w:ascii="Times New Roman" w:hAnsi="Times New Roman" w:eastAsia="Times New Roman" w:cs="Times New Roman"/>
          <w:spacing w:val="-8"/>
          <w:sz w:val="24"/>
          <w:szCs w:val="24"/>
        </w:rPr>
        <w:t>P11</w:t>
      </w:r>
      <w:r>
        <w:rPr>
          <w:rFonts w:ascii="Times New Roman" w:hAnsi="Times New Roman" w:eastAsia="Times New Roman" w:cs="Times New Roman"/>
          <w:spacing w:val="-34"/>
          <w:sz w:val="24"/>
          <w:szCs w:val="24"/>
        </w:rPr>
        <w:t xml:space="preserve"> </w:t>
      </w:r>
      <w:r>
        <w:rPr>
          <w:rFonts w:ascii="宋体" w:hAnsi="宋体" w:eastAsia="宋体" w:cs="宋体"/>
          <w:spacing w:val="-8"/>
          <w:sz w:val="24"/>
          <w:szCs w:val="24"/>
        </w:rPr>
        <w:t>、</w:t>
      </w:r>
      <w:r>
        <w:rPr>
          <w:rFonts w:ascii="Times New Roman" w:hAnsi="Times New Roman" w:eastAsia="Times New Roman" w:cs="Times New Roman"/>
          <w:spacing w:val="-8"/>
          <w:sz w:val="24"/>
          <w:szCs w:val="24"/>
        </w:rPr>
        <w:t>P12)</w:t>
      </w:r>
      <w:r>
        <w:rPr>
          <w:rFonts w:ascii="宋体" w:hAnsi="宋体" w:eastAsia="宋体" w:cs="宋体"/>
          <w:spacing w:val="-8"/>
          <w:sz w:val="24"/>
          <w:szCs w:val="24"/>
        </w:rPr>
        <w:t>。</w:t>
      </w:r>
    </w:p>
    <w:p w14:paraId="56FFB361">
      <w:pPr>
        <w:spacing w:before="66" w:line="385" w:lineRule="auto"/>
        <w:ind w:left="74" w:right="67" w:firstLine="539"/>
        <w:rPr>
          <w:rFonts w:ascii="宋体" w:hAnsi="宋体" w:eastAsia="宋体" w:cs="宋体"/>
          <w:sz w:val="24"/>
          <w:szCs w:val="24"/>
        </w:rPr>
      </w:pPr>
      <w:r>
        <w:drawing>
          <wp:anchor distT="0" distB="0" distL="0" distR="0" simplePos="0" relativeHeight="251707392" behindDoc="0" locked="0" layoutInCell="1" allowOverlap="1">
            <wp:simplePos x="0" y="0"/>
            <wp:positionH relativeFrom="column">
              <wp:posOffset>53340</wp:posOffset>
            </wp:positionH>
            <wp:positionV relativeFrom="paragraph">
              <wp:posOffset>893445</wp:posOffset>
            </wp:positionV>
            <wp:extent cx="5486400" cy="1270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41"/>
                    <a:stretch>
                      <a:fillRect/>
                    </a:stretch>
                  </pic:blipFill>
                  <pic:spPr>
                    <a:xfrm>
                      <a:off x="0" y="0"/>
                      <a:ext cx="5486397" cy="12717"/>
                    </a:xfrm>
                    <a:prstGeom prst="rect">
                      <a:avLst/>
                    </a:prstGeom>
                  </pic:spPr>
                </pic:pic>
              </a:graphicData>
            </a:graphic>
          </wp:anchor>
        </w:drawing>
      </w:r>
      <w:r>
        <w:rPr>
          <w:rFonts w:ascii="宋体" w:hAnsi="宋体" w:eastAsia="宋体" w:cs="宋体"/>
          <w:sz w:val="24"/>
          <w:szCs w:val="24"/>
        </w:rPr>
        <w:t>《矿业权出让收益征收管理办法》</w:t>
      </w:r>
      <w:r>
        <w:rPr>
          <w:rFonts w:ascii="黑体" w:hAnsi="黑体" w:eastAsia="黑体" w:cs="黑体"/>
          <w:sz w:val="24"/>
          <w:szCs w:val="24"/>
        </w:rPr>
        <w:t xml:space="preserve">规定： </w:t>
      </w:r>
      <w:r>
        <w:rPr>
          <w:rFonts w:ascii="宋体" w:hAnsi="宋体" w:eastAsia="宋体" w:cs="宋体"/>
          <w:sz w:val="24"/>
          <w:szCs w:val="24"/>
        </w:rPr>
        <w:t>已交清价款的采矿权，如矿区范围</w:t>
      </w:r>
      <w:r>
        <w:rPr>
          <w:rFonts w:ascii="宋体" w:hAnsi="宋体" w:eastAsia="宋体" w:cs="宋体"/>
          <w:spacing w:val="1"/>
          <w:sz w:val="24"/>
          <w:szCs w:val="24"/>
        </w:rPr>
        <w:t xml:space="preserve"> </w:t>
      </w:r>
      <w:r>
        <w:rPr>
          <w:rFonts w:ascii="宋体" w:hAnsi="宋体" w:eastAsia="宋体" w:cs="宋体"/>
          <w:sz w:val="24"/>
          <w:szCs w:val="24"/>
        </w:rPr>
        <w:t>内新增资源储量，应比照协议出让方式征收新增资源储量采矿权出让收</w:t>
      </w:r>
      <w:r>
        <w:rPr>
          <w:rFonts w:ascii="宋体" w:hAnsi="宋体" w:eastAsia="宋体" w:cs="宋体"/>
          <w:spacing w:val="-1"/>
          <w:sz w:val="24"/>
          <w:szCs w:val="24"/>
        </w:rPr>
        <w:t>益。</w:t>
      </w:r>
    </w:p>
    <w:p w14:paraId="6AB656A1">
      <w:pPr>
        <w:spacing w:line="385" w:lineRule="auto"/>
        <w:rPr>
          <w:rFonts w:ascii="宋体" w:hAnsi="宋体" w:eastAsia="宋体" w:cs="宋体"/>
          <w:sz w:val="24"/>
          <w:szCs w:val="24"/>
        </w:rPr>
        <w:sectPr>
          <w:headerReference r:id="rId31" w:type="default"/>
          <w:footerReference r:id="rId32" w:type="default"/>
          <w:pgSz w:w="11900" w:h="16830"/>
          <w:pgMar w:top="1247" w:right="1390" w:bottom="1189" w:left="1785" w:header="970" w:footer="948" w:gutter="0"/>
          <w:cols w:space="720" w:num="1"/>
        </w:sectPr>
      </w:pPr>
    </w:p>
    <w:p w14:paraId="0C056A4A">
      <w:pPr>
        <w:pStyle w:val="2"/>
        <w:spacing w:line="420" w:lineRule="auto"/>
      </w:pPr>
    </w:p>
    <w:p w14:paraId="66AD1330">
      <w:pPr>
        <w:spacing w:before="78" w:line="218" w:lineRule="auto"/>
        <w:ind w:left="64"/>
        <w:outlineLvl w:val="0"/>
        <w:rPr>
          <w:rFonts w:ascii="宋体" w:hAnsi="宋体" w:eastAsia="宋体" w:cs="宋体"/>
          <w:sz w:val="24"/>
          <w:szCs w:val="24"/>
        </w:rPr>
      </w:pPr>
      <w:bookmarkStart w:id="7" w:name="bookmark7"/>
      <w:bookmarkEnd w:id="7"/>
      <w:r>
        <w:rPr>
          <w:rFonts w:ascii="Times New Roman" w:hAnsi="Times New Roman" w:eastAsia="Times New Roman" w:cs="Times New Roman"/>
          <w:spacing w:val="8"/>
          <w:sz w:val="24"/>
          <w:szCs w:val="24"/>
        </w:rPr>
        <w:t>5.</w:t>
      </w:r>
      <w:r>
        <w:rPr>
          <w:rFonts w:ascii="Times New Roman" w:hAnsi="Times New Roman" w:eastAsia="Times New Roman" w:cs="Times New Roman"/>
          <w:spacing w:val="-14"/>
          <w:sz w:val="24"/>
          <w:szCs w:val="24"/>
        </w:rPr>
        <w:t xml:space="preserve"> </w:t>
      </w:r>
      <w:r>
        <w:rPr>
          <w:rFonts w:ascii="宋体" w:hAnsi="宋体" w:eastAsia="宋体" w:cs="宋体"/>
          <w:spacing w:val="8"/>
          <w:sz w:val="24"/>
          <w:szCs w:val="24"/>
        </w:rPr>
        <w:t>评估基准日</w:t>
      </w:r>
    </w:p>
    <w:p w14:paraId="1EC6F186">
      <w:pPr>
        <w:spacing w:before="229" w:line="383" w:lineRule="auto"/>
        <w:ind w:left="64" w:right="90" w:firstLine="480"/>
        <w:jc w:val="both"/>
        <w:rPr>
          <w:rFonts w:ascii="宋体" w:hAnsi="宋体" w:eastAsia="宋体" w:cs="宋体"/>
          <w:sz w:val="24"/>
          <w:szCs w:val="24"/>
        </w:rPr>
      </w:pPr>
      <w:r>
        <w:rPr>
          <w:rFonts w:ascii="宋体" w:hAnsi="宋体" w:eastAsia="宋体" w:cs="宋体"/>
          <w:spacing w:val="-4"/>
          <w:sz w:val="24"/>
          <w:szCs w:val="24"/>
        </w:rPr>
        <w:t>根据《中国矿业权评估准则—确定评估基准日指导意见(</w:t>
      </w:r>
      <w:r>
        <w:rPr>
          <w:rFonts w:ascii="Times New Roman" w:hAnsi="Times New Roman" w:eastAsia="Times New Roman" w:cs="Times New Roman"/>
          <w:spacing w:val="-4"/>
          <w:sz w:val="24"/>
          <w:szCs w:val="24"/>
        </w:rPr>
        <w:t>CMVS30200-2008)</w:t>
      </w:r>
      <w:r>
        <w:rPr>
          <w:rFonts w:ascii="宋体" w:hAnsi="宋体" w:eastAsia="宋体" w:cs="宋体"/>
          <w:spacing w:val="-4"/>
          <w:sz w:val="24"/>
          <w:szCs w:val="24"/>
        </w:rPr>
        <w:t>》</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
          <w:sz w:val="24"/>
          <w:szCs w:val="24"/>
        </w:rPr>
        <w:t xml:space="preserve">   </w:t>
      </w:r>
      <w:r>
        <w:rPr>
          <w:rFonts w:ascii="宋体" w:hAnsi="宋体" w:eastAsia="宋体" w:cs="宋体"/>
          <w:spacing w:val="-3"/>
          <w:sz w:val="24"/>
          <w:szCs w:val="24"/>
        </w:rPr>
        <w:t>评估基准日尽可能接近经济行为的实现日，尽可能减少评估基准日后的调</w:t>
      </w:r>
      <w:r>
        <w:rPr>
          <w:rFonts w:ascii="宋体" w:hAnsi="宋体" w:eastAsia="宋体" w:cs="宋体"/>
          <w:spacing w:val="-4"/>
          <w:sz w:val="24"/>
          <w:szCs w:val="24"/>
        </w:rPr>
        <w:t>整事项，</w:t>
      </w:r>
      <w:r>
        <w:rPr>
          <w:rFonts w:ascii="宋体" w:hAnsi="宋体" w:eastAsia="宋体" w:cs="宋体"/>
          <w:sz w:val="24"/>
          <w:szCs w:val="24"/>
        </w:rPr>
        <w:t xml:space="preserve"> </w:t>
      </w:r>
      <w:r>
        <w:rPr>
          <w:rFonts w:ascii="宋体" w:hAnsi="宋体" w:eastAsia="宋体" w:cs="宋体"/>
          <w:spacing w:val="2"/>
          <w:sz w:val="24"/>
          <w:szCs w:val="24"/>
        </w:rPr>
        <w:t>应考虑评估所需资料的可取性、使用方便性，基于上述原则，本次采矿权出</w:t>
      </w:r>
      <w:r>
        <w:rPr>
          <w:rFonts w:ascii="宋体" w:hAnsi="宋体" w:eastAsia="宋体" w:cs="宋体"/>
          <w:spacing w:val="1"/>
          <w:sz w:val="24"/>
          <w:szCs w:val="24"/>
        </w:rPr>
        <w:t>让收</w:t>
      </w:r>
      <w:r>
        <w:rPr>
          <w:rFonts w:ascii="宋体" w:hAnsi="宋体" w:eastAsia="宋体" w:cs="宋体"/>
          <w:sz w:val="24"/>
          <w:szCs w:val="24"/>
        </w:rPr>
        <w:t xml:space="preserve"> </w:t>
      </w:r>
      <w:r>
        <w:rPr>
          <w:rFonts w:ascii="宋体" w:hAnsi="宋体" w:eastAsia="宋体" w:cs="宋体"/>
          <w:spacing w:val="17"/>
          <w:sz w:val="24"/>
          <w:szCs w:val="24"/>
        </w:rPr>
        <w:t>益评估的基准日确定为2022年9月30日。</w:t>
      </w:r>
    </w:p>
    <w:p w14:paraId="45BFEC8C">
      <w:pPr>
        <w:spacing w:before="55" w:line="218" w:lineRule="auto"/>
        <w:ind w:left="64"/>
        <w:outlineLvl w:val="0"/>
        <w:rPr>
          <w:rFonts w:ascii="宋体" w:hAnsi="宋体" w:eastAsia="宋体" w:cs="宋体"/>
          <w:sz w:val="24"/>
          <w:szCs w:val="24"/>
        </w:rPr>
      </w:pPr>
      <w:bookmarkStart w:id="8" w:name="bookmark8"/>
      <w:bookmarkEnd w:id="8"/>
      <w:r>
        <w:rPr>
          <w:rFonts w:ascii="Times New Roman" w:hAnsi="Times New Roman" w:eastAsia="Times New Roman" w:cs="Times New Roman"/>
          <w:spacing w:val="5"/>
          <w:sz w:val="24"/>
          <w:szCs w:val="24"/>
        </w:rPr>
        <w:t>6.</w:t>
      </w:r>
      <w:r>
        <w:rPr>
          <w:rFonts w:ascii="Times New Roman" w:hAnsi="Times New Roman" w:eastAsia="Times New Roman" w:cs="Times New Roman"/>
          <w:spacing w:val="-7"/>
          <w:sz w:val="24"/>
          <w:szCs w:val="24"/>
        </w:rPr>
        <w:t xml:space="preserve"> </w:t>
      </w:r>
      <w:r>
        <w:rPr>
          <w:rFonts w:ascii="宋体" w:hAnsi="宋体" w:eastAsia="宋体" w:cs="宋体"/>
          <w:spacing w:val="5"/>
          <w:sz w:val="24"/>
          <w:szCs w:val="24"/>
        </w:rPr>
        <w:t>评估依据</w:t>
      </w:r>
    </w:p>
    <w:p w14:paraId="767E18A0">
      <w:pPr>
        <w:spacing w:before="248" w:line="219" w:lineRule="auto"/>
        <w:ind w:left="565"/>
        <w:rPr>
          <w:rFonts w:ascii="宋体" w:hAnsi="宋体" w:eastAsia="宋体" w:cs="宋体"/>
          <w:sz w:val="24"/>
          <w:szCs w:val="24"/>
        </w:rPr>
      </w:pPr>
      <w:r>
        <w:rPr>
          <w:rFonts w:ascii="宋体" w:hAnsi="宋体" w:eastAsia="宋体" w:cs="宋体"/>
          <w:spacing w:val="7"/>
          <w:sz w:val="24"/>
          <w:szCs w:val="24"/>
        </w:rPr>
        <w:t>6.1主要法律法规</w:t>
      </w:r>
    </w:p>
    <w:p w14:paraId="506F41DD">
      <w:pPr>
        <w:spacing w:before="233" w:line="219" w:lineRule="auto"/>
        <w:ind w:left="684"/>
        <w:rPr>
          <w:rFonts w:ascii="宋体" w:hAnsi="宋体" w:eastAsia="宋体" w:cs="宋体"/>
          <w:sz w:val="24"/>
          <w:szCs w:val="24"/>
        </w:rPr>
      </w:pPr>
      <w:r>
        <w:rPr>
          <w:rFonts w:ascii="宋体" w:hAnsi="宋体" w:eastAsia="宋体" w:cs="宋体"/>
          <w:spacing w:val="12"/>
          <w:sz w:val="24"/>
          <w:szCs w:val="24"/>
        </w:rPr>
        <w:t>(1)《中华人民共和国矿产资源法》(2009年8</w:t>
      </w:r>
      <w:r>
        <w:rPr>
          <w:rFonts w:ascii="宋体" w:hAnsi="宋体" w:eastAsia="宋体" w:cs="宋体"/>
          <w:spacing w:val="11"/>
          <w:sz w:val="24"/>
          <w:szCs w:val="24"/>
        </w:rPr>
        <w:t>月27日修改后颁布);</w:t>
      </w:r>
    </w:p>
    <w:p w14:paraId="36049BE6">
      <w:pPr>
        <w:spacing w:before="205" w:line="218" w:lineRule="auto"/>
        <w:ind w:left="684"/>
        <w:rPr>
          <w:rFonts w:ascii="宋体" w:hAnsi="宋体" w:eastAsia="宋体" w:cs="宋体"/>
          <w:sz w:val="24"/>
          <w:szCs w:val="24"/>
        </w:rPr>
      </w:pPr>
      <w:r>
        <w:rPr>
          <w:rFonts w:ascii="宋体" w:hAnsi="宋体" w:eastAsia="宋体" w:cs="宋体"/>
          <w:spacing w:val="13"/>
          <w:sz w:val="24"/>
          <w:szCs w:val="24"/>
        </w:rPr>
        <w:t>(2)《中华人民共和国资产评估法》(2016年7月2日颁布);</w:t>
      </w:r>
    </w:p>
    <w:p w14:paraId="1AEB1A9A">
      <w:pPr>
        <w:spacing w:before="217" w:line="219" w:lineRule="auto"/>
        <w:ind w:left="684"/>
        <w:rPr>
          <w:rFonts w:ascii="宋体" w:hAnsi="宋体" w:eastAsia="宋体" w:cs="宋体"/>
          <w:sz w:val="24"/>
          <w:szCs w:val="24"/>
        </w:rPr>
      </w:pPr>
      <w:r>
        <w:rPr>
          <w:rFonts w:ascii="宋体" w:hAnsi="宋体" w:eastAsia="宋体" w:cs="宋体"/>
          <w:spacing w:val="6"/>
          <w:sz w:val="24"/>
          <w:szCs w:val="24"/>
        </w:rPr>
        <w:t>(3)《矿产资源开采登记管理办法》(2014年修订版);</w:t>
      </w:r>
    </w:p>
    <w:p w14:paraId="32208A03">
      <w:pPr>
        <w:spacing w:before="227" w:line="219" w:lineRule="auto"/>
        <w:ind w:left="684"/>
        <w:rPr>
          <w:rFonts w:ascii="宋体" w:hAnsi="宋体" w:eastAsia="宋体" w:cs="宋体"/>
          <w:sz w:val="24"/>
          <w:szCs w:val="24"/>
        </w:rPr>
      </w:pPr>
      <w:r>
        <w:rPr>
          <w:rFonts w:ascii="宋体" w:hAnsi="宋体" w:eastAsia="宋体" w:cs="宋体"/>
          <w:spacing w:val="5"/>
          <w:sz w:val="24"/>
          <w:szCs w:val="24"/>
        </w:rPr>
        <w:t>(4)《矿业权出让转让管理暂行规定》(国土资发[2000]309号);</w:t>
      </w:r>
    </w:p>
    <w:p w14:paraId="59FB9939">
      <w:pPr>
        <w:spacing w:before="213" w:line="218" w:lineRule="auto"/>
        <w:ind w:left="684"/>
        <w:rPr>
          <w:rFonts w:ascii="宋体" w:hAnsi="宋体" w:eastAsia="宋体" w:cs="宋体"/>
          <w:sz w:val="24"/>
          <w:szCs w:val="24"/>
        </w:rPr>
      </w:pPr>
      <w:r>
        <w:rPr>
          <w:rFonts w:ascii="宋体" w:hAnsi="宋体" w:eastAsia="宋体" w:cs="宋体"/>
          <w:spacing w:val="11"/>
          <w:sz w:val="24"/>
          <w:szCs w:val="24"/>
        </w:rPr>
        <w:t>(5)《矿业权评估管理办法(试行)》的通知(国土资发[2008]174号);</w:t>
      </w:r>
    </w:p>
    <w:p w14:paraId="39283768">
      <w:pPr>
        <w:spacing w:before="217" w:line="300" w:lineRule="auto"/>
        <w:ind w:left="104" w:right="205" w:firstLine="580"/>
        <w:rPr>
          <w:rFonts w:ascii="宋体" w:hAnsi="宋体" w:eastAsia="宋体" w:cs="宋体"/>
          <w:sz w:val="24"/>
          <w:szCs w:val="24"/>
        </w:rPr>
      </w:pPr>
      <w:r>
        <w:rPr>
          <w:rFonts w:ascii="宋体" w:hAnsi="宋体" w:eastAsia="宋体" w:cs="宋体"/>
          <w:spacing w:val="-4"/>
          <w:sz w:val="24"/>
          <w:szCs w:val="24"/>
        </w:rPr>
        <w:t>(6)《国土资源部关于完善矿产资源开采审批登记管理有关事项的通知》(国</w:t>
      </w:r>
      <w:r>
        <w:rPr>
          <w:rFonts w:ascii="宋体" w:hAnsi="宋体" w:eastAsia="宋体" w:cs="宋体"/>
          <w:spacing w:val="13"/>
          <w:sz w:val="24"/>
          <w:szCs w:val="24"/>
        </w:rPr>
        <w:t xml:space="preserve"> </w:t>
      </w:r>
      <w:r>
        <w:rPr>
          <w:rFonts w:ascii="宋体" w:hAnsi="宋体" w:eastAsia="宋体" w:cs="宋体"/>
          <w:spacing w:val="4"/>
          <w:sz w:val="24"/>
          <w:szCs w:val="24"/>
        </w:rPr>
        <w:t>土资规[2017]16号);</w:t>
      </w:r>
    </w:p>
    <w:p w14:paraId="47FE4652">
      <w:pPr>
        <w:spacing w:before="213" w:line="303" w:lineRule="auto"/>
        <w:ind w:left="135" w:right="199" w:firstLine="549"/>
        <w:rPr>
          <w:rFonts w:ascii="宋体" w:hAnsi="宋体" w:eastAsia="宋体" w:cs="宋体"/>
          <w:sz w:val="24"/>
          <w:szCs w:val="24"/>
        </w:rPr>
      </w:pPr>
      <w:r>
        <w:rPr>
          <w:rFonts w:ascii="宋体" w:hAnsi="宋体" w:eastAsia="宋体" w:cs="宋体"/>
          <w:spacing w:val="11"/>
          <w:sz w:val="24"/>
          <w:szCs w:val="24"/>
        </w:rPr>
        <w:t>(7)《关于全民所有自然资源资产有偿使用制度改革的指导意见</w:t>
      </w:r>
      <w:r>
        <w:rPr>
          <w:rFonts w:ascii="宋体" w:hAnsi="宋体" w:eastAsia="宋体" w:cs="宋体"/>
          <w:spacing w:val="10"/>
          <w:sz w:val="24"/>
          <w:szCs w:val="24"/>
        </w:rPr>
        <w:t>》(国发</w:t>
      </w:r>
      <w:r>
        <w:rPr>
          <w:rFonts w:ascii="宋体" w:hAnsi="宋体" w:eastAsia="宋体" w:cs="宋体"/>
          <w:sz w:val="24"/>
          <w:szCs w:val="24"/>
        </w:rPr>
        <w:t xml:space="preserve"> </w:t>
      </w:r>
      <w:r>
        <w:rPr>
          <w:rFonts w:ascii="宋体" w:hAnsi="宋体" w:eastAsia="宋体" w:cs="宋体"/>
          <w:spacing w:val="-1"/>
          <w:sz w:val="24"/>
          <w:szCs w:val="24"/>
        </w:rPr>
        <w:t>〔2016〕82号);</w:t>
      </w:r>
    </w:p>
    <w:p w14:paraId="33B05E48">
      <w:pPr>
        <w:spacing w:before="212" w:line="300" w:lineRule="auto"/>
        <w:ind w:left="104" w:right="196" w:firstLine="580"/>
        <w:rPr>
          <w:rFonts w:ascii="仿宋" w:hAnsi="仿宋" w:eastAsia="仿宋" w:cs="仿宋"/>
          <w:sz w:val="24"/>
          <w:szCs w:val="24"/>
        </w:rPr>
      </w:pPr>
      <w:r>
        <w:rPr>
          <w:rFonts w:ascii="宋体" w:hAnsi="宋体" w:eastAsia="宋体" w:cs="宋体"/>
          <w:spacing w:val="10"/>
          <w:sz w:val="24"/>
          <w:szCs w:val="24"/>
        </w:rPr>
        <w:t>(8)《国务院关于印发矿产资源权益金制度改革方案的通知》(</w:t>
      </w:r>
      <w:r>
        <w:rPr>
          <w:rFonts w:ascii="宋体" w:hAnsi="宋体" w:eastAsia="宋体" w:cs="宋体"/>
          <w:spacing w:val="9"/>
          <w:sz w:val="24"/>
          <w:szCs w:val="24"/>
        </w:rPr>
        <w:t>[2017]29</w:t>
      </w:r>
      <w:r>
        <w:rPr>
          <w:rFonts w:ascii="宋体" w:hAnsi="宋体" w:eastAsia="宋体" w:cs="宋体"/>
          <w:sz w:val="24"/>
          <w:szCs w:val="24"/>
        </w:rPr>
        <w:t xml:space="preserve"> </w:t>
      </w:r>
      <w:r>
        <w:rPr>
          <w:rFonts w:ascii="仿宋" w:hAnsi="仿宋" w:eastAsia="仿宋" w:cs="仿宋"/>
          <w:spacing w:val="-1"/>
          <w:sz w:val="24"/>
          <w:szCs w:val="24"/>
        </w:rPr>
        <w:t>号);</w:t>
      </w:r>
    </w:p>
    <w:p w14:paraId="64CEDA72">
      <w:pPr>
        <w:spacing w:before="218" w:line="303" w:lineRule="auto"/>
        <w:ind w:left="245" w:right="90" w:firstLine="439"/>
        <w:rPr>
          <w:rFonts w:ascii="宋体" w:hAnsi="宋体" w:eastAsia="宋体" w:cs="宋体"/>
          <w:sz w:val="24"/>
          <w:szCs w:val="24"/>
        </w:rPr>
      </w:pPr>
      <w:r>
        <w:rPr>
          <w:rFonts w:ascii="宋体" w:hAnsi="宋体" w:eastAsia="宋体" w:cs="宋体"/>
          <w:spacing w:val="3"/>
          <w:sz w:val="24"/>
          <w:szCs w:val="24"/>
        </w:rPr>
        <w:t xml:space="preserve">(9)《财政部国土部关于印发&lt;矿业权出让收益征收管理暂行办法&gt;的通知》 </w:t>
      </w:r>
      <w:r>
        <w:rPr>
          <w:rFonts w:ascii="宋体" w:hAnsi="宋体" w:eastAsia="宋体" w:cs="宋体"/>
          <w:spacing w:val="5"/>
          <w:sz w:val="24"/>
          <w:szCs w:val="24"/>
        </w:rPr>
        <w:t>(财综[2017]35号);</w:t>
      </w:r>
    </w:p>
    <w:p w14:paraId="2F4979B0">
      <w:pPr>
        <w:spacing w:before="183" w:line="309" w:lineRule="auto"/>
        <w:ind w:left="104" w:right="188" w:firstLine="580"/>
        <w:rPr>
          <w:rFonts w:ascii="宋体" w:hAnsi="宋体" w:eastAsia="宋体" w:cs="宋体"/>
          <w:sz w:val="24"/>
          <w:szCs w:val="24"/>
        </w:rPr>
      </w:pPr>
      <w:r>
        <w:rPr>
          <w:rFonts w:ascii="宋体" w:hAnsi="宋体" w:eastAsia="宋体" w:cs="宋体"/>
          <w:sz w:val="24"/>
          <w:szCs w:val="24"/>
        </w:rPr>
        <w:t>(10)《云南省人民政府关于进一步加强矿产资源开发管理的规定》(云南省</w:t>
      </w:r>
      <w:r>
        <w:rPr>
          <w:rFonts w:ascii="宋体" w:hAnsi="宋体" w:eastAsia="宋体" w:cs="宋体"/>
          <w:spacing w:val="10"/>
          <w:sz w:val="24"/>
          <w:szCs w:val="24"/>
        </w:rPr>
        <w:t xml:space="preserve"> </w:t>
      </w:r>
      <w:r>
        <w:rPr>
          <w:rFonts w:ascii="宋体" w:hAnsi="宋体" w:eastAsia="宋体" w:cs="宋体"/>
          <w:spacing w:val="3"/>
          <w:sz w:val="24"/>
          <w:szCs w:val="24"/>
        </w:rPr>
        <w:t>人民政府云政发[2015]58号);</w:t>
      </w:r>
    </w:p>
    <w:p w14:paraId="19F8AD51">
      <w:pPr>
        <w:spacing w:before="216" w:line="302" w:lineRule="auto"/>
        <w:ind w:left="104" w:right="192" w:firstLine="580"/>
        <w:rPr>
          <w:rFonts w:ascii="宋体" w:hAnsi="宋体" w:eastAsia="宋体" w:cs="宋体"/>
          <w:sz w:val="24"/>
          <w:szCs w:val="24"/>
        </w:rPr>
      </w:pPr>
      <w:r>
        <w:rPr>
          <w:rFonts w:ascii="宋体" w:hAnsi="宋体" w:eastAsia="宋体" w:cs="宋体"/>
          <w:spacing w:val="4"/>
          <w:sz w:val="24"/>
          <w:szCs w:val="24"/>
        </w:rPr>
        <w:t>(11)《云南省国土资源厅关于贯彻落实云南省人民</w:t>
      </w:r>
      <w:r>
        <w:rPr>
          <w:rFonts w:ascii="宋体" w:hAnsi="宋体" w:eastAsia="宋体" w:cs="宋体"/>
          <w:spacing w:val="3"/>
          <w:sz w:val="24"/>
          <w:szCs w:val="24"/>
        </w:rPr>
        <w:t>政府进一步加强矿产资</w:t>
      </w:r>
      <w:r>
        <w:rPr>
          <w:rFonts w:ascii="宋体" w:hAnsi="宋体" w:eastAsia="宋体" w:cs="宋体"/>
          <w:sz w:val="24"/>
          <w:szCs w:val="24"/>
        </w:rPr>
        <w:t xml:space="preserve"> </w:t>
      </w:r>
      <w:r>
        <w:rPr>
          <w:rFonts w:ascii="宋体" w:hAnsi="宋体" w:eastAsia="宋体" w:cs="宋体"/>
          <w:spacing w:val="2"/>
          <w:sz w:val="24"/>
          <w:szCs w:val="24"/>
        </w:rPr>
        <w:t>源开发管理规定有关问题的通知》(云南省国土资源厅云国土资[</w:t>
      </w:r>
      <w:r>
        <w:rPr>
          <w:rFonts w:ascii="宋体" w:hAnsi="宋体" w:eastAsia="宋体" w:cs="宋体"/>
          <w:spacing w:val="1"/>
          <w:sz w:val="24"/>
          <w:szCs w:val="24"/>
        </w:rPr>
        <w:t>2015]130号);</w:t>
      </w:r>
    </w:p>
    <w:p w14:paraId="360DF2B2">
      <w:pPr>
        <w:spacing w:before="189" w:line="212" w:lineRule="auto"/>
        <w:ind w:left="684"/>
        <w:rPr>
          <w:rFonts w:ascii="Times New Roman" w:hAnsi="Times New Roman" w:eastAsia="Times New Roman" w:cs="Times New Roman"/>
          <w:sz w:val="24"/>
          <w:szCs w:val="24"/>
        </w:rPr>
      </w:pPr>
      <w:r>
        <w:rPr>
          <w:rFonts w:ascii="宋体" w:hAnsi="宋体" w:eastAsia="宋体" w:cs="宋体"/>
          <w:spacing w:val="1"/>
          <w:sz w:val="24"/>
          <w:szCs w:val="24"/>
        </w:rPr>
        <w:t>(12)《矿业权评估技术基本准则》(</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CMVSO</w:t>
      </w:r>
      <w:r>
        <w:rPr>
          <w:rFonts w:ascii="Times New Roman" w:hAnsi="Times New Roman" w:eastAsia="Times New Roman" w:cs="Times New Roman"/>
          <w:spacing w:val="1"/>
          <w:sz w:val="24"/>
          <w:szCs w:val="24"/>
        </w:rPr>
        <w:t>0001-2008);</w:t>
      </w:r>
    </w:p>
    <w:p w14:paraId="7175DE72">
      <w:pPr>
        <w:spacing w:before="224" w:line="212" w:lineRule="auto"/>
        <w:ind w:left="684"/>
        <w:rPr>
          <w:rFonts w:ascii="Times New Roman" w:hAnsi="Times New Roman" w:eastAsia="Times New Roman" w:cs="Times New Roman"/>
          <w:sz w:val="24"/>
          <w:szCs w:val="24"/>
        </w:rPr>
      </w:pPr>
      <w:r>
        <w:rPr>
          <w:rFonts w:ascii="宋体" w:hAnsi="宋体" w:eastAsia="宋体" w:cs="宋体"/>
          <w:spacing w:val="1"/>
          <w:sz w:val="24"/>
          <w:szCs w:val="24"/>
        </w:rPr>
        <w:t>(13)《矿业权评估程序规范》(</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CMVS</w:t>
      </w:r>
      <w:r>
        <w:rPr>
          <w:rFonts w:ascii="Times New Roman" w:hAnsi="Times New Roman" w:eastAsia="Times New Roman" w:cs="Times New Roman"/>
          <w:spacing w:val="1"/>
          <w:sz w:val="24"/>
          <w:szCs w:val="24"/>
        </w:rPr>
        <w:t>11000-2008);</w:t>
      </w:r>
    </w:p>
    <w:p w14:paraId="704926BD">
      <w:pPr>
        <w:spacing w:before="224" w:line="212" w:lineRule="auto"/>
        <w:ind w:left="684"/>
        <w:rPr>
          <w:rFonts w:ascii="Times New Roman" w:hAnsi="Times New Roman" w:eastAsia="Times New Roman" w:cs="Times New Roman"/>
          <w:sz w:val="24"/>
          <w:szCs w:val="24"/>
        </w:rPr>
      </w:pPr>
      <w:r>
        <w:rPr>
          <w:rFonts w:ascii="宋体" w:hAnsi="宋体" w:eastAsia="宋体" w:cs="宋体"/>
          <w:spacing w:val="2"/>
          <w:sz w:val="24"/>
          <w:szCs w:val="24"/>
        </w:rPr>
        <w:t>(14)《矿业权评估报告编制规范》(</w:t>
      </w:r>
      <w:r>
        <w:rPr>
          <w:rFonts w:ascii="宋体" w:hAnsi="宋体" w:eastAsia="宋体" w:cs="宋体"/>
          <w:spacing w:val="-61"/>
          <w:sz w:val="24"/>
          <w:szCs w:val="24"/>
        </w:rPr>
        <w:t xml:space="preserve"> </w:t>
      </w:r>
      <w:r>
        <w:rPr>
          <w:rFonts w:ascii="Times New Roman" w:hAnsi="Times New Roman" w:eastAsia="Times New Roman" w:cs="Times New Roman"/>
          <w:sz w:val="24"/>
          <w:szCs w:val="24"/>
        </w:rPr>
        <w:t>CMVS</w:t>
      </w:r>
      <w:r>
        <w:rPr>
          <w:rFonts w:ascii="Times New Roman" w:hAnsi="Times New Roman" w:eastAsia="Times New Roman" w:cs="Times New Roman"/>
          <w:spacing w:val="2"/>
          <w:sz w:val="24"/>
          <w:szCs w:val="24"/>
        </w:rPr>
        <w:t>11400-2008);</w:t>
      </w:r>
    </w:p>
    <w:p w14:paraId="2780D066">
      <w:pPr>
        <w:pStyle w:val="2"/>
        <w:spacing w:line="247" w:lineRule="auto"/>
      </w:pPr>
    </w:p>
    <w:p w14:paraId="0DA1C192">
      <w:pPr>
        <w:pStyle w:val="2"/>
        <w:spacing w:line="247" w:lineRule="auto"/>
      </w:pPr>
      <w:r>
        <w:drawing>
          <wp:anchor distT="0" distB="0" distL="0" distR="0" simplePos="0" relativeHeight="251730944" behindDoc="0" locked="0" layoutInCell="1" allowOverlap="1">
            <wp:simplePos x="0" y="0"/>
            <wp:positionH relativeFrom="column">
              <wp:posOffset>46990</wp:posOffset>
            </wp:positionH>
            <wp:positionV relativeFrom="paragraph">
              <wp:posOffset>173355</wp:posOffset>
            </wp:positionV>
            <wp:extent cx="5467350" cy="1270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42"/>
                    <a:stretch>
                      <a:fillRect/>
                    </a:stretch>
                  </pic:blipFill>
                  <pic:spPr>
                    <a:xfrm>
                      <a:off x="0" y="0"/>
                      <a:ext cx="5467353" cy="12611"/>
                    </a:xfrm>
                    <a:prstGeom prst="rect">
                      <a:avLst/>
                    </a:prstGeom>
                  </pic:spPr>
                </pic:pic>
              </a:graphicData>
            </a:graphic>
          </wp:anchor>
        </w:drawing>
      </w:r>
    </w:p>
    <w:p w14:paraId="2BB798AA">
      <w:pPr>
        <w:pStyle w:val="2"/>
        <w:spacing w:before="55" w:line="259" w:lineRule="exact"/>
        <w:ind w:left="8275"/>
        <w:rPr>
          <w:sz w:val="19"/>
          <w:szCs w:val="19"/>
        </w:rPr>
      </w:pPr>
      <w:r>
        <w:pict>
          <v:shape id="_x0000_s1048" o:spid="_x0000_s1048" o:spt="202" type="#_x0000_t202" style="position:absolute;left:0pt;margin-left:145.75pt;margin-top:5.7pt;height:14.1pt;width:138.6pt;z-index:251729920;mso-width-relative:page;mso-height-relative:page;" filled="f" stroked="f" coordsize="21600,21600">
            <v:path/>
            <v:fill on="f" focussize="0,0"/>
            <v:stroke on="f"/>
            <v:imagedata o:title=""/>
            <o:lock v:ext="edit" aspectratio="f"/>
            <v:textbox inset="0mm,0mm,0mm,0mm">
              <w:txbxContent>
                <w:p w14:paraId="59D8C06A">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30"/>
                      <w:sz w:val="18"/>
                      <w:szCs w:val="18"/>
                    </w:rPr>
                    <w:t>云南俊成矿业权评估有限公司</w:t>
                  </w:r>
                </w:p>
              </w:txbxContent>
            </v:textbox>
          </v:shape>
        </w:pict>
      </w:r>
      <w:r>
        <w:rPr>
          <w:position w:val="1"/>
          <w:sz w:val="19"/>
          <w:szCs w:val="19"/>
        </w:rPr>
        <w:t>6</w:t>
      </w:r>
    </w:p>
    <w:p w14:paraId="2BEBCEBB">
      <w:pPr>
        <w:spacing w:line="259" w:lineRule="exact"/>
        <w:rPr>
          <w:sz w:val="19"/>
          <w:szCs w:val="19"/>
        </w:rPr>
        <w:sectPr>
          <w:headerReference r:id="rId33" w:type="default"/>
          <w:footerReference r:id="rId34" w:type="default"/>
          <w:pgSz w:w="11900" w:h="16830"/>
          <w:pgMar w:top="1186" w:right="1430" w:bottom="400" w:left="1785" w:header="910" w:footer="0" w:gutter="0"/>
          <w:cols w:space="720" w:num="1"/>
        </w:sectPr>
      </w:pPr>
    </w:p>
    <w:p w14:paraId="56025344">
      <w:pPr>
        <w:pStyle w:val="2"/>
        <w:spacing w:line="395" w:lineRule="auto"/>
      </w:pPr>
    </w:p>
    <w:p w14:paraId="66D8AB46">
      <w:pPr>
        <w:spacing w:before="78" w:line="212" w:lineRule="auto"/>
        <w:ind w:left="684"/>
        <w:rPr>
          <w:rFonts w:ascii="Times New Roman" w:hAnsi="Times New Roman" w:eastAsia="Times New Roman" w:cs="Times New Roman"/>
          <w:sz w:val="24"/>
          <w:szCs w:val="24"/>
        </w:rPr>
      </w:pPr>
      <w:bookmarkStart w:id="9" w:name="bookmark46"/>
      <w:bookmarkEnd w:id="9"/>
      <w:r>
        <w:rPr>
          <w:rFonts w:ascii="宋体" w:hAnsi="宋体" w:eastAsia="宋体" w:cs="宋体"/>
          <w:spacing w:val="-3"/>
          <w:sz w:val="24"/>
          <w:szCs w:val="24"/>
        </w:rPr>
        <w:t>(15)《收益途径评估方法规范》(</w:t>
      </w:r>
      <w:r>
        <w:rPr>
          <w:rFonts w:ascii="宋体" w:hAnsi="宋体" w:eastAsia="宋体" w:cs="宋体"/>
          <w:spacing w:val="-41"/>
          <w:sz w:val="24"/>
          <w:szCs w:val="24"/>
        </w:rPr>
        <w:t xml:space="preserve"> </w:t>
      </w:r>
      <w:r>
        <w:rPr>
          <w:rFonts w:ascii="Times New Roman" w:hAnsi="Times New Roman" w:eastAsia="Times New Roman" w:cs="Times New Roman"/>
          <w:spacing w:val="-3"/>
          <w:sz w:val="24"/>
          <w:szCs w:val="24"/>
        </w:rPr>
        <w:t>CMVS12100—2008);</w:t>
      </w:r>
    </w:p>
    <w:p w14:paraId="474F5FFE">
      <w:pPr>
        <w:spacing w:before="239" w:line="305" w:lineRule="auto"/>
        <w:ind w:left="54" w:right="265" w:firstLine="629"/>
        <w:rPr>
          <w:rFonts w:ascii="宋体" w:hAnsi="宋体" w:eastAsia="宋体" w:cs="宋体"/>
          <w:sz w:val="24"/>
          <w:szCs w:val="24"/>
        </w:rPr>
      </w:pPr>
      <w:r>
        <w:rPr>
          <w:rFonts w:ascii="宋体" w:hAnsi="宋体" w:eastAsia="宋体" w:cs="宋体"/>
          <w:spacing w:val="6"/>
          <w:sz w:val="24"/>
          <w:szCs w:val="24"/>
        </w:rPr>
        <w:t>(16)《矿业权出让收益评估应用指南(试行)》(中国矿业权评估师协会公</w:t>
      </w:r>
      <w:r>
        <w:rPr>
          <w:rFonts w:ascii="宋体" w:hAnsi="宋体" w:eastAsia="宋体" w:cs="宋体"/>
          <w:spacing w:val="3"/>
          <w:sz w:val="24"/>
          <w:szCs w:val="24"/>
        </w:rPr>
        <w:t xml:space="preserve"> </w:t>
      </w:r>
      <w:r>
        <w:rPr>
          <w:rFonts w:ascii="宋体" w:hAnsi="宋体" w:eastAsia="宋体" w:cs="宋体"/>
          <w:spacing w:val="18"/>
          <w:sz w:val="24"/>
          <w:szCs w:val="24"/>
        </w:rPr>
        <w:t>告2017年第3号发布);</w:t>
      </w:r>
    </w:p>
    <w:p w14:paraId="2FC5D7A6">
      <w:pPr>
        <w:spacing w:before="191" w:line="212" w:lineRule="auto"/>
        <w:ind w:left="684"/>
        <w:rPr>
          <w:rFonts w:ascii="Times New Roman" w:hAnsi="Times New Roman" w:eastAsia="Times New Roman" w:cs="Times New Roman"/>
          <w:sz w:val="24"/>
          <w:szCs w:val="24"/>
        </w:rPr>
      </w:pPr>
      <w:r>
        <w:rPr>
          <w:rFonts w:ascii="宋体" w:hAnsi="宋体" w:eastAsia="宋体" w:cs="宋体"/>
          <w:spacing w:val="-1"/>
          <w:sz w:val="24"/>
          <w:szCs w:val="24"/>
        </w:rPr>
        <w:t>(17)《确定评估基准日指导意见》(</w:t>
      </w:r>
      <w:r>
        <w:rPr>
          <w:rFonts w:ascii="Times New Roman" w:hAnsi="Times New Roman" w:eastAsia="Times New Roman" w:cs="Times New Roman"/>
          <w:spacing w:val="-1"/>
          <w:sz w:val="24"/>
          <w:szCs w:val="24"/>
        </w:rPr>
        <w:t>CMVS30200—2008);</w:t>
      </w:r>
    </w:p>
    <w:p w14:paraId="0B3E4444">
      <w:pPr>
        <w:spacing w:before="224" w:line="212" w:lineRule="auto"/>
        <w:ind w:left="684"/>
        <w:rPr>
          <w:rFonts w:ascii="Times New Roman" w:hAnsi="Times New Roman" w:eastAsia="Times New Roman" w:cs="Times New Roman"/>
          <w:sz w:val="24"/>
          <w:szCs w:val="24"/>
        </w:rPr>
      </w:pPr>
      <w:r>
        <w:rPr>
          <w:rFonts w:ascii="宋体" w:hAnsi="宋体" w:eastAsia="宋体" w:cs="宋体"/>
          <w:spacing w:val="-3"/>
          <w:sz w:val="24"/>
          <w:szCs w:val="24"/>
        </w:rPr>
        <w:t>(18)《矿业权评估参数确定指导意见》(</w:t>
      </w:r>
      <w:r>
        <w:rPr>
          <w:rFonts w:ascii="宋体" w:hAnsi="宋体" w:eastAsia="宋体" w:cs="宋体"/>
          <w:spacing w:val="-42"/>
          <w:sz w:val="24"/>
          <w:szCs w:val="24"/>
        </w:rPr>
        <w:t xml:space="preserve"> </w:t>
      </w:r>
      <w:r>
        <w:rPr>
          <w:rFonts w:ascii="Times New Roman" w:hAnsi="Times New Roman" w:eastAsia="Times New Roman" w:cs="Times New Roman"/>
          <w:spacing w:val="-3"/>
          <w:sz w:val="24"/>
          <w:szCs w:val="24"/>
        </w:rPr>
        <w:t>CMVS30800—2008);</w:t>
      </w:r>
    </w:p>
    <w:p w14:paraId="4B8724BB">
      <w:pPr>
        <w:spacing w:before="224" w:line="212" w:lineRule="auto"/>
        <w:ind w:left="684"/>
        <w:rPr>
          <w:rFonts w:ascii="Times New Roman" w:hAnsi="Times New Roman" w:eastAsia="Times New Roman" w:cs="Times New Roman"/>
          <w:sz w:val="24"/>
          <w:szCs w:val="24"/>
        </w:rPr>
      </w:pPr>
      <w:r>
        <w:rPr>
          <w:rFonts w:ascii="宋体" w:hAnsi="宋体" w:eastAsia="宋体" w:cs="宋体"/>
          <w:spacing w:val="-2"/>
          <w:sz w:val="24"/>
          <w:szCs w:val="24"/>
        </w:rPr>
        <w:t>(19)《矿业权评估利用矿产资源储量指</w:t>
      </w:r>
      <w:r>
        <w:rPr>
          <w:rFonts w:ascii="宋体" w:hAnsi="宋体" w:eastAsia="宋体" w:cs="宋体"/>
          <w:spacing w:val="-3"/>
          <w:sz w:val="24"/>
          <w:szCs w:val="24"/>
        </w:rPr>
        <w:t>导意见》(</w:t>
      </w:r>
      <w:r>
        <w:rPr>
          <w:rFonts w:ascii="宋体" w:hAnsi="宋体" w:eastAsia="宋体" w:cs="宋体"/>
          <w:spacing w:val="-59"/>
          <w:sz w:val="24"/>
          <w:szCs w:val="24"/>
        </w:rPr>
        <w:t xml:space="preserve"> </w:t>
      </w:r>
      <w:r>
        <w:rPr>
          <w:rFonts w:ascii="Times New Roman" w:hAnsi="Times New Roman" w:eastAsia="Times New Roman" w:cs="Times New Roman"/>
          <w:spacing w:val="-3"/>
          <w:sz w:val="24"/>
          <w:szCs w:val="24"/>
        </w:rPr>
        <w:t>CMVS30300—2010);</w:t>
      </w:r>
    </w:p>
    <w:p w14:paraId="68658758">
      <w:pPr>
        <w:spacing w:before="225" w:line="212" w:lineRule="auto"/>
        <w:ind w:left="684"/>
        <w:rPr>
          <w:rFonts w:ascii="Times New Roman" w:hAnsi="Times New Roman" w:eastAsia="Times New Roman" w:cs="Times New Roman"/>
          <w:sz w:val="24"/>
          <w:szCs w:val="24"/>
        </w:rPr>
      </w:pPr>
      <w:r>
        <w:rPr>
          <w:rFonts w:ascii="宋体" w:hAnsi="宋体" w:eastAsia="宋体" w:cs="宋体"/>
          <w:spacing w:val="-2"/>
          <w:sz w:val="24"/>
          <w:szCs w:val="24"/>
        </w:rPr>
        <w:t>(20)《矿业权评估利用地质勘查文件指</w:t>
      </w:r>
      <w:r>
        <w:rPr>
          <w:rFonts w:ascii="宋体" w:hAnsi="宋体" w:eastAsia="宋体" w:cs="宋体"/>
          <w:spacing w:val="-3"/>
          <w:sz w:val="24"/>
          <w:szCs w:val="24"/>
        </w:rPr>
        <w:t>导意见》(</w:t>
      </w:r>
      <w:r>
        <w:rPr>
          <w:rFonts w:ascii="宋体" w:hAnsi="宋体" w:eastAsia="宋体" w:cs="宋体"/>
          <w:spacing w:val="-59"/>
          <w:sz w:val="24"/>
          <w:szCs w:val="24"/>
        </w:rPr>
        <w:t xml:space="preserve"> </w:t>
      </w:r>
      <w:r>
        <w:rPr>
          <w:rFonts w:ascii="Times New Roman" w:hAnsi="Times New Roman" w:eastAsia="Times New Roman" w:cs="Times New Roman"/>
          <w:spacing w:val="-3"/>
          <w:sz w:val="24"/>
          <w:szCs w:val="24"/>
        </w:rPr>
        <w:t>CMVS30400—2010);</w:t>
      </w:r>
    </w:p>
    <w:p w14:paraId="7128A120">
      <w:pPr>
        <w:spacing w:before="224" w:line="212" w:lineRule="auto"/>
        <w:ind w:left="684"/>
        <w:rPr>
          <w:rFonts w:ascii="Times New Roman" w:hAnsi="Times New Roman" w:eastAsia="Times New Roman" w:cs="Times New Roman"/>
          <w:sz w:val="24"/>
          <w:szCs w:val="24"/>
        </w:rPr>
      </w:pPr>
      <w:r>
        <w:rPr>
          <w:rFonts w:ascii="宋体" w:hAnsi="宋体" w:eastAsia="宋体" w:cs="宋体"/>
          <w:spacing w:val="1"/>
          <w:sz w:val="24"/>
          <w:szCs w:val="24"/>
        </w:rPr>
        <w:t>(21)《矿业权评估利用矿山设计指导意见》(</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CMVS</w:t>
      </w:r>
      <w:r>
        <w:rPr>
          <w:rFonts w:ascii="Times New Roman" w:hAnsi="Times New Roman" w:eastAsia="Times New Roman" w:cs="Times New Roman"/>
          <w:spacing w:val="1"/>
          <w:sz w:val="24"/>
          <w:szCs w:val="24"/>
        </w:rPr>
        <w:t>30700-2010);</w:t>
      </w:r>
    </w:p>
    <w:p w14:paraId="537D02C8">
      <w:pPr>
        <w:spacing w:before="234" w:line="212" w:lineRule="auto"/>
        <w:ind w:left="684"/>
        <w:rPr>
          <w:rFonts w:ascii="Times New Roman" w:hAnsi="Times New Roman" w:eastAsia="Times New Roman" w:cs="Times New Roman"/>
          <w:sz w:val="24"/>
          <w:szCs w:val="24"/>
        </w:rPr>
      </w:pPr>
      <w:r>
        <w:rPr>
          <w:rFonts w:ascii="宋体" w:hAnsi="宋体" w:eastAsia="宋体" w:cs="宋体"/>
          <w:spacing w:val="1"/>
          <w:sz w:val="24"/>
          <w:szCs w:val="24"/>
        </w:rPr>
        <w:t>(22)《固体矿产地质勘查规范总则》(</w:t>
      </w:r>
      <w:r>
        <w:rPr>
          <w:rFonts w:ascii="宋体" w:hAnsi="宋体" w:eastAsia="宋体" w:cs="宋体"/>
          <w:spacing w:val="-54"/>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/T13908-2020);</w:t>
      </w:r>
    </w:p>
    <w:p w14:paraId="5981AF48">
      <w:pPr>
        <w:spacing w:before="225" w:line="212" w:lineRule="auto"/>
        <w:ind w:left="684"/>
        <w:rPr>
          <w:rFonts w:ascii="宋体" w:hAnsi="宋体" w:eastAsia="宋体" w:cs="宋体"/>
          <w:sz w:val="24"/>
          <w:szCs w:val="24"/>
        </w:rPr>
      </w:pPr>
      <w:r>
        <w:rPr>
          <w:rFonts w:ascii="宋体" w:hAnsi="宋体" w:eastAsia="宋体" w:cs="宋体"/>
          <w:spacing w:val="-1"/>
          <w:sz w:val="24"/>
          <w:szCs w:val="24"/>
        </w:rPr>
        <w:t>(23)《矿产地质勘查规范铜、铅、锌、银、镍、钼矿》 (</w:t>
      </w:r>
      <w:r>
        <w:rPr>
          <w:rFonts w:ascii="Times New Roman" w:hAnsi="Times New Roman" w:eastAsia="Times New Roman" w:cs="Times New Roman"/>
          <w:spacing w:val="-1"/>
          <w:sz w:val="24"/>
          <w:szCs w:val="24"/>
        </w:rPr>
        <w:t>DZ/T0214-2020)</w:t>
      </w:r>
      <w:r>
        <w:rPr>
          <w:rFonts w:ascii="宋体" w:hAnsi="宋体" w:eastAsia="宋体" w:cs="宋体"/>
          <w:spacing w:val="-1"/>
          <w:sz w:val="24"/>
          <w:szCs w:val="24"/>
        </w:rPr>
        <w:t>。</w:t>
      </w:r>
    </w:p>
    <w:p w14:paraId="4B671AFF">
      <w:pPr>
        <w:spacing w:before="241" w:line="219" w:lineRule="auto"/>
        <w:ind w:left="585"/>
        <w:rPr>
          <w:rFonts w:ascii="宋体" w:hAnsi="宋体" w:eastAsia="宋体" w:cs="宋体"/>
          <w:sz w:val="24"/>
          <w:szCs w:val="24"/>
        </w:rPr>
      </w:pPr>
      <w:r>
        <w:rPr>
          <w:rFonts w:ascii="宋体" w:hAnsi="宋体" w:eastAsia="宋体" w:cs="宋体"/>
          <w:spacing w:val="10"/>
          <w:sz w:val="24"/>
          <w:szCs w:val="24"/>
        </w:rPr>
        <w:t>6.2产权证明文件</w:t>
      </w:r>
    </w:p>
    <w:p w14:paraId="35475B2A">
      <w:pPr>
        <w:spacing w:before="213" w:line="293" w:lineRule="auto"/>
        <w:ind w:left="54" w:right="294" w:firstLine="629"/>
        <w:rPr>
          <w:rFonts w:ascii="宋体" w:hAnsi="宋体" w:eastAsia="宋体" w:cs="宋体"/>
          <w:sz w:val="23"/>
          <w:szCs w:val="23"/>
        </w:rPr>
      </w:pPr>
      <w:r>
        <w:rPr>
          <w:rFonts w:ascii="宋体" w:hAnsi="宋体" w:eastAsia="宋体" w:cs="宋体"/>
          <w:spacing w:val="-17"/>
          <w:sz w:val="23"/>
          <w:szCs w:val="23"/>
        </w:rPr>
        <w:t>(</w:t>
      </w:r>
      <w:r>
        <w:rPr>
          <w:rFonts w:ascii="宋体" w:hAnsi="宋体" w:eastAsia="宋体" w:cs="宋体"/>
          <w:spacing w:val="-28"/>
          <w:sz w:val="23"/>
          <w:szCs w:val="23"/>
        </w:rPr>
        <w:t xml:space="preserve"> </w:t>
      </w:r>
      <w:r>
        <w:rPr>
          <w:rFonts w:ascii="宋体" w:hAnsi="宋体" w:eastAsia="宋体" w:cs="宋体"/>
          <w:spacing w:val="-17"/>
          <w:sz w:val="23"/>
          <w:szCs w:val="23"/>
        </w:rPr>
        <w:t>1</w:t>
      </w:r>
      <w:r>
        <w:rPr>
          <w:rFonts w:ascii="宋体" w:hAnsi="宋体" w:eastAsia="宋体" w:cs="宋体"/>
          <w:spacing w:val="-47"/>
          <w:sz w:val="23"/>
          <w:szCs w:val="23"/>
        </w:rPr>
        <w:t xml:space="preserve"> </w:t>
      </w:r>
      <w:r>
        <w:rPr>
          <w:rFonts w:ascii="宋体" w:hAnsi="宋体" w:eastAsia="宋体" w:cs="宋体"/>
          <w:spacing w:val="-17"/>
          <w:sz w:val="23"/>
          <w:szCs w:val="23"/>
        </w:rPr>
        <w:t>)</w:t>
      </w:r>
      <w:r>
        <w:rPr>
          <w:rFonts w:ascii="宋体" w:hAnsi="宋体" w:eastAsia="宋体" w:cs="宋体"/>
          <w:spacing w:val="-41"/>
          <w:sz w:val="23"/>
          <w:szCs w:val="23"/>
        </w:rPr>
        <w:t xml:space="preserve"> </w:t>
      </w:r>
      <w:r>
        <w:rPr>
          <w:rFonts w:ascii="宋体" w:hAnsi="宋体" w:eastAsia="宋体" w:cs="宋体"/>
          <w:spacing w:val="-17"/>
          <w:sz w:val="23"/>
          <w:szCs w:val="23"/>
        </w:rPr>
        <w:t>云</w:t>
      </w:r>
      <w:r>
        <w:rPr>
          <w:rFonts w:ascii="宋体" w:hAnsi="宋体" w:eastAsia="宋体" w:cs="宋体"/>
          <w:spacing w:val="-45"/>
          <w:sz w:val="23"/>
          <w:szCs w:val="23"/>
        </w:rPr>
        <w:t xml:space="preserve"> </w:t>
      </w:r>
      <w:r>
        <w:rPr>
          <w:rFonts w:ascii="宋体" w:hAnsi="宋体" w:eastAsia="宋体" w:cs="宋体"/>
          <w:spacing w:val="-17"/>
          <w:sz w:val="23"/>
          <w:szCs w:val="23"/>
        </w:rPr>
        <w:t>南</w:t>
      </w:r>
      <w:r>
        <w:rPr>
          <w:rFonts w:ascii="宋体" w:hAnsi="宋体" w:eastAsia="宋体" w:cs="宋体"/>
          <w:spacing w:val="-46"/>
          <w:sz w:val="23"/>
          <w:szCs w:val="23"/>
        </w:rPr>
        <w:t xml:space="preserve"> </w:t>
      </w:r>
      <w:r>
        <w:rPr>
          <w:rFonts w:ascii="宋体" w:hAnsi="宋体" w:eastAsia="宋体" w:cs="宋体"/>
          <w:spacing w:val="-17"/>
          <w:sz w:val="23"/>
          <w:szCs w:val="23"/>
        </w:rPr>
        <w:t>罗</w:t>
      </w:r>
      <w:r>
        <w:rPr>
          <w:rFonts w:ascii="宋体" w:hAnsi="宋体" w:eastAsia="宋体" w:cs="宋体"/>
          <w:spacing w:val="-48"/>
          <w:sz w:val="23"/>
          <w:szCs w:val="23"/>
        </w:rPr>
        <w:t xml:space="preserve"> </w:t>
      </w:r>
      <w:r>
        <w:rPr>
          <w:rFonts w:ascii="宋体" w:hAnsi="宋体" w:eastAsia="宋体" w:cs="宋体"/>
          <w:spacing w:val="-17"/>
          <w:sz w:val="23"/>
          <w:szCs w:val="23"/>
        </w:rPr>
        <w:t>平</w:t>
      </w:r>
      <w:r>
        <w:rPr>
          <w:rFonts w:ascii="宋体" w:hAnsi="宋体" w:eastAsia="宋体" w:cs="宋体"/>
          <w:spacing w:val="-49"/>
          <w:sz w:val="23"/>
          <w:szCs w:val="23"/>
        </w:rPr>
        <w:t xml:space="preserve"> </w:t>
      </w:r>
      <w:r>
        <w:rPr>
          <w:rFonts w:ascii="宋体" w:hAnsi="宋体" w:eastAsia="宋体" w:cs="宋体"/>
          <w:spacing w:val="-17"/>
          <w:sz w:val="23"/>
          <w:szCs w:val="23"/>
        </w:rPr>
        <w:t>锌 电</w:t>
      </w:r>
      <w:r>
        <w:rPr>
          <w:rFonts w:ascii="宋体" w:hAnsi="宋体" w:eastAsia="宋体" w:cs="宋体"/>
          <w:spacing w:val="-47"/>
          <w:sz w:val="23"/>
          <w:szCs w:val="23"/>
        </w:rPr>
        <w:t xml:space="preserve"> </w:t>
      </w:r>
      <w:r>
        <w:rPr>
          <w:rFonts w:ascii="宋体" w:hAnsi="宋体" w:eastAsia="宋体" w:cs="宋体"/>
          <w:spacing w:val="-17"/>
          <w:sz w:val="23"/>
          <w:szCs w:val="23"/>
        </w:rPr>
        <w:t>股</w:t>
      </w:r>
      <w:r>
        <w:rPr>
          <w:rFonts w:ascii="宋体" w:hAnsi="宋体" w:eastAsia="宋体" w:cs="宋体"/>
          <w:spacing w:val="-48"/>
          <w:sz w:val="23"/>
          <w:szCs w:val="23"/>
        </w:rPr>
        <w:t xml:space="preserve"> </w:t>
      </w:r>
      <w:r>
        <w:rPr>
          <w:rFonts w:ascii="宋体" w:hAnsi="宋体" w:eastAsia="宋体" w:cs="宋体"/>
          <w:spacing w:val="-17"/>
          <w:sz w:val="23"/>
          <w:szCs w:val="23"/>
        </w:rPr>
        <w:t>份</w:t>
      </w:r>
      <w:r>
        <w:rPr>
          <w:rFonts w:ascii="宋体" w:hAnsi="宋体" w:eastAsia="宋体" w:cs="宋体"/>
          <w:spacing w:val="-46"/>
          <w:sz w:val="23"/>
          <w:szCs w:val="23"/>
        </w:rPr>
        <w:t xml:space="preserve"> </w:t>
      </w:r>
      <w:r>
        <w:rPr>
          <w:rFonts w:ascii="宋体" w:hAnsi="宋体" w:eastAsia="宋体" w:cs="宋体"/>
          <w:spacing w:val="-17"/>
          <w:sz w:val="23"/>
          <w:szCs w:val="23"/>
        </w:rPr>
        <w:t>有</w:t>
      </w:r>
      <w:r>
        <w:rPr>
          <w:rFonts w:ascii="宋体" w:hAnsi="宋体" w:eastAsia="宋体" w:cs="宋体"/>
          <w:spacing w:val="-32"/>
          <w:sz w:val="23"/>
          <w:szCs w:val="23"/>
        </w:rPr>
        <w:t xml:space="preserve"> </w:t>
      </w:r>
      <w:r>
        <w:rPr>
          <w:rFonts w:ascii="宋体" w:hAnsi="宋体" w:eastAsia="宋体" w:cs="宋体"/>
          <w:spacing w:val="-17"/>
          <w:sz w:val="23"/>
          <w:szCs w:val="23"/>
        </w:rPr>
        <w:t>限</w:t>
      </w:r>
      <w:r>
        <w:rPr>
          <w:rFonts w:ascii="宋体" w:hAnsi="宋体" w:eastAsia="宋体" w:cs="宋体"/>
          <w:spacing w:val="-40"/>
          <w:sz w:val="23"/>
          <w:szCs w:val="23"/>
        </w:rPr>
        <w:t xml:space="preserve"> </w:t>
      </w:r>
      <w:r>
        <w:rPr>
          <w:rFonts w:ascii="宋体" w:hAnsi="宋体" w:eastAsia="宋体" w:cs="宋体"/>
          <w:spacing w:val="-17"/>
          <w:sz w:val="23"/>
          <w:szCs w:val="23"/>
        </w:rPr>
        <w:t>公</w:t>
      </w:r>
      <w:r>
        <w:rPr>
          <w:rFonts w:ascii="宋体" w:hAnsi="宋体" w:eastAsia="宋体" w:cs="宋体"/>
          <w:spacing w:val="-39"/>
          <w:sz w:val="23"/>
          <w:szCs w:val="23"/>
        </w:rPr>
        <w:t xml:space="preserve"> </w:t>
      </w:r>
      <w:r>
        <w:rPr>
          <w:rFonts w:ascii="宋体" w:hAnsi="宋体" w:eastAsia="宋体" w:cs="宋体"/>
          <w:spacing w:val="-17"/>
          <w:sz w:val="23"/>
          <w:szCs w:val="23"/>
        </w:rPr>
        <w:t>司</w:t>
      </w:r>
      <w:r>
        <w:rPr>
          <w:rFonts w:ascii="宋体" w:hAnsi="宋体" w:eastAsia="宋体" w:cs="宋体"/>
          <w:spacing w:val="-36"/>
          <w:sz w:val="23"/>
          <w:szCs w:val="23"/>
        </w:rPr>
        <w:t xml:space="preserve"> </w:t>
      </w:r>
      <w:r>
        <w:rPr>
          <w:rFonts w:ascii="宋体" w:hAnsi="宋体" w:eastAsia="宋体" w:cs="宋体"/>
          <w:spacing w:val="-17"/>
          <w:sz w:val="23"/>
          <w:szCs w:val="23"/>
        </w:rPr>
        <w:t>富</w:t>
      </w:r>
      <w:r>
        <w:rPr>
          <w:rFonts w:ascii="宋体" w:hAnsi="宋体" w:eastAsia="宋体" w:cs="宋体"/>
          <w:spacing w:val="-40"/>
          <w:sz w:val="23"/>
          <w:szCs w:val="23"/>
        </w:rPr>
        <w:t xml:space="preserve"> </w:t>
      </w:r>
      <w:r>
        <w:rPr>
          <w:rFonts w:ascii="宋体" w:hAnsi="宋体" w:eastAsia="宋体" w:cs="宋体"/>
          <w:spacing w:val="-17"/>
          <w:sz w:val="23"/>
          <w:szCs w:val="23"/>
        </w:rPr>
        <w:t>乐</w:t>
      </w:r>
      <w:r>
        <w:rPr>
          <w:rFonts w:ascii="宋体" w:hAnsi="宋体" w:eastAsia="宋体" w:cs="宋体"/>
          <w:spacing w:val="-48"/>
          <w:sz w:val="23"/>
          <w:szCs w:val="23"/>
        </w:rPr>
        <w:t xml:space="preserve"> </w:t>
      </w:r>
      <w:r>
        <w:rPr>
          <w:rFonts w:ascii="宋体" w:hAnsi="宋体" w:eastAsia="宋体" w:cs="宋体"/>
          <w:spacing w:val="-17"/>
          <w:sz w:val="23"/>
          <w:szCs w:val="23"/>
        </w:rPr>
        <w:t>铅</w:t>
      </w:r>
      <w:r>
        <w:rPr>
          <w:rFonts w:ascii="宋体" w:hAnsi="宋体" w:eastAsia="宋体" w:cs="宋体"/>
          <w:spacing w:val="-48"/>
          <w:sz w:val="23"/>
          <w:szCs w:val="23"/>
        </w:rPr>
        <w:t xml:space="preserve"> </w:t>
      </w:r>
      <w:r>
        <w:rPr>
          <w:rFonts w:ascii="宋体" w:hAnsi="宋体" w:eastAsia="宋体" w:cs="宋体"/>
          <w:spacing w:val="-17"/>
          <w:sz w:val="23"/>
          <w:szCs w:val="23"/>
        </w:rPr>
        <w:t>锌</w:t>
      </w:r>
      <w:r>
        <w:rPr>
          <w:rFonts w:ascii="宋体" w:hAnsi="宋体" w:eastAsia="宋体" w:cs="宋体"/>
          <w:spacing w:val="-48"/>
          <w:sz w:val="23"/>
          <w:szCs w:val="23"/>
        </w:rPr>
        <w:t xml:space="preserve"> </w:t>
      </w:r>
      <w:r>
        <w:rPr>
          <w:rFonts w:ascii="宋体" w:hAnsi="宋体" w:eastAsia="宋体" w:cs="宋体"/>
          <w:spacing w:val="-17"/>
          <w:sz w:val="23"/>
          <w:szCs w:val="23"/>
        </w:rPr>
        <w:t>矿</w:t>
      </w:r>
      <w:r>
        <w:rPr>
          <w:rFonts w:ascii="宋体" w:hAnsi="宋体" w:eastAsia="宋体" w:cs="宋体"/>
          <w:spacing w:val="-49"/>
          <w:sz w:val="23"/>
          <w:szCs w:val="23"/>
        </w:rPr>
        <w:t xml:space="preserve"> </w:t>
      </w:r>
      <w:r>
        <w:rPr>
          <w:rFonts w:ascii="宋体" w:hAnsi="宋体" w:eastAsia="宋体" w:cs="宋体"/>
          <w:spacing w:val="-17"/>
          <w:sz w:val="23"/>
          <w:szCs w:val="23"/>
        </w:rPr>
        <w:t>采</w:t>
      </w:r>
      <w:r>
        <w:rPr>
          <w:rFonts w:ascii="宋体" w:hAnsi="宋体" w:eastAsia="宋体" w:cs="宋体"/>
          <w:spacing w:val="-48"/>
          <w:sz w:val="23"/>
          <w:szCs w:val="23"/>
        </w:rPr>
        <w:t xml:space="preserve"> </w:t>
      </w:r>
      <w:r>
        <w:rPr>
          <w:rFonts w:ascii="宋体" w:hAnsi="宋体" w:eastAsia="宋体" w:cs="宋体"/>
          <w:spacing w:val="-17"/>
          <w:sz w:val="23"/>
          <w:szCs w:val="23"/>
        </w:rPr>
        <w:t>矿</w:t>
      </w:r>
      <w:r>
        <w:rPr>
          <w:rFonts w:ascii="宋体" w:hAnsi="宋体" w:eastAsia="宋体" w:cs="宋体"/>
          <w:spacing w:val="-47"/>
          <w:sz w:val="23"/>
          <w:szCs w:val="23"/>
        </w:rPr>
        <w:t xml:space="preserve"> </w:t>
      </w:r>
      <w:r>
        <w:rPr>
          <w:rFonts w:ascii="宋体" w:hAnsi="宋体" w:eastAsia="宋体" w:cs="宋体"/>
          <w:spacing w:val="-17"/>
          <w:sz w:val="23"/>
          <w:szCs w:val="23"/>
        </w:rPr>
        <w:t>许</w:t>
      </w:r>
      <w:r>
        <w:rPr>
          <w:rFonts w:ascii="宋体" w:hAnsi="宋体" w:eastAsia="宋体" w:cs="宋体"/>
          <w:spacing w:val="-46"/>
          <w:sz w:val="23"/>
          <w:szCs w:val="23"/>
        </w:rPr>
        <w:t xml:space="preserve"> </w:t>
      </w:r>
      <w:r>
        <w:rPr>
          <w:rFonts w:ascii="宋体" w:hAnsi="宋体" w:eastAsia="宋体" w:cs="宋体"/>
          <w:spacing w:val="-17"/>
          <w:sz w:val="23"/>
          <w:szCs w:val="23"/>
        </w:rPr>
        <w:t>可</w:t>
      </w:r>
      <w:r>
        <w:rPr>
          <w:rFonts w:ascii="宋体" w:hAnsi="宋体" w:eastAsia="宋体" w:cs="宋体"/>
          <w:spacing w:val="-47"/>
          <w:sz w:val="23"/>
          <w:szCs w:val="23"/>
        </w:rPr>
        <w:t xml:space="preserve"> </w:t>
      </w:r>
      <w:r>
        <w:rPr>
          <w:rFonts w:ascii="宋体" w:hAnsi="宋体" w:eastAsia="宋体" w:cs="宋体"/>
          <w:spacing w:val="-17"/>
          <w:sz w:val="23"/>
          <w:szCs w:val="23"/>
        </w:rPr>
        <w:t>证 (</w:t>
      </w:r>
      <w:r>
        <w:rPr>
          <w:rFonts w:ascii="宋体" w:hAnsi="宋体" w:eastAsia="宋体" w:cs="宋体"/>
          <w:spacing w:val="-48"/>
          <w:sz w:val="23"/>
          <w:szCs w:val="23"/>
        </w:rPr>
        <w:t xml:space="preserve"> </w:t>
      </w:r>
      <w:r>
        <w:rPr>
          <w:rFonts w:ascii="宋体" w:hAnsi="宋体" w:eastAsia="宋体" w:cs="宋体"/>
          <w:spacing w:val="-17"/>
          <w:sz w:val="23"/>
          <w:szCs w:val="23"/>
        </w:rPr>
        <w:t>证</w:t>
      </w:r>
      <w:r>
        <w:rPr>
          <w:rFonts w:ascii="宋体" w:hAnsi="宋体" w:eastAsia="宋体" w:cs="宋体"/>
          <w:spacing w:val="-42"/>
          <w:sz w:val="23"/>
          <w:szCs w:val="23"/>
        </w:rPr>
        <w:t xml:space="preserve"> </w:t>
      </w:r>
      <w:r>
        <w:rPr>
          <w:rFonts w:ascii="宋体" w:hAnsi="宋体" w:eastAsia="宋体" w:cs="宋体"/>
          <w:spacing w:val="-17"/>
          <w:sz w:val="23"/>
          <w:szCs w:val="23"/>
        </w:rPr>
        <w:t>号</w:t>
      </w:r>
      <w:r>
        <w:rPr>
          <w:rFonts w:ascii="宋体" w:hAnsi="宋体" w:eastAsia="宋体" w:cs="宋体"/>
          <w:spacing w:val="-56"/>
          <w:sz w:val="23"/>
          <w:szCs w:val="23"/>
        </w:rPr>
        <w:t xml:space="preserve"> </w:t>
      </w:r>
      <w:r>
        <w:rPr>
          <w:rFonts w:ascii="宋体" w:hAnsi="宋体" w:eastAsia="宋体" w:cs="宋体"/>
          <w:spacing w:val="-17"/>
          <w:sz w:val="23"/>
          <w:szCs w:val="23"/>
        </w:rPr>
        <w:t>：</w:t>
      </w:r>
      <w:r>
        <w:rPr>
          <w:rFonts w:ascii="宋体" w:hAnsi="宋体" w:eastAsia="宋体" w:cs="宋体"/>
          <w:sz w:val="23"/>
          <w:szCs w:val="23"/>
        </w:rPr>
        <w:t xml:space="preserve"> </w:t>
      </w:r>
      <w:r>
        <w:rPr>
          <w:rFonts w:ascii="Times New Roman" w:hAnsi="Times New Roman" w:eastAsia="Times New Roman" w:cs="Times New Roman"/>
          <w:spacing w:val="-1"/>
          <w:sz w:val="23"/>
          <w:szCs w:val="23"/>
        </w:rPr>
        <w:t>C5300002010123240111524)</w:t>
      </w:r>
      <w:r>
        <w:rPr>
          <w:rFonts w:ascii="宋体" w:hAnsi="宋体" w:eastAsia="宋体" w:cs="宋体"/>
          <w:spacing w:val="-1"/>
          <w:sz w:val="23"/>
          <w:szCs w:val="23"/>
        </w:rPr>
        <w:t>。</w:t>
      </w:r>
    </w:p>
    <w:p w14:paraId="7EF59EAB">
      <w:pPr>
        <w:spacing w:before="300" w:line="218" w:lineRule="auto"/>
        <w:ind w:left="604"/>
        <w:rPr>
          <w:rFonts w:ascii="宋体" w:hAnsi="宋体" w:eastAsia="宋体" w:cs="宋体"/>
          <w:sz w:val="24"/>
          <w:szCs w:val="24"/>
        </w:rPr>
      </w:pPr>
      <w:r>
        <w:rPr>
          <w:rFonts w:ascii="宋体" w:hAnsi="宋体" w:eastAsia="宋体" w:cs="宋体"/>
          <w:spacing w:val="6"/>
          <w:sz w:val="24"/>
          <w:szCs w:val="24"/>
        </w:rPr>
        <w:t>6.3评估参数选取依据</w:t>
      </w:r>
    </w:p>
    <w:p w14:paraId="4BD82B55">
      <w:pPr>
        <w:spacing w:before="217" w:line="302" w:lineRule="auto"/>
        <w:ind w:left="54" w:right="248" w:firstLine="629"/>
        <w:rPr>
          <w:rFonts w:ascii="宋体" w:hAnsi="宋体" w:eastAsia="宋体" w:cs="宋体"/>
          <w:sz w:val="24"/>
          <w:szCs w:val="24"/>
        </w:rPr>
      </w:pPr>
      <w:r>
        <w:rPr>
          <w:rFonts w:ascii="宋体" w:hAnsi="宋体" w:eastAsia="宋体" w:cs="宋体"/>
          <w:sz w:val="24"/>
          <w:szCs w:val="24"/>
        </w:rPr>
        <w:t>(1)《&lt;云南省罗平县富乐铅锌矿资源储量核实报告&gt;</w:t>
      </w:r>
      <w:r>
        <w:rPr>
          <w:rFonts w:ascii="宋体" w:hAnsi="宋体" w:eastAsia="宋体" w:cs="宋体"/>
          <w:spacing w:val="-1"/>
          <w:sz w:val="24"/>
          <w:szCs w:val="24"/>
        </w:rPr>
        <w:t>矿产资源储量审查意见</w:t>
      </w:r>
      <w:r>
        <w:rPr>
          <w:rFonts w:ascii="宋体" w:hAnsi="宋体" w:eastAsia="宋体" w:cs="宋体"/>
          <w:sz w:val="24"/>
          <w:szCs w:val="24"/>
        </w:rPr>
        <w:t xml:space="preserve"> </w:t>
      </w:r>
      <w:r>
        <w:rPr>
          <w:rFonts w:ascii="宋体" w:hAnsi="宋体" w:eastAsia="宋体" w:cs="宋体"/>
          <w:spacing w:val="14"/>
          <w:sz w:val="24"/>
          <w:szCs w:val="24"/>
        </w:rPr>
        <w:t>书》(云地一大队矿评储字[2022]2号);</w:t>
      </w:r>
    </w:p>
    <w:p w14:paraId="395DB6A0">
      <w:pPr>
        <w:spacing w:before="224" w:line="299" w:lineRule="auto"/>
        <w:ind w:left="54" w:right="246" w:firstLine="629"/>
        <w:rPr>
          <w:rFonts w:ascii="宋体" w:hAnsi="宋体" w:eastAsia="宋体" w:cs="宋体"/>
          <w:sz w:val="24"/>
          <w:szCs w:val="24"/>
        </w:rPr>
      </w:pPr>
      <w:r>
        <w:rPr>
          <w:rFonts w:ascii="宋体" w:hAnsi="宋体" w:eastAsia="宋体" w:cs="宋体"/>
          <w:spacing w:val="3"/>
          <w:sz w:val="24"/>
          <w:szCs w:val="24"/>
        </w:rPr>
        <w:t>(2)《云南省罗平县富乐铅锌矿资源储量核实报告(2021)》(云南省地质工</w:t>
      </w:r>
      <w:r>
        <w:rPr>
          <w:rFonts w:ascii="宋体" w:hAnsi="宋体" w:eastAsia="宋体" w:cs="宋体"/>
          <w:spacing w:val="1"/>
          <w:sz w:val="24"/>
          <w:szCs w:val="24"/>
        </w:rPr>
        <w:t xml:space="preserve"> </w:t>
      </w:r>
      <w:r>
        <w:rPr>
          <w:rFonts w:ascii="宋体" w:hAnsi="宋体" w:eastAsia="宋体" w:cs="宋体"/>
          <w:spacing w:val="10"/>
          <w:sz w:val="24"/>
          <w:szCs w:val="24"/>
        </w:rPr>
        <w:t>程勘察有限公司，2021年11月);</w:t>
      </w:r>
    </w:p>
    <w:p w14:paraId="7AB812D0">
      <w:pPr>
        <w:spacing w:before="216" w:line="305" w:lineRule="auto"/>
        <w:ind w:left="125" w:right="246" w:firstLine="559"/>
        <w:rPr>
          <w:rFonts w:ascii="宋体" w:hAnsi="宋体" w:eastAsia="宋体" w:cs="宋体"/>
          <w:sz w:val="24"/>
          <w:szCs w:val="24"/>
        </w:rPr>
      </w:pPr>
      <w:r>
        <w:rPr>
          <w:rFonts w:ascii="宋体" w:hAnsi="宋体" w:eastAsia="宋体" w:cs="宋体"/>
          <w:spacing w:val="3"/>
          <w:sz w:val="24"/>
          <w:szCs w:val="24"/>
        </w:rPr>
        <w:t>(3)《矿产资源开发利用方案评审意见表》(华联矿开评字[2022]0</w:t>
      </w:r>
      <w:r>
        <w:rPr>
          <w:rFonts w:ascii="宋体" w:hAnsi="宋体" w:eastAsia="宋体" w:cs="宋体"/>
          <w:spacing w:val="2"/>
          <w:sz w:val="24"/>
          <w:szCs w:val="24"/>
        </w:rPr>
        <w:t>03号)及</w:t>
      </w:r>
      <w:r>
        <w:rPr>
          <w:rFonts w:ascii="宋体" w:hAnsi="宋体" w:eastAsia="宋体" w:cs="宋体"/>
          <w:sz w:val="24"/>
          <w:szCs w:val="24"/>
        </w:rPr>
        <w:t xml:space="preserve"> </w:t>
      </w:r>
      <w:r>
        <w:rPr>
          <w:rFonts w:ascii="宋体" w:hAnsi="宋体" w:eastAsia="宋体" w:cs="宋体"/>
          <w:spacing w:val="-7"/>
          <w:sz w:val="24"/>
          <w:szCs w:val="24"/>
        </w:rPr>
        <w:t>《曲靖市矿产资源开发利用方案评审意见书》;</w:t>
      </w:r>
    </w:p>
    <w:p w14:paraId="5A839E77">
      <w:pPr>
        <w:spacing w:before="216" w:line="298" w:lineRule="auto"/>
        <w:ind w:left="54" w:right="247" w:firstLine="629"/>
        <w:rPr>
          <w:rFonts w:ascii="宋体" w:hAnsi="宋体" w:eastAsia="宋体" w:cs="宋体"/>
          <w:sz w:val="24"/>
          <w:szCs w:val="24"/>
        </w:rPr>
      </w:pPr>
      <w:r>
        <w:rPr>
          <w:rFonts w:ascii="宋体" w:hAnsi="宋体" w:eastAsia="宋体" w:cs="宋体"/>
          <w:spacing w:val="-4"/>
          <w:sz w:val="24"/>
          <w:szCs w:val="24"/>
        </w:rPr>
        <w:t>(4)《云南罗平锌电股份有限公司富乐铅锌矿矿产资源开发利用方案》(云南</w:t>
      </w:r>
      <w:r>
        <w:rPr>
          <w:rFonts w:ascii="宋体" w:hAnsi="宋体" w:eastAsia="宋体" w:cs="宋体"/>
          <w:spacing w:val="11"/>
          <w:sz w:val="24"/>
          <w:szCs w:val="24"/>
        </w:rPr>
        <w:t xml:space="preserve"> </w:t>
      </w:r>
      <w:r>
        <w:rPr>
          <w:rFonts w:ascii="宋体" w:hAnsi="宋体" w:eastAsia="宋体" w:cs="宋体"/>
          <w:spacing w:val="10"/>
          <w:sz w:val="24"/>
          <w:szCs w:val="24"/>
        </w:rPr>
        <w:t>罗平锌电股份有限公司，2016年6月);</w:t>
      </w:r>
    </w:p>
    <w:p w14:paraId="12E62EDF">
      <w:pPr>
        <w:spacing w:before="226" w:line="298" w:lineRule="auto"/>
        <w:ind w:left="255" w:right="110" w:firstLine="429"/>
        <w:rPr>
          <w:rFonts w:ascii="宋体" w:hAnsi="宋体" w:eastAsia="宋体" w:cs="宋体"/>
          <w:sz w:val="24"/>
          <w:szCs w:val="24"/>
        </w:rPr>
      </w:pPr>
      <w:r>
        <w:rPr>
          <w:rFonts w:ascii="宋体" w:hAnsi="宋体" w:eastAsia="宋体" w:cs="宋体"/>
          <w:spacing w:val="4"/>
          <w:sz w:val="24"/>
          <w:szCs w:val="24"/>
        </w:rPr>
        <w:t>(5)《云南罗平锌电股份有限公司富乐铅锌矿矿产资源开</w:t>
      </w:r>
      <w:r>
        <w:rPr>
          <w:rFonts w:ascii="宋体" w:hAnsi="宋体" w:eastAsia="宋体" w:cs="宋体"/>
          <w:spacing w:val="3"/>
          <w:sz w:val="24"/>
          <w:szCs w:val="24"/>
        </w:rPr>
        <w:t>发利用方案修编》</w:t>
      </w:r>
      <w:r>
        <w:rPr>
          <w:rFonts w:ascii="宋体" w:hAnsi="宋体" w:eastAsia="宋体" w:cs="宋体"/>
          <w:sz w:val="24"/>
          <w:szCs w:val="24"/>
        </w:rPr>
        <w:t xml:space="preserve"> </w:t>
      </w:r>
      <w:r>
        <w:rPr>
          <w:rFonts w:ascii="宋体" w:hAnsi="宋体" w:eastAsia="宋体" w:cs="宋体"/>
          <w:spacing w:val="12"/>
          <w:sz w:val="24"/>
          <w:szCs w:val="24"/>
        </w:rPr>
        <w:t>(云南罗平锌电股份有限公司，2022年9月10日);</w:t>
      </w:r>
    </w:p>
    <w:p w14:paraId="397466AC">
      <w:pPr>
        <w:spacing w:before="223" w:line="218" w:lineRule="auto"/>
        <w:ind w:left="684"/>
        <w:rPr>
          <w:rFonts w:ascii="宋体" w:hAnsi="宋体" w:eastAsia="宋体" w:cs="宋体"/>
          <w:sz w:val="24"/>
          <w:szCs w:val="24"/>
        </w:rPr>
      </w:pPr>
      <w:r>
        <w:rPr>
          <w:rFonts w:ascii="宋体" w:hAnsi="宋体" w:eastAsia="宋体" w:cs="宋体"/>
          <w:spacing w:val="-3"/>
          <w:sz w:val="24"/>
          <w:szCs w:val="24"/>
        </w:rPr>
        <w:t>(6)《云南罗平锌电股份有限公司富乐铅锌矿采矿权评估报告》(俊成评报字</w:t>
      </w:r>
    </w:p>
    <w:p w14:paraId="0D845C94">
      <w:pPr>
        <w:spacing w:before="217" w:line="385" w:lineRule="auto"/>
        <w:ind w:left="54" w:right="250"/>
        <w:rPr>
          <w:rFonts w:ascii="宋体" w:hAnsi="宋体" w:eastAsia="宋体" w:cs="宋体"/>
          <w:sz w:val="24"/>
          <w:szCs w:val="24"/>
        </w:rPr>
      </w:pPr>
      <w:r>
        <w:rPr>
          <w:rFonts w:ascii="宋体" w:hAnsi="宋体" w:eastAsia="宋体" w:cs="宋体"/>
          <w:sz w:val="24"/>
          <w:szCs w:val="24"/>
        </w:rPr>
        <w:t>[2015]第020号)摘要、《云南省国土资源厅关于云南罗平锌电股份有限公司富乐</w:t>
      </w:r>
      <w:r>
        <w:rPr>
          <w:rFonts w:ascii="宋体" w:hAnsi="宋体" w:eastAsia="宋体" w:cs="宋体"/>
          <w:spacing w:val="6"/>
          <w:sz w:val="24"/>
          <w:szCs w:val="24"/>
        </w:rPr>
        <w:t xml:space="preserve"> </w:t>
      </w:r>
      <w:r>
        <w:rPr>
          <w:rFonts w:ascii="宋体" w:hAnsi="宋体" w:eastAsia="宋体" w:cs="宋体"/>
          <w:spacing w:val="-9"/>
          <w:sz w:val="24"/>
          <w:szCs w:val="24"/>
        </w:rPr>
        <w:t>铅锌矿分期缴纳采矿权价款的批复》、《矿业权价款缴纳通知书</w:t>
      </w:r>
      <w:r>
        <w:rPr>
          <w:rFonts w:ascii="宋体" w:hAnsi="宋体" w:eastAsia="宋体" w:cs="宋体"/>
          <w:spacing w:val="-10"/>
          <w:sz w:val="24"/>
          <w:szCs w:val="24"/>
        </w:rPr>
        <w:t>》(云国土资财矿价</w:t>
      </w:r>
    </w:p>
    <w:p w14:paraId="7D977C14">
      <w:pPr>
        <w:pStyle w:val="2"/>
        <w:spacing w:line="406" w:lineRule="auto"/>
      </w:pPr>
      <w:r>
        <w:drawing>
          <wp:anchor distT="0" distB="0" distL="0" distR="0" simplePos="0" relativeHeight="251753472" behindDoc="0" locked="0" layoutInCell="1" allowOverlap="1">
            <wp:simplePos x="0" y="0"/>
            <wp:positionH relativeFrom="column">
              <wp:posOffset>53340</wp:posOffset>
            </wp:positionH>
            <wp:positionV relativeFrom="paragraph">
              <wp:posOffset>222250</wp:posOffset>
            </wp:positionV>
            <wp:extent cx="5486400" cy="1270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43"/>
                    <a:stretch>
                      <a:fillRect/>
                    </a:stretch>
                  </pic:blipFill>
                  <pic:spPr>
                    <a:xfrm>
                      <a:off x="0" y="0"/>
                      <a:ext cx="5486397" cy="12717"/>
                    </a:xfrm>
                    <a:prstGeom prst="rect">
                      <a:avLst/>
                    </a:prstGeom>
                  </pic:spPr>
                </pic:pic>
              </a:graphicData>
            </a:graphic>
          </wp:anchor>
        </w:drawing>
      </w:r>
    </w:p>
    <w:p w14:paraId="034D9F08">
      <w:pPr>
        <w:pStyle w:val="2"/>
        <w:spacing w:before="50" w:line="194" w:lineRule="auto"/>
        <w:ind w:left="8285"/>
        <w:rPr>
          <w:sz w:val="17"/>
          <w:szCs w:val="17"/>
        </w:rPr>
      </w:pPr>
      <w:r>
        <w:pict>
          <v:shape id="_x0000_s1049" o:spid="_x0000_s1049" o:spt="202" type="#_x0000_t202" style="position:absolute;left:0pt;margin-left:147.25pt;margin-top:0.1pt;height:14.1pt;width:138.6pt;z-index:251752448;mso-width-relative:page;mso-height-relative:page;" filled="f" stroked="f" coordsize="21600,21600">
            <v:path/>
            <v:fill on="f" focussize="0,0"/>
            <v:stroke on="f"/>
            <v:imagedata o:title=""/>
            <o:lock v:ext="edit" aspectratio="f"/>
            <v:textbox inset="0mm,0mm,0mm,0mm">
              <w:txbxContent>
                <w:p w14:paraId="30840FDD">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30"/>
                      <w:sz w:val="18"/>
                      <w:szCs w:val="18"/>
                    </w:rPr>
                    <w:t>云南俊成矿业权评估有限公司</w:t>
                  </w:r>
                </w:p>
              </w:txbxContent>
            </v:textbox>
          </v:shape>
        </w:pict>
      </w:r>
      <w:r>
        <w:rPr>
          <w:sz w:val="17"/>
          <w:szCs w:val="17"/>
        </w:rPr>
        <w:t>7</w:t>
      </w:r>
    </w:p>
    <w:p w14:paraId="0E907585">
      <w:pPr>
        <w:spacing w:line="194" w:lineRule="auto"/>
        <w:rPr>
          <w:sz w:val="17"/>
          <w:szCs w:val="17"/>
        </w:rPr>
        <w:sectPr>
          <w:headerReference r:id="rId35" w:type="default"/>
          <w:pgSz w:w="11900" w:h="16830"/>
          <w:pgMar w:top="1166" w:right="1390" w:bottom="400" w:left="1785" w:header="890" w:footer="0" w:gutter="0"/>
          <w:cols w:space="720" w:num="1"/>
        </w:sectPr>
      </w:pPr>
    </w:p>
    <w:p w14:paraId="2D7E86DA">
      <w:pPr>
        <w:pStyle w:val="2"/>
        <w:spacing w:line="342" w:lineRule="auto"/>
      </w:pPr>
    </w:p>
    <w:p w14:paraId="182EEC07">
      <w:pPr>
        <w:spacing w:before="78" w:line="219" w:lineRule="auto"/>
        <w:ind w:left="134"/>
        <w:rPr>
          <w:rFonts w:ascii="宋体" w:hAnsi="宋体" w:eastAsia="宋体" w:cs="宋体"/>
          <w:sz w:val="24"/>
          <w:szCs w:val="24"/>
        </w:rPr>
      </w:pPr>
      <w:r>
        <w:rPr>
          <w:rFonts w:ascii="宋体" w:hAnsi="宋体" w:eastAsia="宋体" w:cs="宋体"/>
          <w:spacing w:val="7"/>
          <w:sz w:val="24"/>
          <w:szCs w:val="24"/>
        </w:rPr>
        <w:t>[2015]第082号)及缴款凭证；</w:t>
      </w:r>
    </w:p>
    <w:p w14:paraId="5BE5A899">
      <w:pPr>
        <w:spacing w:before="203" w:line="218" w:lineRule="auto"/>
        <w:ind w:left="745"/>
        <w:rPr>
          <w:rFonts w:ascii="宋体" w:hAnsi="宋体" w:eastAsia="宋体" w:cs="宋体"/>
          <w:sz w:val="24"/>
          <w:szCs w:val="24"/>
        </w:rPr>
      </w:pPr>
      <w:r>
        <w:rPr>
          <w:rFonts w:ascii="宋体" w:hAnsi="宋体" w:eastAsia="宋体" w:cs="宋体"/>
          <w:spacing w:val="6"/>
          <w:sz w:val="24"/>
          <w:szCs w:val="24"/>
        </w:rPr>
        <w:t>(7)评估人员收集的其他资料。</w:t>
      </w:r>
    </w:p>
    <w:p w14:paraId="6D65BF2D">
      <w:pPr>
        <w:spacing w:before="248" w:line="219" w:lineRule="auto"/>
        <w:ind w:left="134"/>
        <w:outlineLvl w:val="0"/>
        <w:rPr>
          <w:rFonts w:ascii="宋体" w:hAnsi="宋体" w:eastAsia="宋体" w:cs="宋体"/>
          <w:sz w:val="24"/>
          <w:szCs w:val="24"/>
        </w:rPr>
      </w:pPr>
      <w:bookmarkStart w:id="10" w:name="bookmark9"/>
      <w:bookmarkEnd w:id="10"/>
      <w:r>
        <w:rPr>
          <w:rFonts w:ascii="Times New Roman" w:hAnsi="Times New Roman" w:eastAsia="Times New Roman" w:cs="Times New Roman"/>
          <w:spacing w:val="1"/>
          <w:sz w:val="24"/>
          <w:szCs w:val="24"/>
        </w:rPr>
        <w:t>7.</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矿产资源勘查概况和开发概况</w:t>
      </w:r>
    </w:p>
    <w:p w14:paraId="5C2EE765">
      <w:pPr>
        <w:spacing w:before="255" w:line="219" w:lineRule="auto"/>
        <w:ind w:left="624"/>
        <w:outlineLvl w:val="1"/>
        <w:rPr>
          <w:rFonts w:ascii="宋体" w:hAnsi="宋体" w:eastAsia="宋体" w:cs="宋体"/>
          <w:sz w:val="24"/>
          <w:szCs w:val="24"/>
        </w:rPr>
      </w:pPr>
      <w:bookmarkStart w:id="11" w:name="bookmark10"/>
      <w:bookmarkEnd w:id="11"/>
      <w:r>
        <w:rPr>
          <w:rFonts w:ascii="宋体" w:hAnsi="宋体" w:eastAsia="宋体" w:cs="宋体"/>
          <w:spacing w:val="1"/>
          <w:sz w:val="24"/>
          <w:szCs w:val="24"/>
        </w:rPr>
        <w:t>7.1矿区地理位置及交通</w:t>
      </w:r>
    </w:p>
    <w:p w14:paraId="19DED513">
      <w:pPr>
        <w:spacing w:before="241" w:line="379" w:lineRule="auto"/>
        <w:ind w:left="134" w:right="185" w:firstLine="490"/>
        <w:jc w:val="both"/>
        <w:rPr>
          <w:rFonts w:ascii="宋体" w:hAnsi="宋体" w:eastAsia="宋体" w:cs="宋体"/>
          <w:sz w:val="24"/>
          <w:szCs w:val="24"/>
        </w:rPr>
      </w:pPr>
      <w:r>
        <w:rPr>
          <w:rFonts w:ascii="宋体" w:hAnsi="宋体" w:eastAsia="宋体" w:cs="宋体"/>
          <w:spacing w:val="-1"/>
          <w:sz w:val="24"/>
          <w:szCs w:val="24"/>
        </w:rPr>
        <w:t>云南罗平锌电股份有限公司富乐铅锌矿采矿权，位</w:t>
      </w:r>
      <w:r>
        <w:rPr>
          <w:rFonts w:ascii="宋体" w:hAnsi="宋体" w:eastAsia="宋体" w:cs="宋体"/>
          <w:spacing w:val="-2"/>
          <w:sz w:val="24"/>
          <w:szCs w:val="24"/>
        </w:rPr>
        <w:t>于罗平县城北东10°方向</w:t>
      </w:r>
      <w:r>
        <w:rPr>
          <w:rFonts w:ascii="宋体" w:hAnsi="宋体" w:eastAsia="宋体" w:cs="宋体"/>
          <w:sz w:val="24"/>
          <w:szCs w:val="24"/>
        </w:rPr>
        <w:t xml:space="preserve"> </w:t>
      </w:r>
      <w:r>
        <w:rPr>
          <w:rFonts w:ascii="宋体" w:hAnsi="宋体" w:eastAsia="宋体" w:cs="宋体"/>
          <w:spacing w:val="1"/>
          <w:sz w:val="24"/>
          <w:szCs w:val="24"/>
        </w:rPr>
        <w:t>直距55</w:t>
      </w:r>
      <w:r>
        <w:rPr>
          <w:rFonts w:ascii="Times New Roman" w:hAnsi="Times New Roman" w:eastAsia="Times New Roman" w:cs="Times New Roman"/>
          <w:sz w:val="24"/>
          <w:szCs w:val="24"/>
        </w:rPr>
        <w:t>km</w:t>
      </w:r>
      <w:r>
        <w:rPr>
          <w:rFonts w:ascii="宋体" w:hAnsi="宋体" w:eastAsia="宋体" w:cs="宋体"/>
          <w:spacing w:val="1"/>
          <w:sz w:val="24"/>
          <w:szCs w:val="24"/>
        </w:rPr>
        <w:t>处，地处罗平县富乐镇境内。富源至罗平县公路从矿区经过，富乐镇-</w:t>
      </w:r>
      <w:r>
        <w:rPr>
          <w:rFonts w:ascii="宋体" w:hAnsi="宋体" w:eastAsia="宋体" w:cs="宋体"/>
          <w:spacing w:val="3"/>
          <w:sz w:val="24"/>
          <w:szCs w:val="24"/>
        </w:rPr>
        <w:t xml:space="preserve"> </w:t>
      </w:r>
      <w:r>
        <w:rPr>
          <w:rFonts w:ascii="宋体" w:hAnsi="宋体" w:eastAsia="宋体" w:cs="宋体"/>
          <w:spacing w:val="-3"/>
          <w:sz w:val="24"/>
          <w:szCs w:val="24"/>
        </w:rPr>
        <w:t>新村一越州-曲靖-昆明，公路里程约248</w:t>
      </w:r>
      <w:r>
        <w:rPr>
          <w:rFonts w:ascii="Times New Roman" w:hAnsi="Times New Roman" w:eastAsia="Times New Roman" w:cs="Times New Roman"/>
          <w:spacing w:val="-3"/>
          <w:sz w:val="24"/>
          <w:szCs w:val="24"/>
        </w:rPr>
        <w:t>km</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富乐镇-马街-九龙-罗平-石林-昆明，</w:t>
      </w:r>
      <w:r>
        <w:rPr>
          <w:rFonts w:ascii="宋体" w:hAnsi="宋体" w:eastAsia="宋体" w:cs="宋体"/>
          <w:sz w:val="24"/>
          <w:szCs w:val="24"/>
        </w:rPr>
        <w:t xml:space="preserve"> </w:t>
      </w:r>
      <w:r>
        <w:rPr>
          <w:rFonts w:ascii="宋体" w:hAnsi="宋体" w:eastAsia="宋体" w:cs="宋体"/>
          <w:spacing w:val="-1"/>
          <w:sz w:val="24"/>
          <w:szCs w:val="24"/>
        </w:rPr>
        <w:t>公路里程约285</w:t>
      </w:r>
      <w:r>
        <w:rPr>
          <w:rFonts w:ascii="Times New Roman" w:hAnsi="Times New Roman" w:eastAsia="Times New Roman" w:cs="Times New Roman"/>
          <w:spacing w:val="-1"/>
          <w:sz w:val="24"/>
          <w:szCs w:val="24"/>
        </w:rPr>
        <w:t>km;</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富乐镇-南昆铁路罗平站，里程89</w:t>
      </w:r>
      <w:r>
        <w:rPr>
          <w:rFonts w:ascii="Times New Roman" w:hAnsi="Times New Roman" w:eastAsia="Times New Roman" w:cs="Times New Roman"/>
          <w:spacing w:val="-1"/>
          <w:sz w:val="24"/>
          <w:szCs w:val="24"/>
        </w:rPr>
        <w:t>k</w:t>
      </w:r>
      <w:r>
        <w:rPr>
          <w:rFonts w:ascii="Times New Roman" w:hAnsi="Times New Roman" w:eastAsia="Times New Roman" w:cs="Times New Roman"/>
          <w:spacing w:val="-2"/>
          <w:sz w:val="24"/>
          <w:szCs w:val="24"/>
        </w:rPr>
        <w:t>m</w:t>
      </w:r>
      <w:r>
        <w:rPr>
          <w:rFonts w:ascii="宋体" w:hAnsi="宋体" w:eastAsia="宋体" w:cs="宋体"/>
          <w:spacing w:val="-2"/>
          <w:sz w:val="24"/>
          <w:szCs w:val="24"/>
        </w:rPr>
        <w:t>。富乐镇至各村、组均有</w:t>
      </w:r>
      <w:r>
        <w:rPr>
          <w:rFonts w:ascii="宋体" w:hAnsi="宋体" w:eastAsia="宋体" w:cs="宋体"/>
          <w:sz w:val="24"/>
          <w:szCs w:val="24"/>
        </w:rPr>
        <w:t xml:space="preserve"> </w:t>
      </w:r>
      <w:r>
        <w:rPr>
          <w:rFonts w:ascii="宋体" w:hAnsi="宋体" w:eastAsia="宋体" w:cs="宋体"/>
          <w:spacing w:val="-2"/>
          <w:sz w:val="24"/>
          <w:szCs w:val="24"/>
        </w:rPr>
        <w:t>简易公路相通。矿区交通尚属方便，交通位置图详见下页。</w:t>
      </w:r>
    </w:p>
    <w:p w14:paraId="0A76E49F">
      <w:pPr>
        <w:spacing w:before="20" w:line="219" w:lineRule="auto"/>
        <w:ind w:left="624"/>
        <w:outlineLvl w:val="1"/>
        <w:rPr>
          <w:rFonts w:ascii="宋体" w:hAnsi="宋体" w:eastAsia="宋体" w:cs="宋体"/>
          <w:sz w:val="24"/>
          <w:szCs w:val="24"/>
        </w:rPr>
      </w:pPr>
      <w:bookmarkStart w:id="12" w:name="bookmark11"/>
      <w:bookmarkEnd w:id="12"/>
      <w:r>
        <w:rPr>
          <w:rFonts w:ascii="宋体" w:hAnsi="宋体" w:eastAsia="宋体" w:cs="宋体"/>
          <w:spacing w:val="3"/>
          <w:sz w:val="24"/>
          <w:szCs w:val="24"/>
        </w:rPr>
        <w:t>7.2矿区自然地理及经济概况</w:t>
      </w:r>
    </w:p>
    <w:p w14:paraId="33782725">
      <w:pPr>
        <w:spacing w:before="216" w:line="385" w:lineRule="auto"/>
        <w:ind w:left="134" w:right="149" w:firstLine="490"/>
        <w:jc w:val="both"/>
        <w:rPr>
          <w:rFonts w:ascii="宋体" w:hAnsi="宋体" w:eastAsia="宋体" w:cs="宋体"/>
          <w:sz w:val="24"/>
          <w:szCs w:val="24"/>
        </w:rPr>
      </w:pPr>
      <w:r>
        <w:rPr>
          <w:rFonts w:ascii="宋体" w:hAnsi="宋体" w:eastAsia="宋体" w:cs="宋体"/>
          <w:sz w:val="24"/>
          <w:szCs w:val="24"/>
        </w:rPr>
        <w:t>矿区地处云南省东部山区的南盘江水域侵蚀台地，属</w:t>
      </w:r>
      <w:r>
        <w:rPr>
          <w:rFonts w:ascii="宋体" w:hAnsi="宋体" w:eastAsia="宋体" w:cs="宋体"/>
          <w:spacing w:val="-1"/>
          <w:sz w:val="24"/>
          <w:szCs w:val="24"/>
        </w:rPr>
        <w:t>低中山地貌区，沟谷浅</w:t>
      </w:r>
      <w:r>
        <w:rPr>
          <w:rFonts w:ascii="宋体" w:hAnsi="宋体" w:eastAsia="宋体" w:cs="宋体"/>
          <w:sz w:val="24"/>
          <w:szCs w:val="24"/>
        </w:rPr>
        <w:t xml:space="preserve"> 切割，地势西高东低，发育典型的岩溶地貌～溶蚀洼地及缓丘孤峰。块泽河自北</w:t>
      </w:r>
      <w:r>
        <w:rPr>
          <w:rFonts w:ascii="宋体" w:hAnsi="宋体" w:eastAsia="宋体" w:cs="宋体"/>
          <w:spacing w:val="11"/>
          <w:sz w:val="24"/>
          <w:szCs w:val="24"/>
        </w:rPr>
        <w:t xml:space="preserve"> </w:t>
      </w:r>
      <w:r>
        <w:rPr>
          <w:rFonts w:ascii="宋体" w:hAnsi="宋体" w:eastAsia="宋体" w:cs="宋体"/>
          <w:sz w:val="24"/>
          <w:szCs w:val="24"/>
        </w:rPr>
        <w:t>向南流经矿区东缘，汇入南盘江，属南盘江水系、珠江流</w:t>
      </w:r>
      <w:r>
        <w:rPr>
          <w:rFonts w:ascii="宋体" w:hAnsi="宋体" w:eastAsia="宋体" w:cs="宋体"/>
          <w:spacing w:val="-1"/>
          <w:sz w:val="24"/>
          <w:szCs w:val="24"/>
        </w:rPr>
        <w:t>域。最高点位于矿区白</w:t>
      </w:r>
      <w:r>
        <w:rPr>
          <w:rFonts w:ascii="宋体" w:hAnsi="宋体" w:eastAsia="宋体" w:cs="宋体"/>
          <w:sz w:val="24"/>
          <w:szCs w:val="24"/>
        </w:rPr>
        <w:t xml:space="preserve"> </w:t>
      </w:r>
      <w:r>
        <w:rPr>
          <w:rFonts w:ascii="宋体" w:hAnsi="宋体" w:eastAsia="宋体" w:cs="宋体"/>
          <w:spacing w:val="7"/>
          <w:sz w:val="24"/>
          <w:szCs w:val="24"/>
        </w:rPr>
        <w:t>龙老包海拔标高1881</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17"/>
          <w:sz w:val="24"/>
          <w:szCs w:val="24"/>
        </w:rPr>
        <w:t xml:space="preserve"> </w:t>
      </w:r>
      <w:r>
        <w:rPr>
          <w:rFonts w:ascii="宋体" w:hAnsi="宋体" w:eastAsia="宋体" w:cs="宋体"/>
          <w:spacing w:val="7"/>
          <w:sz w:val="24"/>
          <w:szCs w:val="24"/>
        </w:rPr>
        <w:t>最低位于矿权3拐点东块泽河海拔标高1480</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25"/>
          <w:sz w:val="24"/>
          <w:szCs w:val="24"/>
        </w:rPr>
        <w:t xml:space="preserve"> </w:t>
      </w:r>
      <w:r>
        <w:rPr>
          <w:rFonts w:ascii="宋体" w:hAnsi="宋体" w:eastAsia="宋体" w:cs="宋体"/>
          <w:spacing w:val="7"/>
          <w:sz w:val="24"/>
          <w:szCs w:val="24"/>
        </w:rPr>
        <w:t>相对高差</w:t>
      </w:r>
      <w:r>
        <w:rPr>
          <w:rFonts w:ascii="宋体" w:hAnsi="宋体" w:eastAsia="宋体" w:cs="宋体"/>
          <w:sz w:val="24"/>
          <w:szCs w:val="24"/>
        </w:rPr>
        <w:t xml:space="preserve"> </w:t>
      </w:r>
      <w:r>
        <w:rPr>
          <w:rFonts w:ascii="宋体" w:hAnsi="宋体" w:eastAsia="宋体" w:cs="宋体"/>
          <w:spacing w:val="-6"/>
          <w:sz w:val="24"/>
          <w:szCs w:val="24"/>
        </w:rPr>
        <w:t>401</w:t>
      </w:r>
      <w:r>
        <w:rPr>
          <w:rFonts w:ascii="Times New Roman" w:hAnsi="Times New Roman" w:eastAsia="Times New Roman" w:cs="Times New Roman"/>
          <w:spacing w:val="-6"/>
          <w:sz w:val="24"/>
          <w:szCs w:val="24"/>
        </w:rPr>
        <w:t>m</w:t>
      </w:r>
      <w:r>
        <w:rPr>
          <w:rFonts w:ascii="宋体" w:hAnsi="宋体" w:eastAsia="宋体" w:cs="宋体"/>
          <w:spacing w:val="-6"/>
          <w:sz w:val="24"/>
          <w:szCs w:val="24"/>
        </w:rPr>
        <w:t>。该区属亚热带高原季风气候，近年气温有上升趋势。夏无酷暑，冬无严寒，</w:t>
      </w:r>
      <w:r>
        <w:rPr>
          <w:rFonts w:ascii="宋体" w:hAnsi="宋体" w:eastAsia="宋体" w:cs="宋体"/>
          <w:sz w:val="24"/>
          <w:szCs w:val="24"/>
        </w:rPr>
        <w:t xml:space="preserve"> </w:t>
      </w:r>
      <w:r>
        <w:rPr>
          <w:rFonts w:ascii="宋体" w:hAnsi="宋体" w:eastAsia="宋体" w:cs="宋体"/>
          <w:spacing w:val="9"/>
          <w:sz w:val="24"/>
          <w:szCs w:val="24"/>
        </w:rPr>
        <w:t>秋凉湿润。极端最高气温35.7℃,极端最低气温-6.5℃,年平均气温21.2℃,最</w:t>
      </w:r>
      <w:r>
        <w:rPr>
          <w:rFonts w:ascii="宋体" w:hAnsi="宋体" w:eastAsia="宋体" w:cs="宋体"/>
          <w:spacing w:val="2"/>
          <w:sz w:val="24"/>
          <w:szCs w:val="24"/>
        </w:rPr>
        <w:t xml:space="preserve"> </w:t>
      </w:r>
      <w:r>
        <w:rPr>
          <w:rFonts w:ascii="宋体" w:hAnsi="宋体" w:eastAsia="宋体" w:cs="宋体"/>
          <w:spacing w:val="16"/>
          <w:sz w:val="24"/>
          <w:szCs w:val="24"/>
        </w:rPr>
        <w:t>高月平均气温21.0℃,最冷月平均气温6.3℃,日</w:t>
      </w:r>
      <w:r>
        <w:rPr>
          <w:rFonts w:ascii="宋体" w:hAnsi="宋体" w:eastAsia="宋体" w:cs="宋体"/>
          <w:spacing w:val="15"/>
          <w:sz w:val="24"/>
          <w:szCs w:val="24"/>
        </w:rPr>
        <w:t>照百分率为38%,年平均降水</w:t>
      </w:r>
      <w:r>
        <w:rPr>
          <w:rFonts w:ascii="宋体" w:hAnsi="宋体" w:eastAsia="宋体" w:cs="宋体"/>
          <w:sz w:val="24"/>
          <w:szCs w:val="24"/>
        </w:rPr>
        <w:t xml:space="preserve"> </w:t>
      </w:r>
      <w:r>
        <w:rPr>
          <w:rFonts w:ascii="仿宋" w:hAnsi="仿宋" w:eastAsia="仿宋" w:cs="仿宋"/>
          <w:spacing w:val="13"/>
          <w:sz w:val="24"/>
          <w:szCs w:val="24"/>
        </w:rPr>
        <w:t>量1723.8</w:t>
      </w:r>
      <w:r>
        <w:rPr>
          <w:rFonts w:ascii="Times New Roman" w:hAnsi="Times New Roman" w:eastAsia="Times New Roman" w:cs="Times New Roman"/>
          <w:sz w:val="24"/>
          <w:szCs w:val="24"/>
        </w:rPr>
        <w:t>mm</w:t>
      </w:r>
      <w:r>
        <w:rPr>
          <w:rFonts w:ascii="Times New Roman" w:hAnsi="Times New Roman" w:eastAsia="Times New Roman" w:cs="Times New Roman"/>
          <w:spacing w:val="13"/>
          <w:sz w:val="24"/>
          <w:szCs w:val="24"/>
        </w:rPr>
        <w:t xml:space="preserve">, </w:t>
      </w:r>
      <w:r>
        <w:rPr>
          <w:rFonts w:ascii="宋体" w:hAnsi="宋体" w:eastAsia="宋体" w:cs="宋体"/>
          <w:spacing w:val="13"/>
          <w:sz w:val="24"/>
          <w:szCs w:val="24"/>
        </w:rPr>
        <w:t>每年的5～10月为雨季，以8月份降雨量</w:t>
      </w:r>
      <w:r>
        <w:rPr>
          <w:rFonts w:ascii="宋体" w:hAnsi="宋体" w:eastAsia="宋体" w:cs="宋体"/>
          <w:spacing w:val="12"/>
          <w:sz w:val="24"/>
          <w:szCs w:val="24"/>
        </w:rPr>
        <w:t>最大，降水量占全年的</w:t>
      </w:r>
      <w:r>
        <w:rPr>
          <w:rFonts w:ascii="宋体" w:hAnsi="宋体" w:eastAsia="宋体" w:cs="宋体"/>
          <w:sz w:val="24"/>
          <w:szCs w:val="24"/>
        </w:rPr>
        <w:t xml:space="preserve"> </w:t>
      </w:r>
      <w:r>
        <w:rPr>
          <w:rFonts w:ascii="宋体" w:hAnsi="宋体" w:eastAsia="宋体" w:cs="宋体"/>
          <w:spacing w:val="3"/>
          <w:sz w:val="24"/>
          <w:szCs w:val="24"/>
        </w:rPr>
        <w:t>87.7%。11月至次年4月初为旱季，降水量只占全年的12.3%左右。全年风向以东</w:t>
      </w:r>
      <w:r>
        <w:rPr>
          <w:rFonts w:ascii="宋体" w:hAnsi="宋体" w:eastAsia="宋体" w:cs="宋体"/>
          <w:spacing w:val="17"/>
          <w:sz w:val="24"/>
          <w:szCs w:val="24"/>
        </w:rPr>
        <w:t xml:space="preserve"> </w:t>
      </w:r>
      <w:r>
        <w:rPr>
          <w:rFonts w:ascii="宋体" w:hAnsi="宋体" w:eastAsia="宋体" w:cs="宋体"/>
          <w:spacing w:val="2"/>
          <w:sz w:val="24"/>
          <w:szCs w:val="24"/>
        </w:rPr>
        <w:t>南风为主，年平均风速2.4</w:t>
      </w:r>
      <w:r>
        <w:rPr>
          <w:rFonts w:ascii="Times New Roman" w:hAnsi="Times New Roman" w:eastAsia="Times New Roman" w:cs="Times New Roman"/>
          <w:spacing w:val="2"/>
          <w:sz w:val="24"/>
          <w:szCs w:val="24"/>
        </w:rPr>
        <w:t xml:space="preserve">m/s </w:t>
      </w:r>
      <w:r>
        <w:rPr>
          <w:rFonts w:ascii="宋体" w:hAnsi="宋体" w:eastAsia="宋体" w:cs="宋体"/>
          <w:spacing w:val="2"/>
          <w:sz w:val="24"/>
          <w:szCs w:val="24"/>
        </w:rPr>
        <w:t>最大风速25</w:t>
      </w:r>
      <w:r>
        <w:rPr>
          <w:rFonts w:ascii="Times New Roman" w:hAnsi="Times New Roman" w:eastAsia="Times New Roman" w:cs="Times New Roman"/>
          <w:spacing w:val="2"/>
          <w:sz w:val="24"/>
          <w:szCs w:val="24"/>
        </w:rPr>
        <w:t>m/s</w:t>
      </w:r>
      <w:r>
        <w:rPr>
          <w:rFonts w:ascii="宋体" w:hAnsi="宋体" w:eastAsia="宋体" w:cs="宋体"/>
          <w:spacing w:val="2"/>
          <w:sz w:val="24"/>
          <w:szCs w:val="24"/>
        </w:rPr>
        <w:t>。据历史记载，该区历史上未发生</w:t>
      </w:r>
      <w:r>
        <w:rPr>
          <w:rFonts w:ascii="宋体" w:hAnsi="宋体" w:eastAsia="宋体" w:cs="宋体"/>
          <w:spacing w:val="14"/>
          <w:sz w:val="24"/>
          <w:szCs w:val="24"/>
        </w:rPr>
        <w:t xml:space="preserve"> </w:t>
      </w:r>
      <w:r>
        <w:rPr>
          <w:rFonts w:ascii="宋体" w:hAnsi="宋体" w:eastAsia="宋体" w:cs="宋体"/>
          <w:spacing w:val="7"/>
          <w:sz w:val="24"/>
          <w:szCs w:val="24"/>
        </w:rPr>
        <w:t>过大于4.7级以上的破坏性地震，最大震级为3.9级，无活动性</w:t>
      </w:r>
      <w:r>
        <w:rPr>
          <w:rFonts w:ascii="宋体" w:hAnsi="宋体" w:eastAsia="宋体" w:cs="宋体"/>
          <w:spacing w:val="6"/>
          <w:sz w:val="24"/>
          <w:szCs w:val="24"/>
        </w:rPr>
        <w:t>断裂存在。根据</w:t>
      </w:r>
      <w:r>
        <w:rPr>
          <w:rFonts w:ascii="宋体" w:hAnsi="宋体" w:eastAsia="宋体" w:cs="宋体"/>
          <w:sz w:val="24"/>
          <w:szCs w:val="24"/>
        </w:rPr>
        <w:t xml:space="preserve"> </w:t>
      </w:r>
      <w:r>
        <w:rPr>
          <w:rFonts w:ascii="宋体" w:hAnsi="宋体" w:eastAsia="宋体" w:cs="宋体"/>
          <w:spacing w:val="4"/>
          <w:sz w:val="24"/>
          <w:szCs w:val="24"/>
        </w:rPr>
        <w:t>《建筑抗震设计规范》(</w:t>
      </w:r>
      <w:r>
        <w:rPr>
          <w:rFonts w:ascii="宋体" w:hAnsi="宋体" w:eastAsia="宋体" w:cs="宋体"/>
          <w:spacing w:val="-51"/>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4"/>
          <w:sz w:val="24"/>
          <w:szCs w:val="24"/>
        </w:rPr>
        <w:t xml:space="preserve">50011-2010,2016   </w:t>
      </w:r>
      <w:r>
        <w:rPr>
          <w:rFonts w:ascii="宋体" w:hAnsi="宋体" w:eastAsia="宋体" w:cs="宋体"/>
          <w:spacing w:val="4"/>
          <w:sz w:val="24"/>
          <w:szCs w:val="24"/>
        </w:rPr>
        <w:t>年版),罗平县抗震设防烈度为7度</w:t>
      </w:r>
      <w:r>
        <w:rPr>
          <w:rFonts w:ascii="宋体" w:hAnsi="宋体" w:eastAsia="宋体" w:cs="宋体"/>
          <w:sz w:val="24"/>
          <w:szCs w:val="24"/>
        </w:rPr>
        <w:t xml:space="preserve"> </w:t>
      </w:r>
      <w:r>
        <w:rPr>
          <w:rFonts w:ascii="宋体" w:hAnsi="宋体" w:eastAsia="宋体" w:cs="宋体"/>
          <w:spacing w:val="3"/>
          <w:sz w:val="24"/>
          <w:szCs w:val="24"/>
        </w:rPr>
        <w:t>区，设计基本地震加速度0.10</w:t>
      </w:r>
      <w:r>
        <w:rPr>
          <w:rFonts w:ascii="Times New Roman" w:hAnsi="Times New Roman" w:eastAsia="Times New Roman" w:cs="Times New Roman"/>
          <w:spacing w:val="3"/>
          <w:sz w:val="24"/>
          <w:szCs w:val="24"/>
        </w:rPr>
        <w:t>g,</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设计地震分组属第三组；根据《中国地震动参</w:t>
      </w:r>
      <w:r>
        <w:rPr>
          <w:rFonts w:ascii="宋体" w:hAnsi="宋体" w:eastAsia="宋体" w:cs="宋体"/>
          <w:sz w:val="24"/>
          <w:szCs w:val="24"/>
        </w:rPr>
        <w:t xml:space="preserve"> </w:t>
      </w:r>
      <w:r>
        <w:rPr>
          <w:rFonts w:ascii="宋体" w:hAnsi="宋体" w:eastAsia="宋体" w:cs="宋体"/>
          <w:spacing w:val="7"/>
          <w:sz w:val="24"/>
          <w:szCs w:val="24"/>
        </w:rPr>
        <w:t>数区划图》</w:t>
      </w:r>
      <w:r>
        <w:rPr>
          <w:rFonts w:ascii="宋体" w:hAnsi="宋体" w:eastAsia="宋体" w:cs="宋体"/>
          <w:spacing w:val="-30"/>
          <w:sz w:val="24"/>
          <w:szCs w:val="24"/>
        </w:rPr>
        <w:t xml:space="preserve"> </w:t>
      </w:r>
      <w:r>
        <w:rPr>
          <w:rFonts w:ascii="宋体" w:hAnsi="宋体" w:eastAsia="宋体" w:cs="宋体"/>
          <w:spacing w:val="7"/>
          <w:sz w:val="24"/>
          <w:szCs w:val="24"/>
        </w:rPr>
        <w:t>(</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7"/>
          <w:sz w:val="24"/>
          <w:szCs w:val="24"/>
        </w:rPr>
        <w:t>18306-2015),</w:t>
      </w:r>
      <w:r>
        <w:rPr>
          <w:rFonts w:ascii="Times New Roman" w:hAnsi="Times New Roman" w:eastAsia="Times New Roman" w:cs="Times New Roman"/>
          <w:spacing w:val="18"/>
          <w:w w:val="101"/>
          <w:sz w:val="24"/>
          <w:szCs w:val="24"/>
        </w:rPr>
        <w:t xml:space="preserve">   </w:t>
      </w:r>
      <w:r>
        <w:rPr>
          <w:rFonts w:ascii="宋体" w:hAnsi="宋体" w:eastAsia="宋体" w:cs="宋体"/>
          <w:spacing w:val="7"/>
          <w:sz w:val="24"/>
          <w:szCs w:val="24"/>
        </w:rPr>
        <w:t>矿区所在地的罗平县富乐镇地震动峰值</w:t>
      </w:r>
      <w:r>
        <w:rPr>
          <w:rFonts w:ascii="宋体" w:hAnsi="宋体" w:eastAsia="宋体" w:cs="宋体"/>
          <w:spacing w:val="6"/>
          <w:sz w:val="24"/>
          <w:szCs w:val="24"/>
        </w:rPr>
        <w:t>加速度</w:t>
      </w:r>
      <w:r>
        <w:rPr>
          <w:rFonts w:ascii="宋体" w:hAnsi="宋体" w:eastAsia="宋体" w:cs="宋体"/>
          <w:sz w:val="24"/>
          <w:szCs w:val="24"/>
        </w:rPr>
        <w:t xml:space="preserve"> </w:t>
      </w:r>
      <w:r>
        <w:rPr>
          <w:rFonts w:ascii="宋体" w:hAnsi="宋体" w:eastAsia="宋体" w:cs="宋体"/>
          <w:spacing w:val="3"/>
          <w:sz w:val="24"/>
          <w:szCs w:val="24"/>
        </w:rPr>
        <w:t>0.10</w:t>
      </w:r>
      <w:r>
        <w:rPr>
          <w:rFonts w:ascii="Times New Roman" w:hAnsi="Times New Roman" w:eastAsia="Times New Roman" w:cs="Times New Roman"/>
          <w:spacing w:val="3"/>
          <w:sz w:val="24"/>
          <w:szCs w:val="24"/>
        </w:rPr>
        <w:t xml:space="preserve">g,  </w:t>
      </w:r>
      <w:r>
        <w:rPr>
          <w:rFonts w:ascii="宋体" w:hAnsi="宋体" w:eastAsia="宋体" w:cs="宋体"/>
          <w:spacing w:val="3"/>
          <w:sz w:val="24"/>
          <w:szCs w:val="24"/>
        </w:rPr>
        <w:t>地震动反应谱特征周期0.45</w:t>
      </w:r>
      <w:r>
        <w:rPr>
          <w:rFonts w:ascii="Times New Roman" w:hAnsi="Times New Roman" w:eastAsia="Times New Roman" w:cs="Times New Roman"/>
          <w:spacing w:val="3"/>
          <w:sz w:val="24"/>
          <w:szCs w:val="24"/>
        </w:rPr>
        <w:t xml:space="preserve">s,   </w:t>
      </w:r>
      <w:r>
        <w:rPr>
          <w:rFonts w:ascii="宋体" w:hAnsi="宋体" w:eastAsia="宋体" w:cs="宋体"/>
          <w:spacing w:val="2"/>
          <w:sz w:val="24"/>
          <w:szCs w:val="24"/>
        </w:rPr>
        <w:t>矿山各工程设施及建筑物需按此地震烈度</w:t>
      </w:r>
      <w:r>
        <w:rPr>
          <w:rFonts w:ascii="宋体" w:hAnsi="宋体" w:eastAsia="宋体" w:cs="宋体"/>
          <w:sz w:val="24"/>
          <w:szCs w:val="24"/>
        </w:rPr>
        <w:t xml:space="preserve"> </w:t>
      </w:r>
      <w:r>
        <w:rPr>
          <w:rFonts w:ascii="宋体" w:hAnsi="宋体" w:eastAsia="宋体" w:cs="宋体"/>
          <w:spacing w:val="-11"/>
          <w:sz w:val="24"/>
          <w:szCs w:val="24"/>
        </w:rPr>
        <w:t>设防。</w:t>
      </w:r>
    </w:p>
    <w:p w14:paraId="6FA96E16">
      <w:pPr>
        <w:pStyle w:val="2"/>
        <w:spacing w:line="289" w:lineRule="auto"/>
      </w:pPr>
    </w:p>
    <w:p w14:paraId="3F106B5F">
      <w:pPr>
        <w:pStyle w:val="2"/>
        <w:spacing w:line="290" w:lineRule="auto"/>
      </w:pPr>
    </w:p>
    <w:p w14:paraId="2338FA3F">
      <w:pPr>
        <w:pStyle w:val="2"/>
        <w:spacing w:line="290" w:lineRule="auto"/>
      </w:pPr>
      <w:r>
        <w:drawing>
          <wp:anchor distT="0" distB="0" distL="0" distR="0" simplePos="0" relativeHeight="251774976" behindDoc="0" locked="0" layoutInCell="1" allowOverlap="1">
            <wp:simplePos x="0" y="0"/>
            <wp:positionH relativeFrom="column">
              <wp:posOffset>78740</wp:posOffset>
            </wp:positionH>
            <wp:positionV relativeFrom="paragraph">
              <wp:posOffset>132715</wp:posOffset>
            </wp:positionV>
            <wp:extent cx="5486400" cy="1270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41"/>
                    <a:stretch>
                      <a:fillRect/>
                    </a:stretch>
                  </pic:blipFill>
                  <pic:spPr>
                    <a:xfrm>
                      <a:off x="0" y="0"/>
                      <a:ext cx="5486397" cy="12717"/>
                    </a:xfrm>
                    <a:prstGeom prst="rect">
                      <a:avLst/>
                    </a:prstGeom>
                  </pic:spPr>
                </pic:pic>
              </a:graphicData>
            </a:graphic>
          </wp:anchor>
        </w:drawing>
      </w:r>
    </w:p>
    <w:p w14:paraId="45409CDF">
      <w:pPr>
        <w:spacing w:before="43" w:line="188" w:lineRule="auto"/>
        <w:ind w:left="8354"/>
        <w:rPr>
          <w:rFonts w:ascii="Times New Roman" w:hAnsi="Times New Roman" w:eastAsia="Times New Roman" w:cs="Times New Roman"/>
          <w:sz w:val="15"/>
          <w:szCs w:val="15"/>
        </w:rPr>
      </w:pPr>
      <w:r>
        <w:pict>
          <v:shape id="_x0000_s1050" o:spid="_x0000_s1050" o:spt="202" type="#_x0000_t202" style="position:absolute;left:0pt;margin-left:150.2pt;margin-top:0.4pt;height:14.1pt;width:138.1pt;z-index:251773952;mso-width-relative:page;mso-height-relative:page;" filled="f" stroked="f" coordsize="21600,21600">
            <v:path/>
            <v:fill on="f" focussize="0,0"/>
            <v:stroke on="f"/>
            <v:imagedata o:title=""/>
            <o:lock v:ext="edit" aspectratio="f"/>
            <v:textbox inset="0mm,0mm,0mm,0mm">
              <w:txbxContent>
                <w:p w14:paraId="5C83A638">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29"/>
                      <w:sz w:val="18"/>
                      <w:szCs w:val="18"/>
                    </w:rPr>
                    <w:t>云南俊成矿业权评估有限公司</w:t>
                  </w:r>
                </w:p>
              </w:txbxContent>
            </v:textbox>
          </v:shape>
        </w:pict>
      </w:r>
      <w:r>
        <w:rPr>
          <w:rFonts w:ascii="Times New Roman" w:hAnsi="Times New Roman" w:eastAsia="Times New Roman" w:cs="Times New Roman"/>
          <w:sz w:val="15"/>
          <w:szCs w:val="15"/>
        </w:rPr>
        <w:t>8</w:t>
      </w:r>
    </w:p>
    <w:p w14:paraId="411498C2">
      <w:pPr>
        <w:spacing w:line="188" w:lineRule="auto"/>
        <w:rPr>
          <w:rFonts w:ascii="Times New Roman" w:hAnsi="Times New Roman" w:eastAsia="Times New Roman" w:cs="Times New Roman"/>
          <w:sz w:val="15"/>
          <w:szCs w:val="15"/>
        </w:rPr>
        <w:sectPr>
          <w:headerReference r:id="rId36" w:type="default"/>
          <w:pgSz w:w="11900" w:h="16830"/>
          <w:pgMar w:top="1247" w:right="1350" w:bottom="400" w:left="1785" w:header="970" w:footer="0" w:gutter="0"/>
          <w:cols w:space="720" w:num="1"/>
        </w:sectPr>
      </w:pPr>
    </w:p>
    <w:p w14:paraId="22B5DB16">
      <w:pPr>
        <w:spacing w:before="204"/>
      </w:pPr>
    </w:p>
    <w:p w14:paraId="4B697AD8">
      <w:pPr>
        <w:sectPr>
          <w:headerReference r:id="rId37" w:type="default"/>
          <w:pgSz w:w="11900" w:h="16830"/>
          <w:pgMar w:top="1177" w:right="9" w:bottom="400" w:left="0" w:header="900" w:footer="0" w:gutter="0"/>
          <w:cols w:equalWidth="0" w:num="1">
            <w:col w:w="11891"/>
          </w:cols>
        </w:sectPr>
      </w:pPr>
    </w:p>
    <w:p w14:paraId="34B8FB1C">
      <w:pPr>
        <w:pStyle w:val="2"/>
        <w:spacing w:line="307" w:lineRule="auto"/>
      </w:pPr>
    </w:p>
    <w:p w14:paraId="51CDAFF8">
      <w:pPr>
        <w:pStyle w:val="2"/>
        <w:spacing w:line="307" w:lineRule="auto"/>
      </w:pPr>
    </w:p>
    <w:p w14:paraId="11F192DB">
      <w:pPr>
        <w:pStyle w:val="2"/>
        <w:spacing w:line="308" w:lineRule="auto"/>
      </w:pPr>
    </w:p>
    <w:p w14:paraId="12F4C861">
      <w:pPr>
        <w:spacing w:before="85" w:line="230" w:lineRule="auto"/>
        <w:ind w:left="1529"/>
        <w:rPr>
          <w:rFonts w:ascii="宋体" w:hAnsi="宋体" w:eastAsia="宋体" w:cs="宋体"/>
          <w:sz w:val="26"/>
          <w:szCs w:val="26"/>
        </w:rPr>
      </w:pPr>
      <w:r>
        <w:rPr>
          <w:rFonts w:ascii="宋体" w:hAnsi="宋体" w:eastAsia="宋体" w:cs="宋体"/>
          <w:sz w:val="26"/>
          <w:szCs w:val="26"/>
        </w:rPr>
        <w:t>江</w:t>
      </w:r>
    </w:p>
    <w:p w14:paraId="194774B6">
      <w:pPr>
        <w:pStyle w:val="2"/>
        <w:spacing w:line="353" w:lineRule="auto"/>
      </w:pPr>
    </w:p>
    <w:p w14:paraId="2EBFFB69">
      <w:pPr>
        <w:spacing w:before="49" w:line="220" w:lineRule="auto"/>
        <w:ind w:right="22"/>
        <w:jc w:val="right"/>
        <w:rPr>
          <w:rFonts w:ascii="宋体" w:hAnsi="宋体" w:eastAsia="宋体" w:cs="宋体"/>
          <w:sz w:val="15"/>
          <w:szCs w:val="15"/>
        </w:rPr>
      </w:pPr>
      <w:r>
        <w:rPr>
          <w:rFonts w:ascii="宋体" w:hAnsi="宋体" w:eastAsia="宋体" w:cs="宋体"/>
          <w:b/>
          <w:bCs/>
          <w:spacing w:val="11"/>
          <w:sz w:val="15"/>
          <w:szCs w:val="15"/>
        </w:rPr>
        <w:t>则黑</w:t>
      </w:r>
    </w:p>
    <w:p w14:paraId="0790E6E2">
      <w:pPr>
        <w:spacing w:line="147" w:lineRule="exact"/>
      </w:pPr>
    </w:p>
    <w:p w14:paraId="64912093">
      <w:pPr>
        <w:pStyle w:val="2"/>
        <w:spacing w:line="14" w:lineRule="auto"/>
        <w:rPr>
          <w:sz w:val="2"/>
        </w:rPr>
      </w:pPr>
      <w:r>
        <w:rPr>
          <w:sz w:val="2"/>
          <w:szCs w:val="2"/>
        </w:rPr>
        <w:br w:type="column"/>
      </w:r>
    </w:p>
    <w:p w14:paraId="33EEF1BE">
      <w:pPr>
        <w:spacing w:before="167" w:line="175" w:lineRule="auto"/>
        <w:ind w:left="1719"/>
        <w:rPr>
          <w:rFonts w:ascii="隶书" w:hAnsi="隶书" w:eastAsia="隶书" w:cs="隶书"/>
          <w:sz w:val="25"/>
          <w:szCs w:val="25"/>
        </w:rPr>
      </w:pPr>
      <w:bookmarkStart w:id="13" w:name="bookmark47"/>
      <w:bookmarkEnd w:id="13"/>
      <w:r>
        <w:rPr>
          <w:rFonts w:ascii="隶书" w:hAnsi="隶书" w:eastAsia="隶书" w:cs="隶书"/>
          <w:sz w:val="25"/>
          <w:szCs w:val="25"/>
        </w:rPr>
        <w:t>披</w:t>
      </w:r>
    </w:p>
    <w:p w14:paraId="18BE61F9">
      <w:pPr>
        <w:spacing w:before="115" w:line="221" w:lineRule="auto"/>
        <w:ind w:left="1181"/>
        <w:rPr>
          <w:rFonts w:ascii="宋体" w:hAnsi="宋体" w:eastAsia="宋体" w:cs="宋体"/>
          <w:sz w:val="12"/>
          <w:szCs w:val="12"/>
        </w:rPr>
      </w:pPr>
      <w:r>
        <w:rPr>
          <w:rFonts w:ascii="宋体" w:hAnsi="宋体" w:eastAsia="宋体" w:cs="宋体"/>
          <w:b/>
          <w:bCs/>
          <w:spacing w:val="9"/>
          <w:sz w:val="12"/>
          <w:szCs w:val="12"/>
        </w:rPr>
        <w:t>盐海</w:t>
      </w:r>
    </w:p>
    <w:p w14:paraId="58D3DA4A">
      <w:pPr>
        <w:spacing w:before="39" w:line="219" w:lineRule="auto"/>
        <w:ind w:right="8"/>
        <w:jc w:val="right"/>
        <w:rPr>
          <w:rFonts w:ascii="宋体" w:hAnsi="宋体" w:eastAsia="宋体" w:cs="宋体"/>
          <w:sz w:val="24"/>
          <w:szCs w:val="24"/>
        </w:rPr>
      </w:pPr>
      <w:r>
        <w:rPr>
          <w:rFonts w:ascii="宋体" w:hAnsi="宋体" w:eastAsia="宋体" w:cs="宋体"/>
          <w:spacing w:val="-6"/>
          <w:sz w:val="24"/>
          <w:szCs w:val="24"/>
        </w:rPr>
        <w:t>会</w:t>
      </w:r>
      <w:r>
        <w:rPr>
          <w:rFonts w:ascii="宋体" w:hAnsi="宋体" w:eastAsia="宋体" w:cs="宋体"/>
          <w:b/>
          <w:bCs/>
          <w:spacing w:val="-6"/>
          <w:sz w:val="24"/>
          <w:szCs w:val="24"/>
        </w:rPr>
        <w:t>泽</w:t>
      </w:r>
    </w:p>
    <w:p w14:paraId="48E60225">
      <w:pPr>
        <w:spacing w:before="194" w:line="243" w:lineRule="auto"/>
        <w:ind w:left="201" w:right="1664" w:hanging="201"/>
        <w:rPr>
          <w:rFonts w:ascii="隶书" w:hAnsi="隶书" w:eastAsia="隶书" w:cs="隶书"/>
          <w:sz w:val="19"/>
          <w:szCs w:val="19"/>
        </w:rPr>
      </w:pPr>
      <w:r>
        <w:rPr>
          <w:rFonts w:ascii="黑体" w:hAnsi="黑体" w:eastAsia="黑体" w:cs="黑体"/>
          <w:spacing w:val="-7"/>
          <w:sz w:val="15"/>
          <w:szCs w:val="15"/>
        </w:rPr>
        <w:t>◎</w:t>
      </w:r>
      <w:r>
        <w:rPr>
          <w:rFonts w:ascii="黑体" w:hAnsi="黑体" w:eastAsia="黑体" w:cs="黑体"/>
          <w:spacing w:val="-6"/>
          <w:sz w:val="15"/>
          <w:szCs w:val="15"/>
        </w:rPr>
        <w:t xml:space="preserve"> </w:t>
      </w:r>
      <w:r>
        <w:rPr>
          <w:rFonts w:ascii="黑体" w:hAnsi="黑体" w:eastAsia="黑体" w:cs="黑体"/>
          <w:spacing w:val="-7"/>
          <w:sz w:val="15"/>
          <w:szCs w:val="15"/>
        </w:rPr>
        <w:t>含</w:t>
      </w:r>
      <w:r>
        <w:rPr>
          <w:rFonts w:ascii="黑体" w:hAnsi="黑体" w:eastAsia="黑体" w:cs="黑体"/>
          <w:spacing w:val="-9"/>
          <w:sz w:val="15"/>
          <w:szCs w:val="15"/>
        </w:rPr>
        <w:t xml:space="preserve"> </w:t>
      </w:r>
      <w:r>
        <w:rPr>
          <w:rFonts w:ascii="黑体" w:hAnsi="黑体" w:eastAsia="黑体" w:cs="黑体"/>
          <w:spacing w:val="-7"/>
          <w:sz w:val="15"/>
          <w:szCs w:val="15"/>
        </w:rPr>
        <w:t>块</w:t>
      </w:r>
      <w:r>
        <w:rPr>
          <w:rFonts w:ascii="黑体" w:hAnsi="黑体" w:eastAsia="黑体" w:cs="黑体"/>
          <w:sz w:val="15"/>
          <w:szCs w:val="15"/>
        </w:rPr>
        <w:t xml:space="preserve"> </w:t>
      </w:r>
      <w:r>
        <w:rPr>
          <w:rFonts w:ascii="楷体" w:hAnsi="楷体" w:eastAsia="楷体" w:cs="楷体"/>
          <w:b/>
          <w:bCs/>
          <w:spacing w:val="-10"/>
          <w:w w:val="89"/>
          <w:sz w:val="19"/>
          <w:szCs w:val="19"/>
        </w:rPr>
        <w:t>兴</w:t>
      </w:r>
      <w:r>
        <w:rPr>
          <w:rFonts w:ascii="隶书" w:hAnsi="隶书" w:eastAsia="隶书" w:cs="隶书"/>
          <w:spacing w:val="-10"/>
          <w:w w:val="89"/>
          <w:sz w:val="19"/>
          <w:szCs w:val="19"/>
        </w:rPr>
        <w:t>隆</w:t>
      </w:r>
    </w:p>
    <w:p w14:paraId="537444A5">
      <w:pPr>
        <w:spacing w:line="219" w:lineRule="auto"/>
        <w:ind w:left="1381"/>
        <w:rPr>
          <w:rFonts w:ascii="宋体" w:hAnsi="宋体" w:eastAsia="宋体" w:cs="宋体"/>
          <w:sz w:val="13"/>
          <w:szCs w:val="13"/>
        </w:rPr>
      </w:pPr>
      <w:r>
        <w:rPr>
          <w:rFonts w:ascii="宋体" w:hAnsi="宋体" w:eastAsia="宋体" w:cs="宋体"/>
          <w:b/>
          <w:bCs/>
          <w:spacing w:val="9"/>
          <w:sz w:val="13"/>
          <w:szCs w:val="13"/>
        </w:rPr>
        <w:t>橄榄坡</w:t>
      </w:r>
    </w:p>
    <w:p w14:paraId="64D9BD9F">
      <w:pPr>
        <w:spacing w:before="11" w:line="223" w:lineRule="auto"/>
        <w:jc w:val="right"/>
        <w:rPr>
          <w:rFonts w:ascii="黑体" w:hAnsi="黑体" w:eastAsia="黑体" w:cs="黑体"/>
          <w:sz w:val="22"/>
          <w:szCs w:val="22"/>
        </w:rPr>
      </w:pPr>
      <w:r>
        <w:rPr>
          <w:rFonts w:ascii="黑体" w:hAnsi="黑体" w:eastAsia="黑体" w:cs="黑体"/>
          <w:spacing w:val="-16"/>
          <w:sz w:val="22"/>
          <w:szCs w:val="22"/>
        </w:rPr>
        <w:t>◎东</w:t>
      </w:r>
      <w:r>
        <w:rPr>
          <w:rFonts w:ascii="黑体" w:hAnsi="黑体" w:eastAsia="黑体" w:cs="黑体"/>
          <w:spacing w:val="-15"/>
          <w:sz w:val="22"/>
          <w:szCs w:val="22"/>
        </w:rPr>
        <w:t>川</w:t>
      </w:r>
      <w:r>
        <w:rPr>
          <w:rFonts w:ascii="黑体" w:hAnsi="黑体" w:eastAsia="黑体" w:cs="黑体"/>
          <w:spacing w:val="-13"/>
          <w:sz w:val="22"/>
          <w:szCs w:val="22"/>
        </w:rPr>
        <w:t>区</w:t>
      </w:r>
    </w:p>
    <w:p w14:paraId="077897EC">
      <w:pPr>
        <w:pStyle w:val="2"/>
        <w:spacing w:line="14" w:lineRule="auto"/>
        <w:rPr>
          <w:sz w:val="2"/>
        </w:rPr>
      </w:pPr>
      <w:r>
        <w:rPr>
          <w:sz w:val="2"/>
          <w:szCs w:val="2"/>
        </w:rPr>
        <w:br w:type="column"/>
      </w:r>
    </w:p>
    <w:p w14:paraId="2BA7C91A">
      <w:pPr>
        <w:spacing w:before="50" w:line="292" w:lineRule="auto"/>
        <w:ind w:left="1939" w:right="496" w:hanging="99"/>
        <w:rPr>
          <w:rFonts w:ascii="黑体" w:hAnsi="黑体" w:eastAsia="黑体" w:cs="黑体"/>
          <w:sz w:val="11"/>
          <w:szCs w:val="11"/>
        </w:rPr>
      </w:pPr>
      <w:r>
        <w:pict>
          <v:shape id="_x0000_s1051" o:spid="_x0000_s1051" o:spt="202" type="#_x0000_t202" style="position:absolute;left:0pt;margin-left:139pt;margin-top:10pt;height:9.95pt;width:8.3pt;z-index:251822080;mso-width-relative:page;mso-height-relative:page;" filled="f" stroked="f" coordsize="21600,21600">
            <v:path/>
            <v:fill on="f" focussize="0,0"/>
            <v:stroke on="f"/>
            <v:imagedata o:title=""/>
            <o:lock v:ext="edit" aspectratio="f"/>
            <v:textbox inset="0mm,0mm,0mm,0mm">
              <w:txbxContent>
                <w:p w14:paraId="4B650C3A">
                  <w:pPr>
                    <w:spacing w:before="20" w:line="225" w:lineRule="auto"/>
                    <w:ind w:left="20"/>
                    <w:rPr>
                      <w:rFonts w:ascii="黑体" w:hAnsi="黑体" w:eastAsia="黑体" w:cs="黑体"/>
                      <w:sz w:val="13"/>
                      <w:szCs w:val="13"/>
                    </w:rPr>
                  </w:pPr>
                  <w:r>
                    <w:rPr>
                      <w:rFonts w:ascii="黑体" w:hAnsi="黑体" w:eastAsia="黑体" w:cs="黑体"/>
                      <w:sz w:val="13"/>
                      <w:szCs w:val="13"/>
                    </w:rPr>
                    <w:t>倘</w:t>
                  </w:r>
                </w:p>
              </w:txbxContent>
            </v:textbox>
          </v:shape>
        </w:pict>
      </w:r>
      <w:r>
        <w:rPr>
          <w:rFonts w:ascii="黑体" w:hAnsi="黑体" w:eastAsia="黑体" w:cs="黑体"/>
          <w:spacing w:val="-6"/>
          <w:sz w:val="13"/>
          <w:szCs w:val="13"/>
        </w:rPr>
        <w:t>文</w:t>
      </w:r>
      <w:r>
        <w:rPr>
          <w:rFonts w:ascii="黑体" w:hAnsi="黑体" w:eastAsia="黑体" w:cs="黑体"/>
          <w:spacing w:val="5"/>
          <w:sz w:val="13"/>
          <w:szCs w:val="13"/>
        </w:rPr>
        <w:t xml:space="preserve"> </w:t>
      </w:r>
      <w:r>
        <w:rPr>
          <w:rFonts w:ascii="黑体" w:hAnsi="黑体" w:eastAsia="黑体" w:cs="黑体"/>
          <w:spacing w:val="-6"/>
          <w:sz w:val="13"/>
          <w:szCs w:val="13"/>
        </w:rPr>
        <w:t>杉</w:t>
      </w:r>
      <w:r>
        <w:rPr>
          <w:rFonts w:ascii="黑体" w:hAnsi="黑体" w:eastAsia="黑体" w:cs="黑体"/>
          <w:spacing w:val="5"/>
          <w:sz w:val="13"/>
          <w:szCs w:val="13"/>
        </w:rPr>
        <w:t xml:space="preserve"> </w:t>
      </w:r>
      <w:r>
        <w:rPr>
          <w:rFonts w:ascii="黑体" w:hAnsi="黑体" w:eastAsia="黑体" w:cs="黑体"/>
          <w:spacing w:val="-6"/>
          <w:sz w:val="13"/>
          <w:szCs w:val="13"/>
        </w:rPr>
        <w:t>木</w:t>
      </w:r>
      <w:r>
        <w:rPr>
          <w:rFonts w:ascii="黑体" w:hAnsi="黑体" w:eastAsia="黑体" w:cs="黑体"/>
          <w:spacing w:val="3"/>
          <w:sz w:val="13"/>
          <w:szCs w:val="13"/>
        </w:rPr>
        <w:t xml:space="preserve"> </w:t>
      </w:r>
      <w:r>
        <w:rPr>
          <w:rFonts w:ascii="黑体" w:hAnsi="黑体" w:eastAsia="黑体" w:cs="黑体"/>
          <w:spacing w:val="-6"/>
          <w:sz w:val="13"/>
          <w:szCs w:val="13"/>
        </w:rPr>
        <w:t>警</w:t>
      </w:r>
      <w:r>
        <w:rPr>
          <w:rFonts w:ascii="黑体" w:hAnsi="黑体" w:eastAsia="黑体" w:cs="黑体"/>
          <w:sz w:val="13"/>
          <w:szCs w:val="13"/>
        </w:rPr>
        <w:t xml:space="preserve"> </w:t>
      </w:r>
      <w:r>
        <w:rPr>
          <w:rFonts w:ascii="黑体" w:hAnsi="黑体" w:eastAsia="黑体" w:cs="黑体"/>
          <w:spacing w:val="-4"/>
          <w:sz w:val="11"/>
          <w:szCs w:val="11"/>
        </w:rPr>
        <w:t>长</w:t>
      </w:r>
      <w:r>
        <w:rPr>
          <w:rFonts w:ascii="黑体" w:hAnsi="黑体" w:eastAsia="黑体" w:cs="黑体"/>
          <w:spacing w:val="-6"/>
          <w:sz w:val="11"/>
          <w:szCs w:val="11"/>
        </w:rPr>
        <w:t xml:space="preserve"> </w:t>
      </w:r>
      <w:r>
        <w:rPr>
          <w:rFonts w:ascii="黑体" w:hAnsi="黑体" w:eastAsia="黑体" w:cs="黑体"/>
          <w:spacing w:val="-4"/>
          <w:sz w:val="11"/>
          <w:szCs w:val="11"/>
        </w:rPr>
        <w:t>麦</w:t>
      </w:r>
      <w:r>
        <w:rPr>
          <w:rFonts w:ascii="黑体" w:hAnsi="黑体" w:eastAsia="黑体" w:cs="黑体"/>
          <w:spacing w:val="-5"/>
          <w:sz w:val="11"/>
          <w:szCs w:val="11"/>
        </w:rPr>
        <w:t xml:space="preserve"> </w:t>
      </w:r>
      <w:r>
        <w:rPr>
          <w:rFonts w:ascii="黑体" w:hAnsi="黑体" w:eastAsia="黑体" w:cs="黑体"/>
          <w:spacing w:val="-4"/>
          <w:sz w:val="11"/>
          <w:szCs w:val="11"/>
        </w:rPr>
        <w:t>地</w:t>
      </w:r>
    </w:p>
    <w:p w14:paraId="53857EA7">
      <w:pPr>
        <w:pStyle w:val="2"/>
        <w:spacing w:line="223" w:lineRule="auto"/>
        <w:ind w:left="2350"/>
        <w:rPr>
          <w:rFonts w:ascii="宋体" w:hAnsi="宋体" w:eastAsia="宋体" w:cs="宋体"/>
          <w:sz w:val="14"/>
          <w:szCs w:val="14"/>
        </w:rPr>
      </w:pPr>
      <w:r>
        <w:pict>
          <v:shape id="_x0000_s1052" o:spid="_x0000_s1052" o:spt="202" type="#_x0000_t202" style="position:absolute;left:0pt;margin-left:2pt;margin-top:-2pt;height:9.2pt;width:15.3pt;z-index:251817984;mso-width-relative:page;mso-height-relative:page;" filled="f" stroked="f" coordsize="21600,21600">
            <v:path/>
            <v:fill on="f" focussize="0,0"/>
            <v:stroke on="f"/>
            <v:imagedata o:title=""/>
            <o:lock v:ext="edit" aspectratio="f"/>
            <v:textbox inset="0mm,0mm,0mm,0mm">
              <w:txbxContent>
                <w:p w14:paraId="5CC34611">
                  <w:pPr>
                    <w:spacing w:before="19" w:line="221" w:lineRule="auto"/>
                    <w:ind w:left="20"/>
                    <w:rPr>
                      <w:rFonts w:ascii="黑体" w:hAnsi="黑体" w:eastAsia="黑体" w:cs="黑体"/>
                      <w:sz w:val="12"/>
                      <w:szCs w:val="12"/>
                    </w:rPr>
                  </w:pPr>
                  <w:r>
                    <w:rPr>
                      <w:rFonts w:ascii="黑体" w:hAnsi="黑体" w:eastAsia="黑体" w:cs="黑体"/>
                      <w:spacing w:val="15"/>
                      <w:sz w:val="12"/>
                      <w:szCs w:val="12"/>
                    </w:rPr>
                    <w:t>头塘</w:t>
                  </w:r>
                </w:p>
              </w:txbxContent>
            </v:textbox>
          </v:shape>
        </w:pict>
      </w:r>
      <w:r>
        <w:pict>
          <v:shape id="_x0000_s1053" o:spid="_x0000_s1053" o:spt="202" type="#_x0000_t202" style="position:absolute;left:0pt;margin-left:64pt;margin-top:-0.3pt;height:13.45pt;width:27.15pt;z-index:251799552;mso-width-relative:page;mso-height-relative:page;" filled="f" stroked="f" coordsize="21600,21600">
            <v:path/>
            <v:fill on="f" focussize="0,0"/>
            <v:stroke on="f"/>
            <v:imagedata o:title=""/>
            <o:lock v:ext="edit" aspectratio="f"/>
            <v:textbox inset="0mm,0mm,0mm,0mm">
              <w:txbxContent>
                <w:p w14:paraId="6420B37E">
                  <w:pPr>
                    <w:spacing w:before="20" w:line="222" w:lineRule="auto"/>
                    <w:ind w:left="20"/>
                    <w:rPr>
                      <w:rFonts w:ascii="隶书" w:hAnsi="隶书" w:eastAsia="隶书" w:cs="隶书"/>
                      <w:sz w:val="19"/>
                      <w:szCs w:val="19"/>
                    </w:rPr>
                  </w:pPr>
                  <w:r>
                    <w:rPr>
                      <w:rFonts w:ascii="黑体" w:hAnsi="黑体" w:eastAsia="黑体" w:cs="黑体"/>
                      <w:spacing w:val="-18"/>
                      <w:sz w:val="19"/>
                      <w:szCs w:val="19"/>
                    </w:rPr>
                    <w:t>小竹</w:t>
                  </w:r>
                  <w:r>
                    <w:rPr>
                      <w:rFonts w:ascii="隶书" w:hAnsi="隶书" w:eastAsia="隶书" w:cs="隶书"/>
                      <w:spacing w:val="-18"/>
                      <w:sz w:val="19"/>
                      <w:szCs w:val="19"/>
                    </w:rPr>
                    <w:t>管</w:t>
                  </w:r>
                </w:p>
              </w:txbxContent>
            </v:textbox>
          </v:shape>
        </w:pict>
      </w:r>
      <w:r>
        <w:rPr>
          <w:spacing w:val="-1"/>
          <w:sz w:val="14"/>
          <w:szCs w:val="14"/>
        </w:rPr>
        <w:t>O</w:t>
      </w:r>
      <w:r>
        <w:rPr>
          <w:spacing w:val="9"/>
          <w:sz w:val="14"/>
          <w:szCs w:val="14"/>
        </w:rPr>
        <w:t xml:space="preserve"> </w:t>
      </w:r>
      <w:r>
        <w:rPr>
          <w:rFonts w:ascii="黑体" w:hAnsi="黑体" w:eastAsia="黑体" w:cs="黑体"/>
          <w:spacing w:val="-1"/>
          <w:sz w:val="14"/>
          <w:szCs w:val="14"/>
        </w:rPr>
        <w:t>龙</w:t>
      </w:r>
      <w:r>
        <w:rPr>
          <w:rFonts w:ascii="宋体" w:hAnsi="宋体" w:eastAsia="宋体" w:cs="宋体"/>
          <w:b/>
          <w:bCs/>
          <w:spacing w:val="-1"/>
          <w:sz w:val="14"/>
          <w:szCs w:val="14"/>
        </w:rPr>
        <w:t>潭</w:t>
      </w:r>
    </w:p>
    <w:p w14:paraId="5F0B454C">
      <w:pPr>
        <w:spacing w:before="62" w:line="187" w:lineRule="auto"/>
        <w:rPr>
          <w:rFonts w:ascii="黑体" w:hAnsi="黑体" w:eastAsia="黑体" w:cs="黑体"/>
          <w:sz w:val="15"/>
          <w:szCs w:val="15"/>
        </w:rPr>
      </w:pPr>
      <w:r>
        <w:rPr>
          <w:rFonts w:ascii="黑体" w:hAnsi="黑体" w:eastAsia="黑体" w:cs="黑体"/>
          <w:spacing w:val="-8"/>
          <w:sz w:val="15"/>
          <w:szCs w:val="15"/>
        </w:rPr>
        <w:t>新街◎</w:t>
      </w:r>
    </w:p>
    <w:p w14:paraId="7A177E80">
      <w:pPr>
        <w:spacing w:before="37" w:line="474" w:lineRule="auto"/>
        <w:ind w:left="2060" w:right="63" w:firstLine="520"/>
        <w:rPr>
          <w:rFonts w:ascii="宋体" w:hAnsi="宋体" w:eastAsia="宋体" w:cs="宋体"/>
          <w:sz w:val="19"/>
          <w:szCs w:val="19"/>
        </w:rPr>
      </w:pPr>
      <w:r>
        <w:pict>
          <v:shape id="_x0000_s1054" o:spid="_x0000_s1054" o:spt="202" type="#_x0000_t202" style="position:absolute;left:0pt;margin-left:31.1pt;margin-top:-1.5pt;height:10.45pt;width:25.6pt;z-index:251803648;mso-width-relative:page;mso-height-relative:page;" filled="f" stroked="f" coordsize="21600,21600">
            <v:path/>
            <v:fill on="f" focussize="0,0"/>
            <v:stroke on="f"/>
            <v:imagedata o:title=""/>
            <o:lock v:ext="edit" aspectratio="f"/>
            <v:textbox inset="0mm,0mm,0mm,0mm">
              <w:txbxContent>
                <w:p w14:paraId="1FD40BD4">
                  <w:pPr>
                    <w:spacing w:before="20" w:line="222" w:lineRule="auto"/>
                    <w:ind w:left="20"/>
                    <w:rPr>
                      <w:rFonts w:ascii="宋体" w:hAnsi="宋体" w:eastAsia="宋体" w:cs="宋体"/>
                      <w:sz w:val="14"/>
                      <w:szCs w:val="14"/>
                    </w:rPr>
                  </w:pPr>
                  <w:r>
                    <w:rPr>
                      <w:rFonts w:ascii="宋体" w:hAnsi="宋体" w:eastAsia="宋体" w:cs="宋体"/>
                      <w:b/>
                      <w:bCs/>
                      <w:spacing w:val="-7"/>
                      <w:sz w:val="14"/>
                      <w:szCs w:val="14"/>
                    </w:rPr>
                    <w:t>雨</w:t>
                  </w:r>
                  <w:r>
                    <w:rPr>
                      <w:rFonts w:ascii="宋体" w:hAnsi="宋体" w:eastAsia="宋体" w:cs="宋体"/>
                      <w:spacing w:val="33"/>
                      <w:sz w:val="14"/>
                      <w:szCs w:val="14"/>
                    </w:rPr>
                    <w:t xml:space="preserve">  </w:t>
                  </w:r>
                  <w:r>
                    <w:rPr>
                      <w:rFonts w:ascii="宋体" w:hAnsi="宋体" w:eastAsia="宋体" w:cs="宋体"/>
                      <w:b/>
                      <w:bCs/>
                      <w:spacing w:val="-7"/>
                      <w:sz w:val="14"/>
                      <w:szCs w:val="14"/>
                    </w:rPr>
                    <w:t>碌</w:t>
                  </w:r>
                </w:p>
              </w:txbxContent>
            </v:textbox>
          </v:shape>
        </w:pict>
      </w:r>
      <w:r>
        <w:pict>
          <v:shape id="_x0000_s1055" o:spid="_x0000_s1055" o:spt="202" type="#_x0000_t202" style="position:absolute;left:0pt;margin-left:83.1pt;margin-top:7.85pt;height:10.95pt;width:16.55pt;z-index:251813888;mso-width-relative:page;mso-height-relative:page;" filled="f" stroked="f" coordsize="21600,21600">
            <v:path/>
            <v:fill on="f" focussize="0,0"/>
            <v:stroke on="f"/>
            <v:imagedata o:title=""/>
            <o:lock v:ext="edit" aspectratio="f"/>
            <v:textbox inset="0mm,0mm,0mm,0mm">
              <w:txbxContent>
                <w:p w14:paraId="14F117BE">
                  <w:pPr>
                    <w:spacing w:before="20" w:line="220" w:lineRule="auto"/>
                    <w:ind w:left="20"/>
                    <w:rPr>
                      <w:rFonts w:ascii="宋体" w:hAnsi="宋体" w:eastAsia="宋体" w:cs="宋体"/>
                      <w:sz w:val="15"/>
                      <w:szCs w:val="15"/>
                    </w:rPr>
                  </w:pPr>
                  <w:r>
                    <w:rPr>
                      <w:rFonts w:ascii="宋体" w:hAnsi="宋体" w:eastAsia="宋体" w:cs="宋体"/>
                      <w:b/>
                      <w:bCs/>
                      <w:spacing w:val="-4"/>
                      <w:sz w:val="15"/>
                      <w:szCs w:val="15"/>
                    </w:rPr>
                    <w:t>西泽</w:t>
                  </w:r>
                </w:p>
              </w:txbxContent>
            </v:textbox>
          </v:shape>
        </w:pict>
      </w:r>
      <w:r>
        <w:pict>
          <v:shape id="_x0000_s1056" o:spid="_x0000_s1056" o:spt="202" type="#_x0000_t202" style="position:absolute;left:0pt;margin-left:7.5pt;margin-top:15.05pt;height:32.3pt;width:34.65pt;z-index:251794432;mso-width-relative:page;mso-height-relative:page;" filled="f" stroked="f" coordsize="21600,21600">
            <v:path/>
            <v:fill on="f" focussize="0,0"/>
            <v:stroke on="f"/>
            <v:imagedata o:title=""/>
            <o:lock v:ext="edit" aspectratio="f"/>
            <v:textbox inset="0mm,0mm,0mm,0mm">
              <w:txbxContent>
                <w:p w14:paraId="78236EF9">
                  <w:pPr>
                    <w:spacing w:before="18" w:line="257" w:lineRule="auto"/>
                    <w:ind w:left="20" w:right="20" w:firstLine="299"/>
                    <w:rPr>
                      <w:rFonts w:ascii="隶书" w:hAnsi="隶书" w:eastAsia="隶书" w:cs="隶书"/>
                      <w:sz w:val="22"/>
                      <w:szCs w:val="22"/>
                    </w:rPr>
                  </w:pPr>
                  <w:r>
                    <w:rPr>
                      <w:rFonts w:ascii="隶书" w:hAnsi="隶书" w:eastAsia="隶书" w:cs="隶书"/>
                      <w:spacing w:val="-17"/>
                      <w:w w:val="84"/>
                      <w:sz w:val="23"/>
                      <w:szCs w:val="23"/>
                    </w:rPr>
                    <w:t>窝坡</w:t>
                  </w:r>
                  <w:r>
                    <w:rPr>
                      <w:rFonts w:ascii="隶书" w:hAnsi="隶书" w:eastAsia="隶书" w:cs="隶书"/>
                      <w:sz w:val="23"/>
                      <w:szCs w:val="23"/>
                    </w:rPr>
                    <w:t xml:space="preserve"> </w:t>
                  </w:r>
                  <w:r>
                    <w:rPr>
                      <w:rFonts w:ascii="隶书" w:hAnsi="隶书" w:eastAsia="隶书" w:cs="隶书"/>
                      <w:spacing w:val="-8"/>
                      <w:w w:val="88"/>
                      <w:sz w:val="22"/>
                      <w:szCs w:val="22"/>
                    </w:rPr>
                    <w:t>待补</w:t>
                  </w:r>
                </w:p>
              </w:txbxContent>
            </v:textbox>
          </v:shape>
        </w:pict>
      </w:r>
      <w:r>
        <w:rPr>
          <w:rFonts w:ascii="黑体" w:hAnsi="黑体" w:eastAsia="黑体" w:cs="黑体"/>
          <w:spacing w:val="-7"/>
          <w:sz w:val="15"/>
          <w:szCs w:val="15"/>
        </w:rPr>
        <w:t>来</w:t>
      </w:r>
      <w:r>
        <w:rPr>
          <w:rFonts w:ascii="黑体" w:hAnsi="黑体" w:eastAsia="黑体" w:cs="黑体"/>
          <w:spacing w:val="-34"/>
          <w:sz w:val="15"/>
          <w:szCs w:val="15"/>
        </w:rPr>
        <w:t xml:space="preserve"> </w:t>
      </w:r>
      <w:r>
        <w:rPr>
          <w:rFonts w:ascii="宋体" w:hAnsi="宋体" w:eastAsia="宋体" w:cs="宋体"/>
          <w:b/>
          <w:bCs/>
          <w:spacing w:val="-7"/>
          <w:sz w:val="15"/>
          <w:szCs w:val="15"/>
        </w:rPr>
        <w:t>宾</w:t>
      </w:r>
      <w:r>
        <w:rPr>
          <w:rFonts w:ascii="宋体" w:hAnsi="宋体" w:eastAsia="宋体" w:cs="宋体"/>
          <w:spacing w:val="-7"/>
          <w:sz w:val="15"/>
          <w:szCs w:val="15"/>
        </w:rPr>
        <w:t>6</w:t>
      </w:r>
      <w:r>
        <w:rPr>
          <w:rFonts w:ascii="宋体" w:hAnsi="宋体" w:eastAsia="宋体" w:cs="宋体"/>
          <w:sz w:val="15"/>
          <w:szCs w:val="15"/>
        </w:rPr>
        <w:t xml:space="preserve"> </w:t>
      </w:r>
      <w:r>
        <w:rPr>
          <w:rFonts w:ascii="黑体" w:hAnsi="黑体" w:eastAsia="黑体" w:cs="黑体"/>
          <w:spacing w:val="6"/>
          <w:sz w:val="19"/>
          <w:szCs w:val="19"/>
        </w:rPr>
        <w:t>宣</w:t>
      </w:r>
      <w:r>
        <w:rPr>
          <w:rFonts w:ascii="宋体" w:hAnsi="宋体" w:eastAsia="宋体" w:cs="宋体"/>
          <w:b/>
          <w:bCs/>
          <w:spacing w:val="6"/>
          <w:sz w:val="19"/>
          <w:szCs w:val="19"/>
        </w:rPr>
        <w:t>威市</w:t>
      </w:r>
      <w:r>
        <w:rPr>
          <w:rFonts w:ascii="宋体" w:hAnsi="宋体" w:eastAsia="宋体" w:cs="宋体"/>
          <w:spacing w:val="6"/>
          <w:sz w:val="19"/>
          <w:szCs w:val="19"/>
        </w:rPr>
        <w:t>◎</w:t>
      </w:r>
    </w:p>
    <w:p w14:paraId="66E839FE">
      <w:pPr>
        <w:spacing w:before="9" w:line="215" w:lineRule="auto"/>
        <w:ind w:left="2060" w:right="315" w:firstLine="410"/>
        <w:rPr>
          <w:rFonts w:ascii="宋体" w:hAnsi="宋体" w:eastAsia="宋体" w:cs="宋体"/>
          <w:sz w:val="12"/>
          <w:szCs w:val="12"/>
        </w:rPr>
      </w:pPr>
      <w:r>
        <w:rPr>
          <w:rFonts w:ascii="黑体" w:hAnsi="黑体" w:eastAsia="黑体" w:cs="黑体"/>
          <w:spacing w:val="-3"/>
          <w:sz w:val="13"/>
          <w:szCs w:val="13"/>
        </w:rPr>
        <w:t>虹桥</w:t>
      </w:r>
      <w:r>
        <w:rPr>
          <w:rFonts w:ascii="黑体" w:hAnsi="黑体" w:eastAsia="黑体" w:cs="黑体"/>
          <w:sz w:val="13"/>
          <w:szCs w:val="13"/>
        </w:rPr>
        <w:t xml:space="preserve"> </w:t>
      </w:r>
      <w:r>
        <w:rPr>
          <w:rFonts w:ascii="黑体" w:hAnsi="黑体" w:eastAsia="黑体" w:cs="黑体"/>
          <w:spacing w:val="5"/>
          <w:sz w:val="12"/>
          <w:szCs w:val="12"/>
        </w:rPr>
        <w:t>窑</w:t>
      </w:r>
      <w:r>
        <w:rPr>
          <w:rFonts w:ascii="宋体" w:hAnsi="宋体" w:eastAsia="宋体" w:cs="宋体"/>
          <w:b/>
          <w:bCs/>
          <w:spacing w:val="5"/>
          <w:sz w:val="12"/>
          <w:szCs w:val="12"/>
        </w:rPr>
        <w:t>上</w:t>
      </w:r>
    </w:p>
    <w:p w14:paraId="32A413F0">
      <w:pPr>
        <w:pStyle w:val="2"/>
        <w:spacing w:line="14" w:lineRule="auto"/>
        <w:rPr>
          <w:sz w:val="2"/>
        </w:rPr>
      </w:pPr>
      <w:r>
        <w:rPr>
          <w:sz w:val="2"/>
          <w:szCs w:val="2"/>
        </w:rPr>
        <w:br w:type="column"/>
      </w:r>
    </w:p>
    <w:p w14:paraId="7DF02469">
      <w:pPr>
        <w:spacing w:before="221" w:line="222" w:lineRule="auto"/>
        <w:rPr>
          <w:rFonts w:ascii="黑体" w:hAnsi="黑体" w:eastAsia="黑体" w:cs="黑体"/>
          <w:sz w:val="13"/>
          <w:szCs w:val="13"/>
        </w:rPr>
      </w:pPr>
      <w:r>
        <w:rPr>
          <w:rFonts w:ascii="黑体" w:hAnsi="黑体" w:eastAsia="黑体" w:cs="黑体"/>
          <w:sz w:val="13"/>
          <w:szCs w:val="13"/>
        </w:rPr>
        <w:t>塘</w:t>
      </w:r>
    </w:p>
    <w:p w14:paraId="0026E2D8">
      <w:pPr>
        <w:spacing w:before="123" w:line="224" w:lineRule="auto"/>
        <w:ind w:left="788"/>
        <w:rPr>
          <w:rFonts w:ascii="宋体" w:hAnsi="宋体" w:eastAsia="宋体" w:cs="宋体"/>
          <w:sz w:val="14"/>
          <w:szCs w:val="14"/>
        </w:rPr>
      </w:pPr>
      <w:r>
        <w:rPr>
          <w:rFonts w:ascii="黑体" w:hAnsi="黑体" w:eastAsia="黑体" w:cs="黑体"/>
          <w:spacing w:val="-8"/>
          <w:sz w:val="14"/>
          <w:szCs w:val="14"/>
        </w:rPr>
        <w:t>中</w:t>
      </w:r>
      <w:r>
        <w:rPr>
          <w:rFonts w:ascii="宋体" w:hAnsi="宋体" w:eastAsia="宋体" w:cs="宋体"/>
          <w:b/>
          <w:bCs/>
          <w:spacing w:val="-8"/>
          <w:sz w:val="14"/>
          <w:szCs w:val="14"/>
        </w:rPr>
        <w:t>河</w:t>
      </w:r>
    </w:p>
    <w:p w14:paraId="03BA7132">
      <w:pPr>
        <w:pStyle w:val="2"/>
        <w:spacing w:line="297" w:lineRule="auto"/>
      </w:pPr>
    </w:p>
    <w:p w14:paraId="0DF0EE41">
      <w:pPr>
        <w:spacing w:before="39" w:line="219" w:lineRule="auto"/>
        <w:ind w:left="330"/>
        <w:rPr>
          <w:rFonts w:ascii="宋体" w:hAnsi="宋体" w:eastAsia="宋体" w:cs="宋体"/>
          <w:sz w:val="12"/>
          <w:szCs w:val="12"/>
        </w:rPr>
      </w:pPr>
      <w:r>
        <w:rPr>
          <w:rFonts w:ascii="宋体" w:hAnsi="宋体" w:eastAsia="宋体" w:cs="宋体"/>
          <w:b/>
          <w:bCs/>
          <w:spacing w:val="-4"/>
          <w:sz w:val="12"/>
          <w:szCs w:val="12"/>
        </w:rPr>
        <w:t>乐树</w:t>
      </w:r>
    </w:p>
    <w:p w14:paraId="0403CBFB">
      <w:pPr>
        <w:spacing w:before="258" w:line="229" w:lineRule="auto"/>
        <w:ind w:left="140"/>
        <w:rPr>
          <w:rFonts w:ascii="楷体" w:hAnsi="楷体" w:eastAsia="楷体" w:cs="楷体"/>
          <w:sz w:val="13"/>
          <w:szCs w:val="13"/>
        </w:rPr>
      </w:pPr>
      <w:r>
        <w:rPr>
          <w:rFonts w:ascii="楷体" w:hAnsi="楷体" w:eastAsia="楷体" w:cs="楷体"/>
          <w:b/>
          <w:bCs/>
          <w:spacing w:val="14"/>
          <w:sz w:val="13"/>
          <w:szCs w:val="13"/>
        </w:rPr>
        <w:t>卡基</w:t>
      </w:r>
    </w:p>
    <w:p w14:paraId="44AD14BB">
      <w:pPr>
        <w:spacing w:before="94" w:line="228" w:lineRule="auto"/>
        <w:ind w:left="138"/>
        <w:rPr>
          <w:rFonts w:ascii="隶书" w:hAnsi="隶书" w:eastAsia="隶书" w:cs="隶书"/>
          <w:sz w:val="22"/>
          <w:szCs w:val="22"/>
        </w:rPr>
      </w:pPr>
      <w:r>
        <w:rPr>
          <w:rFonts w:ascii="隶书" w:hAnsi="隶书" w:eastAsia="隶书" w:cs="隶书"/>
          <w:spacing w:val="-11"/>
          <w:w w:val="89"/>
          <w:sz w:val="22"/>
          <w:szCs w:val="22"/>
        </w:rPr>
        <w:t>◎东山</w:t>
      </w:r>
    </w:p>
    <w:p w14:paraId="3C91076B">
      <w:pPr>
        <w:pStyle w:val="2"/>
        <w:spacing w:line="14" w:lineRule="auto"/>
        <w:rPr>
          <w:sz w:val="2"/>
        </w:rPr>
      </w:pPr>
      <w:r>
        <w:rPr>
          <w:sz w:val="2"/>
          <w:szCs w:val="2"/>
        </w:rPr>
        <w:br w:type="column"/>
      </w:r>
    </w:p>
    <w:p w14:paraId="1B45CDEB">
      <w:pPr>
        <w:pStyle w:val="2"/>
        <w:spacing w:line="280" w:lineRule="auto"/>
      </w:pPr>
    </w:p>
    <w:p w14:paraId="48A1A0EA">
      <w:pPr>
        <w:pStyle w:val="2"/>
        <w:spacing w:line="281" w:lineRule="auto"/>
      </w:pPr>
    </w:p>
    <w:p w14:paraId="1BB7FEDE">
      <w:pPr>
        <w:spacing w:before="61" w:line="224" w:lineRule="auto"/>
        <w:rPr>
          <w:rFonts w:ascii="黑体" w:hAnsi="黑体" w:eastAsia="黑体" w:cs="黑体"/>
          <w:sz w:val="19"/>
          <w:szCs w:val="19"/>
        </w:rPr>
      </w:pPr>
      <w:r>
        <w:rPr>
          <w:rFonts w:ascii="隶书" w:hAnsi="隶书" w:eastAsia="隶书" w:cs="隶书"/>
          <w:spacing w:val="-8"/>
          <w:w w:val="91"/>
          <w:sz w:val="19"/>
          <w:szCs w:val="19"/>
        </w:rPr>
        <w:t>腊</w:t>
      </w:r>
      <w:r>
        <w:rPr>
          <w:rFonts w:ascii="黑体" w:hAnsi="黑体" w:eastAsia="黑体" w:cs="黑体"/>
          <w:spacing w:val="-8"/>
          <w:w w:val="91"/>
          <w:sz w:val="19"/>
          <w:szCs w:val="19"/>
        </w:rPr>
        <w:t>龙</w:t>
      </w:r>
    </w:p>
    <w:p w14:paraId="10F28F0A">
      <w:pPr>
        <w:spacing w:line="224" w:lineRule="auto"/>
        <w:rPr>
          <w:rFonts w:ascii="黑体" w:hAnsi="黑体" w:eastAsia="黑体" w:cs="黑体"/>
          <w:sz w:val="19"/>
          <w:szCs w:val="19"/>
        </w:rPr>
        <w:sectPr>
          <w:type w:val="continuous"/>
          <w:pgSz w:w="11900" w:h="16830"/>
          <w:pgMar w:top="1177" w:right="9" w:bottom="400" w:left="0" w:header="900" w:footer="0" w:gutter="0"/>
          <w:cols w:equalWidth="0" w:num="5">
            <w:col w:w="1881" w:space="100"/>
            <w:col w:w="2230" w:space="100"/>
            <w:col w:w="3042" w:space="100"/>
            <w:col w:w="1329" w:space="100"/>
            <w:col w:w="3010"/>
          </w:cols>
        </w:sectPr>
      </w:pPr>
    </w:p>
    <w:p w14:paraId="5C1E14AC">
      <w:pPr>
        <w:spacing w:before="41" w:line="224" w:lineRule="auto"/>
        <w:ind w:left="1812"/>
        <w:rPr>
          <w:rFonts w:ascii="黑体" w:hAnsi="黑体" w:eastAsia="黑体" w:cs="黑体"/>
          <w:sz w:val="15"/>
          <w:szCs w:val="15"/>
        </w:rPr>
      </w:pPr>
      <w:r>
        <w:pict>
          <v:shape id="_x0000_s1057" o:spid="_x0000_s1057" o:spt="202" type="#_x0000_t202" style="position:absolute;left:0pt;margin-left:106.25pt;margin-top:1.05pt;height:11pt;width:9.05pt;z-index:251820032;mso-width-relative:page;mso-height-relative:page;" filled="f" stroked="f" coordsize="21600,21600">
            <v:path/>
            <v:fill on="f" focussize="0,0"/>
            <v:stroke on="f"/>
            <v:imagedata o:title=""/>
            <o:lock v:ext="edit" aspectratio="f"/>
            <v:textbox inset="0mm,0mm,0mm,0mm">
              <w:txbxContent>
                <w:p w14:paraId="68A00C94">
                  <w:pPr>
                    <w:spacing w:before="19" w:line="221" w:lineRule="auto"/>
                    <w:ind w:left="20"/>
                    <w:rPr>
                      <w:rFonts w:ascii="黑体" w:hAnsi="黑体" w:eastAsia="黑体" w:cs="黑体"/>
                      <w:sz w:val="15"/>
                      <w:szCs w:val="15"/>
                    </w:rPr>
                  </w:pPr>
                  <w:r>
                    <w:rPr>
                      <w:rFonts w:ascii="黑体" w:hAnsi="黑体" w:eastAsia="黑体" w:cs="黑体"/>
                      <w:b/>
                      <w:bCs/>
                      <w:spacing w:val="-2"/>
                      <w:sz w:val="15"/>
                      <w:szCs w:val="15"/>
                    </w:rPr>
                    <w:t>蒙</w:t>
                  </w:r>
                </w:p>
              </w:txbxContent>
            </v:textbox>
          </v:shape>
        </w:pict>
      </w:r>
      <w:r>
        <w:rPr>
          <w:rFonts w:ascii="黑体" w:hAnsi="黑体" w:eastAsia="黑体" w:cs="黑体"/>
          <w:b/>
          <w:bCs/>
          <w:spacing w:val="-2"/>
          <w:sz w:val="15"/>
          <w:szCs w:val="15"/>
        </w:rPr>
        <w:t>乌</w:t>
      </w:r>
    </w:p>
    <w:p w14:paraId="224E3DED">
      <w:pPr>
        <w:pStyle w:val="2"/>
        <w:spacing w:line="353" w:lineRule="auto"/>
      </w:pPr>
    </w:p>
    <w:p w14:paraId="0D0C6E68">
      <w:pPr>
        <w:spacing w:before="40" w:line="177" w:lineRule="auto"/>
        <w:ind w:left="2050"/>
        <w:rPr>
          <w:rFonts w:ascii="隶书" w:hAnsi="隶书" w:eastAsia="隶书" w:cs="隶书"/>
          <w:sz w:val="12"/>
          <w:szCs w:val="12"/>
        </w:rPr>
      </w:pPr>
      <w:r>
        <w:rPr>
          <w:rFonts w:ascii="隶书" w:hAnsi="隶书" w:eastAsia="隶书" w:cs="隶书"/>
          <w:sz w:val="12"/>
          <w:szCs w:val="12"/>
        </w:rPr>
        <w:t>转</w:t>
      </w:r>
    </w:p>
    <w:p w14:paraId="37649188">
      <w:pPr>
        <w:pStyle w:val="2"/>
        <w:spacing w:line="470" w:lineRule="auto"/>
      </w:pPr>
    </w:p>
    <w:p w14:paraId="60F517CB">
      <w:pPr>
        <w:spacing w:before="50" w:line="453" w:lineRule="auto"/>
        <w:ind w:left="1480" w:right="300" w:firstLine="79"/>
        <w:rPr>
          <w:rFonts w:ascii="宋体" w:hAnsi="宋体" w:eastAsia="宋体" w:cs="宋体"/>
          <w:sz w:val="15"/>
          <w:szCs w:val="15"/>
        </w:rPr>
      </w:pPr>
      <w:r>
        <w:rPr>
          <w:rFonts w:ascii="黑体" w:hAnsi="黑体" w:eastAsia="黑体" w:cs="黑体"/>
          <w:spacing w:val="-9"/>
          <w:sz w:val="15"/>
          <w:szCs w:val="15"/>
        </w:rPr>
        <w:t>九</w:t>
      </w:r>
      <w:r>
        <w:rPr>
          <w:rFonts w:ascii="黑体" w:hAnsi="黑体" w:eastAsia="黑体" w:cs="黑体"/>
          <w:spacing w:val="66"/>
          <w:sz w:val="15"/>
          <w:szCs w:val="15"/>
        </w:rPr>
        <w:t xml:space="preserve"> </w:t>
      </w:r>
      <w:r>
        <w:rPr>
          <w:rFonts w:ascii="黑体" w:hAnsi="黑体" w:eastAsia="黑体" w:cs="黑体"/>
          <w:spacing w:val="-9"/>
          <w:sz w:val="15"/>
          <w:szCs w:val="15"/>
        </w:rPr>
        <w:t>龙</w:t>
      </w:r>
      <w:r>
        <w:rPr>
          <w:rFonts w:ascii="黑体" w:hAnsi="黑体" w:eastAsia="黑体" w:cs="黑体"/>
          <w:sz w:val="15"/>
          <w:szCs w:val="15"/>
        </w:rPr>
        <w:t xml:space="preserve"> </w:t>
      </w:r>
      <w:r>
        <w:rPr>
          <w:rFonts w:ascii="黑体" w:hAnsi="黑体" w:eastAsia="黑体" w:cs="黑体"/>
          <w:spacing w:val="-4"/>
          <w:sz w:val="15"/>
          <w:szCs w:val="15"/>
        </w:rPr>
        <w:t>鸡</w:t>
      </w:r>
      <w:r>
        <w:rPr>
          <w:rFonts w:ascii="宋体" w:hAnsi="宋体" w:eastAsia="宋体" w:cs="宋体"/>
          <w:b/>
          <w:bCs/>
          <w:spacing w:val="-4"/>
          <w:sz w:val="15"/>
          <w:szCs w:val="15"/>
        </w:rPr>
        <w:t>街</w:t>
      </w:r>
    </w:p>
    <w:p w14:paraId="5D7205EE">
      <w:pPr>
        <w:spacing w:before="109" w:line="219" w:lineRule="auto"/>
        <w:ind w:left="1242"/>
        <w:rPr>
          <w:rFonts w:ascii="宋体" w:hAnsi="宋体" w:eastAsia="宋体" w:cs="宋体"/>
          <w:sz w:val="15"/>
          <w:szCs w:val="15"/>
        </w:rPr>
      </w:pPr>
      <w:r>
        <w:pict>
          <v:shape id="_x0000_s1058" o:spid="_x0000_s1058" o:spt="202" type="#_x0000_t202" style="position:absolute;left:0pt;margin-left:101.5pt;margin-top:1.95pt;height:10.6pt;width:8.8pt;z-index:251821056;mso-width-relative:page;mso-height-relative:page;" filled="f" stroked="f" coordsize="21600,21600">
            <v:path/>
            <v:fill on="f" focussize="0,0"/>
            <v:stroke on="f"/>
            <v:imagedata o:title=""/>
            <o:lock v:ext="edit" aspectratio="f"/>
            <v:textbox inset="0mm,0mm,0mm,0mm">
              <w:txbxContent>
                <w:p w14:paraId="5B8B31E8">
                  <w:pPr>
                    <w:spacing w:before="19" w:line="226" w:lineRule="auto"/>
                    <w:ind w:left="20"/>
                    <w:rPr>
                      <w:rFonts w:ascii="黑体" w:hAnsi="黑体" w:eastAsia="黑体" w:cs="黑体"/>
                      <w:sz w:val="14"/>
                      <w:szCs w:val="14"/>
                    </w:rPr>
                  </w:pPr>
                  <w:r>
                    <w:rPr>
                      <w:rFonts w:ascii="黑体" w:hAnsi="黑体" w:eastAsia="黑体" w:cs="黑体"/>
                      <w:sz w:val="14"/>
                      <w:szCs w:val="14"/>
                    </w:rPr>
                    <w:t>柯</w:t>
                  </w:r>
                </w:p>
              </w:txbxContent>
            </v:textbox>
          </v:shape>
        </w:pict>
      </w:r>
      <w:r>
        <w:rPr>
          <w:rFonts w:ascii="宋体" w:hAnsi="宋体" w:eastAsia="宋体" w:cs="宋体"/>
          <w:b/>
          <w:bCs/>
          <w:spacing w:val="-8"/>
          <w:sz w:val="15"/>
          <w:szCs w:val="15"/>
        </w:rPr>
        <w:t>东</w:t>
      </w:r>
      <w:r>
        <w:rPr>
          <w:rFonts w:ascii="宋体" w:hAnsi="宋体" w:eastAsia="宋体" w:cs="宋体"/>
          <w:spacing w:val="20"/>
          <w:sz w:val="15"/>
          <w:szCs w:val="15"/>
        </w:rPr>
        <w:t xml:space="preserve">  </w:t>
      </w:r>
      <w:r>
        <w:rPr>
          <w:rFonts w:ascii="宋体" w:hAnsi="宋体" w:eastAsia="宋体" w:cs="宋体"/>
          <w:b/>
          <w:bCs/>
          <w:spacing w:val="-8"/>
          <w:sz w:val="15"/>
          <w:szCs w:val="15"/>
        </w:rPr>
        <w:t>村</w:t>
      </w:r>
    </w:p>
    <w:p w14:paraId="4C0771B0">
      <w:pPr>
        <w:pStyle w:val="2"/>
        <w:spacing w:line="384" w:lineRule="auto"/>
      </w:pPr>
    </w:p>
    <w:p w14:paraId="161BF538">
      <w:pPr>
        <w:spacing w:before="50" w:line="223" w:lineRule="auto"/>
        <w:ind w:left="1360"/>
        <w:rPr>
          <w:rFonts w:ascii="黑体" w:hAnsi="黑体" w:eastAsia="黑体" w:cs="黑体"/>
          <w:sz w:val="15"/>
          <w:szCs w:val="15"/>
        </w:rPr>
      </w:pPr>
      <w:r>
        <w:rPr>
          <w:rFonts w:ascii="黑体" w:hAnsi="黑体" w:eastAsia="黑体" w:cs="黑体"/>
          <w:spacing w:val="-3"/>
          <w:sz w:val="15"/>
          <w:szCs w:val="15"/>
        </w:rPr>
        <w:t>阿子营</w:t>
      </w:r>
    </w:p>
    <w:p w14:paraId="7796048A">
      <w:pPr>
        <w:spacing w:before="83"/>
      </w:pPr>
    </w:p>
    <w:p w14:paraId="609D16D1">
      <w:pPr>
        <w:spacing w:before="83"/>
      </w:pPr>
    </w:p>
    <w:p w14:paraId="2F32EC0D">
      <w:pPr>
        <w:pStyle w:val="2"/>
        <w:spacing w:line="14" w:lineRule="auto"/>
        <w:rPr>
          <w:sz w:val="2"/>
        </w:rPr>
      </w:pPr>
      <w:r>
        <w:rPr>
          <w:sz w:val="2"/>
          <w:szCs w:val="2"/>
        </w:rPr>
        <w:br w:type="column"/>
      </w:r>
    </w:p>
    <w:p w14:paraId="5ECCB53D">
      <w:pPr>
        <w:pStyle w:val="2"/>
        <w:spacing w:before="113" w:line="184" w:lineRule="auto"/>
        <w:ind w:right="4"/>
        <w:jc w:val="right"/>
        <w:rPr>
          <w:sz w:val="19"/>
          <w:szCs w:val="19"/>
        </w:rPr>
      </w:pPr>
      <w:r>
        <w:rPr>
          <w:rFonts w:ascii="隶书" w:hAnsi="隶书" w:eastAsia="隶书" w:cs="隶书"/>
          <w:spacing w:val="-1"/>
          <w:sz w:val="19"/>
          <w:szCs w:val="19"/>
        </w:rPr>
        <w:t>法</w:t>
      </w:r>
      <w:r>
        <w:rPr>
          <w:rFonts w:ascii="隶书" w:hAnsi="隶书" w:eastAsia="隶书" w:cs="隶书"/>
          <w:spacing w:val="-19"/>
          <w:sz w:val="19"/>
          <w:szCs w:val="19"/>
        </w:rPr>
        <w:t xml:space="preserve"> </w:t>
      </w:r>
      <w:r>
        <w:rPr>
          <w:rFonts w:ascii="隶书" w:hAnsi="隶书" w:eastAsia="隶书" w:cs="隶书"/>
          <w:spacing w:val="-1"/>
          <w:sz w:val="19"/>
          <w:szCs w:val="19"/>
        </w:rPr>
        <w:t>者</w:t>
      </w:r>
      <w:r>
        <w:rPr>
          <w:rFonts w:ascii="隶书" w:hAnsi="隶书" w:eastAsia="隶书" w:cs="隶书"/>
          <w:spacing w:val="1"/>
          <w:sz w:val="19"/>
          <w:szCs w:val="19"/>
        </w:rPr>
        <w:t xml:space="preserve">       </w:t>
      </w:r>
      <w:r>
        <w:rPr>
          <w:spacing w:val="-1"/>
          <w:position w:val="-2"/>
          <w:sz w:val="19"/>
          <w:szCs w:val="19"/>
        </w:rPr>
        <w:t>o</w:t>
      </w:r>
    </w:p>
    <w:p w14:paraId="74B1C51E">
      <w:pPr>
        <w:spacing w:before="103" w:line="222" w:lineRule="auto"/>
        <w:ind w:left="728"/>
        <w:rPr>
          <w:rFonts w:ascii="宋体" w:hAnsi="宋体" w:eastAsia="宋体" w:cs="宋体"/>
          <w:sz w:val="12"/>
          <w:szCs w:val="12"/>
        </w:rPr>
      </w:pPr>
      <w:r>
        <w:rPr>
          <w:rFonts w:ascii="黑体" w:hAnsi="黑体" w:eastAsia="黑体" w:cs="黑体"/>
          <w:spacing w:val="1"/>
          <w:sz w:val="12"/>
          <w:szCs w:val="12"/>
        </w:rPr>
        <w:t>龙</w:t>
      </w:r>
      <w:r>
        <w:rPr>
          <w:rFonts w:ascii="宋体" w:hAnsi="宋体" w:eastAsia="宋体" w:cs="宋体"/>
          <w:b/>
          <w:bCs/>
          <w:spacing w:val="1"/>
          <w:sz w:val="12"/>
          <w:szCs w:val="12"/>
        </w:rPr>
        <w:t>树坪</w:t>
      </w:r>
    </w:p>
    <w:p w14:paraId="7F3A702D">
      <w:pPr>
        <w:spacing w:before="65" w:line="74" w:lineRule="exact"/>
        <w:ind w:left="45"/>
        <w:rPr>
          <w:rFonts w:ascii="隶书" w:hAnsi="隶书" w:eastAsia="隶书" w:cs="隶书"/>
          <w:sz w:val="12"/>
          <w:szCs w:val="12"/>
        </w:rPr>
      </w:pPr>
      <w:r>
        <w:rPr>
          <w:rFonts w:ascii="隶书" w:hAnsi="隶书" w:eastAsia="隶书" w:cs="隶书"/>
          <w:position w:val="-2"/>
          <w:sz w:val="12"/>
          <w:szCs w:val="12"/>
        </w:rPr>
        <w:t>北</w:t>
      </w:r>
    </w:p>
    <w:p w14:paraId="0DAFD012">
      <w:pPr>
        <w:spacing w:before="1" w:line="205" w:lineRule="auto"/>
        <w:ind w:left="338" w:right="74" w:firstLine="631"/>
        <w:rPr>
          <w:rFonts w:ascii="黑体" w:hAnsi="黑体" w:eastAsia="黑体" w:cs="黑体"/>
          <w:sz w:val="15"/>
          <w:szCs w:val="15"/>
        </w:rPr>
      </w:pPr>
      <w:r>
        <w:rPr>
          <w:rFonts w:ascii="宋体" w:hAnsi="宋体" w:eastAsia="宋体" w:cs="宋体"/>
          <w:b/>
          <w:bCs/>
          <w:spacing w:val="-5"/>
          <w:sz w:val="14"/>
          <w:szCs w:val="14"/>
        </w:rPr>
        <w:t>沧溪</w:t>
      </w:r>
      <w:r>
        <w:rPr>
          <w:rFonts w:ascii="宋体" w:hAnsi="宋体" w:eastAsia="宋体" w:cs="宋体"/>
          <w:sz w:val="14"/>
          <w:szCs w:val="14"/>
        </w:rPr>
        <w:t xml:space="preserve"> </w:t>
      </w:r>
      <w:r>
        <w:rPr>
          <w:rFonts w:ascii="楷体" w:hAnsi="楷体" w:eastAsia="楷体" w:cs="楷体"/>
          <w:spacing w:val="6"/>
          <w:sz w:val="15"/>
          <w:szCs w:val="15"/>
        </w:rPr>
        <w:t>6</w:t>
      </w:r>
      <w:r>
        <w:rPr>
          <w:rFonts w:ascii="楷体" w:hAnsi="楷体" w:eastAsia="楷体" w:cs="楷体"/>
          <w:b/>
          <w:bCs/>
          <w:spacing w:val="6"/>
          <w:sz w:val="15"/>
          <w:szCs w:val="15"/>
        </w:rPr>
        <w:t>凤</w:t>
      </w:r>
      <w:r>
        <w:rPr>
          <w:rFonts w:ascii="黑体" w:hAnsi="黑体" w:eastAsia="黑体" w:cs="黑体"/>
          <w:spacing w:val="6"/>
          <w:sz w:val="15"/>
          <w:szCs w:val="15"/>
        </w:rPr>
        <w:t>仪</w:t>
      </w:r>
    </w:p>
    <w:p w14:paraId="48FA1E2A">
      <w:pPr>
        <w:spacing w:before="55" w:line="221" w:lineRule="auto"/>
        <w:ind w:left="168"/>
        <w:rPr>
          <w:rFonts w:ascii="黑体" w:hAnsi="黑体" w:eastAsia="黑体" w:cs="黑体"/>
          <w:sz w:val="15"/>
          <w:szCs w:val="15"/>
        </w:rPr>
      </w:pPr>
      <w:r>
        <w:rPr>
          <w:rFonts w:ascii="黑体" w:hAnsi="黑体" w:eastAsia="黑体" w:cs="黑体"/>
          <w:spacing w:val="19"/>
          <w:sz w:val="15"/>
          <w:szCs w:val="15"/>
        </w:rPr>
        <w:t>倘甸</w:t>
      </w:r>
    </w:p>
    <w:p w14:paraId="4201F68C">
      <w:pPr>
        <w:pStyle w:val="2"/>
        <w:spacing w:line="413" w:lineRule="auto"/>
      </w:pPr>
    </w:p>
    <w:p w14:paraId="0E826D74">
      <w:pPr>
        <w:spacing w:before="43" w:line="484" w:lineRule="auto"/>
        <w:ind w:left="40" w:right="723" w:firstLine="299"/>
        <w:rPr>
          <w:rFonts w:ascii="宋体" w:hAnsi="宋体" w:eastAsia="宋体" w:cs="宋体"/>
          <w:sz w:val="14"/>
          <w:szCs w:val="14"/>
        </w:rPr>
      </w:pPr>
      <w:r>
        <w:pict>
          <v:shape id="_x0000_s1059" o:spid="_x0000_s1059" o:spt="202" type="#_x0000_t202" style="position:absolute;left:0pt;margin-left:41.4pt;margin-top:0.8pt;height:9.95pt;width:24.7pt;z-index:251804672;mso-width-relative:page;mso-height-relative:page;" filled="f" stroked="f" coordsize="21600,21600">
            <v:path/>
            <v:fill on="f" focussize="0,0"/>
            <v:stroke on="f"/>
            <v:imagedata o:title=""/>
            <o:lock v:ext="edit" aspectratio="f"/>
            <v:textbox inset="0mm,0mm,0mm,0mm">
              <w:txbxContent>
                <w:p w14:paraId="2A11FE5A">
                  <w:pPr>
                    <w:spacing w:before="20" w:line="224" w:lineRule="auto"/>
                    <w:ind w:left="20"/>
                    <w:rPr>
                      <w:rFonts w:ascii="黑体" w:hAnsi="黑体" w:eastAsia="黑体" w:cs="黑体"/>
                      <w:sz w:val="13"/>
                      <w:szCs w:val="13"/>
                    </w:rPr>
                  </w:pPr>
                  <w:r>
                    <w:rPr>
                      <w:rFonts w:ascii="黑体" w:hAnsi="黑体" w:eastAsia="黑体" w:cs="黑体"/>
                      <w:spacing w:val="-1"/>
                      <w:sz w:val="13"/>
                      <w:szCs w:val="13"/>
                    </w:rPr>
                    <w:t>天生桥9</w:t>
                  </w:r>
                </w:p>
              </w:txbxContent>
            </v:textbox>
          </v:shape>
        </w:pict>
      </w:r>
      <w:r>
        <w:rPr>
          <w:rFonts w:ascii="宋体" w:hAnsi="宋体" w:eastAsia="宋体" w:cs="宋体"/>
          <w:b/>
          <w:bCs/>
          <w:spacing w:val="-5"/>
          <w:sz w:val="13"/>
          <w:szCs w:val="13"/>
        </w:rPr>
        <w:t>板桥</w:t>
      </w:r>
      <w:r>
        <w:rPr>
          <w:rFonts w:ascii="宋体" w:hAnsi="宋体" w:eastAsia="宋体" w:cs="宋体"/>
          <w:sz w:val="13"/>
          <w:szCs w:val="13"/>
        </w:rPr>
        <w:t xml:space="preserve"> </w:t>
      </w:r>
      <w:r>
        <w:rPr>
          <w:rFonts w:ascii="宋体" w:hAnsi="宋体" w:eastAsia="宋体" w:cs="宋体"/>
          <w:b/>
          <w:bCs/>
          <w:spacing w:val="-2"/>
          <w:sz w:val="14"/>
          <w:szCs w:val="14"/>
        </w:rPr>
        <w:t>渡</w:t>
      </w:r>
    </w:p>
    <w:p w14:paraId="27857940">
      <w:pPr>
        <w:spacing w:before="23" w:line="262" w:lineRule="auto"/>
        <w:ind w:left="10" w:right="688" w:hanging="10"/>
        <w:rPr>
          <w:rFonts w:ascii="宋体" w:hAnsi="宋体" w:eastAsia="宋体" w:cs="宋体"/>
          <w:sz w:val="20"/>
          <w:szCs w:val="20"/>
        </w:rPr>
      </w:pPr>
      <w:r>
        <w:pict>
          <v:shape id="_x0000_s1060" o:spid="_x0000_s1060" o:spt="202" type="#_x0000_t202" style="position:absolute;left:0pt;margin-left:38.85pt;margin-top:0.15pt;height:10.95pt;width:9.25pt;z-index:251819008;mso-width-relative:page;mso-height-relative:page;" filled="f" stroked="f" coordsize="21600,21600">
            <v:path/>
            <v:fill on="f" focussize="0,0"/>
            <v:stroke on="f"/>
            <v:imagedata o:title=""/>
            <o:lock v:ext="edit" aspectratio="f"/>
            <v:textbox inset="0mm,0mm,0mm,0mm">
              <w:txbxContent>
                <w:p w14:paraId="0E46019F">
                  <w:pPr>
                    <w:spacing w:before="20" w:line="219" w:lineRule="auto"/>
                    <w:ind w:left="20"/>
                    <w:rPr>
                      <w:rFonts w:ascii="宋体" w:hAnsi="宋体" w:eastAsia="宋体" w:cs="宋体"/>
                      <w:sz w:val="15"/>
                      <w:szCs w:val="15"/>
                    </w:rPr>
                  </w:pPr>
                  <w:r>
                    <w:rPr>
                      <w:rFonts w:ascii="宋体" w:hAnsi="宋体" w:eastAsia="宋体" w:cs="宋体"/>
                      <w:b/>
                      <w:bCs/>
                      <w:spacing w:val="-2"/>
                      <w:sz w:val="15"/>
                      <w:szCs w:val="15"/>
                    </w:rPr>
                    <w:t>街</w:t>
                  </w:r>
                </w:p>
              </w:txbxContent>
            </v:textbox>
          </v:shape>
        </w:pict>
      </w:r>
      <w:r>
        <w:rPr>
          <w:rFonts w:ascii="黑体" w:hAnsi="黑体" w:eastAsia="黑体" w:cs="黑体"/>
          <w:b/>
          <w:bCs/>
          <w:spacing w:val="-10"/>
          <w:position w:val="-2"/>
          <w:sz w:val="13"/>
          <w:szCs w:val="13"/>
        </w:rPr>
        <w:t>口曲榨警</w:t>
      </w:r>
      <w:r>
        <w:rPr>
          <w:rFonts w:ascii="宋体" w:hAnsi="宋体" w:eastAsia="宋体" w:cs="宋体"/>
          <w:b/>
          <w:bCs/>
          <w:spacing w:val="-10"/>
          <w:position w:val="9"/>
          <w:sz w:val="15"/>
          <w:szCs w:val="15"/>
        </w:rPr>
        <w:t>羊</w:t>
      </w:r>
      <w:r>
        <w:rPr>
          <w:rFonts w:ascii="宋体" w:hAnsi="宋体" w:eastAsia="宋体" w:cs="宋体"/>
          <w:spacing w:val="1"/>
          <w:position w:val="9"/>
          <w:sz w:val="15"/>
          <w:szCs w:val="15"/>
        </w:rPr>
        <w:t xml:space="preserve"> </w:t>
      </w:r>
      <w:r>
        <w:rPr>
          <w:rFonts w:ascii="宋体" w:hAnsi="宋体" w:eastAsia="宋体" w:cs="宋体"/>
          <w:b/>
          <w:bCs/>
          <w:spacing w:val="-37"/>
          <w:w w:val="87"/>
          <w:sz w:val="20"/>
          <w:szCs w:val="20"/>
        </w:rPr>
        <w:t>嵩</w:t>
      </w:r>
      <w:r>
        <w:rPr>
          <w:rFonts w:ascii="宋体" w:hAnsi="宋体" w:eastAsia="宋体" w:cs="宋体"/>
          <w:spacing w:val="81"/>
          <w:sz w:val="20"/>
          <w:szCs w:val="20"/>
        </w:rPr>
        <w:t xml:space="preserve"> </w:t>
      </w:r>
      <w:r>
        <w:rPr>
          <w:rFonts w:ascii="宋体" w:hAnsi="宋体" w:eastAsia="宋体" w:cs="宋体"/>
          <w:b/>
          <w:bCs/>
          <w:spacing w:val="-37"/>
          <w:w w:val="87"/>
          <w:sz w:val="20"/>
          <w:szCs w:val="20"/>
        </w:rPr>
        <w:t>明</w:t>
      </w:r>
      <w:r>
        <w:rPr>
          <w:rFonts w:ascii="宋体" w:hAnsi="宋体" w:eastAsia="宋体" w:cs="宋体"/>
          <w:spacing w:val="-37"/>
          <w:w w:val="87"/>
          <w:sz w:val="20"/>
          <w:szCs w:val="20"/>
        </w:rPr>
        <w:t>◎</w:t>
      </w:r>
    </w:p>
    <w:p w14:paraId="7B62B3F7">
      <w:pPr>
        <w:pStyle w:val="2"/>
        <w:spacing w:line="14" w:lineRule="auto"/>
        <w:rPr>
          <w:sz w:val="2"/>
        </w:rPr>
      </w:pPr>
      <w:r>
        <w:rPr>
          <w:sz w:val="2"/>
          <w:szCs w:val="2"/>
        </w:rPr>
        <w:br w:type="column"/>
      </w:r>
    </w:p>
    <w:p w14:paraId="3C3FFE2C">
      <w:pPr>
        <w:spacing w:line="77" w:lineRule="auto"/>
        <w:rPr>
          <w:rFonts w:ascii="Arial"/>
          <w:sz w:val="2"/>
        </w:rPr>
      </w:pPr>
    </w:p>
    <w:tbl>
      <w:tblPr>
        <w:tblStyle w:val="5"/>
        <w:tblW w:w="5323" w:type="dxa"/>
        <w:tblInd w:w="3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175"/>
        <w:gridCol w:w="1261"/>
        <w:gridCol w:w="1234"/>
        <w:gridCol w:w="276"/>
        <w:gridCol w:w="1377"/>
      </w:tblGrid>
      <w:tr w14:paraId="1F010E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15" w:hRule="atLeast"/>
        </w:trPr>
        <w:tc>
          <w:tcPr>
            <w:tcW w:w="1175" w:type="dxa"/>
            <w:vAlign w:val="top"/>
          </w:tcPr>
          <w:p w14:paraId="781EFE01">
            <w:pPr>
              <w:pStyle w:val="6"/>
              <w:spacing w:before="96" w:line="221" w:lineRule="auto"/>
              <w:rPr>
                <w:sz w:val="19"/>
                <w:szCs w:val="19"/>
              </w:rPr>
            </w:pPr>
            <w:r>
              <w:pict>
                <v:shape id="_x0000_s1061" o:spid="_x0000_s1061" o:spt="202" type="#_x0000_t202" style="position:absolute;left:0pt;margin-left:33.7pt;margin-top:4.5pt;height:21.05pt;width:23.8pt;z-index:251826176;mso-width-relative:page;mso-height-relative:page;" filled="f" stroked="f" coordsize="21600,21600">
                  <v:path/>
                  <v:fill on="f" focussize="0,0"/>
                  <v:stroke on="f"/>
                  <v:imagedata o:title=""/>
                  <o:lock v:ext="edit" aspectratio="f"/>
                  <v:textbox inset="0mm,0mm,0mm,0mm">
                    <w:txbxContent>
                      <w:p w14:paraId="34FD8DDA">
                        <w:pPr>
                          <w:pStyle w:val="6"/>
                          <w:spacing w:before="19" w:line="227" w:lineRule="auto"/>
                          <w:jc w:val="right"/>
                          <w:rPr>
                            <w:rFonts w:ascii="隶书" w:hAnsi="隶书" w:eastAsia="隶书" w:cs="隶书"/>
                            <w:sz w:val="31"/>
                            <w:szCs w:val="31"/>
                          </w:rPr>
                        </w:pPr>
                        <w:r>
                          <w:rPr>
                            <w:b/>
                            <w:bCs/>
                            <w:spacing w:val="-29"/>
                            <w:w w:val="77"/>
                            <w:sz w:val="31"/>
                            <w:szCs w:val="31"/>
                          </w:rPr>
                          <w:t>思</w:t>
                        </w:r>
                        <w:r>
                          <w:rPr>
                            <w:rFonts w:ascii="隶书" w:hAnsi="隶书" w:eastAsia="隶书" w:cs="隶书"/>
                            <w:spacing w:val="-17"/>
                            <w:w w:val="77"/>
                            <w:sz w:val="31"/>
                            <w:szCs w:val="31"/>
                          </w:rPr>
                          <w:t>坝</w:t>
                        </w:r>
                      </w:p>
                    </w:txbxContent>
                  </v:textbox>
                </v:shape>
              </w:pict>
            </w:r>
            <w:r>
              <w:rPr>
                <w:rFonts w:ascii="隶书" w:hAnsi="隶书" w:eastAsia="隶书" w:cs="隶书"/>
                <w:spacing w:val="-4"/>
                <w:sz w:val="19"/>
                <w:szCs w:val="19"/>
              </w:rPr>
              <w:t>姑</w:t>
            </w:r>
            <w:r>
              <w:rPr>
                <w:b/>
                <w:bCs/>
                <w:spacing w:val="-4"/>
                <w:sz w:val="19"/>
                <w:szCs w:val="19"/>
              </w:rPr>
              <w:t>海</w:t>
            </w:r>
          </w:p>
          <w:p w14:paraId="0F410556">
            <w:pPr>
              <w:spacing w:before="23" w:line="224" w:lineRule="auto"/>
              <w:ind w:left="359"/>
              <w:rPr>
                <w:rFonts w:ascii="黑体" w:hAnsi="黑体" w:eastAsia="黑体" w:cs="黑体"/>
                <w:sz w:val="14"/>
                <w:szCs w:val="14"/>
              </w:rPr>
            </w:pPr>
            <w:r>
              <w:rPr>
                <w:rFonts w:ascii="隶书" w:hAnsi="隶书" w:eastAsia="隶书" w:cs="隶书"/>
                <w:spacing w:val="1"/>
                <w:sz w:val="14"/>
                <w:szCs w:val="14"/>
              </w:rPr>
              <w:t>驾</w:t>
            </w:r>
            <w:r>
              <w:rPr>
                <w:rFonts w:ascii="黑体" w:hAnsi="黑体" w:eastAsia="黑体" w:cs="黑体"/>
                <w:spacing w:val="1"/>
                <w:sz w:val="14"/>
                <w:szCs w:val="14"/>
              </w:rPr>
              <w:t>车</w:t>
            </w:r>
          </w:p>
          <w:p w14:paraId="442D4024">
            <w:pPr>
              <w:spacing w:before="165" w:line="221" w:lineRule="auto"/>
              <w:ind w:left="741"/>
              <w:rPr>
                <w:rFonts w:ascii="黑体" w:hAnsi="黑体" w:eastAsia="黑体" w:cs="黑体"/>
                <w:sz w:val="11"/>
                <w:szCs w:val="11"/>
              </w:rPr>
            </w:pPr>
            <w:r>
              <w:rPr>
                <w:rFonts w:ascii="黑体" w:hAnsi="黑体" w:eastAsia="黑体" w:cs="黑体"/>
                <w:b/>
                <w:bCs/>
                <w:spacing w:val="12"/>
                <w:sz w:val="11"/>
                <w:szCs w:val="11"/>
              </w:rPr>
              <w:t>尹武</w:t>
            </w:r>
          </w:p>
          <w:p w14:paraId="5878AE43">
            <w:pPr>
              <w:rPr>
                <w:rFonts w:ascii="Arial"/>
                <w:sz w:val="21"/>
              </w:rPr>
            </w:pPr>
          </w:p>
          <w:p w14:paraId="2ABA7AF9">
            <w:pPr>
              <w:spacing w:before="42" w:line="319" w:lineRule="auto"/>
              <w:ind w:left="109" w:right="237" w:firstLine="359"/>
              <w:rPr>
                <w:rFonts w:ascii="隶书" w:hAnsi="隶书" w:eastAsia="隶书" w:cs="隶书"/>
                <w:sz w:val="19"/>
                <w:szCs w:val="19"/>
              </w:rPr>
            </w:pPr>
            <w:r>
              <w:rPr>
                <w:rFonts w:ascii="黑体" w:hAnsi="黑体" w:eastAsia="黑体" w:cs="黑体"/>
                <w:spacing w:val="-10"/>
                <w:sz w:val="13"/>
                <w:szCs w:val="13"/>
              </w:rPr>
              <w:t>白</w:t>
            </w:r>
            <w:r>
              <w:rPr>
                <w:rFonts w:ascii="黑体" w:hAnsi="黑体" w:eastAsia="黑体" w:cs="黑体"/>
                <w:spacing w:val="-12"/>
                <w:sz w:val="13"/>
                <w:szCs w:val="13"/>
              </w:rPr>
              <w:t xml:space="preserve"> </w:t>
            </w:r>
            <w:r>
              <w:rPr>
                <w:rFonts w:ascii="黑体" w:hAnsi="黑体" w:eastAsia="黑体" w:cs="黑体"/>
                <w:spacing w:val="-10"/>
                <w:sz w:val="13"/>
                <w:szCs w:val="13"/>
              </w:rPr>
              <w:t>石</w:t>
            </w:r>
            <w:r>
              <w:rPr>
                <w:rFonts w:ascii="黑体" w:hAnsi="黑体" w:eastAsia="黑体" w:cs="黑体"/>
                <w:spacing w:val="-12"/>
                <w:sz w:val="13"/>
                <w:szCs w:val="13"/>
              </w:rPr>
              <w:t xml:space="preserve"> </w:t>
            </w:r>
            <w:r>
              <w:rPr>
                <w:rFonts w:ascii="黑体" w:hAnsi="黑体" w:eastAsia="黑体" w:cs="黑体"/>
                <w:spacing w:val="-10"/>
                <w:sz w:val="13"/>
                <w:szCs w:val="13"/>
              </w:rPr>
              <w:t>岩</w:t>
            </w:r>
            <w:r>
              <w:rPr>
                <w:rFonts w:ascii="黑体" w:hAnsi="黑体" w:eastAsia="黑体" w:cs="黑体"/>
                <w:sz w:val="13"/>
                <w:szCs w:val="13"/>
              </w:rPr>
              <w:t xml:space="preserve"> </w:t>
            </w:r>
            <w:r>
              <w:rPr>
                <w:rFonts w:ascii="隶书" w:hAnsi="隶书" w:eastAsia="隶书" w:cs="隶书"/>
                <w:spacing w:val="-8"/>
                <w:w w:val="88"/>
                <w:sz w:val="19"/>
                <w:szCs w:val="19"/>
              </w:rPr>
              <w:t>菜地</w:t>
            </w:r>
          </w:p>
          <w:p w14:paraId="4ACA6266">
            <w:pPr>
              <w:pStyle w:val="6"/>
              <w:spacing w:before="262" w:line="176" w:lineRule="auto"/>
              <w:ind w:left="89"/>
              <w:rPr>
                <w:rFonts w:ascii="黑体" w:hAnsi="黑体" w:eastAsia="黑体" w:cs="黑体"/>
                <w:sz w:val="13"/>
                <w:szCs w:val="13"/>
              </w:rPr>
            </w:pPr>
            <w:r>
              <w:rPr>
                <w:spacing w:val="-16"/>
                <w:position w:val="-2"/>
                <w:sz w:val="20"/>
                <w:szCs w:val="20"/>
              </w:rPr>
              <w:t>寻</w:t>
            </w:r>
            <w:r>
              <w:rPr>
                <w:b/>
                <w:bCs/>
                <w:spacing w:val="-16"/>
                <w:position w:val="-2"/>
                <w:sz w:val="20"/>
                <w:szCs w:val="20"/>
              </w:rPr>
              <w:t>甸</w:t>
            </w:r>
            <w:r>
              <w:rPr>
                <w:spacing w:val="40"/>
                <w:position w:val="-2"/>
                <w:sz w:val="20"/>
                <w:szCs w:val="20"/>
              </w:rPr>
              <w:t xml:space="preserve"> </w:t>
            </w:r>
            <w:r>
              <w:rPr>
                <w:rFonts w:ascii="黑体" w:hAnsi="黑体" w:eastAsia="黑体" w:cs="黑体"/>
                <w:spacing w:val="-4"/>
                <w:position w:val="3"/>
                <w:sz w:val="13"/>
                <w:szCs w:val="13"/>
              </w:rPr>
              <w:t>北</w:t>
            </w:r>
            <w:r>
              <w:rPr>
                <w:rFonts w:ascii="黑体" w:hAnsi="黑体" w:eastAsia="黑体" w:cs="黑体"/>
                <w:spacing w:val="-19"/>
                <w:position w:val="3"/>
                <w:sz w:val="13"/>
                <w:szCs w:val="13"/>
              </w:rPr>
              <w:t xml:space="preserve"> </w:t>
            </w:r>
            <w:r>
              <w:rPr>
                <w:rFonts w:ascii="黑体" w:hAnsi="黑体" w:eastAsia="黑体" w:cs="黑体"/>
                <w:spacing w:val="-4"/>
                <w:position w:val="3"/>
                <w:sz w:val="13"/>
                <w:szCs w:val="13"/>
              </w:rPr>
              <w:t>大</w:t>
            </w:r>
            <w:r>
              <w:rPr>
                <w:rFonts w:ascii="黑体" w:hAnsi="黑体" w:eastAsia="黑体" w:cs="黑体"/>
                <w:spacing w:val="-16"/>
                <w:position w:val="3"/>
                <w:sz w:val="13"/>
                <w:szCs w:val="13"/>
              </w:rPr>
              <w:t xml:space="preserve"> </w:t>
            </w:r>
            <w:r>
              <w:rPr>
                <w:rFonts w:ascii="黑体" w:hAnsi="黑体" w:eastAsia="黑体" w:cs="黑体"/>
                <w:spacing w:val="-4"/>
                <w:position w:val="3"/>
                <w:sz w:val="13"/>
                <w:szCs w:val="13"/>
              </w:rPr>
              <w:t>哲</w:t>
            </w:r>
          </w:p>
        </w:tc>
        <w:tc>
          <w:tcPr>
            <w:tcW w:w="1261" w:type="dxa"/>
            <w:vAlign w:val="top"/>
          </w:tcPr>
          <w:p w14:paraId="4EED4937">
            <w:pPr>
              <w:spacing w:line="221" w:lineRule="auto"/>
              <w:ind w:left="394"/>
              <w:rPr>
                <w:rFonts w:ascii="黑体" w:hAnsi="黑体" w:eastAsia="黑体" w:cs="黑体"/>
                <w:sz w:val="26"/>
                <w:szCs w:val="26"/>
              </w:rPr>
            </w:pPr>
            <w:r>
              <w:rPr>
                <w:rFonts w:ascii="黑体" w:hAnsi="黑体" w:eastAsia="黑体" w:cs="黑体"/>
                <w:sz w:val="26"/>
                <w:szCs w:val="26"/>
              </w:rPr>
              <w:t>海</w:t>
            </w:r>
          </w:p>
          <w:p w14:paraId="5E15EF65">
            <w:pPr>
              <w:pStyle w:val="6"/>
              <w:spacing w:line="222" w:lineRule="auto"/>
              <w:ind w:left="706"/>
              <w:rPr>
                <w:rFonts w:ascii="黑体" w:hAnsi="黑体" w:eastAsia="黑体" w:cs="黑体"/>
                <w:sz w:val="12"/>
                <w:szCs w:val="12"/>
              </w:rPr>
            </w:pPr>
            <w:r>
              <w:rPr>
                <w:b/>
                <w:bCs/>
                <w:spacing w:val="-2"/>
                <w:sz w:val="12"/>
                <w:szCs w:val="12"/>
              </w:rPr>
              <w:t>白</w:t>
            </w:r>
            <w:r>
              <w:rPr>
                <w:spacing w:val="-28"/>
                <w:sz w:val="12"/>
                <w:szCs w:val="12"/>
              </w:rPr>
              <w:t xml:space="preserve"> </w:t>
            </w:r>
            <w:r>
              <w:rPr>
                <w:rFonts w:ascii="黑体" w:hAnsi="黑体" w:eastAsia="黑体" w:cs="黑体"/>
                <w:b/>
                <w:bCs/>
                <w:spacing w:val="-2"/>
                <w:sz w:val="12"/>
                <w:szCs w:val="12"/>
              </w:rPr>
              <w:t>沙坡</w:t>
            </w:r>
          </w:p>
          <w:p w14:paraId="140FC4D0">
            <w:pPr>
              <w:spacing w:before="198" w:line="223" w:lineRule="auto"/>
              <w:ind w:left="44"/>
              <w:rPr>
                <w:rFonts w:ascii="隶书" w:hAnsi="隶书" w:eastAsia="隶书" w:cs="隶书"/>
                <w:sz w:val="13"/>
                <w:szCs w:val="13"/>
              </w:rPr>
            </w:pPr>
            <w:r>
              <w:rPr>
                <w:rFonts w:ascii="黑体" w:hAnsi="黑体" w:eastAsia="黑体" w:cs="黑体"/>
                <w:spacing w:val="3"/>
                <w:sz w:val="13"/>
                <w:szCs w:val="13"/>
              </w:rPr>
              <w:t>菱</w:t>
            </w:r>
            <w:r>
              <w:rPr>
                <w:rFonts w:ascii="隶书" w:hAnsi="隶书" w:eastAsia="隶书" w:cs="隶书"/>
                <w:spacing w:val="3"/>
                <w:sz w:val="13"/>
                <w:szCs w:val="13"/>
              </w:rPr>
              <w:t>角</w:t>
            </w:r>
          </w:p>
          <w:p w14:paraId="5A9010D8">
            <w:pPr>
              <w:spacing w:before="217" w:line="176" w:lineRule="auto"/>
              <w:ind w:left="534"/>
              <w:rPr>
                <w:rFonts w:ascii="隶书" w:hAnsi="隶书" w:eastAsia="隶书" w:cs="隶书"/>
                <w:sz w:val="19"/>
                <w:szCs w:val="19"/>
              </w:rPr>
            </w:pPr>
            <w:r>
              <w:rPr>
                <w:rFonts w:ascii="隶书" w:hAnsi="隶书" w:eastAsia="隶书" w:cs="隶书"/>
                <w:spacing w:val="-7"/>
                <w:w w:val="80"/>
                <w:sz w:val="19"/>
                <w:szCs w:val="19"/>
              </w:rPr>
              <w:t>又赤章</w:t>
            </w:r>
          </w:p>
          <w:p w14:paraId="170F4B8B">
            <w:pPr>
              <w:spacing w:line="353" w:lineRule="auto"/>
              <w:rPr>
                <w:rFonts w:ascii="Arial"/>
                <w:sz w:val="21"/>
              </w:rPr>
            </w:pPr>
          </w:p>
          <w:p w14:paraId="6EF7EA73">
            <w:pPr>
              <w:pStyle w:val="6"/>
              <w:spacing w:before="66" w:line="222" w:lineRule="auto"/>
              <w:ind w:left="454"/>
              <w:rPr>
                <w:sz w:val="20"/>
                <w:szCs w:val="20"/>
              </w:rPr>
            </w:pPr>
            <w:r>
              <w:rPr>
                <w:spacing w:val="14"/>
                <w:sz w:val="20"/>
                <w:szCs w:val="20"/>
              </w:rPr>
              <w:t>沾益</w:t>
            </w:r>
          </w:p>
          <w:p w14:paraId="522BCFEE">
            <w:pPr>
              <w:spacing w:before="101" w:line="131" w:lineRule="exact"/>
              <w:ind w:left="194"/>
              <w:rPr>
                <w:rFonts w:ascii="隶书" w:hAnsi="隶书" w:eastAsia="隶书" w:cs="隶书"/>
                <w:sz w:val="16"/>
                <w:szCs w:val="16"/>
              </w:rPr>
            </w:pPr>
            <w:r>
              <w:rPr>
                <w:rFonts w:ascii="隶书" w:hAnsi="隶书" w:eastAsia="隶书" w:cs="隶书"/>
                <w:spacing w:val="-10"/>
                <w:w w:val="91"/>
                <w:position w:val="-1"/>
                <w:sz w:val="16"/>
                <w:szCs w:val="16"/>
              </w:rPr>
              <w:t>要官屯</w:t>
            </w:r>
          </w:p>
        </w:tc>
        <w:tc>
          <w:tcPr>
            <w:tcW w:w="1234" w:type="dxa"/>
            <w:vAlign w:val="top"/>
          </w:tcPr>
          <w:p w14:paraId="6673DF94">
            <w:pPr>
              <w:spacing w:before="165" w:line="222" w:lineRule="auto"/>
              <w:ind w:left="383"/>
              <w:rPr>
                <w:rFonts w:ascii="黑体" w:hAnsi="黑体" w:eastAsia="黑体" w:cs="黑体"/>
                <w:sz w:val="13"/>
                <w:szCs w:val="13"/>
              </w:rPr>
            </w:pPr>
            <w:r>
              <w:rPr>
                <w:rFonts w:ascii="黑体" w:hAnsi="黑体" w:eastAsia="黑体" w:cs="黑体"/>
                <w:spacing w:val="-4"/>
                <w:sz w:val="13"/>
                <w:szCs w:val="13"/>
              </w:rPr>
              <w:t>永</w:t>
            </w:r>
            <w:r>
              <w:rPr>
                <w:rFonts w:ascii="黑体" w:hAnsi="黑体" w:eastAsia="黑体" w:cs="黑体"/>
                <w:spacing w:val="21"/>
                <w:sz w:val="13"/>
                <w:szCs w:val="13"/>
              </w:rPr>
              <w:t xml:space="preserve"> </w:t>
            </w:r>
            <w:r>
              <w:rPr>
                <w:rFonts w:ascii="黑体" w:hAnsi="黑体" w:eastAsia="黑体" w:cs="黑体"/>
                <w:spacing w:val="-4"/>
                <w:sz w:val="13"/>
                <w:szCs w:val="13"/>
              </w:rPr>
              <w:t>安</w:t>
            </w:r>
          </w:p>
          <w:p w14:paraId="1E45E6D9">
            <w:pPr>
              <w:pStyle w:val="6"/>
              <w:spacing w:before="93" w:line="220" w:lineRule="auto"/>
              <w:ind w:right="5"/>
              <w:jc w:val="right"/>
              <w:rPr>
                <w:sz w:val="17"/>
                <w:szCs w:val="17"/>
              </w:rPr>
            </w:pPr>
            <w:r>
              <w:rPr>
                <w:b/>
                <w:bCs/>
                <w:spacing w:val="-7"/>
                <w:sz w:val="17"/>
                <w:szCs w:val="17"/>
              </w:rPr>
              <w:t>卡</w:t>
            </w:r>
            <w:r>
              <w:rPr>
                <w:spacing w:val="6"/>
                <w:sz w:val="17"/>
                <w:szCs w:val="17"/>
              </w:rPr>
              <w:t xml:space="preserve"> </w:t>
            </w:r>
            <w:r>
              <w:rPr>
                <w:b/>
                <w:bCs/>
                <w:spacing w:val="-7"/>
                <w:sz w:val="17"/>
                <w:szCs w:val="17"/>
              </w:rPr>
              <w:t>居</w:t>
            </w:r>
          </w:p>
          <w:p w14:paraId="08C8B7BF">
            <w:pPr>
              <w:spacing w:before="220" w:line="287" w:lineRule="auto"/>
              <w:ind w:left="163" w:right="83" w:firstLine="482"/>
              <w:rPr>
                <w:rFonts w:ascii="黑体" w:hAnsi="黑体" w:eastAsia="黑体" w:cs="黑体"/>
                <w:sz w:val="13"/>
                <w:szCs w:val="13"/>
              </w:rPr>
            </w:pPr>
            <w:r>
              <w:rPr>
                <w:rFonts w:ascii="楷体" w:hAnsi="楷体" w:eastAsia="楷体" w:cs="楷体"/>
                <w:b/>
                <w:bCs/>
                <w:spacing w:val="-30"/>
                <w:sz w:val="17"/>
                <w:szCs w:val="17"/>
              </w:rPr>
              <w:t>播</w:t>
            </w:r>
            <w:r>
              <w:rPr>
                <w:rFonts w:ascii="楷体" w:hAnsi="楷体" w:eastAsia="楷体" w:cs="楷体"/>
                <w:spacing w:val="-6"/>
                <w:sz w:val="17"/>
                <w:szCs w:val="17"/>
              </w:rPr>
              <w:t xml:space="preserve"> </w:t>
            </w:r>
            <w:r>
              <w:rPr>
                <w:rFonts w:ascii="楷体" w:hAnsi="楷体" w:eastAsia="楷体" w:cs="楷体"/>
                <w:b/>
                <w:bCs/>
                <w:spacing w:val="-30"/>
                <w:sz w:val="17"/>
                <w:szCs w:val="17"/>
              </w:rPr>
              <w:t>乐</w:t>
            </w:r>
            <w:r>
              <w:rPr>
                <w:rFonts w:ascii="楷体" w:hAnsi="楷体" w:eastAsia="楷体" w:cs="楷体"/>
                <w:spacing w:val="-30"/>
                <w:sz w:val="17"/>
                <w:szCs w:val="17"/>
              </w:rPr>
              <w:t>。</w:t>
            </w:r>
            <w:r>
              <w:rPr>
                <w:rFonts w:ascii="楷体" w:hAnsi="楷体" w:eastAsia="楷体" w:cs="楷体"/>
                <w:sz w:val="17"/>
                <w:szCs w:val="17"/>
              </w:rPr>
              <w:t xml:space="preserve"> </w:t>
            </w:r>
            <w:r>
              <w:rPr>
                <w:rFonts w:ascii="黑体" w:hAnsi="黑体" w:eastAsia="黑体" w:cs="黑体"/>
                <w:spacing w:val="-1"/>
                <w:sz w:val="13"/>
                <w:szCs w:val="13"/>
              </w:rPr>
              <w:t>倒石岩</w:t>
            </w:r>
          </w:p>
          <w:p w14:paraId="25FBBECC">
            <w:pPr>
              <w:pStyle w:val="6"/>
              <w:spacing w:before="172" w:line="220" w:lineRule="auto"/>
              <w:ind w:right="26"/>
              <w:jc w:val="right"/>
              <w:rPr>
                <w:sz w:val="22"/>
                <w:szCs w:val="22"/>
              </w:rPr>
            </w:pPr>
            <w:r>
              <w:rPr>
                <w:b/>
                <w:bCs/>
                <w:spacing w:val="-3"/>
                <w:sz w:val="22"/>
                <w:szCs w:val="22"/>
              </w:rPr>
              <w:t>富</w:t>
            </w:r>
          </w:p>
        </w:tc>
        <w:tc>
          <w:tcPr>
            <w:tcW w:w="276" w:type="dxa"/>
            <w:textDirection w:val="tbRlV"/>
            <w:vAlign w:val="top"/>
          </w:tcPr>
          <w:p w14:paraId="4048BB5F">
            <w:pPr>
              <w:pStyle w:val="6"/>
              <w:spacing w:before="49" w:line="207" w:lineRule="auto"/>
              <w:ind w:left="926"/>
              <w:rPr>
                <w:sz w:val="22"/>
                <w:szCs w:val="22"/>
              </w:rPr>
            </w:pPr>
            <w:r>
              <w:rPr>
                <w:rFonts w:ascii="黑体" w:hAnsi="黑体" w:eastAsia="黑体" w:cs="黑体"/>
                <w:spacing w:val="-1"/>
                <w:position w:val="-1"/>
                <w:sz w:val="15"/>
                <w:szCs w:val="15"/>
              </w:rPr>
              <w:t>后</w:t>
            </w:r>
            <w:r>
              <w:rPr>
                <w:rFonts w:ascii="黑体" w:hAnsi="黑体" w:eastAsia="黑体" w:cs="黑体"/>
                <w:spacing w:val="4"/>
                <w:position w:val="-1"/>
                <w:sz w:val="15"/>
                <w:szCs w:val="15"/>
              </w:rPr>
              <w:t xml:space="preserve">     </w:t>
            </w:r>
            <w:r>
              <w:rPr>
                <w:b/>
                <w:bCs/>
                <w:spacing w:val="-1"/>
                <w:sz w:val="22"/>
                <w:szCs w:val="22"/>
              </w:rPr>
              <w:t>源</w:t>
            </w:r>
          </w:p>
        </w:tc>
        <w:tc>
          <w:tcPr>
            <w:tcW w:w="1377" w:type="dxa"/>
            <w:vAlign w:val="top"/>
          </w:tcPr>
          <w:p w14:paraId="1B91FA96">
            <w:pPr>
              <w:spacing w:before="46" w:line="224" w:lineRule="auto"/>
              <w:jc w:val="right"/>
              <w:rPr>
                <w:rFonts w:ascii="黑体" w:hAnsi="黑体" w:eastAsia="黑体" w:cs="黑体"/>
                <w:sz w:val="15"/>
                <w:szCs w:val="15"/>
              </w:rPr>
            </w:pPr>
            <w:r>
              <w:pict>
                <v:shape id="_x0000_s1062" o:spid="_x0000_s1062" o:spt="202" type="#_x0000_t202" style="position:absolute;left:0pt;margin-left:2.25pt;margin-top:5.65pt;height:9.75pt;width:14.8pt;z-index:251827200;mso-width-relative:page;mso-height-relative:page;" filled="f" stroked="f" coordsize="21600,21600">
                  <v:path/>
                  <v:fill on="f" focussize="0,0"/>
                  <v:stroke on="f"/>
                  <v:imagedata o:title=""/>
                  <o:lock v:ext="edit" aspectratio="f"/>
                  <v:textbox inset="0mm,0mm,0mm,0mm">
                    <w:txbxContent>
                      <w:p w14:paraId="7B7E26B2">
                        <w:pPr>
                          <w:pStyle w:val="6"/>
                          <w:spacing w:before="20" w:line="220" w:lineRule="auto"/>
                          <w:ind w:left="20"/>
                          <w:rPr>
                            <w:sz w:val="13"/>
                            <w:szCs w:val="13"/>
                          </w:rPr>
                        </w:pPr>
                        <w:r>
                          <w:rPr>
                            <w:b/>
                            <w:bCs/>
                            <w:spacing w:val="-3"/>
                            <w:sz w:val="13"/>
                            <w:szCs w:val="13"/>
                          </w:rPr>
                          <w:t>鸡场</w:t>
                        </w:r>
                      </w:p>
                    </w:txbxContent>
                  </v:textbox>
                </v:shape>
              </w:pict>
            </w:r>
            <w:r>
              <w:rPr>
                <w:rFonts w:ascii="仿宋" w:hAnsi="仿宋" w:eastAsia="仿宋" w:cs="仿宋"/>
                <w:spacing w:val="-21"/>
                <w:w w:val="96"/>
                <w:sz w:val="15"/>
                <w:szCs w:val="15"/>
              </w:rPr>
              <w:t>土</w:t>
            </w:r>
            <w:r>
              <w:rPr>
                <w:rFonts w:ascii="黑体" w:hAnsi="黑体" w:eastAsia="黑体" w:cs="黑体"/>
                <w:spacing w:val="-5"/>
                <w:w w:val="96"/>
                <w:sz w:val="15"/>
                <w:szCs w:val="15"/>
              </w:rPr>
              <w:t>城</w:t>
            </w:r>
          </w:p>
          <w:p w14:paraId="340C06CC">
            <w:pPr>
              <w:spacing w:line="262" w:lineRule="auto"/>
              <w:rPr>
                <w:rFonts w:ascii="Arial"/>
                <w:sz w:val="21"/>
              </w:rPr>
            </w:pPr>
          </w:p>
          <w:p w14:paraId="1019316E">
            <w:pPr>
              <w:pStyle w:val="6"/>
              <w:spacing w:before="42" w:line="220" w:lineRule="auto"/>
              <w:ind w:left="195"/>
              <w:rPr>
                <w:sz w:val="13"/>
                <w:szCs w:val="13"/>
              </w:rPr>
            </w:pPr>
            <w:r>
              <w:rPr>
                <w:b/>
                <w:bCs/>
                <w:spacing w:val="-3"/>
                <w:sz w:val="13"/>
                <w:szCs w:val="13"/>
              </w:rPr>
              <w:t>打磨沟</w:t>
            </w:r>
            <w:r>
              <w:rPr>
                <w:spacing w:val="-3"/>
                <w:sz w:val="13"/>
                <w:szCs w:val="13"/>
              </w:rPr>
              <w:t>6</w:t>
            </w:r>
          </w:p>
          <w:p w14:paraId="21FDAE6F">
            <w:pPr>
              <w:spacing w:before="237" w:line="223" w:lineRule="auto"/>
              <w:ind w:left="51"/>
              <w:rPr>
                <w:rFonts w:ascii="黑体" w:hAnsi="黑体" w:eastAsia="黑体" w:cs="黑体"/>
                <w:sz w:val="15"/>
                <w:szCs w:val="15"/>
              </w:rPr>
            </w:pPr>
            <w:r>
              <w:rPr>
                <w:rFonts w:ascii="黑体" w:hAnsi="黑体" w:eastAsia="黑体" w:cs="黑体"/>
                <w:sz w:val="15"/>
                <w:szCs w:val="15"/>
              </w:rPr>
              <w:t>所</w:t>
            </w:r>
          </w:p>
          <w:p w14:paraId="3FFE9613">
            <w:pPr>
              <w:spacing w:line="252" w:lineRule="auto"/>
              <w:rPr>
                <w:rFonts w:ascii="Arial"/>
                <w:sz w:val="21"/>
              </w:rPr>
            </w:pPr>
          </w:p>
          <w:p w14:paraId="225B7384">
            <w:pPr>
              <w:spacing w:before="43" w:line="222" w:lineRule="auto"/>
              <w:ind w:left="764"/>
              <w:rPr>
                <w:rFonts w:ascii="黑体" w:hAnsi="黑体" w:eastAsia="黑体" w:cs="黑体"/>
                <w:sz w:val="13"/>
                <w:szCs w:val="13"/>
              </w:rPr>
            </w:pPr>
            <w:r>
              <w:rPr>
                <w:rFonts w:ascii="黑体" w:hAnsi="黑体" w:eastAsia="黑体" w:cs="黑体"/>
                <w:spacing w:val="-6"/>
                <w:sz w:val="13"/>
                <w:szCs w:val="13"/>
              </w:rPr>
              <w:t>亦 资 孔</w:t>
            </w:r>
          </w:p>
          <w:p w14:paraId="1015A25D">
            <w:pPr>
              <w:spacing w:before="171" w:line="222" w:lineRule="auto"/>
              <w:ind w:left="153"/>
              <w:rPr>
                <w:rFonts w:ascii="黑体" w:hAnsi="黑体" w:eastAsia="黑体" w:cs="黑体"/>
                <w:sz w:val="13"/>
                <w:szCs w:val="13"/>
              </w:rPr>
            </w:pPr>
            <w:r>
              <w:rPr>
                <w:rFonts w:ascii="黑体" w:hAnsi="黑体" w:eastAsia="黑体" w:cs="黑体"/>
                <w:spacing w:val="6"/>
                <w:sz w:val="13"/>
                <w:szCs w:val="13"/>
              </w:rPr>
              <w:t>9</w:t>
            </w:r>
            <w:r>
              <w:rPr>
                <w:rFonts w:ascii="黑体" w:hAnsi="黑体" w:eastAsia="黑体" w:cs="黑体"/>
                <w:spacing w:val="24"/>
                <w:w w:val="101"/>
                <w:sz w:val="13"/>
                <w:szCs w:val="13"/>
              </w:rPr>
              <w:t xml:space="preserve">  </w:t>
            </w:r>
            <w:r>
              <w:rPr>
                <w:rFonts w:ascii="黑体" w:hAnsi="黑体" w:eastAsia="黑体" w:cs="黑体"/>
                <w:b/>
                <w:bCs/>
                <w:spacing w:val="6"/>
                <w:sz w:val="13"/>
                <w:szCs w:val="13"/>
              </w:rPr>
              <w:t>境关</w:t>
            </w:r>
          </w:p>
          <w:p w14:paraId="25278202">
            <w:pPr>
              <w:spacing w:before="15" w:line="224" w:lineRule="auto"/>
              <w:ind w:left="725"/>
              <w:rPr>
                <w:rFonts w:ascii="黑体" w:hAnsi="黑体" w:eastAsia="黑体" w:cs="黑体"/>
                <w:sz w:val="13"/>
                <w:szCs w:val="13"/>
              </w:rPr>
            </w:pPr>
            <w:r>
              <w:rPr>
                <w:rFonts w:ascii="黑体" w:hAnsi="黑体" w:eastAsia="黑体" w:cs="黑体"/>
                <w:b/>
                <w:bCs/>
                <w:spacing w:val="6"/>
                <w:sz w:val="13"/>
                <w:szCs w:val="13"/>
              </w:rPr>
              <w:t>挑担</w:t>
            </w:r>
            <w:r>
              <w:rPr>
                <w:rFonts w:ascii="黑体" w:hAnsi="黑体" w:eastAsia="黑体" w:cs="黑体"/>
                <w:spacing w:val="6"/>
                <w:sz w:val="13"/>
                <w:szCs w:val="13"/>
              </w:rPr>
              <w:t>(</w:t>
            </w:r>
          </w:p>
        </w:tc>
      </w:tr>
    </w:tbl>
    <w:p w14:paraId="38E460A7">
      <w:pPr>
        <w:spacing w:before="19" w:line="227" w:lineRule="auto"/>
        <w:ind w:left="452"/>
        <w:rPr>
          <w:rFonts w:ascii="宋体" w:hAnsi="宋体" w:eastAsia="宋体" w:cs="宋体"/>
          <w:sz w:val="15"/>
          <w:szCs w:val="15"/>
        </w:rPr>
      </w:pPr>
      <w:r>
        <w:rPr>
          <w:rFonts w:ascii="宋体" w:hAnsi="宋体" w:eastAsia="宋体" w:cs="宋体"/>
          <w:b/>
          <w:bCs/>
          <w:spacing w:val="-3"/>
          <w:sz w:val="16"/>
          <w:szCs w:val="16"/>
        </w:rPr>
        <w:t>马过河</w:t>
      </w:r>
      <w:r>
        <w:rPr>
          <w:rFonts w:ascii="宋体" w:hAnsi="宋体" w:eastAsia="宋体" w:cs="宋体"/>
          <w:spacing w:val="-3"/>
          <w:sz w:val="16"/>
          <w:szCs w:val="16"/>
        </w:rPr>
        <w:t xml:space="preserve">                 </w:t>
      </w:r>
      <w:r>
        <w:rPr>
          <w:rFonts w:ascii="宋体" w:hAnsi="宋体" w:eastAsia="宋体" w:cs="宋体"/>
          <w:b/>
          <w:bCs/>
          <w:spacing w:val="-3"/>
          <w:sz w:val="23"/>
          <w:szCs w:val="23"/>
        </w:rPr>
        <w:t>曲靖市</w:t>
      </w:r>
      <w:r>
        <w:rPr>
          <w:rFonts w:ascii="宋体" w:hAnsi="宋体" w:eastAsia="宋体" w:cs="宋体"/>
          <w:spacing w:val="100"/>
          <w:sz w:val="23"/>
          <w:szCs w:val="23"/>
        </w:rPr>
        <w:t xml:space="preserve"> </w:t>
      </w:r>
      <w:r>
        <w:rPr>
          <w:rFonts w:ascii="宋体" w:hAnsi="宋体" w:eastAsia="宋体" w:cs="宋体"/>
          <w:b/>
          <w:bCs/>
          <w:spacing w:val="-3"/>
          <w:position w:val="-4"/>
          <w:sz w:val="15"/>
          <w:szCs w:val="15"/>
        </w:rPr>
        <w:t>田冲</w:t>
      </w:r>
    </w:p>
    <w:p w14:paraId="11CB7010">
      <w:pPr>
        <w:spacing w:before="44" w:line="192" w:lineRule="auto"/>
        <w:ind w:left="1409"/>
        <w:rPr>
          <w:rFonts w:ascii="宋体" w:hAnsi="宋体" w:eastAsia="宋体" w:cs="宋体"/>
          <w:sz w:val="20"/>
          <w:szCs w:val="20"/>
        </w:rPr>
      </w:pPr>
      <w:r>
        <w:pict>
          <v:shape id="_x0000_s1063" o:spid="_x0000_s1063" o:spt="202" type="#_x0000_t202" style="position:absolute;left:0pt;margin-left:238.95pt;margin-top:6.45pt;height:15.55pt;width:21.9pt;z-index:251801600;mso-width-relative:page;mso-height-relative:page;" filled="f" stroked="f" coordsize="21600,21600">
            <v:path/>
            <v:fill on="f" focussize="0,0"/>
            <v:stroke on="f"/>
            <v:imagedata o:title=""/>
            <o:lock v:ext="edit" aspectratio="f"/>
            <v:textbox inset="0mm,0mm,0mm,0mm">
              <w:txbxContent>
                <w:p w14:paraId="7A2F7860">
                  <w:pPr>
                    <w:spacing w:before="19" w:line="227" w:lineRule="auto"/>
                    <w:jc w:val="right"/>
                    <w:rPr>
                      <w:rFonts w:ascii="黑体" w:hAnsi="黑体" w:eastAsia="黑体" w:cs="黑体"/>
                      <w:sz w:val="22"/>
                      <w:szCs w:val="22"/>
                    </w:rPr>
                  </w:pPr>
                  <w:r>
                    <w:rPr>
                      <w:rFonts w:ascii="隶书" w:hAnsi="隶书" w:eastAsia="隶书" w:cs="隶书"/>
                      <w:spacing w:val="-18"/>
                      <w:w w:val="81"/>
                      <w:sz w:val="22"/>
                      <w:szCs w:val="22"/>
                    </w:rPr>
                    <w:t>9富</w:t>
                  </w:r>
                  <w:r>
                    <w:rPr>
                      <w:rFonts w:ascii="黑体" w:hAnsi="黑体" w:eastAsia="黑体" w:cs="黑体"/>
                      <w:spacing w:val="-12"/>
                      <w:w w:val="81"/>
                      <w:sz w:val="22"/>
                      <w:szCs w:val="22"/>
                    </w:rPr>
                    <w:t>村</w:t>
                  </w:r>
                </w:p>
              </w:txbxContent>
            </v:textbox>
          </v:shape>
        </w:pict>
      </w:r>
      <w:r>
        <w:pict>
          <v:shape id="_x0000_s1064" o:spid="_x0000_s1064" o:spt="202" type="#_x0000_t202" style="position:absolute;left:0pt;margin-left:98.05pt;margin-top:7.9pt;height:8.6pt;width:20.65pt;z-index:251814912;mso-width-relative:page;mso-height-relative:page;" filled="f" stroked="f" coordsize="21600,21600">
            <v:path/>
            <v:fill on="f" focussize="0,0"/>
            <v:stroke on="f"/>
            <v:imagedata o:title=""/>
            <o:lock v:ext="edit" aspectratio="f"/>
            <v:textbox inset="0mm,0mm,0mm,0mm">
              <w:txbxContent>
                <w:p w14:paraId="0CEA9721">
                  <w:pPr>
                    <w:spacing w:before="20" w:line="220" w:lineRule="auto"/>
                    <w:ind w:left="20"/>
                    <w:rPr>
                      <w:rFonts w:ascii="宋体" w:hAnsi="宋体" w:eastAsia="宋体" w:cs="宋体"/>
                      <w:sz w:val="11"/>
                      <w:szCs w:val="11"/>
                    </w:rPr>
                  </w:pPr>
                  <w:r>
                    <w:rPr>
                      <w:rFonts w:ascii="宋体" w:hAnsi="宋体" w:eastAsia="宋体" w:cs="宋体"/>
                      <w:b/>
                      <w:bCs/>
                      <w:spacing w:val="-2"/>
                      <w:sz w:val="11"/>
                      <w:szCs w:val="11"/>
                    </w:rPr>
                    <w:t>温</w:t>
                  </w:r>
                  <w:r>
                    <w:rPr>
                      <w:rFonts w:ascii="宋体" w:hAnsi="宋体" w:eastAsia="宋体" w:cs="宋体"/>
                      <w:spacing w:val="-2"/>
                      <w:sz w:val="11"/>
                      <w:szCs w:val="11"/>
                    </w:rPr>
                    <w:t xml:space="preserve">   </w:t>
                  </w:r>
                  <w:r>
                    <w:rPr>
                      <w:rFonts w:ascii="宋体" w:hAnsi="宋体" w:eastAsia="宋体" w:cs="宋体"/>
                      <w:b/>
                      <w:bCs/>
                      <w:spacing w:val="-2"/>
                      <w:sz w:val="11"/>
                      <w:szCs w:val="11"/>
                    </w:rPr>
                    <w:t>泉</w:t>
                  </w:r>
                </w:p>
              </w:txbxContent>
            </v:textbox>
          </v:shape>
        </w:pict>
      </w:r>
      <w:r>
        <w:rPr>
          <w:rFonts w:ascii="宋体" w:hAnsi="宋体" w:eastAsia="宋体" w:cs="宋体"/>
          <w:spacing w:val="9"/>
          <w:sz w:val="20"/>
          <w:szCs w:val="20"/>
        </w:rPr>
        <w:t>马龙</w:t>
      </w:r>
    </w:p>
    <w:p w14:paraId="4279802B">
      <w:pPr>
        <w:spacing w:before="1" w:line="220" w:lineRule="auto"/>
        <w:ind w:left="2639" w:right="2298" w:firstLine="70"/>
        <w:rPr>
          <w:rFonts w:ascii="黑体" w:hAnsi="黑体" w:eastAsia="黑体" w:cs="黑体"/>
          <w:sz w:val="17"/>
          <w:szCs w:val="17"/>
        </w:rPr>
      </w:pPr>
      <w:r>
        <w:pict>
          <v:shape id="_x0000_s1065" o:spid="_x0000_s1065" o:spt="202" type="#_x0000_t202" style="position:absolute;left:0pt;margin-left:-1pt;margin-top:4.2pt;height:22.65pt;width:47.2pt;z-index:251795456;mso-width-relative:page;mso-height-relative:page;" filled="f" stroked="f" coordsize="21600,21600">
            <v:path/>
            <v:fill on="f" focussize="0,0"/>
            <v:stroke on="f"/>
            <v:imagedata o:title=""/>
            <o:lock v:ext="edit" aspectratio="f"/>
            <v:textbox inset="0mm,0mm,0mm,0mm">
              <w:txbxContent>
                <w:p w14:paraId="6321A9AA">
                  <w:pPr>
                    <w:spacing w:before="19" w:line="199" w:lineRule="auto"/>
                    <w:ind w:left="20" w:right="20" w:firstLine="609"/>
                    <w:rPr>
                      <w:rFonts w:ascii="黑体" w:hAnsi="黑体" w:eastAsia="黑体" w:cs="黑体"/>
                      <w:sz w:val="16"/>
                      <w:szCs w:val="16"/>
                    </w:rPr>
                  </w:pPr>
                  <w:r>
                    <w:rPr>
                      <w:rFonts w:ascii="隶书" w:hAnsi="隶书" w:eastAsia="隶书" w:cs="隶书"/>
                      <w:spacing w:val="-24"/>
                      <w:w w:val="77"/>
                      <w:sz w:val="22"/>
                      <w:szCs w:val="22"/>
                    </w:rPr>
                    <w:t>旧县</w:t>
                  </w:r>
                  <w:r>
                    <w:rPr>
                      <w:rFonts w:ascii="隶书" w:hAnsi="隶书" w:eastAsia="隶书" w:cs="隶书"/>
                      <w:spacing w:val="1"/>
                      <w:sz w:val="22"/>
                      <w:szCs w:val="22"/>
                    </w:rPr>
                    <w:t xml:space="preserve"> </w:t>
                  </w:r>
                  <w:r>
                    <w:rPr>
                      <w:rFonts w:ascii="华文行楷" w:hAnsi="华文行楷" w:eastAsia="华文行楷" w:cs="华文行楷"/>
                      <w:spacing w:val="5"/>
                      <w:sz w:val="16"/>
                      <w:szCs w:val="16"/>
                    </w:rPr>
                    <w:t>小</w:t>
                  </w:r>
                  <w:r>
                    <w:rPr>
                      <w:rFonts w:ascii="黑体" w:hAnsi="黑体" w:eastAsia="黑体" w:cs="黑体"/>
                      <w:spacing w:val="5"/>
                      <w:sz w:val="16"/>
                      <w:szCs w:val="16"/>
                    </w:rPr>
                    <w:t>新街</w:t>
                  </w:r>
                </w:p>
              </w:txbxContent>
            </v:textbox>
          </v:shape>
        </w:pict>
      </w:r>
      <w:r>
        <w:pict>
          <v:shape id="_x0000_s1066" o:spid="_x0000_s1066" o:spt="202" type="#_x0000_t202" style="position:absolute;left:0pt;margin-left:69.45pt;margin-top:6.1pt;height:11.1pt;width:14.9pt;z-index:251816960;mso-width-relative:page;mso-height-relative:page;" filled="f" stroked="f" coordsize="21600,21600">
            <v:path/>
            <v:fill on="f" focussize="0,0"/>
            <v:stroke on="f"/>
            <v:imagedata o:title=""/>
            <o:lock v:ext="edit" aspectratio="f"/>
            <v:textbox inset="0mm,0mm,0mm,0mm">
              <w:txbxContent>
                <w:p w14:paraId="46F0F3F8">
                  <w:pPr>
                    <w:spacing w:before="20" w:line="223" w:lineRule="auto"/>
                    <w:jc w:val="right"/>
                    <w:rPr>
                      <w:rFonts w:ascii="黑体" w:hAnsi="黑体" w:eastAsia="黑体" w:cs="黑体"/>
                      <w:sz w:val="15"/>
                      <w:szCs w:val="15"/>
                    </w:rPr>
                  </w:pPr>
                  <w:r>
                    <w:rPr>
                      <w:rFonts w:ascii="黑体" w:hAnsi="黑体" w:eastAsia="黑体" w:cs="黑体"/>
                      <w:spacing w:val="-21"/>
                      <w:w w:val="95"/>
                      <w:sz w:val="15"/>
                      <w:szCs w:val="15"/>
                    </w:rPr>
                    <w:t>上</w:t>
                  </w:r>
                  <w:r>
                    <w:rPr>
                      <w:rFonts w:ascii="黑体" w:hAnsi="黑体" w:eastAsia="黑体" w:cs="黑体"/>
                      <w:spacing w:val="-9"/>
                      <w:w w:val="95"/>
                      <w:sz w:val="15"/>
                      <w:szCs w:val="15"/>
                    </w:rPr>
                    <w:t>营</w:t>
                  </w:r>
                </w:p>
              </w:txbxContent>
            </v:textbox>
          </v:shape>
        </w:pict>
      </w:r>
      <w:r>
        <w:pict>
          <v:shape id="_x0000_s1067" o:spid="_x0000_s1067" o:spt="202" type="#_x0000_t202" style="position:absolute;left:0pt;margin-left:187.1pt;margin-top:9.45pt;height:12.1pt;width:17.6pt;z-index:251807744;mso-width-relative:page;mso-height-relative:page;" filled="f" stroked="f" coordsize="21600,21600">
            <v:path/>
            <v:fill on="f" focussize="0,0"/>
            <v:stroke on="f"/>
            <v:imagedata o:title=""/>
            <o:lock v:ext="edit" aspectratio="f"/>
            <v:textbox inset="0mm,0mm,0mm,0mm">
              <w:txbxContent>
                <w:p w14:paraId="3AC69EE0">
                  <w:pPr>
                    <w:spacing w:before="20" w:line="219" w:lineRule="auto"/>
                    <w:ind w:left="20"/>
                    <w:rPr>
                      <w:rFonts w:ascii="宋体" w:hAnsi="宋体" w:eastAsia="宋体" w:cs="宋体"/>
                      <w:sz w:val="17"/>
                      <w:szCs w:val="17"/>
                    </w:rPr>
                  </w:pPr>
                  <w:r>
                    <w:rPr>
                      <w:rFonts w:ascii="宋体" w:hAnsi="宋体" w:eastAsia="宋体" w:cs="宋体"/>
                      <w:b/>
                      <w:bCs/>
                      <w:spacing w:val="-9"/>
                      <w:sz w:val="17"/>
                      <w:szCs w:val="17"/>
                    </w:rPr>
                    <w:t>桃逐</w:t>
                  </w:r>
                </w:p>
              </w:txbxContent>
            </v:textbox>
          </v:shape>
        </w:pict>
      </w:r>
      <w:r>
        <w:rPr>
          <w:rFonts w:ascii="黑体" w:hAnsi="黑体" w:eastAsia="黑体" w:cs="黑体"/>
          <w:spacing w:val="-5"/>
          <w:sz w:val="15"/>
          <w:szCs w:val="15"/>
        </w:rPr>
        <w:t>茨营</w:t>
      </w:r>
      <w:r>
        <w:rPr>
          <w:rFonts w:ascii="黑体" w:hAnsi="黑体" w:eastAsia="黑体" w:cs="黑体"/>
          <w:sz w:val="15"/>
          <w:szCs w:val="15"/>
        </w:rPr>
        <w:t xml:space="preserve">  </w:t>
      </w:r>
      <w:r>
        <w:rPr>
          <w:rFonts w:ascii="Times New Roman" w:hAnsi="Times New Roman" w:eastAsia="Times New Roman" w:cs="Times New Roman"/>
          <w:spacing w:val="-9"/>
          <w:w w:val="86"/>
          <w:sz w:val="17"/>
          <w:szCs w:val="17"/>
        </w:rPr>
        <w:t>o</w:t>
      </w:r>
      <w:r>
        <w:rPr>
          <w:rFonts w:ascii="Times New Roman" w:hAnsi="Times New Roman" w:eastAsia="Times New Roman" w:cs="Times New Roman"/>
          <w:spacing w:val="40"/>
          <w:sz w:val="17"/>
          <w:szCs w:val="17"/>
        </w:rPr>
        <w:t xml:space="preserve"> </w:t>
      </w:r>
      <w:r>
        <w:rPr>
          <w:rFonts w:ascii="宋体" w:hAnsi="宋体" w:eastAsia="宋体" w:cs="宋体"/>
          <w:b/>
          <w:bCs/>
          <w:spacing w:val="-9"/>
          <w:w w:val="86"/>
          <w:sz w:val="17"/>
          <w:szCs w:val="17"/>
        </w:rPr>
        <w:t>海</w:t>
      </w:r>
      <w:r>
        <w:rPr>
          <w:rFonts w:ascii="黑体" w:hAnsi="黑体" w:eastAsia="黑体" w:cs="黑体"/>
          <w:b/>
          <w:bCs/>
          <w:spacing w:val="-9"/>
          <w:w w:val="86"/>
          <w:sz w:val="17"/>
          <w:szCs w:val="17"/>
        </w:rPr>
        <w:t>寨</w:t>
      </w:r>
    </w:p>
    <w:p w14:paraId="3A3C5142">
      <w:pPr>
        <w:spacing w:before="33" w:line="200" w:lineRule="auto"/>
        <w:ind w:left="1102"/>
        <w:rPr>
          <w:rFonts w:ascii="黑体" w:hAnsi="黑体" w:eastAsia="黑体" w:cs="黑体"/>
          <w:sz w:val="13"/>
          <w:szCs w:val="13"/>
        </w:rPr>
      </w:pPr>
      <w:r>
        <w:pict>
          <v:shape id="_x0000_s1068" o:spid="_x0000_s1068" o:spt="202" type="#_x0000_t202" style="position:absolute;left:0pt;margin-left:94.25pt;margin-top:0.6pt;height:9.8pt;width:17pt;z-index:251815936;mso-width-relative:page;mso-height-relative:page;" filled="f" stroked="f" coordsize="21600,21600">
            <v:path/>
            <v:fill on="f" focussize="0,0"/>
            <v:stroke on="f"/>
            <v:imagedata o:title=""/>
            <o:lock v:ext="edit" aspectratio="f"/>
            <v:textbox inset="0mm,0mm,0mm,0mm">
              <w:txbxContent>
                <w:p w14:paraId="263C25DE">
                  <w:pPr>
                    <w:spacing w:before="19" w:line="221" w:lineRule="auto"/>
                    <w:ind w:left="20"/>
                    <w:rPr>
                      <w:rFonts w:ascii="黑体" w:hAnsi="黑体" w:eastAsia="黑体" w:cs="黑体"/>
                      <w:sz w:val="13"/>
                      <w:szCs w:val="13"/>
                    </w:rPr>
                  </w:pPr>
                  <w:r>
                    <w:rPr>
                      <w:rFonts w:ascii="黑体" w:hAnsi="黑体" w:eastAsia="黑体" w:cs="黑体"/>
                      <w:b/>
                      <w:bCs/>
                      <w:spacing w:val="-4"/>
                      <w:sz w:val="13"/>
                      <w:szCs w:val="13"/>
                    </w:rPr>
                    <w:t>泥</w:t>
                  </w:r>
                  <w:r>
                    <w:rPr>
                      <w:rFonts w:ascii="黑体" w:hAnsi="黑体" w:eastAsia="黑体" w:cs="黑体"/>
                      <w:spacing w:val="-16"/>
                      <w:sz w:val="13"/>
                      <w:szCs w:val="13"/>
                    </w:rPr>
                    <w:t xml:space="preserve"> </w:t>
                  </w:r>
                  <w:r>
                    <w:rPr>
                      <w:rFonts w:ascii="黑体" w:hAnsi="黑体" w:eastAsia="黑体" w:cs="黑体"/>
                      <w:b/>
                      <w:bCs/>
                      <w:spacing w:val="-4"/>
                      <w:sz w:val="13"/>
                      <w:szCs w:val="13"/>
                    </w:rPr>
                    <w:t>堡</w:t>
                  </w:r>
                </w:p>
              </w:txbxContent>
            </v:textbox>
          </v:shape>
        </w:pict>
      </w:r>
      <w:r>
        <w:rPr>
          <w:rFonts w:ascii="宋体" w:hAnsi="宋体" w:eastAsia="宋体" w:cs="宋体"/>
          <w:b/>
          <w:bCs/>
          <w:spacing w:val="-20"/>
          <w:position w:val="-1"/>
          <w:sz w:val="18"/>
          <w:szCs w:val="18"/>
        </w:rPr>
        <w:t>纳</w:t>
      </w:r>
      <w:r>
        <w:rPr>
          <w:rFonts w:ascii="华文行楷" w:hAnsi="华文行楷" w:eastAsia="华文行楷" w:cs="华文行楷"/>
          <w:spacing w:val="-20"/>
          <w:position w:val="-1"/>
          <w:sz w:val="18"/>
          <w:szCs w:val="18"/>
        </w:rPr>
        <w:t>章</w:t>
      </w:r>
      <w:r>
        <w:rPr>
          <w:rFonts w:ascii="华文行楷" w:hAnsi="华文行楷" w:eastAsia="华文行楷" w:cs="华文行楷"/>
          <w:spacing w:val="2"/>
          <w:position w:val="-1"/>
          <w:sz w:val="18"/>
          <w:szCs w:val="18"/>
        </w:rPr>
        <w:t xml:space="preserve">       </w:t>
      </w:r>
      <w:r>
        <w:rPr>
          <w:rFonts w:ascii="黑体" w:hAnsi="黑体" w:eastAsia="黑体" w:cs="黑体"/>
          <w:b/>
          <w:bCs/>
          <w:spacing w:val="-20"/>
          <w:position w:val="4"/>
          <w:sz w:val="13"/>
          <w:szCs w:val="13"/>
        </w:rPr>
        <w:t>黄</w:t>
      </w:r>
    </w:p>
    <w:p w14:paraId="39CD9213">
      <w:pPr>
        <w:spacing w:before="1" w:line="220" w:lineRule="auto"/>
        <w:ind w:left="2609"/>
        <w:rPr>
          <w:rFonts w:ascii="黑体" w:hAnsi="黑体" w:eastAsia="黑体" w:cs="黑体"/>
          <w:sz w:val="12"/>
          <w:szCs w:val="12"/>
        </w:rPr>
      </w:pPr>
      <w:r>
        <w:pict>
          <v:shape id="_x0000_s1069" o:spid="_x0000_s1069" o:spt="202" type="#_x0000_t202" style="position:absolute;left:0pt;margin-left:181.45pt;margin-top:-0.4pt;height:10.35pt;width:17.85pt;z-index:251811840;mso-width-relative:page;mso-height-relative:page;" filled="f" stroked="f" coordsize="21600,21600">
            <v:path/>
            <v:fill on="f" focussize="0,0"/>
            <v:stroke on="f"/>
            <v:imagedata o:title=""/>
            <o:lock v:ext="edit" aspectratio="f"/>
            <v:textbox inset="0mm,0mm,0mm,0mm">
              <w:txbxContent>
                <w:p w14:paraId="24865BDE">
                  <w:pPr>
                    <w:spacing w:before="20" w:line="220" w:lineRule="auto"/>
                    <w:ind w:left="20"/>
                    <w:rPr>
                      <w:rFonts w:ascii="黑体" w:hAnsi="黑体" w:eastAsia="黑体" w:cs="黑体"/>
                      <w:sz w:val="14"/>
                      <w:szCs w:val="14"/>
                    </w:rPr>
                  </w:pPr>
                  <w:r>
                    <w:rPr>
                      <w:rFonts w:ascii="黑体" w:hAnsi="黑体" w:eastAsia="黑体" w:cs="黑体"/>
                      <w:spacing w:val="-4"/>
                      <w:sz w:val="14"/>
                      <w:szCs w:val="14"/>
                    </w:rPr>
                    <w:t>戈</w:t>
                  </w:r>
                  <w:r>
                    <w:rPr>
                      <w:rFonts w:ascii="黑体" w:hAnsi="黑体" w:eastAsia="黑体" w:cs="黑体"/>
                      <w:spacing w:val="-21"/>
                      <w:sz w:val="14"/>
                      <w:szCs w:val="14"/>
                    </w:rPr>
                    <w:t xml:space="preserve"> </w:t>
                  </w:r>
                  <w:r>
                    <w:rPr>
                      <w:rFonts w:ascii="黑体" w:hAnsi="黑体" w:eastAsia="黑体" w:cs="黑体"/>
                      <w:spacing w:val="-4"/>
                      <w:sz w:val="14"/>
                      <w:szCs w:val="14"/>
                    </w:rPr>
                    <w:t>背</w:t>
                  </w:r>
                </w:p>
              </w:txbxContent>
            </v:textbox>
          </v:shape>
        </w:pict>
      </w:r>
      <w:r>
        <w:pict>
          <v:shape id="_x0000_s1070" o:spid="_x0000_s1070" o:spt="202" type="#_x0000_t202" style="position:absolute;left:0pt;margin-left:43.5pt;margin-top:-0.3pt;height:10.45pt;width:17.45pt;z-index:251812864;mso-width-relative:page;mso-height-relative:page;" filled="f" stroked="f" coordsize="21600,21600">
            <v:path/>
            <v:fill on="f" focussize="0,0"/>
            <v:stroke on="f"/>
            <v:imagedata o:title=""/>
            <o:lock v:ext="edit" aspectratio="f"/>
            <v:textbox inset="0mm,0mm,0mm,0mm">
              <w:txbxContent>
                <w:p w14:paraId="02D8D714">
                  <w:pPr>
                    <w:spacing w:before="20" w:line="222" w:lineRule="auto"/>
                    <w:ind w:left="20"/>
                    <w:rPr>
                      <w:rFonts w:ascii="黑体" w:hAnsi="黑体" w:eastAsia="黑体" w:cs="黑体"/>
                      <w:sz w:val="14"/>
                      <w:szCs w:val="14"/>
                    </w:rPr>
                  </w:pPr>
                  <w:r>
                    <w:rPr>
                      <w:rFonts w:ascii="黑体" w:hAnsi="黑体" w:eastAsia="黑体" w:cs="黑体"/>
                      <w:spacing w:val="17"/>
                      <w:sz w:val="14"/>
                      <w:szCs w:val="14"/>
                    </w:rPr>
                    <w:t>大庄</w:t>
                  </w:r>
                </w:p>
              </w:txbxContent>
            </v:textbox>
          </v:shape>
        </w:pict>
      </w:r>
      <w:r>
        <w:rPr>
          <w:rFonts w:ascii="黑体" w:hAnsi="黑体" w:eastAsia="黑体" w:cs="黑体"/>
          <w:spacing w:val="-5"/>
          <w:sz w:val="12"/>
          <w:szCs w:val="12"/>
        </w:rPr>
        <w:t>石</w:t>
      </w:r>
      <w:r>
        <w:rPr>
          <w:rFonts w:ascii="黑体" w:hAnsi="黑体" w:eastAsia="黑体" w:cs="黑体"/>
          <w:spacing w:val="-22"/>
          <w:sz w:val="12"/>
          <w:szCs w:val="12"/>
        </w:rPr>
        <w:t xml:space="preserve"> </w:t>
      </w:r>
      <w:r>
        <w:rPr>
          <w:rFonts w:ascii="黑体" w:hAnsi="黑体" w:eastAsia="黑体" w:cs="黑体"/>
          <w:spacing w:val="-5"/>
          <w:sz w:val="12"/>
          <w:szCs w:val="12"/>
        </w:rPr>
        <w:t>头</w:t>
      </w:r>
      <w:r>
        <w:rPr>
          <w:rFonts w:ascii="黑体" w:hAnsi="黑体" w:eastAsia="黑体" w:cs="黑体"/>
          <w:b/>
          <w:bCs/>
          <w:spacing w:val="-5"/>
          <w:sz w:val="12"/>
          <w:szCs w:val="12"/>
        </w:rPr>
        <w:t>睾</w:t>
      </w:r>
    </w:p>
    <w:p w14:paraId="13FB5074">
      <w:pPr>
        <w:pStyle w:val="2"/>
        <w:spacing w:line="14" w:lineRule="auto"/>
        <w:rPr>
          <w:sz w:val="2"/>
        </w:rPr>
      </w:pPr>
      <w:r>
        <w:rPr>
          <w:sz w:val="2"/>
          <w:szCs w:val="2"/>
        </w:rPr>
        <w:br w:type="column"/>
      </w:r>
    </w:p>
    <w:p w14:paraId="0E7BDBD8">
      <w:pPr>
        <w:spacing w:before="98" w:line="175" w:lineRule="auto"/>
        <w:ind w:left="578"/>
        <w:rPr>
          <w:rFonts w:ascii="隶书" w:hAnsi="隶书" w:eastAsia="隶书" w:cs="隶书"/>
          <w:sz w:val="41"/>
          <w:szCs w:val="41"/>
        </w:rPr>
      </w:pPr>
      <w:r>
        <w:rPr>
          <w:rFonts w:ascii="隶书" w:hAnsi="隶书" w:eastAsia="隶书" w:cs="隶书"/>
          <w:sz w:val="41"/>
          <w:szCs w:val="41"/>
        </w:rPr>
        <w:t>贵</w:t>
      </w:r>
    </w:p>
    <w:p w14:paraId="3173072E">
      <w:pPr>
        <w:spacing w:before="246" w:line="219" w:lineRule="auto"/>
        <w:ind w:left="1020"/>
        <w:rPr>
          <w:rFonts w:ascii="宋体" w:hAnsi="宋体" w:eastAsia="宋体" w:cs="宋体"/>
          <w:sz w:val="21"/>
          <w:szCs w:val="21"/>
        </w:rPr>
      </w:pPr>
      <w:r>
        <w:rPr>
          <w:rFonts w:ascii="宋体" w:hAnsi="宋体" w:eastAsia="宋体" w:cs="宋体"/>
          <w:b/>
          <w:bCs/>
          <w:spacing w:val="-5"/>
          <w:sz w:val="21"/>
          <w:szCs w:val="21"/>
        </w:rPr>
        <w:t>普安</w:t>
      </w:r>
    </w:p>
    <w:p w14:paraId="39FF31EA">
      <w:pPr>
        <w:spacing w:before="94" w:line="219" w:lineRule="auto"/>
        <w:ind w:left="197"/>
        <w:rPr>
          <w:rFonts w:ascii="宋体" w:hAnsi="宋体" w:eastAsia="宋体" w:cs="宋体"/>
          <w:sz w:val="20"/>
          <w:szCs w:val="20"/>
        </w:rPr>
      </w:pPr>
      <w:r>
        <w:rPr>
          <w:rFonts w:ascii="宋体" w:hAnsi="宋体" w:eastAsia="宋体" w:cs="宋体"/>
          <w:spacing w:val="6"/>
          <w:sz w:val="20"/>
          <w:szCs w:val="20"/>
        </w:rPr>
        <w:t>盘县特区</w:t>
      </w:r>
    </w:p>
    <w:p w14:paraId="656B996B">
      <w:pPr>
        <w:pStyle w:val="2"/>
        <w:spacing w:line="337" w:lineRule="auto"/>
      </w:pPr>
    </w:p>
    <w:p w14:paraId="3CABD19F">
      <w:pPr>
        <w:pStyle w:val="2"/>
        <w:spacing w:line="338" w:lineRule="auto"/>
      </w:pPr>
    </w:p>
    <w:p w14:paraId="4B9DED78">
      <w:pPr>
        <w:spacing w:before="42" w:line="222" w:lineRule="auto"/>
        <w:ind w:left="1128"/>
        <w:rPr>
          <w:rFonts w:ascii="宋体" w:hAnsi="宋体" w:eastAsia="宋体" w:cs="宋体"/>
          <w:sz w:val="13"/>
          <w:szCs w:val="13"/>
        </w:rPr>
      </w:pPr>
      <w:r>
        <w:rPr>
          <w:rFonts w:ascii="宋体" w:hAnsi="宋体" w:eastAsia="宋体" w:cs="宋体"/>
          <w:sz w:val="13"/>
          <w:szCs w:val="13"/>
        </w:rPr>
        <w:t>)</w:t>
      </w:r>
    </w:p>
    <w:p w14:paraId="6CD34DEC">
      <w:pPr>
        <w:pStyle w:val="2"/>
        <w:spacing w:line="279" w:lineRule="auto"/>
      </w:pPr>
    </w:p>
    <w:p w14:paraId="739752B9">
      <w:pPr>
        <w:pStyle w:val="2"/>
        <w:spacing w:line="279" w:lineRule="auto"/>
      </w:pPr>
    </w:p>
    <w:p w14:paraId="33BC4FF5">
      <w:pPr>
        <w:spacing w:before="63" w:line="178" w:lineRule="auto"/>
        <w:ind w:left="607"/>
        <w:rPr>
          <w:rFonts w:ascii="隶书" w:hAnsi="隶书" w:eastAsia="隶书" w:cs="隶书"/>
          <w:sz w:val="19"/>
          <w:szCs w:val="19"/>
        </w:rPr>
      </w:pPr>
      <w:r>
        <w:rPr>
          <w:rFonts w:ascii="隶书" w:hAnsi="隶书" w:eastAsia="隶书" w:cs="隶书"/>
          <w:spacing w:val="-2"/>
          <w:w w:val="84"/>
          <w:sz w:val="19"/>
          <w:szCs w:val="19"/>
        </w:rPr>
        <w:t>威舍</w:t>
      </w:r>
    </w:p>
    <w:p w14:paraId="10F98601">
      <w:pPr>
        <w:spacing w:before="193" w:line="219" w:lineRule="auto"/>
        <w:rPr>
          <w:rFonts w:ascii="宋体" w:hAnsi="宋体" w:eastAsia="宋体" w:cs="宋体"/>
          <w:sz w:val="14"/>
          <w:szCs w:val="14"/>
        </w:rPr>
      </w:pPr>
      <w:r>
        <w:rPr>
          <w:rFonts w:ascii="宋体" w:hAnsi="宋体" w:eastAsia="宋体" w:cs="宋体"/>
          <w:b/>
          <w:bCs/>
          <w:spacing w:val="6"/>
          <w:sz w:val="14"/>
          <w:szCs w:val="14"/>
        </w:rPr>
        <w:t>黄泥河</w:t>
      </w:r>
    </w:p>
    <w:p w14:paraId="4C5EF289">
      <w:pPr>
        <w:spacing w:line="219" w:lineRule="auto"/>
        <w:rPr>
          <w:rFonts w:ascii="宋体" w:hAnsi="宋体" w:eastAsia="宋体" w:cs="宋体"/>
          <w:sz w:val="14"/>
          <w:szCs w:val="14"/>
        </w:rPr>
        <w:sectPr>
          <w:type w:val="continuous"/>
          <w:pgSz w:w="11900" w:h="16830"/>
          <w:pgMar w:top="1177" w:right="9" w:bottom="400" w:left="0" w:header="900" w:footer="0" w:gutter="0"/>
          <w:cols w:equalWidth="0" w:num="4">
            <w:col w:w="2286" w:space="26"/>
            <w:col w:w="1319" w:space="100"/>
            <w:col w:w="5364" w:space="47"/>
            <w:col w:w="2748"/>
          </w:cols>
        </w:sectPr>
      </w:pPr>
    </w:p>
    <w:p w14:paraId="41212406">
      <w:pPr>
        <w:spacing w:line="70" w:lineRule="exact"/>
      </w:pPr>
    </w:p>
    <w:p w14:paraId="0C643AAD">
      <w:pPr>
        <w:spacing w:line="70" w:lineRule="exact"/>
        <w:sectPr>
          <w:type w:val="continuous"/>
          <w:pgSz w:w="11900" w:h="16830"/>
          <w:pgMar w:top="1177" w:right="9" w:bottom="400" w:left="0" w:header="900" w:footer="0" w:gutter="0"/>
          <w:cols w:equalWidth="0" w:num="1">
            <w:col w:w="11891"/>
          </w:cols>
        </w:sectPr>
      </w:pPr>
    </w:p>
    <w:p w14:paraId="21F5796C">
      <w:pPr>
        <w:spacing w:before="159" w:line="256" w:lineRule="auto"/>
        <w:ind w:left="2119" w:right="1124" w:firstLine="770"/>
        <w:rPr>
          <w:rFonts w:ascii="宋体" w:hAnsi="宋体" w:eastAsia="宋体" w:cs="宋体"/>
          <w:sz w:val="16"/>
          <w:szCs w:val="16"/>
        </w:rPr>
      </w:pPr>
      <w:r>
        <w:rPr>
          <w:rFonts w:ascii="黑体" w:hAnsi="黑体" w:eastAsia="黑体" w:cs="黑体"/>
          <w:spacing w:val="-9"/>
          <w:w w:val="71"/>
          <w:sz w:val="19"/>
          <w:szCs w:val="19"/>
        </w:rPr>
        <w:t>鸡街</w:t>
      </w:r>
      <w:r>
        <w:rPr>
          <w:rFonts w:ascii="黑体" w:hAnsi="黑体" w:eastAsia="黑体" w:cs="黑体"/>
          <w:spacing w:val="2"/>
          <w:sz w:val="19"/>
          <w:szCs w:val="19"/>
        </w:rPr>
        <w:t xml:space="preserve"> </w:t>
      </w:r>
      <w:r>
        <w:rPr>
          <w:rFonts w:ascii="黑体" w:hAnsi="黑体" w:eastAsia="黑体" w:cs="黑体"/>
          <w:spacing w:val="-5"/>
          <w:sz w:val="16"/>
          <w:szCs w:val="16"/>
        </w:rPr>
        <w:t>名</w:t>
      </w:r>
      <w:r>
        <w:rPr>
          <w:rFonts w:ascii="宋体" w:hAnsi="宋体" w:eastAsia="宋体" w:cs="宋体"/>
          <w:b/>
          <w:bCs/>
          <w:spacing w:val="-5"/>
          <w:sz w:val="16"/>
          <w:szCs w:val="16"/>
        </w:rPr>
        <w:t>大板桥</w:t>
      </w:r>
    </w:p>
    <w:p w14:paraId="1318D106">
      <w:pPr>
        <w:pStyle w:val="2"/>
        <w:spacing w:line="305" w:lineRule="auto"/>
      </w:pPr>
    </w:p>
    <w:p w14:paraId="6EE424F8">
      <w:pPr>
        <w:spacing w:before="68" w:line="233" w:lineRule="auto"/>
        <w:ind w:left="1362"/>
        <w:rPr>
          <w:rFonts w:ascii="宋体" w:hAnsi="宋体" w:eastAsia="宋体" w:cs="宋体"/>
          <w:sz w:val="20"/>
          <w:szCs w:val="20"/>
        </w:rPr>
      </w:pPr>
      <w:r>
        <w:rPr>
          <w:rFonts w:ascii="宋体" w:hAnsi="宋体" w:eastAsia="宋体" w:cs="宋体"/>
          <w:b/>
          <w:bCs/>
          <w:spacing w:val="-17"/>
          <w:position w:val="3"/>
          <w:sz w:val="21"/>
          <w:szCs w:val="21"/>
        </w:rPr>
        <w:t>呈贡</w:t>
      </w:r>
      <w:r>
        <w:rPr>
          <w:rFonts w:ascii="宋体" w:hAnsi="宋体" w:eastAsia="宋体" w:cs="宋体"/>
          <w:spacing w:val="-17"/>
          <w:position w:val="3"/>
          <w:sz w:val="21"/>
          <w:szCs w:val="21"/>
        </w:rPr>
        <w:t>◎</w:t>
      </w:r>
      <w:r>
        <w:rPr>
          <w:rFonts w:ascii="宋体" w:hAnsi="宋体" w:eastAsia="宋体" w:cs="宋体"/>
          <w:spacing w:val="6"/>
          <w:position w:val="3"/>
          <w:sz w:val="21"/>
          <w:szCs w:val="21"/>
        </w:rPr>
        <w:t xml:space="preserve">          </w:t>
      </w:r>
      <w:r>
        <w:rPr>
          <w:rFonts w:ascii="宋体" w:hAnsi="宋体" w:eastAsia="宋体" w:cs="宋体"/>
          <w:spacing w:val="-17"/>
          <w:position w:val="-6"/>
          <w:sz w:val="20"/>
          <w:szCs w:val="20"/>
        </w:rPr>
        <w:t>宜</w:t>
      </w:r>
      <w:r>
        <w:rPr>
          <w:rFonts w:ascii="宋体" w:hAnsi="宋体" w:eastAsia="宋体" w:cs="宋体"/>
          <w:b/>
          <w:bCs/>
          <w:spacing w:val="-17"/>
          <w:position w:val="-6"/>
          <w:sz w:val="20"/>
          <w:szCs w:val="20"/>
        </w:rPr>
        <w:t>良</w:t>
      </w:r>
    </w:p>
    <w:p w14:paraId="001B1A44">
      <w:pPr>
        <w:pStyle w:val="2"/>
        <w:spacing w:line="420" w:lineRule="auto"/>
      </w:pPr>
    </w:p>
    <w:p w14:paraId="49FDDD01">
      <w:pPr>
        <w:spacing w:before="53" w:line="222" w:lineRule="auto"/>
        <w:ind w:left="1629"/>
        <w:rPr>
          <w:rFonts w:ascii="宋体" w:hAnsi="宋体" w:eastAsia="宋体" w:cs="宋体"/>
          <w:sz w:val="16"/>
          <w:szCs w:val="16"/>
        </w:rPr>
      </w:pPr>
      <w:r>
        <w:rPr>
          <w:rFonts w:ascii="黑体" w:hAnsi="黑体" w:eastAsia="黑体" w:cs="黑体"/>
          <w:spacing w:val="-14"/>
          <w:sz w:val="16"/>
          <w:szCs w:val="16"/>
        </w:rPr>
        <w:t>晋</w:t>
      </w:r>
      <w:r>
        <w:rPr>
          <w:rFonts w:ascii="黑体" w:hAnsi="黑体" w:eastAsia="黑体" w:cs="黑体"/>
          <w:spacing w:val="21"/>
          <w:sz w:val="16"/>
          <w:szCs w:val="16"/>
        </w:rPr>
        <w:t xml:space="preserve"> </w:t>
      </w:r>
      <w:r>
        <w:rPr>
          <w:rFonts w:ascii="宋体" w:hAnsi="宋体" w:eastAsia="宋体" w:cs="宋体"/>
          <w:b/>
          <w:bCs/>
          <w:spacing w:val="-14"/>
          <w:sz w:val="16"/>
          <w:szCs w:val="16"/>
        </w:rPr>
        <w:t>城</w:t>
      </w:r>
      <w:r>
        <w:rPr>
          <w:rFonts w:ascii="宋体" w:hAnsi="宋体" w:eastAsia="宋体" w:cs="宋体"/>
          <w:spacing w:val="-28"/>
          <w:sz w:val="16"/>
          <w:szCs w:val="16"/>
        </w:rPr>
        <w:t xml:space="preserve"> </w:t>
      </w:r>
      <w:r>
        <w:rPr>
          <w:rFonts w:ascii="宋体" w:hAnsi="宋体" w:eastAsia="宋体" w:cs="宋体"/>
          <w:b/>
          <w:bCs/>
          <w:spacing w:val="-14"/>
          <w:sz w:val="16"/>
          <w:szCs w:val="16"/>
        </w:rPr>
        <w:t>·</w:t>
      </w:r>
    </w:p>
    <w:p w14:paraId="667F2B78">
      <w:pPr>
        <w:pStyle w:val="2"/>
        <w:spacing w:line="411" w:lineRule="auto"/>
      </w:pPr>
    </w:p>
    <w:p w14:paraId="6389912E">
      <w:pPr>
        <w:spacing w:before="46" w:line="195" w:lineRule="auto"/>
        <w:ind w:left="3460"/>
        <w:rPr>
          <w:rFonts w:ascii="黑体" w:hAnsi="黑体" w:eastAsia="黑体" w:cs="黑体"/>
          <w:sz w:val="14"/>
          <w:szCs w:val="14"/>
        </w:rPr>
      </w:pPr>
      <w:r>
        <w:rPr>
          <w:rFonts w:ascii="黑体" w:hAnsi="黑体" w:eastAsia="黑体" w:cs="黑体"/>
          <w:spacing w:val="19"/>
          <w:sz w:val="14"/>
          <w:szCs w:val="14"/>
        </w:rPr>
        <w:t>6南大村</w:t>
      </w:r>
    </w:p>
    <w:p w14:paraId="665B6280">
      <w:pPr>
        <w:spacing w:line="219" w:lineRule="auto"/>
        <w:ind w:left="1362"/>
        <w:rPr>
          <w:rFonts w:ascii="宋体" w:hAnsi="宋体" w:eastAsia="宋体" w:cs="宋体"/>
          <w:sz w:val="16"/>
          <w:szCs w:val="16"/>
        </w:rPr>
      </w:pPr>
      <w:r>
        <w:rPr>
          <w:rFonts w:ascii="宋体" w:hAnsi="宋体" w:eastAsia="宋体" w:cs="宋体"/>
          <w:b/>
          <w:bCs/>
          <w:spacing w:val="-6"/>
          <w:sz w:val="16"/>
          <w:szCs w:val="16"/>
        </w:rPr>
        <w:t>六</w:t>
      </w:r>
      <w:r>
        <w:rPr>
          <w:rFonts w:ascii="宋体" w:hAnsi="宋体" w:eastAsia="宋体" w:cs="宋体"/>
          <w:spacing w:val="25"/>
          <w:sz w:val="16"/>
          <w:szCs w:val="16"/>
        </w:rPr>
        <w:t xml:space="preserve"> </w:t>
      </w:r>
      <w:r>
        <w:rPr>
          <w:rFonts w:ascii="宋体" w:hAnsi="宋体" w:eastAsia="宋体" w:cs="宋体"/>
          <w:b/>
          <w:bCs/>
          <w:spacing w:val="-6"/>
          <w:sz w:val="16"/>
          <w:szCs w:val="16"/>
        </w:rPr>
        <w:t>街</w:t>
      </w:r>
    </w:p>
    <w:p w14:paraId="3F638BB6">
      <w:pPr>
        <w:spacing w:before="245" w:line="271" w:lineRule="auto"/>
        <w:ind w:left="2389" w:right="1351" w:firstLine="260"/>
        <w:rPr>
          <w:rFonts w:ascii="黑体" w:hAnsi="黑体" w:eastAsia="黑体" w:cs="黑体"/>
          <w:sz w:val="15"/>
          <w:szCs w:val="15"/>
        </w:rPr>
      </w:pPr>
      <w:r>
        <w:pict>
          <v:shape id="_x0000_s1071" o:spid="_x0000_s1071" o:spt="202" type="#_x0000_t202" style="position:absolute;left:0pt;margin-left:101.5pt;margin-top:23.5pt;height:9.25pt;width:9.1pt;z-index:251823104;mso-width-relative:page;mso-height-relative:page;" filled="f" stroked="f" coordsize="21600,21600">
            <v:path/>
            <v:fill on="f" focussize="0,0"/>
            <v:stroke on="f"/>
            <v:imagedata o:title=""/>
            <o:lock v:ext="edit" aspectratio="f"/>
            <v:textbox inset="0mm,0mm,0mm,0mm">
              <w:txbxContent>
                <w:p w14:paraId="58EF80B7">
                  <w:pPr>
                    <w:spacing w:before="20" w:line="178" w:lineRule="auto"/>
                    <w:ind w:left="20"/>
                    <w:rPr>
                      <w:rFonts w:ascii="隶书" w:hAnsi="隶书" w:eastAsia="隶书" w:cs="隶书"/>
                      <w:sz w:val="15"/>
                      <w:szCs w:val="15"/>
                    </w:rPr>
                  </w:pPr>
                  <w:r>
                    <w:rPr>
                      <w:rFonts w:ascii="隶书" w:hAnsi="隶书" w:eastAsia="隶书" w:cs="隶书"/>
                      <w:sz w:val="15"/>
                      <w:szCs w:val="15"/>
                    </w:rPr>
                    <w:t>路</w:t>
                  </w:r>
                </w:p>
              </w:txbxContent>
            </v:textbox>
          </v:shape>
        </w:pict>
      </w:r>
      <w:r>
        <w:pict>
          <v:shape id="_x0000_s1072" o:spid="_x0000_s1072" o:spt="202" type="#_x0000_t202" style="position:absolute;left:0pt;margin-left:171pt;margin-top:27.55pt;height:9.25pt;width:20.95pt;z-index:251810816;mso-width-relative:page;mso-height-relative:page;" filled="f" stroked="f" coordsize="21600,21600">
            <v:path/>
            <v:fill on="f" focussize="0,0"/>
            <v:stroke on="f"/>
            <v:imagedata o:title=""/>
            <o:lock v:ext="edit" aspectratio="f"/>
            <v:textbox inset="0mm,0mm,0mm,0mm">
              <w:txbxContent>
                <w:p w14:paraId="6B196E01">
                  <w:pPr>
                    <w:spacing w:before="20" w:line="222" w:lineRule="auto"/>
                    <w:ind w:left="20"/>
                    <w:rPr>
                      <w:rFonts w:ascii="黑体" w:hAnsi="黑体" w:eastAsia="黑体" w:cs="黑体"/>
                      <w:sz w:val="12"/>
                      <w:szCs w:val="12"/>
                    </w:rPr>
                  </w:pPr>
                  <w:r>
                    <w:rPr>
                      <w:rFonts w:ascii="黑体" w:hAnsi="黑体" w:eastAsia="黑体" w:cs="黑体"/>
                      <w:spacing w:val="6"/>
                      <w:sz w:val="12"/>
                      <w:szCs w:val="12"/>
                    </w:rPr>
                    <w:t>攀枝邑</w:t>
                  </w:r>
                </w:p>
              </w:txbxContent>
            </v:textbox>
          </v:shape>
        </w:pict>
      </w:r>
      <w:r>
        <w:rPr>
          <w:rFonts w:ascii="隶书" w:hAnsi="隶书" w:eastAsia="隶书" w:cs="隶书"/>
          <w:spacing w:val="-15"/>
          <w:w w:val="99"/>
          <w:sz w:val="15"/>
          <w:szCs w:val="15"/>
        </w:rPr>
        <w:t>矣</w:t>
      </w:r>
      <w:r>
        <w:rPr>
          <w:rFonts w:ascii="黑体" w:hAnsi="黑体" w:eastAsia="黑体" w:cs="黑体"/>
          <w:spacing w:val="-15"/>
          <w:w w:val="99"/>
          <w:sz w:val="15"/>
          <w:szCs w:val="15"/>
        </w:rPr>
        <w:t>马</w:t>
      </w:r>
      <w:r>
        <w:rPr>
          <w:rFonts w:ascii="黑体" w:hAnsi="黑体" w:eastAsia="黑体" w:cs="黑体"/>
          <w:sz w:val="15"/>
          <w:szCs w:val="15"/>
        </w:rPr>
        <w:t xml:space="preserve"> 周</w:t>
      </w:r>
    </w:p>
    <w:p w14:paraId="14811A09">
      <w:pPr>
        <w:spacing w:before="57" w:line="171" w:lineRule="auto"/>
        <w:ind w:left="2419"/>
        <w:rPr>
          <w:rFonts w:ascii="黑体" w:hAnsi="黑体" w:eastAsia="黑体" w:cs="黑体"/>
          <w:sz w:val="13"/>
          <w:szCs w:val="13"/>
        </w:rPr>
      </w:pPr>
      <w:r>
        <w:pict>
          <v:shape id="_x0000_s1073" o:spid="_x0000_s1073" o:spt="202" type="#_x0000_t202" style="position:absolute;left:0pt;margin-left:185.5pt;margin-top:1.8pt;height:9.85pt;width:24.2pt;z-index:251805696;mso-width-relative:page;mso-height-relative:page;" filled="f" stroked="f" coordsize="21600,21600">
            <v:path/>
            <v:fill on="f" focussize="0,0"/>
            <v:stroke on="f"/>
            <v:imagedata o:title=""/>
            <o:lock v:ext="edit" aspectratio="f"/>
            <v:textbox inset="0mm,0mm,0mm,0mm">
              <w:txbxContent>
                <w:p w14:paraId="0826E54D">
                  <w:pPr>
                    <w:spacing w:before="20" w:line="222" w:lineRule="auto"/>
                    <w:ind w:left="20"/>
                    <w:rPr>
                      <w:rFonts w:ascii="黑体" w:hAnsi="黑体" w:eastAsia="黑体" w:cs="黑体"/>
                      <w:sz w:val="13"/>
                      <w:szCs w:val="13"/>
                    </w:rPr>
                  </w:pPr>
                  <w:r>
                    <w:rPr>
                      <w:rFonts w:ascii="黑体" w:hAnsi="黑体" w:eastAsia="黑体" w:cs="黑体"/>
                      <w:spacing w:val="17"/>
                      <w:sz w:val="13"/>
                      <w:szCs w:val="13"/>
                    </w:rPr>
                    <w:t>火木龙</w:t>
                  </w:r>
                </w:p>
              </w:txbxContent>
            </v:textbox>
          </v:shape>
        </w:pict>
      </w:r>
      <w:r>
        <w:rPr>
          <w:rFonts w:ascii="黑体" w:hAnsi="黑体" w:eastAsia="黑体" w:cs="黑体"/>
          <w:spacing w:val="-3"/>
          <w:sz w:val="13"/>
          <w:szCs w:val="13"/>
        </w:rPr>
        <w:t>铁</w:t>
      </w:r>
      <w:r>
        <w:rPr>
          <w:rFonts w:ascii="黑体" w:hAnsi="黑体" w:eastAsia="黑体" w:cs="黑体"/>
          <w:spacing w:val="10"/>
          <w:sz w:val="13"/>
          <w:szCs w:val="13"/>
        </w:rPr>
        <w:t xml:space="preserve"> </w:t>
      </w:r>
      <w:r>
        <w:rPr>
          <w:rFonts w:ascii="黑体" w:hAnsi="黑体" w:eastAsia="黑体" w:cs="黑体"/>
          <w:spacing w:val="-3"/>
          <w:sz w:val="13"/>
          <w:szCs w:val="13"/>
        </w:rPr>
        <w:t>埋</w:t>
      </w:r>
    </w:p>
    <w:p w14:paraId="2E290248">
      <w:pPr>
        <w:spacing w:before="1" w:line="207" w:lineRule="auto"/>
        <w:ind w:left="2652"/>
        <w:rPr>
          <w:rFonts w:ascii="宋体" w:hAnsi="宋体" w:eastAsia="宋体" w:cs="宋体"/>
          <w:sz w:val="15"/>
          <w:szCs w:val="15"/>
        </w:rPr>
      </w:pPr>
      <w:r>
        <w:rPr>
          <w:rFonts w:ascii="宋体" w:hAnsi="宋体" w:eastAsia="宋体" w:cs="宋体"/>
          <w:b/>
          <w:bCs/>
          <w:spacing w:val="-4"/>
          <w:sz w:val="15"/>
          <w:szCs w:val="15"/>
        </w:rPr>
        <w:t>盘溪</w:t>
      </w:r>
    </w:p>
    <w:p w14:paraId="2220C08F">
      <w:pPr>
        <w:spacing w:before="79" w:line="220" w:lineRule="auto"/>
        <w:ind w:left="3632"/>
        <w:rPr>
          <w:rFonts w:ascii="宋体" w:hAnsi="宋体" w:eastAsia="宋体" w:cs="宋体"/>
          <w:sz w:val="17"/>
          <w:szCs w:val="17"/>
        </w:rPr>
      </w:pPr>
      <w:r>
        <w:rPr>
          <w:rFonts w:ascii="宋体" w:hAnsi="宋体" w:eastAsia="宋体" w:cs="宋体"/>
          <w:b/>
          <w:bCs/>
          <w:spacing w:val="-6"/>
          <w:sz w:val="17"/>
          <w:szCs w:val="17"/>
        </w:rPr>
        <w:t>虹</w:t>
      </w:r>
      <w:r>
        <w:rPr>
          <w:rFonts w:ascii="宋体" w:hAnsi="宋体" w:eastAsia="宋体" w:cs="宋体"/>
          <w:spacing w:val="33"/>
          <w:w w:val="101"/>
          <w:sz w:val="17"/>
          <w:szCs w:val="17"/>
        </w:rPr>
        <w:t xml:space="preserve">  </w:t>
      </w:r>
      <w:r>
        <w:rPr>
          <w:rFonts w:ascii="宋体" w:hAnsi="宋体" w:eastAsia="宋体" w:cs="宋体"/>
          <w:b/>
          <w:bCs/>
          <w:spacing w:val="-6"/>
          <w:sz w:val="17"/>
          <w:szCs w:val="17"/>
        </w:rPr>
        <w:t>婆</w:t>
      </w:r>
    </w:p>
    <w:p w14:paraId="65BC1E57">
      <w:pPr>
        <w:spacing w:before="218" w:line="186" w:lineRule="auto"/>
        <w:ind w:left="2610"/>
        <w:rPr>
          <w:rFonts w:ascii="华文行楷" w:hAnsi="华文行楷" w:eastAsia="华文行楷" w:cs="华文行楷"/>
          <w:sz w:val="18"/>
          <w:szCs w:val="18"/>
        </w:rPr>
      </w:pPr>
      <w:r>
        <w:pict>
          <v:shape id="_x0000_s1074" o:spid="_x0000_s1074" o:spt="202" type="#_x0000_t202" style="position:absolute;left:0pt;margin-left:174pt;margin-top:5.4pt;height:9.9pt;width:21.15pt;z-index:251808768;mso-width-relative:page;mso-height-relative:page;" filled="f" stroked="f" coordsize="21600,21600">
            <v:path/>
            <v:fill on="f" focussize="0,0"/>
            <v:stroke on="f"/>
            <v:imagedata o:title=""/>
            <o:lock v:ext="edit" aspectratio="f"/>
            <v:textbox inset="0mm,0mm,0mm,0mm">
              <w:txbxContent>
                <w:p w14:paraId="212B5E56">
                  <w:pPr>
                    <w:spacing w:before="19" w:line="224" w:lineRule="auto"/>
                    <w:ind w:left="20"/>
                    <w:rPr>
                      <w:rFonts w:ascii="黑体" w:hAnsi="黑体" w:eastAsia="黑体" w:cs="黑体"/>
                      <w:sz w:val="13"/>
                      <w:szCs w:val="13"/>
                    </w:rPr>
                  </w:pPr>
                  <w:r>
                    <w:rPr>
                      <w:rFonts w:ascii="黑体" w:hAnsi="黑体" w:eastAsia="黑体" w:cs="黑体"/>
                      <w:spacing w:val="-2"/>
                      <w:sz w:val="13"/>
                      <w:szCs w:val="13"/>
                    </w:rPr>
                    <w:t>上德万</w:t>
                  </w:r>
                </w:p>
              </w:txbxContent>
            </v:textbox>
          </v:shape>
        </w:pict>
      </w:r>
      <w:r>
        <w:rPr>
          <w:rFonts w:ascii="隶书" w:hAnsi="隶书" w:eastAsia="隶书" w:cs="隶书"/>
          <w:spacing w:val="-21"/>
          <w:w w:val="98"/>
          <w:sz w:val="18"/>
          <w:szCs w:val="18"/>
        </w:rPr>
        <w:t>苦</w:t>
      </w:r>
      <w:r>
        <w:rPr>
          <w:rFonts w:ascii="华文行楷" w:hAnsi="华文行楷" w:eastAsia="华文行楷" w:cs="华文行楷"/>
          <w:spacing w:val="-21"/>
          <w:w w:val="98"/>
          <w:sz w:val="18"/>
          <w:szCs w:val="18"/>
        </w:rPr>
        <w:t>深</w:t>
      </w:r>
    </w:p>
    <w:p w14:paraId="4578BFEB">
      <w:pPr>
        <w:pStyle w:val="2"/>
        <w:spacing w:line="14" w:lineRule="auto"/>
        <w:rPr>
          <w:sz w:val="2"/>
        </w:rPr>
      </w:pPr>
      <w:r>
        <w:rPr>
          <w:sz w:val="2"/>
          <w:szCs w:val="2"/>
        </w:rPr>
        <w:br w:type="column"/>
      </w:r>
    </w:p>
    <w:p w14:paraId="6B9BFEC5">
      <w:pPr>
        <w:spacing w:before="38" w:line="178" w:lineRule="auto"/>
        <w:ind w:left="699"/>
        <w:rPr>
          <w:rFonts w:ascii="隶书" w:hAnsi="隶书" w:eastAsia="隶书" w:cs="隶书"/>
          <w:sz w:val="15"/>
          <w:szCs w:val="15"/>
        </w:rPr>
      </w:pPr>
      <w:r>
        <w:pict>
          <v:shape id="_x0000_s1075" o:spid="_x0000_s1075" o:spt="202" type="#_x0000_t202" style="position:absolute;left:0pt;margin-left:104.45pt;margin-top:1.85pt;height:11.05pt;width:25.3pt;z-index:251802624;mso-width-relative:page;mso-height-relative:page;" filled="f" stroked="f" coordsize="21600,21600">
            <v:path/>
            <v:fill on="f" focussize="0,0"/>
            <v:stroke on="f"/>
            <v:imagedata o:title=""/>
            <o:lock v:ext="edit" aspectratio="f"/>
            <v:textbox inset="0mm,0mm,0mm,0mm">
              <w:txbxContent>
                <w:p w14:paraId="55950E1A">
                  <w:pPr>
                    <w:spacing w:before="19" w:line="222" w:lineRule="auto"/>
                    <w:ind w:left="20"/>
                    <w:rPr>
                      <w:rFonts w:ascii="黑体" w:hAnsi="黑体" w:eastAsia="黑体" w:cs="黑体"/>
                      <w:sz w:val="15"/>
                      <w:szCs w:val="15"/>
                    </w:rPr>
                  </w:pPr>
                  <w:r>
                    <w:rPr>
                      <w:rFonts w:ascii="黑体" w:hAnsi="黑体" w:eastAsia="黑体" w:cs="黑体"/>
                      <w:spacing w:val="5"/>
                      <w:sz w:val="15"/>
                      <w:szCs w:val="15"/>
                    </w:rPr>
                    <w:t>◎活水</w:t>
                  </w:r>
                </w:p>
              </w:txbxContent>
            </v:textbox>
          </v:shape>
        </w:pict>
      </w:r>
      <w:r>
        <w:rPr>
          <w:rFonts w:ascii="黑体" w:hAnsi="黑体" w:eastAsia="黑体" w:cs="黑体"/>
          <w:spacing w:val="-4"/>
          <w:sz w:val="15"/>
          <w:szCs w:val="15"/>
        </w:rPr>
        <w:t>芳</w:t>
      </w:r>
      <w:r>
        <w:rPr>
          <w:rFonts w:ascii="隶书" w:hAnsi="隶书" w:eastAsia="隶书" w:cs="隶书"/>
          <w:spacing w:val="-4"/>
          <w:sz w:val="15"/>
          <w:szCs w:val="15"/>
        </w:rPr>
        <w:t>华</w:t>
      </w:r>
    </w:p>
    <w:p w14:paraId="1943C496">
      <w:pPr>
        <w:spacing w:line="192" w:lineRule="auto"/>
        <w:ind w:left="3331" w:right="2575" w:firstLine="1349"/>
        <w:rPr>
          <w:rFonts w:ascii="黑体" w:hAnsi="黑体" w:eastAsia="黑体" w:cs="黑体"/>
          <w:sz w:val="12"/>
          <w:szCs w:val="12"/>
        </w:rPr>
      </w:pPr>
      <w:r>
        <w:rPr>
          <w:rFonts w:ascii="宋体" w:hAnsi="宋体" w:eastAsia="宋体" w:cs="宋体"/>
          <w:b/>
          <w:bCs/>
          <w:spacing w:val="-5"/>
          <w:sz w:val="11"/>
          <w:szCs w:val="11"/>
        </w:rPr>
        <w:t>江</w:t>
      </w:r>
      <w:r>
        <w:rPr>
          <w:rFonts w:ascii="宋体" w:hAnsi="宋体" w:eastAsia="宋体" w:cs="宋体"/>
          <w:spacing w:val="-5"/>
          <w:sz w:val="11"/>
          <w:szCs w:val="11"/>
        </w:rPr>
        <w:t xml:space="preserve"> </w:t>
      </w:r>
      <w:r>
        <w:rPr>
          <w:rFonts w:ascii="宋体" w:hAnsi="宋体" w:eastAsia="宋体" w:cs="宋体"/>
          <w:b/>
          <w:bCs/>
          <w:spacing w:val="-5"/>
          <w:sz w:val="11"/>
          <w:szCs w:val="11"/>
        </w:rPr>
        <w:t>底</w:t>
      </w:r>
      <w:r>
        <w:rPr>
          <w:rFonts w:ascii="宋体" w:hAnsi="宋体" w:eastAsia="宋体" w:cs="宋体"/>
          <w:sz w:val="11"/>
          <w:szCs w:val="11"/>
        </w:rPr>
        <w:t xml:space="preserve"> </w:t>
      </w:r>
      <w:r>
        <w:rPr>
          <w:rFonts w:ascii="宋体" w:hAnsi="宋体" w:eastAsia="宋体" w:cs="宋体"/>
          <w:b/>
          <w:bCs/>
          <w:sz w:val="12"/>
          <w:szCs w:val="12"/>
        </w:rPr>
        <w:t>钻</w:t>
      </w:r>
      <w:r>
        <w:rPr>
          <w:rFonts w:ascii="黑体" w:hAnsi="黑体" w:eastAsia="黑体" w:cs="黑体"/>
          <w:sz w:val="12"/>
          <w:szCs w:val="12"/>
        </w:rPr>
        <w:t>天坡</w:t>
      </w:r>
    </w:p>
    <w:p w14:paraId="2366A4C2">
      <w:pPr>
        <w:spacing w:before="18" w:line="224" w:lineRule="auto"/>
        <w:ind w:left="459"/>
        <w:rPr>
          <w:rFonts w:ascii="仿宋" w:hAnsi="仿宋" w:eastAsia="仿宋" w:cs="仿宋"/>
          <w:sz w:val="22"/>
          <w:szCs w:val="22"/>
        </w:rPr>
      </w:pPr>
      <w:r>
        <w:pict>
          <v:shape id="_x0000_s1076" o:spid="_x0000_s1076" o:spt="202" type="#_x0000_t202" style="position:absolute;left:0pt;margin-left:187.45pt;margin-top:1.9pt;height:12pt;width:16.5pt;z-index:251806720;mso-width-relative:page;mso-height-relative:page;" filled="f" stroked="f" coordsize="21600,21600">
            <v:path/>
            <v:fill on="f" focussize="0,0"/>
            <v:stroke on="f"/>
            <v:imagedata o:title=""/>
            <o:lock v:ext="edit" aspectratio="f"/>
            <v:textbox inset="0mm,0mm,0mm,0mm">
              <w:txbxContent>
                <w:p w14:paraId="782031FA">
                  <w:pPr>
                    <w:spacing w:before="20" w:line="184" w:lineRule="auto"/>
                    <w:jc w:val="right"/>
                    <w:rPr>
                      <w:rFonts w:ascii="宋体" w:hAnsi="宋体" w:eastAsia="宋体" w:cs="宋体"/>
                      <w:sz w:val="20"/>
                      <w:szCs w:val="20"/>
                    </w:rPr>
                  </w:pPr>
                  <w:r>
                    <w:rPr>
                      <w:rFonts w:ascii="宋体" w:hAnsi="宋体" w:eastAsia="宋体" w:cs="宋体"/>
                      <w:spacing w:val="-32"/>
                      <w:w w:val="83"/>
                      <w:sz w:val="20"/>
                      <w:szCs w:val="20"/>
                    </w:rPr>
                    <w:t>以</w:t>
                  </w:r>
                  <w:r>
                    <w:rPr>
                      <w:rFonts w:ascii="宋体" w:hAnsi="宋体" w:eastAsia="宋体" w:cs="宋体"/>
                      <w:spacing w:val="-12"/>
                      <w:w w:val="83"/>
                      <w:sz w:val="20"/>
                      <w:szCs w:val="20"/>
                    </w:rPr>
                    <w:t>洪</w:t>
                  </w:r>
                </w:p>
              </w:txbxContent>
            </v:textbox>
          </v:shape>
        </w:pict>
      </w:r>
      <w:r>
        <w:pict>
          <v:shape id="_x0000_s1077" o:spid="_x0000_s1077" o:spt="202" type="#_x0000_t202" style="position:absolute;left:0pt;margin-left:183.45pt;margin-top:-2.55pt;height:41.75pt;width:126.25pt;z-index:251791360;mso-width-relative:page;mso-height-relative:page;" filled="f" stroked="f" coordsize="21600,21600">
            <v:path/>
            <v:fill on="f" focussize="0,0"/>
            <v:stroke on="f"/>
            <v:imagedata o:title=""/>
            <o:lock v:ext="edit" aspectratio="f"/>
            <v:textbox inset="0mm,0mm,0mm,0mm">
              <w:txbxContent>
                <w:p w14:paraId="2237D322">
                  <w:pPr>
                    <w:spacing w:line="20" w:lineRule="exact"/>
                  </w:pPr>
                </w:p>
                <w:tbl>
                  <w:tblPr>
                    <w:tblStyle w:val="5"/>
                    <w:tblW w:w="2484"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70"/>
                    <w:gridCol w:w="914"/>
                  </w:tblGrid>
                  <w:tr w14:paraId="136C9D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4" w:hRule="atLeast"/>
                    </w:trPr>
                    <w:tc>
                      <w:tcPr>
                        <w:tcW w:w="1570" w:type="dxa"/>
                        <w:vAlign w:val="top"/>
                      </w:tcPr>
                      <w:p w14:paraId="376936BE">
                        <w:pPr>
                          <w:pStyle w:val="6"/>
                          <w:spacing w:before="195" w:line="167" w:lineRule="auto"/>
                          <w:ind w:left="352" w:right="20" w:firstLine="669"/>
                          <w:rPr>
                            <w:sz w:val="16"/>
                            <w:szCs w:val="16"/>
                          </w:rPr>
                        </w:pPr>
                        <w:r>
                          <w:rPr>
                            <w:b/>
                            <w:bCs/>
                            <w:spacing w:val="-21"/>
                            <w:position w:val="1"/>
                            <w:sz w:val="15"/>
                            <w:szCs w:val="15"/>
                          </w:rPr>
                          <w:t>◎钟</w:t>
                        </w:r>
                        <w:r>
                          <w:rPr>
                            <w:spacing w:val="-37"/>
                            <w:position w:val="1"/>
                            <w:sz w:val="15"/>
                            <w:szCs w:val="15"/>
                          </w:rPr>
                          <w:t xml:space="preserve"> </w:t>
                        </w:r>
                        <w:r>
                          <w:rPr>
                            <w:b/>
                            <w:bCs/>
                            <w:spacing w:val="-21"/>
                            <w:position w:val="1"/>
                            <w:sz w:val="15"/>
                            <w:szCs w:val="15"/>
                          </w:rPr>
                          <w:t>山</w:t>
                        </w:r>
                        <w:r>
                          <w:rPr>
                            <w:rFonts w:ascii="Arial" w:hAnsi="Arial" w:eastAsia="Arial" w:cs="Arial"/>
                            <w:spacing w:val="-21"/>
                            <w:position w:val="-9"/>
                            <w:sz w:val="15"/>
                            <w:szCs w:val="15"/>
                          </w:rPr>
                          <w:t>O</w:t>
                        </w:r>
                        <w:r>
                          <w:rPr>
                            <w:rFonts w:ascii="Arial" w:hAnsi="Arial" w:eastAsia="Arial" w:cs="Arial"/>
                            <w:position w:val="-9"/>
                            <w:sz w:val="15"/>
                            <w:szCs w:val="15"/>
                          </w:rPr>
                          <w:t xml:space="preserve"> </w:t>
                        </w:r>
                        <w:r>
                          <w:rPr>
                            <w:b/>
                            <w:bCs/>
                            <w:spacing w:val="9"/>
                            <w:sz w:val="16"/>
                            <w:szCs w:val="16"/>
                          </w:rPr>
                          <w:t>板桥</w:t>
                        </w:r>
                      </w:p>
                    </w:tc>
                    <w:tc>
                      <w:tcPr>
                        <w:tcW w:w="914" w:type="dxa"/>
                        <w:vAlign w:val="top"/>
                      </w:tcPr>
                      <w:p w14:paraId="1C5AAE9A">
                        <w:pPr>
                          <w:pStyle w:val="6"/>
                          <w:spacing w:before="2" w:line="225" w:lineRule="auto"/>
                          <w:ind w:left="19" w:firstLine="229"/>
                          <w:rPr>
                            <w:rFonts w:ascii="黑体" w:hAnsi="黑体" w:eastAsia="黑体" w:cs="黑体"/>
                            <w:sz w:val="15"/>
                            <w:szCs w:val="15"/>
                          </w:rPr>
                        </w:pPr>
                        <w:r>
                          <w:rPr>
                            <w:rFonts w:ascii="仿宋" w:hAnsi="仿宋" w:eastAsia="仿宋" w:cs="仿宋"/>
                            <w:spacing w:val="-21"/>
                            <w:sz w:val="24"/>
                            <w:szCs w:val="24"/>
                          </w:rPr>
                          <w:t>兴义</w:t>
                        </w:r>
                        <w:r>
                          <w:rPr>
                            <w:spacing w:val="-15"/>
                            <w:sz w:val="24"/>
                            <w:szCs w:val="24"/>
                          </w:rPr>
                          <w:t>市</w:t>
                        </w:r>
                        <w:r>
                          <w:rPr>
                            <w:sz w:val="24"/>
                            <w:szCs w:val="24"/>
                          </w:rPr>
                          <w:t xml:space="preserve"> </w:t>
                        </w:r>
                        <w:r>
                          <w:rPr>
                            <w:rFonts w:ascii="黑体" w:hAnsi="黑体" w:eastAsia="黑体" w:cs="黑体"/>
                            <w:spacing w:val="-12"/>
                            <w:sz w:val="15"/>
                            <w:szCs w:val="15"/>
                          </w:rPr>
                          <w:t>七舍</w:t>
                        </w:r>
                      </w:p>
                      <w:p w14:paraId="2A88275F">
                        <w:pPr>
                          <w:spacing w:line="306" w:lineRule="exact"/>
                          <w:ind w:left="360"/>
                          <w:rPr>
                            <w:rFonts w:ascii="隶书" w:hAnsi="隶书" w:eastAsia="隶书" w:cs="隶书"/>
                            <w:sz w:val="41"/>
                            <w:szCs w:val="41"/>
                          </w:rPr>
                        </w:pPr>
                        <w:r>
                          <w:rPr>
                            <w:rFonts w:ascii="隶书" w:hAnsi="隶书" w:eastAsia="隶书" w:cs="隶书"/>
                            <w:position w:val="-4"/>
                            <w:sz w:val="41"/>
                            <w:szCs w:val="41"/>
                          </w:rPr>
                          <w:t>州</w:t>
                        </w:r>
                      </w:p>
                    </w:tc>
                  </w:tr>
                </w:tbl>
                <w:p w14:paraId="271F3482">
                  <w:pPr>
                    <w:pStyle w:val="2"/>
                  </w:pPr>
                </w:p>
              </w:txbxContent>
            </v:textbox>
          </v:shape>
        </w:pict>
      </w:r>
      <w:r>
        <w:rPr>
          <w:rFonts w:ascii="仿宋" w:hAnsi="仿宋" w:eastAsia="仿宋" w:cs="仿宋"/>
          <w:spacing w:val="-13"/>
          <w:sz w:val="22"/>
          <w:szCs w:val="22"/>
        </w:rPr>
        <w:t>陆 良</w:t>
      </w:r>
    </w:p>
    <w:p w14:paraId="259F8F3C">
      <w:pPr>
        <w:spacing w:before="59" w:line="220" w:lineRule="auto"/>
        <w:ind w:left="771"/>
        <w:rPr>
          <w:rFonts w:ascii="宋体" w:hAnsi="宋体" w:eastAsia="宋体" w:cs="宋体"/>
          <w:sz w:val="13"/>
          <w:szCs w:val="13"/>
        </w:rPr>
      </w:pPr>
      <w:r>
        <w:pict>
          <v:shape id="_x0000_s1078" o:spid="_x0000_s1078" o:spt="202" type="#_x0000_t202" style="position:absolute;left:0pt;margin-left:183.45pt;margin-top:8.35pt;height:18.4pt;width:70.9pt;z-index:251793408;mso-width-relative:page;mso-height-relative:page;" filled="f" stroked="f" coordsize="21600,21600">
            <v:path/>
            <v:fill on="f" focussize="0,0"/>
            <v:stroke on="f"/>
            <v:imagedata o:title=""/>
            <o:lock v:ext="edit" aspectratio="f"/>
            <v:textbox inset="0mm,0mm,0mm,0mm">
              <w:txbxContent>
                <w:p w14:paraId="01254E80">
                  <w:pPr>
                    <w:spacing w:before="19" w:line="195" w:lineRule="auto"/>
                    <w:ind w:left="20" w:right="20" w:firstLine="1020"/>
                    <w:rPr>
                      <w:rFonts w:ascii="宋体" w:hAnsi="宋体" w:eastAsia="宋体" w:cs="宋体"/>
                      <w:sz w:val="15"/>
                      <w:szCs w:val="15"/>
                    </w:rPr>
                  </w:pPr>
                  <w:r>
                    <w:rPr>
                      <w:rFonts w:ascii="黑体" w:hAnsi="黑体" w:eastAsia="黑体" w:cs="黑体"/>
                      <w:spacing w:val="-2"/>
                      <w:sz w:val="12"/>
                      <w:szCs w:val="12"/>
                    </w:rPr>
                    <w:t>大地</w:t>
                  </w:r>
                  <w:r>
                    <w:rPr>
                      <w:rFonts w:ascii="宋体" w:hAnsi="宋体" w:eastAsia="宋体" w:cs="宋体"/>
                      <w:b/>
                      <w:bCs/>
                      <w:spacing w:val="-2"/>
                      <w:sz w:val="12"/>
                      <w:szCs w:val="12"/>
                    </w:rPr>
                    <w:t>坪</w:t>
                  </w:r>
                  <w:r>
                    <w:rPr>
                      <w:rFonts w:ascii="宋体" w:hAnsi="宋体" w:eastAsia="宋体" w:cs="宋体"/>
                      <w:sz w:val="12"/>
                      <w:szCs w:val="12"/>
                    </w:rPr>
                    <w:t xml:space="preserve"> </w:t>
                  </w:r>
                  <w:r>
                    <w:rPr>
                      <w:rFonts w:ascii="黑体" w:hAnsi="黑体" w:eastAsia="黑体" w:cs="黑体"/>
                      <w:spacing w:val="4"/>
                      <w:sz w:val="19"/>
                      <w:szCs w:val="19"/>
                    </w:rPr>
                    <w:t>罗</w:t>
                  </w:r>
                  <w:r>
                    <w:rPr>
                      <w:rFonts w:ascii="黑体" w:hAnsi="黑体" w:eastAsia="黑体" w:cs="黑体"/>
                      <w:spacing w:val="-8"/>
                      <w:sz w:val="19"/>
                      <w:szCs w:val="19"/>
                    </w:rPr>
                    <w:t xml:space="preserve"> </w:t>
                  </w:r>
                  <w:r>
                    <w:rPr>
                      <w:rFonts w:ascii="黑体" w:hAnsi="黑体" w:eastAsia="黑体" w:cs="黑体"/>
                      <w:spacing w:val="4"/>
                      <w:sz w:val="19"/>
                      <w:szCs w:val="19"/>
                    </w:rPr>
                    <w:t>平</w:t>
                  </w:r>
                  <w:r>
                    <w:rPr>
                      <w:rFonts w:ascii="黑体" w:hAnsi="黑体" w:eastAsia="黑体" w:cs="黑体"/>
                      <w:spacing w:val="40"/>
                      <w:sz w:val="19"/>
                      <w:szCs w:val="19"/>
                    </w:rPr>
                    <w:t xml:space="preserve">  </w:t>
                  </w:r>
                  <w:r>
                    <w:rPr>
                      <w:rFonts w:ascii="宋体" w:hAnsi="宋体" w:eastAsia="宋体" w:cs="宋体"/>
                      <w:b/>
                      <w:bCs/>
                      <w:spacing w:val="4"/>
                      <w:sz w:val="15"/>
                      <w:szCs w:val="15"/>
                    </w:rPr>
                    <w:t>9旧屋基</w:t>
                  </w:r>
                </w:p>
              </w:txbxContent>
            </v:textbox>
          </v:shape>
        </w:pict>
      </w:r>
      <w:r>
        <w:pict>
          <v:shape id="_x0000_s1079" o:spid="_x0000_s1079" o:spt="202" type="#_x0000_t202" style="position:absolute;left:0pt;margin-left:144.45pt;margin-top:-1.1pt;height:31pt;width:30.7pt;z-index:251797504;mso-width-relative:page;mso-height-relative:page;" filled="f" stroked="f" coordsize="21600,21600">
            <v:path/>
            <v:fill on="f" focussize="0,0"/>
            <v:stroke on="f"/>
            <v:imagedata o:title=""/>
            <o:lock v:ext="edit" aspectratio="f"/>
            <v:textbox inset="0mm,0mm,0mm,0mm">
              <w:txbxContent>
                <w:p w14:paraId="045A3231">
                  <w:pPr>
                    <w:pStyle w:val="2"/>
                    <w:spacing w:before="20" w:line="284" w:lineRule="auto"/>
                    <w:ind w:left="20" w:right="20" w:firstLine="242"/>
                    <w:rPr>
                      <w:sz w:val="19"/>
                      <w:szCs w:val="19"/>
                    </w:rPr>
                  </w:pPr>
                  <w:r>
                    <w:rPr>
                      <w:rFonts w:ascii="楷体" w:hAnsi="楷体" w:eastAsia="楷体" w:cs="楷体"/>
                      <w:b/>
                      <w:bCs/>
                      <w:spacing w:val="-13"/>
                      <w:w w:val="88"/>
                      <w:sz w:val="20"/>
                      <w:szCs w:val="20"/>
                    </w:rPr>
                    <w:t>年</w:t>
                  </w:r>
                  <w:r>
                    <w:rPr>
                      <w:rFonts w:ascii="黑体" w:hAnsi="黑体" w:eastAsia="黑体" w:cs="黑体"/>
                      <w:spacing w:val="-13"/>
                      <w:w w:val="88"/>
                      <w:sz w:val="20"/>
                      <w:szCs w:val="20"/>
                    </w:rPr>
                    <w:t>街</w:t>
                  </w:r>
                  <w:r>
                    <w:rPr>
                      <w:rFonts w:ascii="黑体" w:hAnsi="黑体" w:eastAsia="黑体" w:cs="黑体"/>
                      <w:spacing w:val="2"/>
                      <w:sz w:val="20"/>
                      <w:szCs w:val="20"/>
                    </w:rPr>
                    <w:t xml:space="preserve"> </w:t>
                  </w:r>
                  <w:r>
                    <w:rPr>
                      <w:rFonts w:ascii="隶书" w:hAnsi="隶书" w:eastAsia="隶书" w:cs="隶书"/>
                      <w:spacing w:val="-7"/>
                      <w:w w:val="82"/>
                      <w:sz w:val="19"/>
                      <w:szCs w:val="19"/>
                    </w:rPr>
                    <w:t>阿耶</w:t>
                  </w:r>
                  <w:r>
                    <w:rPr>
                      <w:spacing w:val="-7"/>
                      <w:w w:val="82"/>
                      <w:sz w:val="19"/>
                      <w:szCs w:val="19"/>
                    </w:rPr>
                    <w:t>O</w:t>
                  </w:r>
                </w:p>
              </w:txbxContent>
            </v:textbox>
          </v:shape>
        </w:pict>
      </w:r>
      <w:r>
        <w:pict>
          <v:shape id="_x0000_s1080" o:spid="_x0000_s1080" o:spt="202" type="#_x0000_t202" style="position:absolute;left:0pt;margin-left:99.1pt;margin-top:2pt;height:26pt;width:37.7pt;z-index:251796480;mso-width-relative:page;mso-height-relative:page;" filled="f" stroked="f" coordsize="21600,21600">
            <v:path/>
            <v:fill on="f" focussize="0,0"/>
            <v:stroke on="f"/>
            <v:imagedata o:title=""/>
            <o:lock v:ext="edit" aspectratio="f"/>
            <v:textbox inset="0mm,0mm,0mm,0mm">
              <w:txbxContent>
                <w:p w14:paraId="3D094437">
                  <w:pPr>
                    <w:spacing w:before="20" w:line="249" w:lineRule="auto"/>
                    <w:ind w:left="20" w:right="20" w:firstLine="399"/>
                    <w:rPr>
                      <w:rFonts w:ascii="宋体" w:hAnsi="宋体" w:eastAsia="宋体" w:cs="宋体"/>
                      <w:sz w:val="21"/>
                      <w:szCs w:val="21"/>
                    </w:rPr>
                  </w:pPr>
                  <w:r>
                    <w:rPr>
                      <w:rFonts w:ascii="宋体" w:hAnsi="宋体" w:eastAsia="宋体" w:cs="宋体"/>
                      <w:b/>
                      <w:bCs/>
                      <w:spacing w:val="-5"/>
                      <w:sz w:val="16"/>
                      <w:szCs w:val="16"/>
                    </w:rPr>
                    <w:t>竹基</w:t>
                  </w:r>
                  <w:r>
                    <w:rPr>
                      <w:rFonts w:ascii="宋体" w:hAnsi="宋体" w:eastAsia="宋体" w:cs="宋体"/>
                      <w:sz w:val="16"/>
                      <w:szCs w:val="16"/>
                    </w:rPr>
                    <w:t xml:space="preserve"> </w:t>
                  </w:r>
                  <w:r>
                    <w:rPr>
                      <w:rFonts w:ascii="宋体" w:hAnsi="宋体" w:eastAsia="宋体" w:cs="宋体"/>
                      <w:b/>
                      <w:bCs/>
                      <w:spacing w:val="-6"/>
                      <w:sz w:val="21"/>
                      <w:szCs w:val="21"/>
                    </w:rPr>
                    <w:t>师宗</w:t>
                  </w:r>
                </w:p>
              </w:txbxContent>
            </v:textbox>
          </v:shape>
        </w:pict>
      </w:r>
      <w:r>
        <w:rPr>
          <w:rFonts w:ascii="宋体" w:hAnsi="宋体" w:eastAsia="宋体" w:cs="宋体"/>
          <w:b/>
          <w:bCs/>
          <w:spacing w:val="9"/>
          <w:sz w:val="13"/>
          <w:szCs w:val="13"/>
        </w:rPr>
        <w:t>西桥</w:t>
      </w:r>
    </w:p>
    <w:p w14:paraId="2A263638">
      <w:pPr>
        <w:spacing w:before="124" w:line="219" w:lineRule="auto"/>
        <w:ind w:left="1281"/>
        <w:rPr>
          <w:rFonts w:ascii="宋体" w:hAnsi="宋体" w:eastAsia="宋体" w:cs="宋体"/>
          <w:sz w:val="13"/>
          <w:szCs w:val="13"/>
        </w:rPr>
      </w:pPr>
      <w:r>
        <w:rPr>
          <w:rFonts w:ascii="宋体" w:hAnsi="宋体" w:eastAsia="宋体" w:cs="宋体"/>
          <w:b/>
          <w:bCs/>
          <w:spacing w:val="-5"/>
          <w:sz w:val="13"/>
          <w:szCs w:val="13"/>
        </w:rPr>
        <w:t>阴凉等站</w:t>
      </w:r>
    </w:p>
    <w:p w14:paraId="61F61875">
      <w:pPr>
        <w:spacing w:before="56" w:line="106" w:lineRule="exact"/>
        <w:ind w:left="4649"/>
        <w:rPr>
          <w:rFonts w:ascii="隶书" w:hAnsi="隶书" w:eastAsia="隶书" w:cs="隶书"/>
          <w:sz w:val="16"/>
          <w:szCs w:val="16"/>
        </w:rPr>
      </w:pPr>
      <w:r>
        <w:pict>
          <v:shape id="_x0000_s1081" o:spid="_x0000_s1081" o:spt="202" type="#_x0000_t202" style="position:absolute;left:0pt;margin-left:192.5pt;margin-top:4.9pt;height:26.65pt;width:20.85pt;z-index:251798528;mso-width-relative:page;mso-height-relative:page;" filled="f" stroked="f" coordsize="21600,21600">
            <v:path/>
            <v:fill on="f" focussize="0,0"/>
            <v:stroke on="f"/>
            <v:imagedata o:title=""/>
            <o:lock v:ext="edit" aspectratio="f"/>
            <v:textbox inset="0mm,0mm,0mm,0mm">
              <w:txbxContent>
                <w:p w14:paraId="3475D025">
                  <w:pPr>
                    <w:spacing w:before="20" w:line="227" w:lineRule="auto"/>
                    <w:jc w:val="right"/>
                    <w:rPr>
                      <w:rFonts w:ascii="楷体" w:hAnsi="楷体" w:eastAsia="楷体" w:cs="楷体"/>
                      <w:sz w:val="40"/>
                      <w:szCs w:val="40"/>
                    </w:rPr>
                  </w:pPr>
                  <w:r>
                    <w:rPr>
                      <w:rFonts w:ascii="楷体" w:hAnsi="楷体" w:eastAsia="楷体" w:cs="楷体"/>
                      <w:spacing w:val="-24"/>
                      <w:sz w:val="40"/>
                      <w:szCs w:val="40"/>
                    </w:rPr>
                    <w:t>井</w:t>
                  </w:r>
                </w:p>
              </w:txbxContent>
            </v:textbox>
          </v:shape>
        </w:pict>
      </w:r>
      <w:r>
        <w:rPr>
          <w:rFonts w:ascii="隶书" w:hAnsi="隶书" w:eastAsia="隶书" w:cs="隶书"/>
          <w:color w:val="909090"/>
          <w:spacing w:val="-6"/>
          <w:w w:val="90"/>
          <w:position w:val="-2"/>
          <w:sz w:val="16"/>
          <w:szCs w:val="16"/>
        </w:rPr>
        <w:t>鲁相草电站</w:t>
      </w:r>
    </w:p>
    <w:p w14:paraId="552FFAD9">
      <w:pPr>
        <w:spacing w:before="66" w:line="187" w:lineRule="auto"/>
        <w:ind w:left="2971"/>
        <w:rPr>
          <w:rFonts w:ascii="宋体" w:hAnsi="宋体" w:eastAsia="宋体" w:cs="宋体"/>
          <w:sz w:val="13"/>
          <w:szCs w:val="13"/>
        </w:rPr>
      </w:pPr>
      <w:r>
        <w:pict>
          <v:shape id="_x0000_s1082" o:spid="_x0000_s1082" o:spt="202" type="#_x0000_t202" style="position:absolute;left:0pt;margin-left:224.05pt;margin-top:-1.2pt;height:13.45pt;width:25.15pt;z-index:251800576;mso-width-relative:page;mso-height-relative:page;" filled="f" stroked="f" coordsize="21600,21600">
            <v:path/>
            <v:fill on="f" focussize="0,0"/>
            <v:stroke on="f"/>
            <v:imagedata o:title=""/>
            <o:lock v:ext="edit" aspectratio="f"/>
            <v:textbox inset="0mm,0mm,0mm,0mm">
              <w:txbxContent>
                <w:p w14:paraId="7CC37B94">
                  <w:pPr>
                    <w:spacing w:before="20" w:line="222" w:lineRule="auto"/>
                    <w:jc w:val="right"/>
                    <w:rPr>
                      <w:rFonts w:ascii="隶书" w:hAnsi="隶书" w:eastAsia="隶书" w:cs="隶书"/>
                      <w:sz w:val="19"/>
                      <w:szCs w:val="19"/>
                    </w:rPr>
                  </w:pPr>
                  <w:r>
                    <w:rPr>
                      <w:rFonts w:ascii="黑体" w:hAnsi="黑体" w:eastAsia="黑体" w:cs="黑体"/>
                      <w:b/>
                      <w:bCs/>
                      <w:spacing w:val="-11"/>
                      <w:w w:val="88"/>
                      <w:sz w:val="19"/>
                      <w:szCs w:val="19"/>
                    </w:rPr>
                    <w:t>鲁</w:t>
                  </w:r>
                  <w:r>
                    <w:rPr>
                      <w:rFonts w:ascii="隶书" w:hAnsi="隶书" w:eastAsia="隶书" w:cs="隶书"/>
                      <w:spacing w:val="-11"/>
                      <w:w w:val="88"/>
                      <w:sz w:val="19"/>
                      <w:szCs w:val="19"/>
                    </w:rPr>
                    <w:t>布</w:t>
                  </w:r>
                  <w:r>
                    <w:rPr>
                      <w:rFonts w:ascii="隶书" w:hAnsi="隶书" w:eastAsia="隶书" w:cs="隶书"/>
                      <w:spacing w:val="-5"/>
                      <w:w w:val="88"/>
                      <w:sz w:val="19"/>
                      <w:szCs w:val="19"/>
                    </w:rPr>
                    <w:t>革</w:t>
                  </w:r>
                </w:p>
              </w:txbxContent>
            </v:textbox>
          </v:shape>
        </w:pict>
      </w:r>
      <w:r>
        <w:rPr>
          <w:rFonts w:ascii="宋体" w:hAnsi="宋体" w:eastAsia="宋体" w:cs="宋体"/>
          <w:b/>
          <w:bCs/>
          <w:spacing w:val="-12"/>
          <w:sz w:val="13"/>
          <w:szCs w:val="13"/>
        </w:rPr>
        <w:t>以</w:t>
      </w:r>
      <w:r>
        <w:rPr>
          <w:rFonts w:ascii="宋体" w:hAnsi="宋体" w:eastAsia="宋体" w:cs="宋体"/>
          <w:spacing w:val="22"/>
          <w:w w:val="101"/>
          <w:sz w:val="13"/>
          <w:szCs w:val="13"/>
        </w:rPr>
        <w:t xml:space="preserve"> </w:t>
      </w:r>
      <w:r>
        <w:rPr>
          <w:rFonts w:ascii="宋体" w:hAnsi="宋体" w:eastAsia="宋体" w:cs="宋体"/>
          <w:b/>
          <w:bCs/>
          <w:spacing w:val="-12"/>
          <w:sz w:val="13"/>
          <w:szCs w:val="13"/>
        </w:rPr>
        <w:t>且</w:t>
      </w:r>
    </w:p>
    <w:p w14:paraId="3D77F817">
      <w:pPr>
        <w:spacing w:before="1" w:line="223" w:lineRule="auto"/>
        <w:ind w:left="270"/>
        <w:rPr>
          <w:rFonts w:ascii="黑体" w:hAnsi="黑体" w:eastAsia="黑体" w:cs="黑体"/>
          <w:sz w:val="15"/>
          <w:szCs w:val="15"/>
        </w:rPr>
      </w:pPr>
      <w:r>
        <w:pict>
          <v:shape id="_x0000_s1083" o:spid="_x0000_s1083" o:spt="202" type="#_x0000_t202" style="position:absolute;left:0pt;margin-left:127.95pt;margin-top:-1.2pt;height:16.4pt;width:12.4pt;z-index:251809792;mso-width-relative:page;mso-height-relative:page;" filled="f" stroked="f" coordsize="21600,21600">
            <v:path/>
            <v:fill on="f" focussize="0,0"/>
            <v:stroke on="f"/>
            <v:imagedata o:title=""/>
            <o:lock v:ext="edit" aspectratio="f"/>
            <v:textbox inset="0mm,0mm,0mm,0mm">
              <w:txbxContent>
                <w:p w14:paraId="3CC88648">
                  <w:pPr>
                    <w:spacing w:before="20" w:line="221" w:lineRule="auto"/>
                    <w:jc w:val="right"/>
                    <w:rPr>
                      <w:rFonts w:ascii="宋体" w:hAnsi="宋体" w:eastAsia="宋体" w:cs="宋体"/>
                      <w:sz w:val="24"/>
                      <w:szCs w:val="24"/>
                    </w:rPr>
                  </w:pPr>
                  <w:r>
                    <w:rPr>
                      <w:rFonts w:ascii="宋体" w:hAnsi="宋体" w:eastAsia="宋体" w:cs="宋体"/>
                      <w:spacing w:val="-33"/>
                      <w:sz w:val="24"/>
                      <w:szCs w:val="24"/>
                    </w:rPr>
                    <w:t>同</w:t>
                  </w:r>
                </w:p>
              </w:txbxContent>
            </v:textbox>
          </v:shape>
        </w:pict>
      </w:r>
      <w:r>
        <w:rPr>
          <w:rFonts w:ascii="黑体" w:hAnsi="黑体" w:eastAsia="黑体" w:cs="黑体"/>
          <w:spacing w:val="-14"/>
          <w:sz w:val="15"/>
          <w:szCs w:val="15"/>
        </w:rPr>
        <w:t>光阳洞</w:t>
      </w:r>
    </w:p>
    <w:p w14:paraId="6B7D04F3">
      <w:pPr>
        <w:spacing w:line="71" w:lineRule="exact"/>
      </w:pPr>
    </w:p>
    <w:tbl>
      <w:tblPr>
        <w:tblStyle w:val="5"/>
        <w:tblW w:w="6254"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14"/>
        <w:gridCol w:w="1487"/>
        <w:gridCol w:w="1056"/>
        <w:gridCol w:w="1997"/>
      </w:tblGrid>
      <w:tr w14:paraId="6E695C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5" w:hRule="atLeast"/>
        </w:trPr>
        <w:tc>
          <w:tcPr>
            <w:tcW w:w="1714" w:type="dxa"/>
            <w:vAlign w:val="top"/>
          </w:tcPr>
          <w:p w14:paraId="49761A9D">
            <w:pPr>
              <w:spacing w:before="11" w:line="214" w:lineRule="auto"/>
              <w:ind w:left="1249"/>
              <w:rPr>
                <w:rFonts w:ascii="华文行楷" w:hAnsi="华文行楷" w:eastAsia="华文行楷" w:cs="华文行楷"/>
                <w:sz w:val="13"/>
                <w:szCs w:val="13"/>
              </w:rPr>
            </w:pPr>
            <w:r>
              <w:pict>
                <v:shape id="_x0000_s1084" o:spid="_x0000_s1084" o:spt="202" type="#_x0000_t202" style="position:absolute;left:0pt;margin-left:76.55pt;margin-top:-1pt;height:9.9pt;width:8.3pt;z-index:251825152;mso-width-relative:page;mso-height-relative:page;" filled="f" stroked="f" coordsize="21600,21600">
                  <v:path/>
                  <v:fill on="f" focussize="0,0"/>
                  <v:stroke on="f"/>
                  <v:imagedata o:title=""/>
                  <o:lock v:ext="edit" aspectratio="f"/>
                  <v:textbox inset="0mm,0mm,0mm,0mm">
                    <w:txbxContent>
                      <w:p w14:paraId="1A0D31E9">
                        <w:pPr>
                          <w:spacing w:before="20" w:line="223" w:lineRule="auto"/>
                          <w:ind w:left="20"/>
                          <w:rPr>
                            <w:rFonts w:ascii="黑体" w:hAnsi="黑体" w:eastAsia="黑体" w:cs="黑体"/>
                            <w:sz w:val="13"/>
                            <w:szCs w:val="13"/>
                          </w:rPr>
                        </w:pPr>
                        <w:r>
                          <w:rPr>
                            <w:rFonts w:ascii="黑体" w:hAnsi="黑体" w:eastAsia="黑体" w:cs="黑体"/>
                            <w:b/>
                            <w:bCs/>
                            <w:spacing w:val="-2"/>
                            <w:sz w:val="13"/>
                            <w:szCs w:val="13"/>
                          </w:rPr>
                          <w:t>跟</w:t>
                        </w:r>
                      </w:p>
                    </w:txbxContent>
                  </v:textbox>
                </v:shape>
              </w:pict>
            </w:r>
            <w:r>
              <w:rPr>
                <w:rFonts w:ascii="华文行楷" w:hAnsi="华文行楷" w:eastAsia="华文行楷" w:cs="华文行楷"/>
                <w:sz w:val="13"/>
                <w:szCs w:val="13"/>
              </w:rPr>
              <w:t>盖</w:t>
            </w:r>
          </w:p>
          <w:p w14:paraId="34E27F68">
            <w:pPr>
              <w:spacing w:before="218" w:line="226" w:lineRule="auto"/>
              <w:ind w:left="992"/>
              <w:rPr>
                <w:rFonts w:ascii="黑体" w:hAnsi="黑体" w:eastAsia="黑体" w:cs="黑体"/>
                <w:sz w:val="16"/>
                <w:szCs w:val="16"/>
              </w:rPr>
            </w:pPr>
            <w:r>
              <w:pict>
                <v:shape id="_x0000_s1085" o:spid="_x0000_s1085" o:spt="202" type="#_x0000_t202" style="position:absolute;left:0pt;margin-left:9.1pt;margin-top:4.75pt;height:16.75pt;width:19.85pt;z-index:251824128;mso-width-relative:page;mso-height-relative:page;" filled="f" stroked="f" coordsize="21600,21600">
                  <v:path/>
                  <v:fill on="f" focussize="0,0"/>
                  <v:stroke on="f"/>
                  <v:imagedata o:title=""/>
                  <o:lock v:ext="edit" aspectratio="f"/>
                  <v:textbox inset="0mm,0mm,0mm,0mm">
                    <w:txbxContent>
                      <w:p w14:paraId="4315D0DF">
                        <w:pPr>
                          <w:pStyle w:val="6"/>
                          <w:spacing w:before="19" w:line="227" w:lineRule="auto"/>
                          <w:jc w:val="right"/>
                          <w:rPr>
                            <w:sz w:val="24"/>
                            <w:szCs w:val="24"/>
                          </w:rPr>
                        </w:pPr>
                        <w:r>
                          <w:rPr>
                            <w:b/>
                            <w:bCs/>
                            <w:spacing w:val="-45"/>
                            <w:w w:val="89"/>
                            <w:sz w:val="24"/>
                            <w:szCs w:val="24"/>
                          </w:rPr>
                          <w:t>圭</w:t>
                        </w:r>
                        <w:r>
                          <w:rPr>
                            <w:spacing w:val="-31"/>
                            <w:w w:val="89"/>
                            <w:sz w:val="24"/>
                            <w:szCs w:val="24"/>
                          </w:rPr>
                          <w:t>山</w:t>
                        </w:r>
                      </w:p>
                    </w:txbxContent>
                  </v:textbox>
                </v:shape>
              </w:pict>
            </w:r>
            <w:r>
              <w:rPr>
                <w:rFonts w:ascii="仿宋" w:hAnsi="仿宋" w:eastAsia="仿宋" w:cs="仿宋"/>
                <w:b/>
                <w:bCs/>
                <w:spacing w:val="-7"/>
                <w:sz w:val="16"/>
                <w:szCs w:val="16"/>
              </w:rPr>
              <w:t>金</w:t>
            </w:r>
            <w:r>
              <w:rPr>
                <w:rFonts w:ascii="黑体" w:hAnsi="黑体" w:eastAsia="黑体" w:cs="黑体"/>
                <w:spacing w:val="-7"/>
                <w:sz w:val="16"/>
                <w:szCs w:val="16"/>
              </w:rPr>
              <w:t>马</w:t>
            </w:r>
          </w:p>
        </w:tc>
        <w:tc>
          <w:tcPr>
            <w:tcW w:w="2543" w:type="dxa"/>
            <w:gridSpan w:val="2"/>
            <w:vMerge w:val="restart"/>
            <w:tcBorders>
              <w:bottom w:val="nil"/>
            </w:tcBorders>
            <w:vAlign w:val="top"/>
          </w:tcPr>
          <w:p w14:paraId="5F54A6F9">
            <w:pPr>
              <w:spacing w:before="186" w:line="228" w:lineRule="auto"/>
              <w:ind w:left="36"/>
              <w:rPr>
                <w:rFonts w:ascii="黑体" w:hAnsi="黑体" w:eastAsia="黑体" w:cs="黑体"/>
                <w:sz w:val="15"/>
                <w:szCs w:val="15"/>
              </w:rPr>
            </w:pPr>
            <w:r>
              <w:rPr>
                <w:rFonts w:ascii="黑体" w:hAnsi="黑体" w:eastAsia="黑体" w:cs="黑体"/>
                <w:spacing w:val="-6"/>
                <w:position w:val="2"/>
                <w:sz w:val="19"/>
                <w:szCs w:val="19"/>
              </w:rPr>
              <w:t>白</w:t>
            </w:r>
            <w:r>
              <w:rPr>
                <w:rFonts w:ascii="黑体" w:hAnsi="黑体" w:eastAsia="黑体" w:cs="黑体"/>
                <w:spacing w:val="-11"/>
                <w:position w:val="2"/>
                <w:sz w:val="19"/>
                <w:szCs w:val="19"/>
              </w:rPr>
              <w:t xml:space="preserve"> </w:t>
            </w:r>
            <w:r>
              <w:rPr>
                <w:rFonts w:ascii="黑体" w:hAnsi="黑体" w:eastAsia="黑体" w:cs="黑体"/>
                <w:spacing w:val="-6"/>
                <w:position w:val="2"/>
                <w:sz w:val="19"/>
                <w:szCs w:val="19"/>
              </w:rPr>
              <w:t>水</w:t>
            </w:r>
            <w:r>
              <w:rPr>
                <w:rFonts w:ascii="黑体" w:hAnsi="黑体" w:eastAsia="黑体" w:cs="黑体"/>
                <w:spacing w:val="3"/>
                <w:position w:val="2"/>
                <w:sz w:val="19"/>
                <w:szCs w:val="19"/>
              </w:rPr>
              <w:t xml:space="preserve">               </w:t>
            </w:r>
            <w:r>
              <w:rPr>
                <w:rFonts w:ascii="黑体" w:hAnsi="黑体" w:eastAsia="黑体" w:cs="黑体"/>
                <w:spacing w:val="-6"/>
                <w:position w:val="-4"/>
                <w:sz w:val="15"/>
                <w:szCs w:val="15"/>
              </w:rPr>
              <w:t>五龙</w:t>
            </w:r>
          </w:p>
          <w:p w14:paraId="5E830B3E">
            <w:pPr>
              <w:pStyle w:val="6"/>
              <w:spacing w:before="158" w:line="274" w:lineRule="auto"/>
              <w:ind w:left="95" w:right="625" w:firstLine="48"/>
              <w:rPr>
                <w:sz w:val="18"/>
                <w:szCs w:val="18"/>
              </w:rPr>
            </w:pPr>
            <w:r>
              <w:rPr>
                <w:spacing w:val="-24"/>
                <w:position w:val="-3"/>
                <w:sz w:val="20"/>
                <w:szCs w:val="20"/>
              </w:rPr>
              <w:t xml:space="preserve">西       </w:t>
            </w:r>
            <w:r>
              <w:rPr>
                <w:rFonts w:ascii="隶书" w:hAnsi="隶书" w:eastAsia="隶书" w:cs="隶书"/>
                <w:spacing w:val="-24"/>
                <w:position w:val="1"/>
                <w:sz w:val="20"/>
                <w:szCs w:val="20"/>
              </w:rPr>
              <w:t>只龙庆黄梨树</w:t>
            </w:r>
            <w:r>
              <w:rPr>
                <w:rFonts w:ascii="隶书" w:hAnsi="隶书" w:eastAsia="隶书" w:cs="隶书"/>
                <w:spacing w:val="8"/>
                <w:position w:val="1"/>
                <w:sz w:val="20"/>
                <w:szCs w:val="20"/>
              </w:rPr>
              <w:t xml:space="preserve"> </w:t>
            </w:r>
            <w:r>
              <w:rPr>
                <w:rFonts w:ascii="华文行楷" w:hAnsi="华文行楷" w:eastAsia="华文行楷" w:cs="华文行楷"/>
                <w:spacing w:val="20"/>
                <w:sz w:val="18"/>
                <w:szCs w:val="18"/>
              </w:rPr>
              <w:t>俱</w:t>
            </w:r>
            <w:r>
              <w:rPr>
                <w:b/>
                <w:bCs/>
                <w:spacing w:val="20"/>
                <w:sz w:val="18"/>
                <w:szCs w:val="18"/>
              </w:rPr>
              <w:t>久</w:t>
            </w:r>
          </w:p>
        </w:tc>
        <w:tc>
          <w:tcPr>
            <w:tcW w:w="1997" w:type="dxa"/>
            <w:vMerge w:val="restart"/>
            <w:tcBorders>
              <w:bottom w:val="nil"/>
            </w:tcBorders>
            <w:vAlign w:val="top"/>
          </w:tcPr>
          <w:p w14:paraId="69DD8C17">
            <w:pPr>
              <w:spacing w:line="289" w:lineRule="auto"/>
              <w:rPr>
                <w:rFonts w:ascii="Arial"/>
                <w:sz w:val="21"/>
              </w:rPr>
            </w:pPr>
          </w:p>
          <w:p w14:paraId="71F1BF56">
            <w:pPr>
              <w:spacing w:before="143" w:line="165" w:lineRule="auto"/>
              <w:ind w:left="1363"/>
              <w:rPr>
                <w:rFonts w:ascii="隶书" w:hAnsi="隶书" w:eastAsia="隶书" w:cs="隶书"/>
                <w:sz w:val="44"/>
                <w:szCs w:val="44"/>
              </w:rPr>
            </w:pPr>
            <w:r>
              <w:rPr>
                <w:rFonts w:ascii="隶书" w:hAnsi="隶书" w:eastAsia="隶书" w:cs="隶书"/>
                <w:sz w:val="44"/>
                <w:szCs w:val="44"/>
              </w:rPr>
              <w:t>西</w:t>
            </w:r>
          </w:p>
          <w:p w14:paraId="339079F0">
            <w:pPr>
              <w:spacing w:line="282" w:lineRule="auto"/>
              <w:rPr>
                <w:rFonts w:ascii="Arial"/>
                <w:sz w:val="21"/>
              </w:rPr>
            </w:pPr>
          </w:p>
          <w:p w14:paraId="56BCC4E1">
            <w:pPr>
              <w:spacing w:before="43" w:line="222" w:lineRule="auto"/>
              <w:ind w:left="1222"/>
              <w:rPr>
                <w:rFonts w:ascii="黑体" w:hAnsi="黑体" w:eastAsia="黑体" w:cs="黑体"/>
                <w:sz w:val="13"/>
                <w:szCs w:val="13"/>
              </w:rPr>
            </w:pPr>
            <w:r>
              <w:rPr>
                <w:rFonts w:ascii="黑体" w:hAnsi="黑体" w:eastAsia="黑体" w:cs="黑体"/>
                <w:spacing w:val="-2"/>
                <w:sz w:val="13"/>
                <w:szCs w:val="13"/>
              </w:rPr>
              <w:t>别烈</w:t>
            </w:r>
          </w:p>
          <w:p w14:paraId="793A990A">
            <w:pPr>
              <w:spacing w:line="297" w:lineRule="auto"/>
              <w:rPr>
                <w:rFonts w:ascii="Arial"/>
                <w:sz w:val="21"/>
              </w:rPr>
            </w:pPr>
          </w:p>
          <w:p w14:paraId="3958644E">
            <w:pPr>
              <w:pStyle w:val="6"/>
              <w:spacing w:before="75" w:line="217" w:lineRule="auto"/>
              <w:jc w:val="right"/>
              <w:rPr>
                <w:sz w:val="15"/>
                <w:szCs w:val="15"/>
              </w:rPr>
            </w:pPr>
            <w:r>
              <w:rPr>
                <w:rFonts w:ascii="隶书" w:hAnsi="隶书" w:eastAsia="隶书" w:cs="隶书"/>
                <w:spacing w:val="-5"/>
                <w:w w:val="79"/>
                <w:position w:val="-4"/>
                <w:sz w:val="23"/>
                <w:szCs w:val="23"/>
              </w:rPr>
              <w:t>纳</w:t>
            </w:r>
            <w:r>
              <w:rPr>
                <w:rFonts w:ascii="隶书" w:hAnsi="隶书" w:eastAsia="隶书" w:cs="隶书"/>
                <w:b/>
                <w:bCs/>
                <w:spacing w:val="-5"/>
                <w:w w:val="79"/>
                <w:position w:val="-4"/>
                <w:sz w:val="23"/>
                <w:szCs w:val="23"/>
              </w:rPr>
              <w:t>施</w:t>
            </w:r>
            <w:r>
              <w:rPr>
                <w:rFonts w:ascii="隶书" w:hAnsi="隶书" w:eastAsia="隶书" w:cs="隶书"/>
                <w:spacing w:val="16"/>
                <w:position w:val="-4"/>
                <w:sz w:val="23"/>
                <w:szCs w:val="23"/>
              </w:rPr>
              <w:t xml:space="preserve">  </w:t>
            </w:r>
            <w:r>
              <w:rPr>
                <w:rFonts w:ascii="黑体" w:hAnsi="黑体" w:eastAsia="黑体" w:cs="黑体"/>
                <w:spacing w:val="3"/>
                <w:sz w:val="15"/>
                <w:szCs w:val="15"/>
              </w:rPr>
              <w:t>者太</w:t>
            </w:r>
            <w:r>
              <w:rPr>
                <w:rFonts w:ascii="黑体" w:hAnsi="黑体" w:eastAsia="黑体" w:cs="黑体"/>
                <w:sz w:val="15"/>
                <w:szCs w:val="15"/>
              </w:rPr>
              <w:t xml:space="preserve">         </w:t>
            </w:r>
            <w:r>
              <w:rPr>
                <w:b/>
                <w:bCs/>
                <w:spacing w:val="3"/>
                <w:position w:val="3"/>
                <w:sz w:val="15"/>
                <w:szCs w:val="15"/>
              </w:rPr>
              <w:t>底圩</w:t>
            </w:r>
          </w:p>
          <w:p w14:paraId="0E04EA68">
            <w:pPr>
              <w:pStyle w:val="6"/>
              <w:spacing w:before="171" w:line="356" w:lineRule="auto"/>
              <w:ind w:left="672" w:right="67" w:hanging="287"/>
              <w:rPr>
                <w:rFonts w:ascii="隶书" w:hAnsi="隶书" w:eastAsia="隶书" w:cs="隶书"/>
                <w:sz w:val="19"/>
                <w:szCs w:val="19"/>
              </w:rPr>
            </w:pPr>
            <w:r>
              <w:rPr>
                <w:b/>
                <w:bCs/>
                <w:spacing w:val="-7"/>
                <w:position w:val="-3"/>
                <w:sz w:val="15"/>
                <w:szCs w:val="15"/>
              </w:rPr>
              <w:t>板江</w:t>
            </w:r>
            <w:r>
              <w:rPr>
                <w:spacing w:val="6"/>
                <w:position w:val="-3"/>
                <w:sz w:val="15"/>
                <w:szCs w:val="15"/>
              </w:rPr>
              <w:t xml:space="preserve">  </w:t>
            </w:r>
            <w:r>
              <w:rPr>
                <w:rFonts w:ascii="黑体" w:hAnsi="黑体" w:eastAsia="黑体" w:cs="黑体"/>
                <w:spacing w:val="-7"/>
                <w:position w:val="-2"/>
                <w:sz w:val="13"/>
                <w:szCs w:val="13"/>
              </w:rPr>
              <w:t>者 免</w:t>
            </w:r>
            <w:r>
              <w:rPr>
                <w:rFonts w:ascii="黑体" w:hAnsi="黑体" w:eastAsia="黑体" w:cs="黑体"/>
                <w:spacing w:val="16"/>
                <w:position w:val="-2"/>
                <w:sz w:val="13"/>
                <w:szCs w:val="13"/>
              </w:rPr>
              <w:t xml:space="preserve"> </w:t>
            </w:r>
            <w:r>
              <w:rPr>
                <w:rFonts w:ascii="黑体" w:hAnsi="黑体" w:eastAsia="黑体" w:cs="黑体"/>
                <w:spacing w:val="-7"/>
                <w:position w:val="-2"/>
                <w:sz w:val="13"/>
                <w:szCs w:val="13"/>
              </w:rPr>
              <w:t>。</w:t>
            </w:r>
            <w:r>
              <w:rPr>
                <w:rFonts w:ascii="黑体" w:hAnsi="黑体" w:eastAsia="黑体" w:cs="黑体"/>
                <w:spacing w:val="21"/>
                <w:position w:val="-2"/>
                <w:sz w:val="13"/>
                <w:szCs w:val="13"/>
              </w:rPr>
              <w:t xml:space="preserve">   </w:t>
            </w:r>
            <w:r>
              <w:rPr>
                <w:rFonts w:ascii="黑体" w:hAnsi="黑体" w:eastAsia="黑体" w:cs="黑体"/>
                <w:spacing w:val="-7"/>
                <w:position w:val="4"/>
                <w:sz w:val="17"/>
                <w:szCs w:val="17"/>
              </w:rPr>
              <w:t>那</w:t>
            </w:r>
            <w:r>
              <w:rPr>
                <w:spacing w:val="-7"/>
                <w:position w:val="4"/>
                <w:sz w:val="17"/>
                <w:szCs w:val="17"/>
              </w:rPr>
              <w:t>伦</w:t>
            </w:r>
            <w:r>
              <w:rPr>
                <w:position w:val="4"/>
                <w:sz w:val="17"/>
                <w:szCs w:val="17"/>
              </w:rPr>
              <w:t xml:space="preserve"> </w:t>
            </w:r>
            <w:r>
              <w:rPr>
                <w:rFonts w:ascii="隶书" w:hAnsi="隶书" w:eastAsia="隶书" w:cs="隶书"/>
                <w:spacing w:val="-6"/>
                <w:w w:val="91"/>
                <w:sz w:val="19"/>
                <w:szCs w:val="19"/>
              </w:rPr>
              <w:t>○珠琳</w:t>
            </w:r>
          </w:p>
        </w:tc>
      </w:tr>
      <w:tr w14:paraId="0A50BE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77" w:hRule="atLeast"/>
        </w:trPr>
        <w:tc>
          <w:tcPr>
            <w:tcW w:w="1714" w:type="dxa"/>
            <w:vMerge w:val="restart"/>
            <w:tcBorders>
              <w:bottom w:val="nil"/>
            </w:tcBorders>
            <w:vAlign w:val="top"/>
          </w:tcPr>
          <w:p w14:paraId="4C1E5176">
            <w:pPr>
              <w:pStyle w:val="6"/>
              <w:spacing w:before="42" w:line="213" w:lineRule="auto"/>
              <w:ind w:left="639" w:right="35" w:firstLine="850"/>
              <w:rPr>
                <w:rFonts w:ascii="黑体" w:hAnsi="黑体" w:eastAsia="黑体" w:cs="黑体"/>
                <w:sz w:val="13"/>
                <w:szCs w:val="13"/>
              </w:rPr>
            </w:pPr>
            <w:r>
              <w:rPr>
                <w:spacing w:val="-11"/>
                <w:sz w:val="20"/>
                <w:szCs w:val="20"/>
              </w:rPr>
              <w:t>泸</w:t>
            </w:r>
            <w:r>
              <w:rPr>
                <w:sz w:val="20"/>
                <w:szCs w:val="20"/>
              </w:rPr>
              <w:t xml:space="preserve"> </w:t>
            </w:r>
            <w:r>
              <w:rPr>
                <w:rFonts w:ascii="黑体" w:hAnsi="黑体" w:eastAsia="黑体" w:cs="黑体"/>
                <w:spacing w:val="9"/>
                <w:sz w:val="13"/>
                <w:szCs w:val="13"/>
              </w:rPr>
              <w:t>午街铺</w:t>
            </w:r>
          </w:p>
          <w:p w14:paraId="5299E244">
            <w:pPr>
              <w:pStyle w:val="6"/>
              <w:spacing w:before="14" w:line="267" w:lineRule="auto"/>
              <w:ind w:right="186" w:firstLine="1281"/>
              <w:rPr>
                <w:rFonts w:ascii="黑体" w:hAnsi="黑体" w:eastAsia="黑体" w:cs="黑体"/>
                <w:sz w:val="19"/>
                <w:szCs w:val="19"/>
              </w:rPr>
            </w:pPr>
            <w:r>
              <w:rPr>
                <w:b/>
                <w:bCs/>
                <w:spacing w:val="-8"/>
                <w:sz w:val="13"/>
                <w:szCs w:val="13"/>
              </w:rPr>
              <w:t>管</w:t>
            </w:r>
            <w:r>
              <w:rPr>
                <w:rFonts w:ascii="黑体" w:hAnsi="黑体" w:eastAsia="黑体" w:cs="黑体"/>
                <w:spacing w:val="-8"/>
                <w:sz w:val="13"/>
                <w:szCs w:val="13"/>
              </w:rPr>
              <w:t>门</w:t>
            </w:r>
            <w:r>
              <w:rPr>
                <w:rFonts w:ascii="黑体" w:hAnsi="黑体" w:eastAsia="黑体" w:cs="黑体"/>
                <w:sz w:val="13"/>
                <w:szCs w:val="13"/>
              </w:rPr>
              <w:t xml:space="preserve"> </w:t>
            </w:r>
            <w:r>
              <w:rPr>
                <w:rFonts w:ascii="黑体" w:hAnsi="黑体" w:eastAsia="黑体" w:cs="黑体"/>
                <w:spacing w:val="19"/>
                <w:sz w:val="19"/>
                <w:szCs w:val="19"/>
              </w:rPr>
              <w:t>◎弥勒</w:t>
            </w:r>
          </w:p>
          <w:p w14:paraId="33027B25">
            <w:pPr>
              <w:spacing w:before="199" w:line="324" w:lineRule="auto"/>
              <w:ind w:left="218" w:right="1107" w:hanging="59"/>
              <w:rPr>
                <w:rFonts w:ascii="黑体" w:hAnsi="黑体" w:eastAsia="黑体" w:cs="黑体"/>
                <w:sz w:val="17"/>
                <w:szCs w:val="17"/>
              </w:rPr>
            </w:pPr>
            <w:r>
              <w:rPr>
                <w:rFonts w:ascii="黑体" w:hAnsi="黑体" w:eastAsia="黑体" w:cs="黑体"/>
                <w:spacing w:val="-8"/>
                <w:sz w:val="16"/>
                <w:szCs w:val="16"/>
              </w:rPr>
              <w:t>新</w:t>
            </w:r>
            <w:r>
              <w:rPr>
                <w:rFonts w:ascii="黑体" w:hAnsi="黑体" w:eastAsia="黑体" w:cs="黑体"/>
                <w:spacing w:val="61"/>
                <w:sz w:val="16"/>
                <w:szCs w:val="16"/>
              </w:rPr>
              <w:t xml:space="preserve"> </w:t>
            </w:r>
            <w:r>
              <w:rPr>
                <w:rFonts w:ascii="黑体" w:hAnsi="黑体" w:eastAsia="黑体" w:cs="黑体"/>
                <w:spacing w:val="-8"/>
                <w:sz w:val="16"/>
                <w:szCs w:val="16"/>
              </w:rPr>
              <w:t>哨</w:t>
            </w:r>
            <w:r>
              <w:rPr>
                <w:rFonts w:ascii="黑体" w:hAnsi="黑体" w:eastAsia="黑体" w:cs="黑体"/>
                <w:sz w:val="16"/>
                <w:szCs w:val="16"/>
              </w:rPr>
              <w:t xml:space="preserve"> </w:t>
            </w:r>
            <w:r>
              <w:rPr>
                <w:rFonts w:ascii="黑体" w:hAnsi="黑体" w:eastAsia="黑体" w:cs="黑体"/>
                <w:spacing w:val="13"/>
                <w:sz w:val="17"/>
                <w:szCs w:val="17"/>
              </w:rPr>
              <w:t>羊街</w:t>
            </w:r>
          </w:p>
        </w:tc>
        <w:tc>
          <w:tcPr>
            <w:tcW w:w="2543" w:type="dxa"/>
            <w:gridSpan w:val="2"/>
            <w:vMerge w:val="continue"/>
            <w:tcBorders>
              <w:top w:val="nil"/>
            </w:tcBorders>
            <w:vAlign w:val="top"/>
          </w:tcPr>
          <w:p w14:paraId="4D1ACDD0">
            <w:pPr>
              <w:rPr>
                <w:rFonts w:ascii="Arial"/>
                <w:sz w:val="21"/>
              </w:rPr>
            </w:pPr>
          </w:p>
        </w:tc>
        <w:tc>
          <w:tcPr>
            <w:tcW w:w="1997" w:type="dxa"/>
            <w:vMerge w:val="continue"/>
            <w:tcBorders>
              <w:top w:val="nil"/>
              <w:bottom w:val="nil"/>
            </w:tcBorders>
            <w:vAlign w:val="top"/>
          </w:tcPr>
          <w:p w14:paraId="15E3E368">
            <w:pPr>
              <w:rPr>
                <w:rFonts w:ascii="Arial"/>
                <w:sz w:val="21"/>
              </w:rPr>
            </w:pPr>
          </w:p>
        </w:tc>
      </w:tr>
      <w:tr w14:paraId="122673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23" w:hRule="atLeast"/>
        </w:trPr>
        <w:tc>
          <w:tcPr>
            <w:tcW w:w="1714" w:type="dxa"/>
            <w:vMerge w:val="continue"/>
            <w:tcBorders>
              <w:top w:val="nil"/>
            </w:tcBorders>
            <w:vAlign w:val="top"/>
          </w:tcPr>
          <w:p w14:paraId="407B5CF8">
            <w:pPr>
              <w:rPr>
                <w:rFonts w:ascii="Arial"/>
                <w:sz w:val="21"/>
              </w:rPr>
            </w:pPr>
          </w:p>
        </w:tc>
        <w:tc>
          <w:tcPr>
            <w:tcW w:w="1487" w:type="dxa"/>
            <w:vAlign w:val="top"/>
          </w:tcPr>
          <w:p w14:paraId="588A1D61">
            <w:pPr>
              <w:pStyle w:val="6"/>
              <w:spacing w:before="142" w:line="254" w:lineRule="auto"/>
              <w:ind w:left="875" w:right="17" w:firstLine="150"/>
              <w:rPr>
                <w:rFonts w:ascii="隶书" w:hAnsi="隶书" w:eastAsia="隶书" w:cs="隶书"/>
                <w:sz w:val="19"/>
                <w:szCs w:val="19"/>
              </w:rPr>
            </w:pPr>
            <w:r>
              <w:rPr>
                <w:rFonts w:ascii="黑体" w:hAnsi="黑体" w:eastAsia="黑体" w:cs="黑体"/>
                <w:spacing w:val="-12"/>
                <w:sz w:val="14"/>
                <w:szCs w:val="14"/>
              </w:rPr>
              <w:t>戈</w:t>
            </w:r>
            <w:r>
              <w:rPr>
                <w:b/>
                <w:bCs/>
                <w:spacing w:val="-12"/>
                <w:sz w:val="14"/>
                <w:szCs w:val="14"/>
              </w:rPr>
              <w:t>寒</w:t>
            </w:r>
            <w:r>
              <w:rPr>
                <w:spacing w:val="-12"/>
                <w:sz w:val="14"/>
                <w:szCs w:val="14"/>
              </w:rPr>
              <w:t xml:space="preserve"> ◎</w:t>
            </w:r>
            <w:r>
              <w:rPr>
                <w:sz w:val="14"/>
                <w:szCs w:val="14"/>
              </w:rPr>
              <w:t xml:space="preserve"> </w:t>
            </w:r>
            <w:r>
              <w:rPr>
                <w:rFonts w:ascii="隶书" w:hAnsi="隶书" w:eastAsia="隶书" w:cs="隶书"/>
                <w:spacing w:val="-12"/>
                <w:sz w:val="19"/>
                <w:szCs w:val="19"/>
              </w:rPr>
              <w:t>官寨</w:t>
            </w:r>
          </w:p>
          <w:p w14:paraId="654F0B46">
            <w:pPr>
              <w:spacing w:line="243" w:lineRule="auto"/>
              <w:rPr>
                <w:rFonts w:ascii="Arial"/>
                <w:sz w:val="21"/>
              </w:rPr>
            </w:pPr>
          </w:p>
          <w:p w14:paraId="0C5791C1">
            <w:pPr>
              <w:spacing w:line="243" w:lineRule="auto"/>
              <w:rPr>
                <w:rFonts w:ascii="Arial"/>
                <w:sz w:val="21"/>
              </w:rPr>
            </w:pPr>
          </w:p>
          <w:p w14:paraId="7BB9C4EA">
            <w:pPr>
              <w:pStyle w:val="6"/>
              <w:spacing w:before="46" w:line="220" w:lineRule="auto"/>
              <w:ind w:left="487"/>
              <w:rPr>
                <w:sz w:val="14"/>
                <w:szCs w:val="14"/>
              </w:rPr>
            </w:pPr>
            <w:r>
              <w:rPr>
                <w:b/>
                <w:bCs/>
                <w:spacing w:val="-8"/>
                <w:sz w:val="14"/>
                <w:szCs w:val="14"/>
              </w:rPr>
              <w:t>八</w:t>
            </w:r>
            <w:r>
              <w:rPr>
                <w:spacing w:val="-13"/>
                <w:sz w:val="14"/>
                <w:szCs w:val="14"/>
              </w:rPr>
              <w:t xml:space="preserve"> </w:t>
            </w:r>
            <w:r>
              <w:rPr>
                <w:b/>
                <w:bCs/>
                <w:spacing w:val="-8"/>
                <w:sz w:val="14"/>
                <w:szCs w:val="14"/>
              </w:rPr>
              <w:t>道</w:t>
            </w:r>
            <w:r>
              <w:rPr>
                <w:spacing w:val="-8"/>
                <w:sz w:val="14"/>
                <w:szCs w:val="14"/>
              </w:rPr>
              <w:t xml:space="preserve"> </w:t>
            </w:r>
            <w:r>
              <w:rPr>
                <w:b/>
                <w:bCs/>
                <w:spacing w:val="-8"/>
                <w:sz w:val="14"/>
                <w:szCs w:val="14"/>
              </w:rPr>
              <w:t>哨</w:t>
            </w:r>
            <w:r>
              <w:rPr>
                <w:spacing w:val="-8"/>
                <w:sz w:val="14"/>
                <w:szCs w:val="14"/>
              </w:rPr>
              <w:t>。</w:t>
            </w:r>
          </w:p>
        </w:tc>
        <w:tc>
          <w:tcPr>
            <w:tcW w:w="1056" w:type="dxa"/>
            <w:vAlign w:val="top"/>
          </w:tcPr>
          <w:p w14:paraId="77CCE4F1">
            <w:pPr>
              <w:spacing w:before="40" w:line="216" w:lineRule="auto"/>
              <w:ind w:left="208"/>
              <w:rPr>
                <w:rFonts w:ascii="黑体" w:hAnsi="黑体" w:eastAsia="黑体" w:cs="黑体"/>
                <w:sz w:val="13"/>
                <w:szCs w:val="13"/>
              </w:rPr>
            </w:pPr>
            <w:r>
              <w:rPr>
                <w:rFonts w:ascii="黑体" w:hAnsi="黑体" w:eastAsia="黑体" w:cs="黑体"/>
                <w:spacing w:val="-4"/>
                <w:sz w:val="13"/>
                <w:szCs w:val="13"/>
              </w:rPr>
              <w:t xml:space="preserve">2 </w:t>
            </w:r>
            <w:r>
              <w:rPr>
                <w:rFonts w:ascii="黑体" w:hAnsi="黑体" w:eastAsia="黑体" w:cs="黑体"/>
                <w:b/>
                <w:bCs/>
                <w:spacing w:val="-4"/>
                <w:sz w:val="13"/>
                <w:szCs w:val="13"/>
              </w:rPr>
              <w:t>而厦</w:t>
            </w:r>
          </w:p>
          <w:p w14:paraId="62D77907">
            <w:pPr>
              <w:pStyle w:val="6"/>
              <w:spacing w:before="1" w:line="260" w:lineRule="auto"/>
              <w:ind w:left="20" w:right="82" w:firstLine="650"/>
              <w:rPr>
                <w:sz w:val="12"/>
                <w:szCs w:val="12"/>
              </w:rPr>
            </w:pPr>
            <w:r>
              <w:rPr>
                <w:b/>
                <w:bCs/>
                <w:spacing w:val="-10"/>
                <w:sz w:val="16"/>
                <w:szCs w:val="16"/>
              </w:rPr>
              <w:t>羊</w:t>
            </w:r>
            <w:r>
              <w:rPr>
                <w:rFonts w:ascii="黑体" w:hAnsi="黑体" w:eastAsia="黑体" w:cs="黑体"/>
                <w:spacing w:val="-10"/>
                <w:sz w:val="16"/>
                <w:szCs w:val="16"/>
              </w:rPr>
              <w:t>街</w:t>
            </w:r>
            <w:r>
              <w:rPr>
                <w:rFonts w:ascii="黑体" w:hAnsi="黑体" w:eastAsia="黑体" w:cs="黑体"/>
                <w:sz w:val="16"/>
                <w:szCs w:val="16"/>
              </w:rPr>
              <w:t xml:space="preserve"> </w:t>
            </w:r>
            <w:r>
              <w:rPr>
                <w:b/>
                <w:bCs/>
                <w:spacing w:val="-6"/>
                <w:sz w:val="12"/>
                <w:szCs w:val="12"/>
              </w:rPr>
              <w:t>羊</w:t>
            </w:r>
            <w:r>
              <w:rPr>
                <w:spacing w:val="-14"/>
                <w:sz w:val="12"/>
                <w:szCs w:val="12"/>
              </w:rPr>
              <w:t xml:space="preserve"> </w:t>
            </w:r>
            <w:r>
              <w:rPr>
                <w:b/>
                <w:bCs/>
                <w:spacing w:val="-6"/>
                <w:sz w:val="12"/>
                <w:szCs w:val="12"/>
              </w:rPr>
              <w:t>七</w:t>
            </w:r>
            <w:r>
              <w:rPr>
                <w:spacing w:val="-13"/>
                <w:sz w:val="12"/>
                <w:szCs w:val="12"/>
              </w:rPr>
              <w:t xml:space="preserve"> </w:t>
            </w:r>
            <w:r>
              <w:rPr>
                <w:b/>
                <w:bCs/>
                <w:spacing w:val="-6"/>
                <w:sz w:val="12"/>
                <w:szCs w:val="12"/>
              </w:rPr>
              <w:t>沟</w:t>
            </w:r>
          </w:p>
          <w:p w14:paraId="4D73B14D">
            <w:pPr>
              <w:pStyle w:val="6"/>
              <w:spacing w:before="232" w:line="222" w:lineRule="auto"/>
              <w:ind w:left="19"/>
              <w:rPr>
                <w:sz w:val="13"/>
                <w:szCs w:val="13"/>
              </w:rPr>
            </w:pPr>
            <w:r>
              <w:rPr>
                <w:rFonts w:ascii="黑体" w:hAnsi="黑体" w:eastAsia="黑体" w:cs="黑体"/>
                <w:sz w:val="13"/>
                <w:szCs w:val="13"/>
              </w:rPr>
              <w:t>双</w:t>
            </w:r>
            <w:r>
              <w:rPr>
                <w:b/>
                <w:bCs/>
                <w:sz w:val="13"/>
                <w:szCs w:val="13"/>
              </w:rPr>
              <w:t>龙</w:t>
            </w:r>
            <w:r>
              <w:rPr>
                <w:spacing w:val="-13"/>
                <w:sz w:val="13"/>
                <w:szCs w:val="13"/>
              </w:rPr>
              <w:t xml:space="preserve"> </w:t>
            </w:r>
            <w:r>
              <w:rPr>
                <w:b/>
                <w:bCs/>
                <w:sz w:val="13"/>
                <w:szCs w:val="13"/>
              </w:rPr>
              <w:t>营</w:t>
            </w:r>
          </w:p>
          <w:p w14:paraId="5C48721D">
            <w:pPr>
              <w:spacing w:before="146" w:line="175" w:lineRule="auto"/>
              <w:ind w:left="548"/>
              <w:rPr>
                <w:rFonts w:ascii="隶书" w:hAnsi="隶书" w:eastAsia="隶书" w:cs="隶书"/>
                <w:sz w:val="28"/>
                <w:szCs w:val="28"/>
              </w:rPr>
            </w:pPr>
            <w:r>
              <w:rPr>
                <w:rFonts w:ascii="隶书" w:hAnsi="隶书" w:eastAsia="隶书" w:cs="隶书"/>
                <w:spacing w:val="-6"/>
                <w:w w:val="79"/>
                <w:sz w:val="28"/>
                <w:szCs w:val="28"/>
              </w:rPr>
              <w:t>平寨</w:t>
            </w:r>
          </w:p>
        </w:tc>
        <w:tc>
          <w:tcPr>
            <w:tcW w:w="1997" w:type="dxa"/>
            <w:vMerge w:val="continue"/>
            <w:tcBorders>
              <w:top w:val="nil"/>
            </w:tcBorders>
            <w:vAlign w:val="top"/>
          </w:tcPr>
          <w:p w14:paraId="0A16FAF3">
            <w:pPr>
              <w:rPr>
                <w:rFonts w:ascii="Arial"/>
                <w:sz w:val="21"/>
              </w:rPr>
            </w:pPr>
          </w:p>
        </w:tc>
      </w:tr>
    </w:tbl>
    <w:p w14:paraId="48E5C02F">
      <w:pPr>
        <w:pStyle w:val="2"/>
        <w:spacing w:line="29" w:lineRule="exact"/>
        <w:rPr>
          <w:sz w:val="2"/>
        </w:rPr>
      </w:pPr>
    </w:p>
    <w:p w14:paraId="5AF4371D">
      <w:pPr>
        <w:spacing w:line="29" w:lineRule="exact"/>
        <w:rPr>
          <w:sz w:val="2"/>
          <w:szCs w:val="2"/>
        </w:rPr>
        <w:sectPr>
          <w:type w:val="continuous"/>
          <w:pgSz w:w="11900" w:h="16830"/>
          <w:pgMar w:top="1177" w:right="9" w:bottom="400" w:left="0" w:header="900" w:footer="0" w:gutter="0"/>
          <w:cols w:equalWidth="0" w:num="2">
            <w:col w:w="4271" w:space="100"/>
            <w:col w:w="7520"/>
          </w:cols>
        </w:sectPr>
      </w:pPr>
    </w:p>
    <w:p w14:paraId="36A7C0AF">
      <w:pPr>
        <w:spacing w:line="95" w:lineRule="exact"/>
      </w:pPr>
    </w:p>
    <w:p w14:paraId="773EE1EB">
      <w:pPr>
        <w:spacing w:line="95" w:lineRule="exact"/>
        <w:sectPr>
          <w:type w:val="continuous"/>
          <w:pgSz w:w="11900" w:h="16830"/>
          <w:pgMar w:top="1177" w:right="9" w:bottom="400" w:left="0" w:header="900" w:footer="0" w:gutter="0"/>
          <w:cols w:equalWidth="0" w:num="1">
            <w:col w:w="11891"/>
          </w:cols>
        </w:sectPr>
      </w:pPr>
    </w:p>
    <w:p w14:paraId="77D108CE">
      <w:pPr>
        <w:spacing w:before="88" w:line="219" w:lineRule="auto"/>
        <w:ind w:left="2540"/>
        <w:rPr>
          <w:rFonts w:ascii="宋体" w:hAnsi="宋体" w:eastAsia="宋体" w:cs="宋体"/>
          <w:sz w:val="20"/>
          <w:szCs w:val="20"/>
        </w:rPr>
      </w:pPr>
      <w:r>
        <w:rPr>
          <w:rFonts w:ascii="宋体" w:hAnsi="宋体" w:eastAsia="宋体" w:cs="宋体"/>
          <w:spacing w:val="21"/>
          <w:sz w:val="20"/>
          <w:szCs w:val="20"/>
        </w:rPr>
        <w:t>高速公路</w:t>
      </w:r>
    </w:p>
    <w:p w14:paraId="44EFFDFD">
      <w:pPr>
        <w:pStyle w:val="2"/>
        <w:spacing w:line="278" w:lineRule="auto"/>
      </w:pPr>
    </w:p>
    <w:p w14:paraId="49BEA0F4">
      <w:pPr>
        <w:pStyle w:val="2"/>
        <w:spacing w:line="278" w:lineRule="auto"/>
      </w:pPr>
    </w:p>
    <w:p w14:paraId="2E4EE19E">
      <w:pPr>
        <w:spacing w:before="72" w:line="221" w:lineRule="auto"/>
        <w:ind w:left="2540"/>
        <w:rPr>
          <w:rFonts w:ascii="黑体" w:hAnsi="黑体" w:eastAsia="黑体" w:cs="黑体"/>
          <w:sz w:val="22"/>
          <w:szCs w:val="22"/>
        </w:rPr>
      </w:pPr>
      <w:r>
        <w:rPr>
          <w:rFonts w:ascii="黑体" w:hAnsi="黑体" w:eastAsia="黑体" w:cs="黑体"/>
          <w:spacing w:val="3"/>
          <w:sz w:val="22"/>
          <w:szCs w:val="22"/>
        </w:rPr>
        <w:t>高等级公路</w:t>
      </w:r>
    </w:p>
    <w:p w14:paraId="2E2AF730">
      <w:pPr>
        <w:pStyle w:val="2"/>
        <w:spacing w:line="295" w:lineRule="auto"/>
      </w:pPr>
    </w:p>
    <w:p w14:paraId="011B9D12">
      <w:pPr>
        <w:pStyle w:val="2"/>
        <w:spacing w:line="295" w:lineRule="auto"/>
      </w:pPr>
    </w:p>
    <w:p w14:paraId="283D5CAF">
      <w:pPr>
        <w:spacing w:before="72" w:line="219" w:lineRule="auto"/>
        <w:ind w:left="2543"/>
        <w:rPr>
          <w:rFonts w:ascii="宋体" w:hAnsi="宋体" w:eastAsia="宋体" w:cs="宋体"/>
          <w:sz w:val="22"/>
          <w:szCs w:val="22"/>
        </w:rPr>
      </w:pPr>
      <w:r>
        <w:rPr>
          <w:rFonts w:ascii="宋体" w:hAnsi="宋体" w:eastAsia="宋体" w:cs="宋体"/>
          <w:b/>
          <w:bCs/>
          <w:spacing w:val="1"/>
          <w:sz w:val="22"/>
          <w:szCs w:val="22"/>
        </w:rPr>
        <w:t>国道及编号</w:t>
      </w:r>
    </w:p>
    <w:p w14:paraId="380A6FF4">
      <w:pPr>
        <w:spacing w:line="16" w:lineRule="exact"/>
      </w:pPr>
    </w:p>
    <w:p w14:paraId="232F5345">
      <w:pPr>
        <w:pStyle w:val="2"/>
        <w:spacing w:line="14" w:lineRule="auto"/>
        <w:rPr>
          <w:sz w:val="2"/>
        </w:rPr>
      </w:pPr>
      <w:r>
        <w:rPr>
          <w:sz w:val="2"/>
          <w:szCs w:val="2"/>
        </w:rPr>
        <w:br w:type="column"/>
      </w:r>
    </w:p>
    <w:p w14:paraId="057AA0B0">
      <w:pPr>
        <w:spacing w:before="77" w:line="222" w:lineRule="auto"/>
        <w:rPr>
          <w:rFonts w:ascii="宋体" w:hAnsi="宋体" w:eastAsia="宋体" w:cs="宋体"/>
          <w:sz w:val="21"/>
          <w:szCs w:val="21"/>
        </w:rPr>
      </w:pPr>
      <w:r>
        <w:rPr>
          <w:rFonts w:ascii="黑体" w:hAnsi="黑体" w:eastAsia="黑体" w:cs="黑体"/>
          <w:spacing w:val="-7"/>
          <w:sz w:val="21"/>
          <w:szCs w:val="21"/>
        </w:rPr>
        <w:t>省</w:t>
      </w:r>
      <w:r>
        <w:rPr>
          <w:rFonts w:ascii="黑体" w:hAnsi="黑体" w:eastAsia="黑体" w:cs="黑体"/>
          <w:spacing w:val="6"/>
          <w:sz w:val="21"/>
          <w:szCs w:val="21"/>
        </w:rPr>
        <w:t xml:space="preserve">   </w:t>
      </w:r>
      <w:r>
        <w:rPr>
          <w:rFonts w:ascii="宋体" w:hAnsi="宋体" w:eastAsia="宋体" w:cs="宋体"/>
          <w:b/>
          <w:bCs/>
          <w:spacing w:val="-7"/>
          <w:sz w:val="21"/>
          <w:szCs w:val="21"/>
        </w:rPr>
        <w:t>道</w:t>
      </w:r>
    </w:p>
    <w:p w14:paraId="3198A87C">
      <w:pPr>
        <w:pStyle w:val="2"/>
        <w:spacing w:line="284" w:lineRule="auto"/>
      </w:pPr>
    </w:p>
    <w:p w14:paraId="03363614">
      <w:pPr>
        <w:pStyle w:val="2"/>
        <w:spacing w:line="284" w:lineRule="auto"/>
      </w:pPr>
    </w:p>
    <w:p w14:paraId="791D7B52">
      <w:pPr>
        <w:spacing w:before="66" w:line="219" w:lineRule="auto"/>
        <w:rPr>
          <w:rFonts w:ascii="宋体" w:hAnsi="宋体" w:eastAsia="宋体" w:cs="宋体"/>
          <w:sz w:val="20"/>
          <w:szCs w:val="20"/>
        </w:rPr>
      </w:pPr>
      <w:r>
        <w:rPr>
          <w:rFonts w:ascii="宋体" w:hAnsi="宋体" w:eastAsia="宋体" w:cs="宋体"/>
          <w:spacing w:val="13"/>
          <w:sz w:val="20"/>
          <w:szCs w:val="20"/>
        </w:rPr>
        <w:t>一</w:t>
      </w:r>
      <w:r>
        <w:rPr>
          <w:rFonts w:ascii="宋体" w:hAnsi="宋体" w:eastAsia="宋体" w:cs="宋体"/>
          <w:spacing w:val="-56"/>
          <w:sz w:val="20"/>
          <w:szCs w:val="20"/>
        </w:rPr>
        <w:t xml:space="preserve"> </w:t>
      </w:r>
      <w:r>
        <w:rPr>
          <w:rFonts w:ascii="宋体" w:hAnsi="宋体" w:eastAsia="宋体" w:cs="宋体"/>
          <w:spacing w:val="13"/>
          <w:sz w:val="20"/>
          <w:szCs w:val="20"/>
        </w:rPr>
        <w:t>般公路</w:t>
      </w:r>
    </w:p>
    <w:p w14:paraId="264B4E9B">
      <w:pPr>
        <w:pStyle w:val="2"/>
        <w:spacing w:line="321" w:lineRule="auto"/>
      </w:pPr>
    </w:p>
    <w:p w14:paraId="643EA3E6">
      <w:pPr>
        <w:pStyle w:val="2"/>
        <w:spacing w:line="321" w:lineRule="auto"/>
      </w:pPr>
    </w:p>
    <w:p w14:paraId="61831D79">
      <w:pPr>
        <w:spacing w:before="65" w:line="219" w:lineRule="auto"/>
        <w:rPr>
          <w:rFonts w:ascii="宋体" w:hAnsi="宋体" w:eastAsia="宋体" w:cs="宋体"/>
          <w:sz w:val="20"/>
          <w:szCs w:val="20"/>
        </w:rPr>
      </w:pPr>
      <w:r>
        <w:rPr>
          <w:rFonts w:ascii="宋体" w:hAnsi="宋体" w:eastAsia="宋体" w:cs="宋体"/>
          <w:spacing w:val="25"/>
          <w:sz w:val="20"/>
          <w:szCs w:val="20"/>
        </w:rPr>
        <w:t>地州界线</w:t>
      </w:r>
    </w:p>
    <w:p w14:paraId="71A92AFB">
      <w:pPr>
        <w:pStyle w:val="2"/>
        <w:spacing w:line="14" w:lineRule="auto"/>
        <w:rPr>
          <w:sz w:val="2"/>
        </w:rPr>
      </w:pPr>
      <w:r>
        <w:rPr>
          <w:sz w:val="2"/>
          <w:szCs w:val="2"/>
        </w:rPr>
        <w:br w:type="column"/>
      </w:r>
    </w:p>
    <w:p w14:paraId="3DC1F0CB">
      <w:pPr>
        <w:pStyle w:val="2"/>
        <w:spacing w:line="299" w:lineRule="auto"/>
      </w:pPr>
    </w:p>
    <w:p w14:paraId="0A2A01C5">
      <w:pPr>
        <w:pStyle w:val="2"/>
        <w:spacing w:line="299" w:lineRule="auto"/>
      </w:pPr>
    </w:p>
    <w:p w14:paraId="7B5D0DB7">
      <w:pPr>
        <w:pStyle w:val="2"/>
        <w:spacing w:line="300" w:lineRule="auto"/>
      </w:pPr>
    </w:p>
    <w:p w14:paraId="52231CDB">
      <w:pPr>
        <w:spacing w:before="75" w:line="237" w:lineRule="auto"/>
        <w:rPr>
          <w:rFonts w:ascii="宋体" w:hAnsi="宋体" w:eastAsia="宋体" w:cs="宋体"/>
          <w:sz w:val="23"/>
          <w:szCs w:val="23"/>
        </w:rPr>
      </w:pPr>
      <w:r>
        <w:rPr>
          <w:rFonts w:ascii="宋体" w:hAnsi="宋体" w:eastAsia="宋体" w:cs="宋体"/>
          <w:sz w:val="23"/>
          <w:szCs w:val="23"/>
        </w:rPr>
        <w:t>◎</w:t>
      </w:r>
    </w:p>
    <w:p w14:paraId="18AC26C7">
      <w:pPr>
        <w:pStyle w:val="2"/>
        <w:spacing w:line="14" w:lineRule="auto"/>
        <w:rPr>
          <w:sz w:val="2"/>
        </w:rPr>
      </w:pPr>
      <w:r>
        <w:rPr>
          <w:sz w:val="2"/>
          <w:szCs w:val="2"/>
        </w:rPr>
        <w:br w:type="column"/>
      </w:r>
    </w:p>
    <w:p w14:paraId="2654CAF7">
      <w:pPr>
        <w:spacing w:before="95" w:line="219" w:lineRule="auto"/>
        <w:rPr>
          <w:rFonts w:ascii="宋体" w:hAnsi="宋体" w:eastAsia="宋体" w:cs="宋体"/>
          <w:sz w:val="20"/>
          <w:szCs w:val="20"/>
        </w:rPr>
      </w:pPr>
      <w:r>
        <w:rPr>
          <w:rFonts w:ascii="宋体" w:hAnsi="宋体" w:eastAsia="宋体" w:cs="宋体"/>
          <w:spacing w:val="17"/>
          <w:sz w:val="20"/>
          <w:szCs w:val="20"/>
        </w:rPr>
        <w:t>地州市驻地</w:t>
      </w:r>
    </w:p>
    <w:p w14:paraId="1B7FB3D0">
      <w:pPr>
        <w:pStyle w:val="2"/>
        <w:spacing w:line="275" w:lineRule="auto"/>
      </w:pPr>
    </w:p>
    <w:p w14:paraId="07C44A25">
      <w:pPr>
        <w:pStyle w:val="2"/>
        <w:spacing w:line="275" w:lineRule="auto"/>
      </w:pPr>
    </w:p>
    <w:p w14:paraId="4FBAE1A3">
      <w:pPr>
        <w:spacing w:before="69" w:line="219" w:lineRule="auto"/>
        <w:ind w:left="3"/>
        <w:rPr>
          <w:rFonts w:ascii="宋体" w:hAnsi="宋体" w:eastAsia="宋体" w:cs="宋体"/>
          <w:sz w:val="21"/>
          <w:szCs w:val="21"/>
        </w:rPr>
      </w:pPr>
      <w:r>
        <w:rPr>
          <w:rFonts w:ascii="宋体" w:hAnsi="宋体" w:eastAsia="宋体" w:cs="宋体"/>
          <w:b/>
          <w:bCs/>
          <w:spacing w:val="4"/>
          <w:sz w:val="21"/>
          <w:szCs w:val="21"/>
        </w:rPr>
        <w:t>县、市驻地</w:t>
      </w:r>
    </w:p>
    <w:p w14:paraId="2EAA484C">
      <w:pPr>
        <w:pStyle w:val="2"/>
        <w:spacing w:line="312" w:lineRule="auto"/>
      </w:pPr>
    </w:p>
    <w:p w14:paraId="23DF8B64">
      <w:pPr>
        <w:pStyle w:val="2"/>
        <w:spacing w:line="312" w:lineRule="auto"/>
      </w:pPr>
    </w:p>
    <w:p w14:paraId="73A85CCB">
      <w:pPr>
        <w:spacing w:before="65" w:line="219" w:lineRule="auto"/>
        <w:rPr>
          <w:rFonts w:ascii="宋体" w:hAnsi="宋体" w:eastAsia="宋体" w:cs="宋体"/>
          <w:sz w:val="20"/>
          <w:szCs w:val="20"/>
        </w:rPr>
      </w:pPr>
      <w:r>
        <w:rPr>
          <w:rFonts w:ascii="宋体" w:hAnsi="宋体" w:eastAsia="宋体" w:cs="宋体"/>
          <w:spacing w:val="17"/>
          <w:sz w:val="20"/>
          <w:szCs w:val="20"/>
        </w:rPr>
        <w:t>乡、镇驻地</w:t>
      </w:r>
    </w:p>
    <w:p w14:paraId="2F3F0A77">
      <w:pPr>
        <w:pStyle w:val="2"/>
        <w:spacing w:line="14" w:lineRule="auto"/>
        <w:rPr>
          <w:sz w:val="2"/>
        </w:rPr>
      </w:pPr>
      <w:r>
        <w:rPr>
          <w:sz w:val="2"/>
          <w:szCs w:val="2"/>
        </w:rPr>
        <w:br w:type="column"/>
      </w:r>
    </w:p>
    <w:p w14:paraId="5479737D">
      <w:pPr>
        <w:pStyle w:val="2"/>
        <w:spacing w:line="267" w:lineRule="auto"/>
      </w:pPr>
    </w:p>
    <w:p w14:paraId="60394701">
      <w:pPr>
        <w:pStyle w:val="2"/>
        <w:spacing w:line="268" w:lineRule="auto"/>
      </w:pPr>
    </w:p>
    <w:p w14:paraId="48385EFD">
      <w:pPr>
        <w:pStyle w:val="2"/>
        <w:spacing w:line="268" w:lineRule="auto"/>
      </w:pPr>
    </w:p>
    <w:p w14:paraId="6357934E">
      <w:pPr>
        <w:spacing w:line="580" w:lineRule="exact"/>
      </w:pPr>
      <w:r>
        <w:rPr>
          <w:position w:val="-11"/>
        </w:rPr>
        <w:drawing>
          <wp:inline distT="0" distB="0" distL="0" distR="0">
            <wp:extent cx="621665" cy="36766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44"/>
                    <a:stretch>
                      <a:fillRect/>
                    </a:stretch>
                  </pic:blipFill>
                  <pic:spPr>
                    <a:xfrm>
                      <a:off x="0" y="0"/>
                      <a:ext cx="622277" cy="368275"/>
                    </a:xfrm>
                    <a:prstGeom prst="rect">
                      <a:avLst/>
                    </a:prstGeom>
                  </pic:spPr>
                </pic:pic>
              </a:graphicData>
            </a:graphic>
          </wp:inline>
        </w:drawing>
      </w:r>
    </w:p>
    <w:p w14:paraId="4C5D2D31">
      <w:pPr>
        <w:pStyle w:val="2"/>
        <w:spacing w:line="14" w:lineRule="auto"/>
        <w:rPr>
          <w:sz w:val="2"/>
        </w:rPr>
      </w:pPr>
      <w:r>
        <w:rPr>
          <w:sz w:val="2"/>
          <w:szCs w:val="2"/>
        </w:rPr>
        <w:br w:type="column"/>
      </w:r>
    </w:p>
    <w:p w14:paraId="2730A3F0">
      <w:pPr>
        <w:spacing w:before="45" w:line="220" w:lineRule="auto"/>
        <w:ind w:left="3"/>
        <w:rPr>
          <w:rFonts w:ascii="宋体" w:hAnsi="宋体" w:eastAsia="宋体" w:cs="宋体"/>
          <w:sz w:val="22"/>
          <w:szCs w:val="22"/>
        </w:rPr>
      </w:pPr>
      <w:r>
        <w:rPr>
          <w:rFonts w:ascii="宋体" w:hAnsi="宋体" w:eastAsia="宋体" w:cs="宋体"/>
          <w:b/>
          <w:bCs/>
          <w:spacing w:val="-4"/>
          <w:sz w:val="22"/>
          <w:szCs w:val="22"/>
        </w:rPr>
        <w:t>重要居民地</w:t>
      </w:r>
    </w:p>
    <w:p w14:paraId="5F39FBB6">
      <w:pPr>
        <w:pStyle w:val="2"/>
        <w:spacing w:line="277" w:lineRule="auto"/>
      </w:pPr>
    </w:p>
    <w:p w14:paraId="4B815683">
      <w:pPr>
        <w:pStyle w:val="2"/>
        <w:spacing w:line="277" w:lineRule="auto"/>
      </w:pPr>
    </w:p>
    <w:p w14:paraId="77879A42">
      <w:pPr>
        <w:spacing w:before="72" w:line="239" w:lineRule="auto"/>
        <w:rPr>
          <w:rFonts w:ascii="华文行楷" w:hAnsi="华文行楷" w:eastAsia="华文行楷" w:cs="华文行楷"/>
          <w:sz w:val="21"/>
          <w:szCs w:val="21"/>
        </w:rPr>
      </w:pPr>
      <w:r>
        <w:rPr>
          <w:rFonts w:ascii="仿宋" w:hAnsi="仿宋" w:eastAsia="仿宋" w:cs="仿宋"/>
          <w:spacing w:val="-7"/>
          <w:sz w:val="21"/>
          <w:szCs w:val="21"/>
        </w:rPr>
        <w:t>水</w:t>
      </w:r>
      <w:r>
        <w:rPr>
          <w:rFonts w:ascii="仿宋" w:hAnsi="仿宋" w:eastAsia="仿宋" w:cs="仿宋"/>
          <w:spacing w:val="9"/>
          <w:sz w:val="21"/>
          <w:szCs w:val="21"/>
        </w:rPr>
        <w:t xml:space="preserve">   </w:t>
      </w:r>
      <w:r>
        <w:rPr>
          <w:rFonts w:ascii="华文行楷" w:hAnsi="华文行楷" w:eastAsia="华文行楷" w:cs="华文行楷"/>
          <w:spacing w:val="-7"/>
          <w:sz w:val="21"/>
          <w:szCs w:val="21"/>
        </w:rPr>
        <w:t>系</w:t>
      </w:r>
    </w:p>
    <w:p w14:paraId="3D64A5D0">
      <w:pPr>
        <w:pStyle w:val="2"/>
        <w:spacing w:line="304" w:lineRule="auto"/>
      </w:pPr>
    </w:p>
    <w:p w14:paraId="44B000DE">
      <w:pPr>
        <w:pStyle w:val="2"/>
        <w:spacing w:line="304" w:lineRule="auto"/>
      </w:pPr>
    </w:p>
    <w:p w14:paraId="60626D57">
      <w:pPr>
        <w:spacing w:before="62" w:line="222" w:lineRule="auto"/>
        <w:rPr>
          <w:rFonts w:ascii="黑体" w:hAnsi="黑体" w:eastAsia="黑体" w:cs="黑体"/>
          <w:sz w:val="19"/>
          <w:szCs w:val="19"/>
        </w:rPr>
      </w:pPr>
      <w:r>
        <w:rPr>
          <w:rFonts w:ascii="黑体" w:hAnsi="黑体" w:eastAsia="黑体" w:cs="黑体"/>
          <w:spacing w:val="35"/>
          <w:sz w:val="19"/>
          <w:szCs w:val="19"/>
        </w:rPr>
        <w:t>矿区位置</w:t>
      </w:r>
    </w:p>
    <w:p w14:paraId="02843C17">
      <w:pPr>
        <w:spacing w:line="222" w:lineRule="auto"/>
        <w:rPr>
          <w:rFonts w:ascii="黑体" w:hAnsi="黑体" w:eastAsia="黑体" w:cs="黑体"/>
          <w:sz w:val="19"/>
          <w:szCs w:val="19"/>
        </w:rPr>
        <w:sectPr>
          <w:type w:val="continuous"/>
          <w:pgSz w:w="11900" w:h="16830"/>
          <w:pgMar w:top="1177" w:right="9" w:bottom="400" w:left="0" w:header="900" w:footer="0" w:gutter="0"/>
          <w:cols w:equalWidth="0" w:num="6">
            <w:col w:w="4730" w:space="100"/>
            <w:col w:w="1440" w:space="100"/>
            <w:col w:w="720" w:space="20"/>
            <w:col w:w="1120" w:space="100"/>
            <w:col w:w="980" w:space="29"/>
            <w:col w:w="2551"/>
          </w:cols>
        </w:sectPr>
      </w:pPr>
    </w:p>
    <w:p w14:paraId="3603ECD2">
      <w:pPr>
        <w:pStyle w:val="2"/>
        <w:spacing w:line="352" w:lineRule="auto"/>
      </w:pPr>
    </w:p>
    <w:p w14:paraId="5528D431">
      <w:pPr>
        <w:pStyle w:val="2"/>
        <w:spacing w:line="353" w:lineRule="auto"/>
      </w:pPr>
    </w:p>
    <w:p w14:paraId="0C6C8330">
      <w:pPr>
        <w:spacing w:before="79" w:line="221" w:lineRule="auto"/>
        <w:ind w:left="5789"/>
        <w:rPr>
          <w:rFonts w:ascii="宋体" w:hAnsi="宋体" w:eastAsia="宋体" w:cs="宋体"/>
          <w:sz w:val="24"/>
          <w:szCs w:val="24"/>
        </w:rPr>
      </w:pPr>
      <w:r>
        <w:rPr>
          <w:rFonts w:ascii="宋体" w:hAnsi="宋体" w:eastAsia="宋体" w:cs="宋体"/>
          <w:spacing w:val="-3"/>
          <w:sz w:val="24"/>
          <w:szCs w:val="24"/>
        </w:rPr>
        <w:t>交通位置图</w:t>
      </w:r>
    </w:p>
    <w:p w14:paraId="1D1126C8">
      <w:pPr>
        <w:pStyle w:val="2"/>
        <w:spacing w:before="254" w:line="204" w:lineRule="exact"/>
        <w:ind w:left="9990"/>
        <w:rPr>
          <w:sz w:val="15"/>
          <w:szCs w:val="15"/>
        </w:rPr>
      </w:pPr>
      <w:r>
        <w:pict>
          <v:shape id="_x0000_s1086" o:spid="_x0000_s1086" o:spt="202" type="#_x0000_t202" style="position:absolute;left:0pt;margin-left:235.5pt;margin-top:12.55pt;height:14.1pt;width:138.6pt;z-index:251792384;mso-width-relative:page;mso-height-relative:page;" filled="f" stroked="f" coordsize="21600,21600">
            <v:path/>
            <v:fill on="f" focussize="0,0"/>
            <v:stroke on="f"/>
            <v:imagedata o:title=""/>
            <o:lock v:ext="edit" aspectratio="f"/>
            <v:textbox inset="0mm,0mm,0mm,0mm">
              <w:txbxContent>
                <w:p w14:paraId="51EF9AB5">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30"/>
                      <w:sz w:val="18"/>
                      <w:szCs w:val="18"/>
                    </w:rPr>
                    <w:t>云南俊成矿业权评估有限公司</w:t>
                  </w:r>
                </w:p>
              </w:txbxContent>
            </v:textbox>
          </v:shape>
        </w:pict>
      </w:r>
      <w:r>
        <w:rPr>
          <w:position w:val="1"/>
          <w:sz w:val="15"/>
          <w:szCs w:val="15"/>
        </w:rPr>
        <w:t>9</w:t>
      </w:r>
    </w:p>
    <w:p w14:paraId="248A1D71">
      <w:pPr>
        <w:spacing w:line="204" w:lineRule="exact"/>
        <w:rPr>
          <w:sz w:val="15"/>
          <w:szCs w:val="15"/>
        </w:rPr>
        <w:sectPr>
          <w:type w:val="continuous"/>
          <w:pgSz w:w="11900" w:h="16830"/>
          <w:pgMar w:top="1177" w:right="9" w:bottom="400" w:left="0" w:header="900" w:footer="0" w:gutter="0"/>
          <w:cols w:equalWidth="0" w:num="1">
            <w:col w:w="11891"/>
          </w:cols>
        </w:sectPr>
      </w:pPr>
    </w:p>
    <w:p w14:paraId="478A3071">
      <w:pPr>
        <w:pStyle w:val="2"/>
        <w:spacing w:line="334" w:lineRule="auto"/>
      </w:pPr>
    </w:p>
    <w:p w14:paraId="0D32F0B6">
      <w:pPr>
        <w:spacing w:before="78" w:line="385" w:lineRule="auto"/>
        <w:ind w:left="84" w:right="209" w:firstLine="390"/>
        <w:rPr>
          <w:rFonts w:ascii="宋体" w:hAnsi="宋体" w:eastAsia="宋体" w:cs="宋体"/>
          <w:sz w:val="24"/>
          <w:szCs w:val="24"/>
        </w:rPr>
      </w:pPr>
      <w:bookmarkStart w:id="14" w:name="bookmark48"/>
      <w:bookmarkEnd w:id="14"/>
      <w:r>
        <w:rPr>
          <w:rFonts w:ascii="宋体" w:hAnsi="宋体" w:eastAsia="宋体" w:cs="宋体"/>
          <w:spacing w:val="-3"/>
          <w:sz w:val="24"/>
          <w:szCs w:val="24"/>
        </w:rPr>
        <w:t>该区属多民族聚居地区，以汉族为主，有少量的苗、彝等民族，工业不发达，</w:t>
      </w:r>
      <w:r>
        <w:rPr>
          <w:rFonts w:ascii="宋体" w:hAnsi="宋体" w:eastAsia="宋体" w:cs="宋体"/>
          <w:sz w:val="24"/>
          <w:szCs w:val="24"/>
        </w:rPr>
        <w:t xml:space="preserve"> 仅有乡镇及个体小煤窑，手工生产，供当地居民生活用煤，</w:t>
      </w:r>
      <w:r>
        <w:rPr>
          <w:rFonts w:ascii="宋体" w:hAnsi="宋体" w:eastAsia="宋体" w:cs="宋体"/>
          <w:spacing w:val="-1"/>
          <w:sz w:val="24"/>
          <w:szCs w:val="24"/>
        </w:rPr>
        <w:t>部分外销。农产品以</w:t>
      </w:r>
      <w:r>
        <w:rPr>
          <w:rFonts w:ascii="宋体" w:hAnsi="宋体" w:eastAsia="宋体" w:cs="宋体"/>
          <w:sz w:val="24"/>
          <w:szCs w:val="24"/>
        </w:rPr>
        <w:t xml:space="preserve"> 玉米、马铃薯、水稻为主，经济作物以烤烟、油菜籽、生姜为主。本区水、电、 </w:t>
      </w:r>
      <w:r>
        <w:rPr>
          <w:rFonts w:ascii="宋体" w:hAnsi="宋体" w:eastAsia="宋体" w:cs="宋体"/>
          <w:spacing w:val="-2"/>
          <w:sz w:val="24"/>
          <w:szCs w:val="24"/>
        </w:rPr>
        <w:t>通信设施齐全，主要工业企业有电站、铅锌采选厂及冶炼厂等。</w:t>
      </w:r>
    </w:p>
    <w:p w14:paraId="313FBDD7">
      <w:pPr>
        <w:spacing w:before="6" w:line="219" w:lineRule="auto"/>
        <w:ind w:left="614"/>
        <w:outlineLvl w:val="1"/>
        <w:rPr>
          <w:rFonts w:ascii="宋体" w:hAnsi="宋体" w:eastAsia="宋体" w:cs="宋体"/>
          <w:sz w:val="24"/>
          <w:szCs w:val="24"/>
        </w:rPr>
      </w:pPr>
      <w:bookmarkStart w:id="15" w:name="bookmark12"/>
      <w:bookmarkEnd w:id="15"/>
      <w:r>
        <w:rPr>
          <w:rFonts w:ascii="宋体" w:hAnsi="宋体" w:eastAsia="宋体" w:cs="宋体"/>
          <w:spacing w:val="5"/>
          <w:sz w:val="24"/>
          <w:szCs w:val="24"/>
        </w:rPr>
        <w:t>7.3地质工作概况</w:t>
      </w:r>
    </w:p>
    <w:p w14:paraId="2A238C64">
      <w:pPr>
        <w:spacing w:before="213" w:line="328" w:lineRule="auto"/>
        <w:ind w:left="84" w:right="259" w:firstLine="639"/>
        <w:rPr>
          <w:rFonts w:ascii="宋体" w:hAnsi="宋体" w:eastAsia="宋体" w:cs="宋体"/>
          <w:sz w:val="25"/>
          <w:szCs w:val="25"/>
        </w:rPr>
      </w:pPr>
      <w:r>
        <w:rPr>
          <w:rFonts w:ascii="宋体" w:hAnsi="宋体" w:eastAsia="宋体" w:cs="宋体"/>
          <w:spacing w:val="-3"/>
          <w:sz w:val="25"/>
          <w:szCs w:val="25"/>
        </w:rPr>
        <w:t>(1)1943年司徒愈旺与胡伦积两同志到矿区调查</w:t>
      </w:r>
      <w:r>
        <w:rPr>
          <w:rFonts w:ascii="宋体" w:hAnsi="宋体" w:eastAsia="宋体" w:cs="宋体"/>
          <w:spacing w:val="-4"/>
          <w:sz w:val="25"/>
          <w:szCs w:val="25"/>
        </w:rPr>
        <w:t>，作有“罗平富乐铅锌矿</w:t>
      </w:r>
      <w:r>
        <w:rPr>
          <w:rFonts w:ascii="宋体" w:hAnsi="宋体" w:eastAsia="宋体" w:cs="宋体"/>
          <w:sz w:val="25"/>
          <w:szCs w:val="25"/>
        </w:rPr>
        <w:t xml:space="preserve"> </w:t>
      </w:r>
      <w:r>
        <w:rPr>
          <w:rFonts w:ascii="宋体" w:hAnsi="宋体" w:eastAsia="宋体" w:cs="宋体"/>
          <w:spacing w:val="-6"/>
          <w:sz w:val="25"/>
          <w:szCs w:val="25"/>
        </w:rPr>
        <w:t>地质报告”一份，并填制有1/50000地质图，1/5000地质柱状剖面图各一幅。报</w:t>
      </w:r>
      <w:r>
        <w:rPr>
          <w:rFonts w:ascii="宋体" w:hAnsi="宋体" w:eastAsia="宋体" w:cs="宋体"/>
          <w:spacing w:val="1"/>
          <w:sz w:val="25"/>
          <w:szCs w:val="25"/>
        </w:rPr>
        <w:t xml:space="preserve"> </w:t>
      </w:r>
      <w:r>
        <w:rPr>
          <w:rFonts w:ascii="宋体" w:hAnsi="宋体" w:eastAsia="宋体" w:cs="宋体"/>
          <w:spacing w:val="-11"/>
          <w:sz w:val="25"/>
          <w:szCs w:val="25"/>
        </w:rPr>
        <w:t>告中认为矿床是交代矿床，成矿作用与燕山运动有关并认为矿石量尚丰富，但对</w:t>
      </w:r>
      <w:r>
        <w:rPr>
          <w:rFonts w:ascii="宋体" w:hAnsi="宋体" w:eastAsia="宋体" w:cs="宋体"/>
          <w:spacing w:val="14"/>
          <w:sz w:val="25"/>
          <w:szCs w:val="25"/>
        </w:rPr>
        <w:t xml:space="preserve"> </w:t>
      </w:r>
      <w:r>
        <w:rPr>
          <w:rFonts w:ascii="宋体" w:hAnsi="宋体" w:eastAsia="宋体" w:cs="宋体"/>
          <w:spacing w:val="-10"/>
          <w:sz w:val="25"/>
          <w:szCs w:val="25"/>
        </w:rPr>
        <w:t>矿体产状与规模、矿石质量等皆未作研究。</w:t>
      </w:r>
    </w:p>
    <w:p w14:paraId="4CD97D94">
      <w:pPr>
        <w:spacing w:before="216" w:line="351" w:lineRule="auto"/>
        <w:ind w:left="84" w:right="187" w:firstLine="639"/>
        <w:rPr>
          <w:rFonts w:ascii="宋体" w:hAnsi="宋体" w:eastAsia="宋体" w:cs="宋体"/>
          <w:sz w:val="24"/>
          <w:szCs w:val="24"/>
        </w:rPr>
      </w:pPr>
      <w:r>
        <w:rPr>
          <w:rFonts w:ascii="宋体" w:hAnsi="宋体" w:eastAsia="宋体" w:cs="宋体"/>
          <w:spacing w:val="-1"/>
          <w:sz w:val="24"/>
          <w:szCs w:val="24"/>
        </w:rPr>
        <w:t>(2)1952年西南地质调查所，滇东矿</w:t>
      </w:r>
      <w:r>
        <w:rPr>
          <w:rFonts w:ascii="宋体" w:hAnsi="宋体" w:eastAsia="宋体" w:cs="宋体"/>
          <w:spacing w:val="-2"/>
          <w:sz w:val="24"/>
          <w:szCs w:val="24"/>
        </w:rPr>
        <w:t>产勘探队到矿区进行过调查，编有“云</w:t>
      </w:r>
      <w:r>
        <w:rPr>
          <w:rFonts w:ascii="宋体" w:hAnsi="宋体" w:eastAsia="宋体" w:cs="宋体"/>
          <w:sz w:val="24"/>
          <w:szCs w:val="24"/>
        </w:rPr>
        <w:t xml:space="preserve"> </w:t>
      </w:r>
      <w:r>
        <w:rPr>
          <w:rFonts w:ascii="宋体" w:hAnsi="宋体" w:eastAsia="宋体" w:cs="宋体"/>
          <w:spacing w:val="-1"/>
          <w:sz w:val="24"/>
          <w:szCs w:val="24"/>
        </w:rPr>
        <w:t>南罗平富乐厂铅锌矿简报”并填制有1/50000地质图，1/2000坑道</w:t>
      </w:r>
      <w:r>
        <w:rPr>
          <w:rFonts w:ascii="宋体" w:hAnsi="宋体" w:eastAsia="宋体" w:cs="宋体"/>
          <w:spacing w:val="-2"/>
          <w:sz w:val="24"/>
          <w:szCs w:val="24"/>
        </w:rPr>
        <w:t>平面图各一幅。</w:t>
      </w:r>
      <w:r>
        <w:rPr>
          <w:rFonts w:ascii="宋体" w:hAnsi="宋体" w:eastAsia="宋体" w:cs="宋体"/>
          <w:sz w:val="24"/>
          <w:szCs w:val="24"/>
        </w:rPr>
        <w:t xml:space="preserve"> 报告中认为：该矿床是属于中温至低温的热水矿床。认为是</w:t>
      </w:r>
      <w:r>
        <w:rPr>
          <w:rFonts w:ascii="宋体" w:hAnsi="宋体" w:eastAsia="宋体" w:cs="宋体"/>
          <w:spacing w:val="-1"/>
          <w:sz w:val="24"/>
          <w:szCs w:val="24"/>
        </w:rPr>
        <w:t>一个有采矿与开矿价</w:t>
      </w:r>
      <w:r>
        <w:rPr>
          <w:rFonts w:ascii="宋体" w:hAnsi="宋体" w:eastAsia="宋体" w:cs="宋体"/>
          <w:sz w:val="24"/>
          <w:szCs w:val="24"/>
        </w:rPr>
        <w:t xml:space="preserve"> 值的地方，但是没有用山地工程进行揭露与采样，对矿</w:t>
      </w:r>
      <w:r>
        <w:rPr>
          <w:rFonts w:ascii="宋体" w:hAnsi="宋体" w:eastAsia="宋体" w:cs="宋体"/>
          <w:spacing w:val="-1"/>
          <w:sz w:val="24"/>
          <w:szCs w:val="24"/>
        </w:rPr>
        <w:t>体规模、质量与储量均提</w:t>
      </w:r>
      <w:r>
        <w:rPr>
          <w:rFonts w:ascii="宋体" w:hAnsi="宋体" w:eastAsia="宋体" w:cs="宋体"/>
          <w:sz w:val="24"/>
          <w:szCs w:val="24"/>
        </w:rPr>
        <w:t xml:space="preserve"> </w:t>
      </w:r>
      <w:r>
        <w:rPr>
          <w:rFonts w:ascii="宋体" w:hAnsi="宋体" w:eastAsia="宋体" w:cs="宋体"/>
          <w:spacing w:val="-1"/>
          <w:sz w:val="24"/>
          <w:szCs w:val="24"/>
        </w:rPr>
        <w:t>不出具体意见，只有地质图比较精确。</w:t>
      </w:r>
    </w:p>
    <w:p w14:paraId="176E9282">
      <w:pPr>
        <w:spacing w:before="216" w:line="351" w:lineRule="auto"/>
        <w:ind w:left="84" w:right="217" w:firstLine="639"/>
        <w:rPr>
          <w:rFonts w:ascii="宋体" w:hAnsi="宋体" w:eastAsia="宋体" w:cs="宋体"/>
          <w:sz w:val="24"/>
          <w:szCs w:val="24"/>
        </w:rPr>
      </w:pPr>
      <w:r>
        <w:rPr>
          <w:rFonts w:ascii="宋体" w:hAnsi="宋体" w:eastAsia="宋体" w:cs="宋体"/>
          <w:spacing w:val="7"/>
          <w:sz w:val="24"/>
          <w:szCs w:val="24"/>
        </w:rPr>
        <w:t>(3)1955年罗平地质队在此开展普查，新发现镉锗等分散元</w:t>
      </w:r>
      <w:r>
        <w:rPr>
          <w:rFonts w:ascii="宋体" w:hAnsi="宋体" w:eastAsia="宋体" w:cs="宋体"/>
          <w:spacing w:val="6"/>
          <w:sz w:val="24"/>
          <w:szCs w:val="24"/>
        </w:rPr>
        <w:t>素，从而转入</w:t>
      </w:r>
      <w:r>
        <w:rPr>
          <w:rFonts w:ascii="宋体" w:hAnsi="宋体" w:eastAsia="宋体" w:cs="宋体"/>
          <w:sz w:val="24"/>
          <w:szCs w:val="24"/>
        </w:rPr>
        <w:t xml:space="preserve"> </w:t>
      </w:r>
      <w:r>
        <w:rPr>
          <w:rFonts w:ascii="宋体" w:hAnsi="宋体" w:eastAsia="宋体" w:cs="宋体"/>
          <w:spacing w:val="3"/>
          <w:sz w:val="24"/>
          <w:szCs w:val="24"/>
        </w:rPr>
        <w:t>铅锌及分散元素综合性勘查。1959年8月由云南地质局罗平地质队提交了《云南</w:t>
      </w:r>
      <w:r>
        <w:rPr>
          <w:rFonts w:ascii="宋体" w:hAnsi="宋体" w:eastAsia="宋体" w:cs="宋体"/>
          <w:spacing w:val="10"/>
          <w:sz w:val="24"/>
          <w:szCs w:val="24"/>
        </w:rPr>
        <w:t xml:space="preserve"> </w:t>
      </w:r>
      <w:r>
        <w:rPr>
          <w:rFonts w:ascii="宋体" w:hAnsi="宋体" w:eastAsia="宋体" w:cs="宋体"/>
          <w:spacing w:val="3"/>
          <w:sz w:val="24"/>
          <w:szCs w:val="24"/>
        </w:rPr>
        <w:t>省罗平县富乐厂多金属矿储量报告书》,以下简称1959年勘探报告。1962年云南</w:t>
      </w:r>
      <w:r>
        <w:rPr>
          <w:rFonts w:ascii="宋体" w:hAnsi="宋体" w:eastAsia="宋体" w:cs="宋体"/>
          <w:spacing w:val="4"/>
          <w:sz w:val="24"/>
          <w:szCs w:val="24"/>
        </w:rPr>
        <w:t xml:space="preserve"> </w:t>
      </w:r>
      <w:r>
        <w:rPr>
          <w:rFonts w:ascii="宋体" w:hAnsi="宋体" w:eastAsia="宋体" w:cs="宋体"/>
          <w:spacing w:val="-2"/>
          <w:sz w:val="24"/>
          <w:szCs w:val="24"/>
        </w:rPr>
        <w:t>省矿产储量委员会对《云南省罗平县富乐厂多金属矿储量报告书》进行复审[(</w:t>
      </w:r>
      <w:r>
        <w:rPr>
          <w:rFonts w:ascii="宋体" w:hAnsi="宋体" w:eastAsia="宋体" w:cs="宋体"/>
          <w:spacing w:val="-3"/>
          <w:sz w:val="24"/>
          <w:szCs w:val="24"/>
        </w:rPr>
        <w:t>62)</w:t>
      </w:r>
      <w:r>
        <w:rPr>
          <w:rFonts w:ascii="宋体" w:hAnsi="宋体" w:eastAsia="宋体" w:cs="宋体"/>
          <w:sz w:val="24"/>
          <w:szCs w:val="24"/>
        </w:rPr>
        <w:t xml:space="preserve"> </w:t>
      </w:r>
      <w:r>
        <w:rPr>
          <w:rFonts w:ascii="宋体" w:hAnsi="宋体" w:eastAsia="宋体" w:cs="宋体"/>
          <w:spacing w:val="3"/>
          <w:sz w:val="24"/>
          <w:szCs w:val="24"/>
        </w:rPr>
        <w:t>云储字第034号]。该储量报告经复审核实后，批准总储量为：</w:t>
      </w:r>
    </w:p>
    <w:p w14:paraId="28804A9D">
      <w:pPr>
        <w:pStyle w:val="2"/>
        <w:spacing w:before="219" w:line="323" w:lineRule="auto"/>
        <w:ind w:left="84" w:right="301" w:firstLine="530"/>
        <w:rPr>
          <w:rFonts w:ascii="宋体" w:hAnsi="宋体" w:eastAsia="宋体" w:cs="宋体"/>
          <w:sz w:val="24"/>
          <w:szCs w:val="24"/>
        </w:rPr>
      </w:pPr>
      <w:r>
        <w:rPr>
          <w:rFonts w:ascii="黑体" w:hAnsi="黑体" w:eastAsia="黑体" w:cs="黑体"/>
          <w:spacing w:val="2"/>
          <w:sz w:val="24"/>
          <w:szCs w:val="24"/>
        </w:rPr>
        <w:t>①锌金属量</w:t>
      </w:r>
      <w:r>
        <w:rPr>
          <w:spacing w:val="2"/>
          <w:sz w:val="24"/>
          <w:szCs w:val="24"/>
        </w:rPr>
        <w:t>B+C</w:t>
      </w:r>
      <w:r>
        <w:rPr>
          <w:rFonts w:ascii="Calibri" w:hAnsi="Calibri" w:eastAsia="Calibri" w:cs="Calibri"/>
          <w:spacing w:val="2"/>
          <w:sz w:val="24"/>
          <w:szCs w:val="24"/>
        </w:rPr>
        <w:t>₁</w:t>
      </w:r>
      <w:r>
        <w:rPr>
          <w:spacing w:val="2"/>
          <w:sz w:val="24"/>
          <w:szCs w:val="24"/>
        </w:rPr>
        <w:t>+C</w:t>
      </w:r>
      <w:r>
        <w:rPr>
          <w:rFonts w:ascii="Calibri" w:hAnsi="Calibri" w:eastAsia="Calibri" w:cs="Calibri"/>
          <w:spacing w:val="2"/>
          <w:sz w:val="24"/>
          <w:szCs w:val="24"/>
        </w:rPr>
        <w:t>₂</w:t>
      </w:r>
      <w:r>
        <w:rPr>
          <w:rFonts w:ascii="黑体" w:hAnsi="黑体" w:eastAsia="黑体" w:cs="黑体"/>
          <w:spacing w:val="2"/>
          <w:sz w:val="24"/>
          <w:szCs w:val="24"/>
        </w:rPr>
        <w:t>级279684</w:t>
      </w:r>
      <w:r>
        <w:rPr>
          <w:spacing w:val="2"/>
          <w:sz w:val="24"/>
          <w:szCs w:val="24"/>
        </w:rPr>
        <w:t>t,</w:t>
      </w:r>
      <w:r>
        <w:rPr>
          <w:sz w:val="24"/>
          <w:szCs w:val="24"/>
        </w:rPr>
        <w:t xml:space="preserve">   </w:t>
      </w:r>
      <w:r>
        <w:rPr>
          <w:rFonts w:ascii="黑体" w:hAnsi="黑体" w:eastAsia="黑体" w:cs="黑体"/>
          <w:spacing w:val="2"/>
          <w:sz w:val="24"/>
          <w:szCs w:val="24"/>
        </w:rPr>
        <w:t>其中</w:t>
      </w:r>
      <w:r>
        <w:rPr>
          <w:rFonts w:ascii="黑体" w:hAnsi="黑体" w:eastAsia="黑体" w:cs="黑体"/>
          <w:spacing w:val="1"/>
          <w:sz w:val="24"/>
          <w:szCs w:val="24"/>
        </w:rPr>
        <w:t>按级别分：</w:t>
      </w:r>
      <w:r>
        <w:rPr>
          <w:spacing w:val="1"/>
          <w:sz w:val="24"/>
          <w:szCs w:val="24"/>
        </w:rPr>
        <w:t>B</w:t>
      </w:r>
      <w:r>
        <w:rPr>
          <w:spacing w:val="-18"/>
          <w:sz w:val="24"/>
          <w:szCs w:val="24"/>
        </w:rPr>
        <w:t xml:space="preserve"> </w:t>
      </w:r>
      <w:r>
        <w:rPr>
          <w:rFonts w:ascii="黑体" w:hAnsi="黑体" w:eastAsia="黑体" w:cs="黑体"/>
          <w:spacing w:val="1"/>
          <w:sz w:val="24"/>
          <w:szCs w:val="24"/>
        </w:rPr>
        <w:t>级37366</w:t>
      </w:r>
      <w:r>
        <w:rPr>
          <w:spacing w:val="1"/>
          <w:sz w:val="24"/>
          <w:szCs w:val="24"/>
        </w:rPr>
        <w:t>t,C1</w:t>
      </w:r>
      <w:r>
        <w:rPr>
          <w:spacing w:val="30"/>
          <w:w w:val="101"/>
          <w:sz w:val="24"/>
          <w:szCs w:val="24"/>
        </w:rPr>
        <w:t xml:space="preserve">  </w:t>
      </w:r>
      <w:r>
        <w:rPr>
          <w:rFonts w:ascii="黑体" w:hAnsi="黑体" w:eastAsia="黑体" w:cs="黑体"/>
          <w:spacing w:val="1"/>
          <w:sz w:val="24"/>
          <w:szCs w:val="24"/>
        </w:rPr>
        <w:t>级71994</w:t>
      </w:r>
      <w:r>
        <w:rPr>
          <w:spacing w:val="1"/>
          <w:sz w:val="24"/>
          <w:szCs w:val="24"/>
        </w:rPr>
        <w:t>t,</w:t>
      </w:r>
      <w:r>
        <w:rPr>
          <w:sz w:val="24"/>
          <w:szCs w:val="24"/>
        </w:rPr>
        <w:t xml:space="preserve"> </w:t>
      </w:r>
      <w:r>
        <w:rPr>
          <w:rFonts w:ascii="Times New Roman" w:hAnsi="Times New Roman" w:eastAsia="Times New Roman" w:cs="Times New Roman"/>
          <w:spacing w:val="2"/>
          <w:sz w:val="24"/>
          <w:szCs w:val="24"/>
        </w:rPr>
        <w:t>C₂</w:t>
      </w:r>
      <w:r>
        <w:rPr>
          <w:rFonts w:ascii="仿宋" w:hAnsi="仿宋" w:eastAsia="仿宋" w:cs="仿宋"/>
          <w:spacing w:val="2"/>
          <w:sz w:val="24"/>
          <w:szCs w:val="24"/>
        </w:rPr>
        <w:t>级170324</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按矿段分：老君台</w:t>
      </w:r>
      <w:r>
        <w:rPr>
          <w:rFonts w:ascii="Times New Roman" w:hAnsi="Times New Roman" w:eastAsia="Times New Roman" w:cs="Times New Roman"/>
          <w:spacing w:val="2"/>
          <w:sz w:val="24"/>
          <w:szCs w:val="24"/>
        </w:rPr>
        <w:t>B+C₁+C₂</w:t>
      </w:r>
      <w:r>
        <w:rPr>
          <w:rFonts w:ascii="宋体" w:hAnsi="宋体" w:eastAsia="宋体" w:cs="宋体"/>
          <w:spacing w:val="2"/>
          <w:sz w:val="24"/>
          <w:szCs w:val="24"/>
        </w:rPr>
        <w:t>级149219</w:t>
      </w:r>
      <w:r>
        <w:rPr>
          <w:rFonts w:ascii="Times New Roman" w:hAnsi="Times New Roman" w:eastAsia="Times New Roman" w:cs="Times New Roman"/>
          <w:spacing w:val="2"/>
          <w:sz w:val="24"/>
          <w:szCs w:val="24"/>
        </w:rPr>
        <w:t xml:space="preserve">t; </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新君台</w:t>
      </w:r>
      <w:r>
        <w:rPr>
          <w:rFonts w:ascii="Times New Roman" w:hAnsi="Times New Roman" w:eastAsia="Times New Roman" w:cs="Times New Roman"/>
          <w:spacing w:val="1"/>
          <w:sz w:val="24"/>
          <w:szCs w:val="24"/>
        </w:rPr>
        <w:t>B+C₁+C₂</w:t>
      </w:r>
      <w:r>
        <w:rPr>
          <w:rFonts w:ascii="宋体" w:hAnsi="宋体" w:eastAsia="宋体" w:cs="宋体"/>
          <w:spacing w:val="1"/>
          <w:sz w:val="24"/>
          <w:szCs w:val="24"/>
        </w:rPr>
        <w:t>级93611</w:t>
      </w:r>
      <w:r>
        <w:rPr>
          <w:rFonts w:ascii="Times New Roman" w:hAnsi="Times New Roman" w:eastAsia="Times New Roman" w:cs="Times New Roman"/>
          <w:spacing w:val="1"/>
          <w:sz w:val="24"/>
          <w:szCs w:val="24"/>
        </w:rPr>
        <w:t>t,</w:t>
      </w:r>
      <w:r>
        <w:rPr>
          <w:rFonts w:ascii="Times New Roman" w:hAnsi="Times New Roman" w:eastAsia="Times New Roman" w:cs="Times New Roman"/>
          <w:sz w:val="24"/>
          <w:szCs w:val="24"/>
        </w:rPr>
        <w:t xml:space="preserve">  </w:t>
      </w:r>
      <w:r>
        <w:rPr>
          <w:rFonts w:ascii="宋体" w:hAnsi="宋体" w:eastAsia="宋体" w:cs="宋体"/>
          <w:spacing w:val="5"/>
          <w:sz w:val="24"/>
          <w:szCs w:val="24"/>
        </w:rPr>
        <w:t xml:space="preserve">老厂 </w:t>
      </w:r>
      <w:r>
        <w:rPr>
          <w:rFonts w:ascii="Times New Roman" w:hAnsi="Times New Roman" w:eastAsia="Times New Roman" w:cs="Times New Roman"/>
          <w:spacing w:val="5"/>
          <w:sz w:val="24"/>
          <w:szCs w:val="24"/>
        </w:rPr>
        <w:t>C₂</w:t>
      </w:r>
      <w:r>
        <w:rPr>
          <w:rFonts w:ascii="宋体" w:hAnsi="宋体" w:eastAsia="宋体" w:cs="宋体"/>
          <w:spacing w:val="5"/>
          <w:sz w:val="24"/>
          <w:szCs w:val="24"/>
        </w:rPr>
        <w:t>级14572</w:t>
      </w:r>
      <w:r>
        <w:rPr>
          <w:rFonts w:ascii="Times New Roman" w:hAnsi="Times New Roman" w:eastAsia="Times New Roman" w:cs="Times New Roman"/>
          <w:spacing w:val="5"/>
          <w:sz w:val="24"/>
          <w:szCs w:val="24"/>
        </w:rPr>
        <w:t xml:space="preserve">t,   </w:t>
      </w:r>
      <w:r>
        <w:rPr>
          <w:rFonts w:ascii="宋体" w:hAnsi="宋体" w:eastAsia="宋体" w:cs="宋体"/>
          <w:spacing w:val="5"/>
          <w:sz w:val="24"/>
          <w:szCs w:val="24"/>
        </w:rPr>
        <w:t>新厂</w:t>
      </w:r>
      <w:r>
        <w:rPr>
          <w:rFonts w:ascii="Times New Roman" w:hAnsi="Times New Roman" w:eastAsia="Times New Roman" w:cs="Times New Roman"/>
          <w:spacing w:val="5"/>
          <w:sz w:val="24"/>
          <w:szCs w:val="24"/>
        </w:rPr>
        <w:t>C₂</w:t>
      </w:r>
      <w:r>
        <w:rPr>
          <w:rFonts w:ascii="宋体" w:hAnsi="宋体" w:eastAsia="宋体" w:cs="宋体"/>
          <w:spacing w:val="5"/>
          <w:sz w:val="24"/>
          <w:szCs w:val="24"/>
        </w:rPr>
        <w:t>级12603</w:t>
      </w:r>
      <w:r>
        <w:rPr>
          <w:rFonts w:ascii="Times New Roman" w:hAnsi="Times New Roman" w:eastAsia="Times New Roman" w:cs="Times New Roman"/>
          <w:spacing w:val="5"/>
          <w:sz w:val="24"/>
          <w:szCs w:val="24"/>
        </w:rPr>
        <w:t xml:space="preserve">t,  </w:t>
      </w:r>
      <w:r>
        <w:rPr>
          <w:rFonts w:ascii="宋体" w:hAnsi="宋体" w:eastAsia="宋体" w:cs="宋体"/>
          <w:spacing w:val="5"/>
          <w:sz w:val="24"/>
          <w:szCs w:val="24"/>
        </w:rPr>
        <w:t>拖</w:t>
      </w:r>
      <w:r>
        <w:rPr>
          <w:rFonts w:ascii="宋体" w:hAnsi="宋体" w:eastAsia="宋体" w:cs="宋体"/>
          <w:spacing w:val="52"/>
          <w:sz w:val="24"/>
          <w:szCs w:val="24"/>
        </w:rPr>
        <w:t xml:space="preserve"> </w:t>
      </w:r>
      <w:r>
        <w:rPr>
          <w:rFonts w:ascii="宋体" w:hAnsi="宋体" w:eastAsia="宋体" w:cs="宋体"/>
          <w:spacing w:val="5"/>
          <w:sz w:val="24"/>
          <w:szCs w:val="24"/>
        </w:rPr>
        <w:t>牛</w:t>
      </w:r>
      <w:r>
        <w:rPr>
          <w:rFonts w:ascii="Times New Roman" w:hAnsi="Times New Roman" w:eastAsia="Times New Roman" w:cs="Times New Roman"/>
          <w:spacing w:val="5"/>
          <w:sz w:val="24"/>
          <w:szCs w:val="24"/>
        </w:rPr>
        <w:t>C₂</w:t>
      </w:r>
      <w:r>
        <w:rPr>
          <w:rFonts w:ascii="宋体" w:hAnsi="宋体" w:eastAsia="宋体" w:cs="宋体"/>
          <w:spacing w:val="5"/>
          <w:sz w:val="24"/>
          <w:szCs w:val="24"/>
        </w:rPr>
        <w:t>级9689</w:t>
      </w:r>
      <w:r>
        <w:rPr>
          <w:rFonts w:ascii="Times New Roman" w:hAnsi="Times New Roman" w:eastAsia="Times New Roman" w:cs="Times New Roman"/>
          <w:spacing w:val="5"/>
          <w:sz w:val="24"/>
          <w:szCs w:val="24"/>
        </w:rPr>
        <w:t>t</w:t>
      </w:r>
      <w:r>
        <w:rPr>
          <w:rFonts w:ascii="宋体" w:hAnsi="宋体" w:eastAsia="宋体" w:cs="宋体"/>
          <w:spacing w:val="5"/>
          <w:sz w:val="24"/>
          <w:szCs w:val="24"/>
        </w:rPr>
        <w:t>。</w:t>
      </w:r>
    </w:p>
    <w:p w14:paraId="65241817">
      <w:pPr>
        <w:spacing w:before="214" w:line="300" w:lineRule="auto"/>
        <w:ind w:left="84" w:right="183" w:firstLine="530"/>
        <w:rPr>
          <w:rFonts w:ascii="宋体" w:hAnsi="宋体" w:eastAsia="宋体" w:cs="宋体"/>
          <w:sz w:val="24"/>
          <w:szCs w:val="24"/>
        </w:rPr>
      </w:pPr>
      <w:r>
        <w:rPr>
          <w:rFonts w:ascii="宋体" w:hAnsi="宋体" w:eastAsia="宋体" w:cs="宋体"/>
          <w:spacing w:val="2"/>
          <w:sz w:val="25"/>
          <w:szCs w:val="25"/>
        </w:rPr>
        <w:t>②铅金属量</w:t>
      </w:r>
      <w:r>
        <w:rPr>
          <w:rFonts w:ascii="Times New Roman" w:hAnsi="Times New Roman" w:eastAsia="Times New Roman" w:cs="Times New Roman"/>
          <w:spacing w:val="2"/>
          <w:sz w:val="25"/>
          <w:szCs w:val="25"/>
        </w:rPr>
        <w:t>C₂</w:t>
      </w:r>
      <w:r>
        <w:rPr>
          <w:rFonts w:ascii="宋体" w:hAnsi="宋体" w:eastAsia="宋体" w:cs="宋体"/>
          <w:spacing w:val="2"/>
          <w:sz w:val="25"/>
          <w:szCs w:val="25"/>
        </w:rPr>
        <w:t>级26104</w:t>
      </w:r>
      <w:r>
        <w:rPr>
          <w:rFonts w:ascii="Times New Roman" w:hAnsi="Times New Roman" w:eastAsia="Times New Roman" w:cs="Times New Roman"/>
          <w:spacing w:val="2"/>
          <w:sz w:val="25"/>
          <w:szCs w:val="25"/>
        </w:rPr>
        <w:t xml:space="preserve">t,   </w:t>
      </w:r>
      <w:r>
        <w:rPr>
          <w:rFonts w:ascii="宋体" w:hAnsi="宋体" w:eastAsia="宋体" w:cs="宋体"/>
          <w:spacing w:val="2"/>
          <w:sz w:val="25"/>
          <w:szCs w:val="25"/>
        </w:rPr>
        <w:t>其中按矿段分：老</w:t>
      </w:r>
      <w:r>
        <w:rPr>
          <w:rFonts w:ascii="宋体" w:hAnsi="宋体" w:eastAsia="宋体" w:cs="宋体"/>
          <w:spacing w:val="1"/>
          <w:sz w:val="25"/>
          <w:szCs w:val="25"/>
        </w:rPr>
        <w:t>君台</w:t>
      </w:r>
      <w:r>
        <w:rPr>
          <w:rFonts w:ascii="宋体" w:hAnsi="宋体" w:eastAsia="宋体" w:cs="宋体"/>
          <w:spacing w:val="-52"/>
          <w:sz w:val="25"/>
          <w:szCs w:val="25"/>
        </w:rPr>
        <w:t xml:space="preserve"> </w:t>
      </w:r>
      <w:r>
        <w:rPr>
          <w:rFonts w:ascii="Times New Roman" w:hAnsi="Times New Roman" w:eastAsia="Times New Roman" w:cs="Times New Roman"/>
          <w:spacing w:val="1"/>
          <w:sz w:val="25"/>
          <w:szCs w:val="25"/>
        </w:rPr>
        <w:t>C₂</w:t>
      </w:r>
      <w:r>
        <w:rPr>
          <w:rFonts w:ascii="宋体" w:hAnsi="宋体" w:eastAsia="宋体" w:cs="宋体"/>
          <w:spacing w:val="1"/>
          <w:sz w:val="25"/>
          <w:szCs w:val="25"/>
        </w:rPr>
        <w:t>级9001</w:t>
      </w:r>
      <w:r>
        <w:rPr>
          <w:rFonts w:ascii="Times New Roman" w:hAnsi="Times New Roman" w:eastAsia="Times New Roman" w:cs="Times New Roman"/>
          <w:spacing w:val="1"/>
          <w:sz w:val="25"/>
          <w:szCs w:val="25"/>
        </w:rPr>
        <w:t xml:space="preserve">t,   </w:t>
      </w:r>
      <w:r>
        <w:rPr>
          <w:rFonts w:ascii="宋体" w:hAnsi="宋体" w:eastAsia="宋体" w:cs="宋体"/>
          <w:spacing w:val="1"/>
          <w:sz w:val="25"/>
          <w:szCs w:val="25"/>
        </w:rPr>
        <w:t>新君台</w:t>
      </w:r>
      <w:r>
        <w:rPr>
          <w:rFonts w:ascii="宋体" w:hAnsi="宋体" w:eastAsia="宋体" w:cs="宋体"/>
          <w:spacing w:val="-64"/>
          <w:sz w:val="25"/>
          <w:szCs w:val="25"/>
        </w:rPr>
        <w:t xml:space="preserve"> </w:t>
      </w:r>
      <w:r>
        <w:rPr>
          <w:rFonts w:ascii="Times New Roman" w:hAnsi="Times New Roman" w:eastAsia="Times New Roman" w:cs="Times New Roman"/>
          <w:spacing w:val="1"/>
          <w:sz w:val="25"/>
          <w:szCs w:val="25"/>
        </w:rPr>
        <w:t>C₂</w:t>
      </w:r>
      <w:r>
        <w:rPr>
          <w:rFonts w:ascii="宋体" w:hAnsi="宋体" w:eastAsia="宋体" w:cs="宋体"/>
          <w:spacing w:val="1"/>
          <w:sz w:val="25"/>
          <w:szCs w:val="25"/>
        </w:rPr>
        <w:t>级</w:t>
      </w:r>
      <w:r>
        <w:rPr>
          <w:rFonts w:ascii="宋体" w:hAnsi="宋体" w:eastAsia="宋体" w:cs="宋体"/>
          <w:sz w:val="25"/>
          <w:szCs w:val="25"/>
        </w:rPr>
        <w:t xml:space="preserve"> </w:t>
      </w:r>
      <w:r>
        <w:rPr>
          <w:rFonts w:ascii="宋体" w:hAnsi="宋体" w:eastAsia="宋体" w:cs="宋体"/>
          <w:spacing w:val="6"/>
          <w:sz w:val="24"/>
          <w:szCs w:val="24"/>
        </w:rPr>
        <w:t>11758</w:t>
      </w:r>
      <w:r>
        <w:rPr>
          <w:rFonts w:ascii="Times New Roman" w:hAnsi="Times New Roman" w:eastAsia="Times New Roman" w:cs="Times New Roman"/>
          <w:spacing w:val="6"/>
          <w:sz w:val="24"/>
          <w:szCs w:val="24"/>
        </w:rPr>
        <w:t>t,</w:t>
      </w:r>
      <w:r>
        <w:rPr>
          <w:rFonts w:ascii="Times New Roman" w:hAnsi="Times New Roman" w:eastAsia="Times New Roman" w:cs="Times New Roman"/>
          <w:spacing w:val="1"/>
          <w:sz w:val="24"/>
          <w:szCs w:val="24"/>
        </w:rPr>
        <w:t xml:space="preserve">    </w:t>
      </w:r>
      <w:r>
        <w:rPr>
          <w:rFonts w:ascii="宋体" w:hAnsi="宋体" w:eastAsia="宋体" w:cs="宋体"/>
          <w:spacing w:val="6"/>
          <w:sz w:val="24"/>
          <w:szCs w:val="24"/>
        </w:rPr>
        <w:t>老厂</w:t>
      </w:r>
      <w:r>
        <w:rPr>
          <w:rFonts w:ascii="宋体" w:hAnsi="宋体" w:eastAsia="宋体" w:cs="宋体"/>
          <w:spacing w:val="-65"/>
          <w:sz w:val="24"/>
          <w:szCs w:val="24"/>
        </w:rPr>
        <w:t xml:space="preserve"> </w:t>
      </w:r>
      <w:r>
        <w:rPr>
          <w:rFonts w:ascii="Times New Roman" w:hAnsi="Times New Roman" w:eastAsia="Times New Roman" w:cs="Times New Roman"/>
          <w:spacing w:val="6"/>
          <w:sz w:val="24"/>
          <w:szCs w:val="24"/>
        </w:rPr>
        <w:t>C₂</w:t>
      </w:r>
      <w:r>
        <w:rPr>
          <w:rFonts w:ascii="宋体" w:hAnsi="宋体" w:eastAsia="宋体" w:cs="宋体"/>
          <w:spacing w:val="6"/>
          <w:sz w:val="24"/>
          <w:szCs w:val="24"/>
        </w:rPr>
        <w:t>级3575</w:t>
      </w:r>
      <w:r>
        <w:rPr>
          <w:rFonts w:ascii="Times New Roman" w:hAnsi="Times New Roman" w:eastAsia="Times New Roman" w:cs="Times New Roman"/>
          <w:spacing w:val="6"/>
          <w:sz w:val="24"/>
          <w:szCs w:val="24"/>
        </w:rPr>
        <w:t>t,</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新厂</w:t>
      </w:r>
      <w:r>
        <w:rPr>
          <w:rFonts w:ascii="Times New Roman" w:hAnsi="Times New Roman" w:eastAsia="Times New Roman" w:cs="Times New Roman"/>
          <w:spacing w:val="6"/>
          <w:sz w:val="24"/>
          <w:szCs w:val="24"/>
        </w:rPr>
        <w:t>C₂</w:t>
      </w:r>
      <w:r>
        <w:rPr>
          <w:rFonts w:ascii="宋体" w:hAnsi="宋体" w:eastAsia="宋体" w:cs="宋体"/>
          <w:spacing w:val="6"/>
          <w:sz w:val="24"/>
          <w:szCs w:val="24"/>
        </w:rPr>
        <w:t>级1770</w:t>
      </w:r>
      <w:r>
        <w:rPr>
          <w:rFonts w:ascii="Times New Roman" w:hAnsi="Times New Roman" w:eastAsia="Times New Roman" w:cs="Times New Roman"/>
          <w:spacing w:val="6"/>
          <w:sz w:val="24"/>
          <w:szCs w:val="24"/>
        </w:rPr>
        <w:t>t</w:t>
      </w:r>
      <w:r>
        <w:rPr>
          <w:rFonts w:ascii="宋体" w:hAnsi="宋体" w:eastAsia="宋体" w:cs="宋体"/>
          <w:spacing w:val="6"/>
          <w:sz w:val="24"/>
          <w:szCs w:val="24"/>
        </w:rPr>
        <w:t>。</w:t>
      </w:r>
    </w:p>
    <w:p w14:paraId="2000EE14">
      <w:pPr>
        <w:pStyle w:val="2"/>
        <w:spacing w:before="224" w:line="212" w:lineRule="auto"/>
        <w:ind w:left="614"/>
        <w:rPr>
          <w:rFonts w:ascii="宋体" w:hAnsi="宋体" w:eastAsia="宋体" w:cs="宋体"/>
          <w:sz w:val="24"/>
          <w:szCs w:val="24"/>
        </w:rPr>
      </w:pPr>
      <w:r>
        <w:rPr>
          <w:rFonts w:ascii="黑体" w:hAnsi="黑体" w:eastAsia="黑体" w:cs="黑体"/>
          <w:spacing w:val="8"/>
          <w:sz w:val="24"/>
          <w:szCs w:val="24"/>
        </w:rPr>
        <w:t>③镉</w:t>
      </w:r>
      <w:r>
        <w:rPr>
          <w:spacing w:val="8"/>
          <w:sz w:val="24"/>
          <w:szCs w:val="24"/>
        </w:rPr>
        <w:t>C</w:t>
      </w:r>
      <w:r>
        <w:rPr>
          <w:rFonts w:ascii="Calibri" w:hAnsi="Calibri" w:eastAsia="Calibri" w:cs="Calibri"/>
          <w:spacing w:val="8"/>
          <w:sz w:val="24"/>
          <w:szCs w:val="24"/>
        </w:rPr>
        <w:t xml:space="preserve">₂ </w:t>
      </w:r>
      <w:r>
        <w:rPr>
          <w:rFonts w:ascii="宋体" w:hAnsi="宋体" w:eastAsia="宋体" w:cs="宋体"/>
          <w:spacing w:val="8"/>
          <w:sz w:val="24"/>
          <w:szCs w:val="24"/>
        </w:rPr>
        <w:t>级2359</w:t>
      </w:r>
      <w:r>
        <w:rPr>
          <w:rFonts w:ascii="Times New Roman" w:hAnsi="Times New Roman" w:eastAsia="Times New Roman" w:cs="Times New Roman"/>
          <w:spacing w:val="8"/>
          <w:sz w:val="24"/>
          <w:szCs w:val="24"/>
        </w:rPr>
        <w:t xml:space="preserve">t,   </w:t>
      </w:r>
      <w:r>
        <w:rPr>
          <w:rFonts w:ascii="宋体" w:hAnsi="宋体" w:eastAsia="宋体" w:cs="宋体"/>
          <w:spacing w:val="8"/>
          <w:sz w:val="24"/>
          <w:szCs w:val="24"/>
        </w:rPr>
        <w:t>其中按矿段分：老君台</w:t>
      </w:r>
      <w:r>
        <w:rPr>
          <w:rFonts w:ascii="Times New Roman" w:hAnsi="Times New Roman" w:eastAsia="Times New Roman" w:cs="Times New Roman"/>
          <w:spacing w:val="8"/>
          <w:sz w:val="24"/>
          <w:szCs w:val="24"/>
        </w:rPr>
        <w:t>C₂</w:t>
      </w:r>
      <w:r>
        <w:rPr>
          <w:rFonts w:ascii="宋体" w:hAnsi="宋体" w:eastAsia="宋体" w:cs="宋体"/>
          <w:spacing w:val="8"/>
          <w:sz w:val="24"/>
          <w:szCs w:val="24"/>
        </w:rPr>
        <w:t>级1980</w:t>
      </w:r>
      <w:r>
        <w:rPr>
          <w:rFonts w:ascii="Times New Roman" w:hAnsi="Times New Roman" w:eastAsia="Times New Roman" w:cs="Times New Roman"/>
          <w:spacing w:val="8"/>
          <w:sz w:val="24"/>
          <w:szCs w:val="24"/>
        </w:rPr>
        <w:t xml:space="preserve">t, </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新君台</w:t>
      </w:r>
      <w:r>
        <w:rPr>
          <w:rFonts w:ascii="Times New Roman" w:hAnsi="Times New Roman" w:eastAsia="Times New Roman" w:cs="Times New Roman"/>
          <w:spacing w:val="7"/>
          <w:sz w:val="24"/>
          <w:szCs w:val="24"/>
        </w:rPr>
        <w:t>C₂</w:t>
      </w:r>
      <w:r>
        <w:rPr>
          <w:rFonts w:ascii="宋体" w:hAnsi="宋体" w:eastAsia="宋体" w:cs="宋体"/>
          <w:spacing w:val="7"/>
          <w:sz w:val="24"/>
          <w:szCs w:val="24"/>
        </w:rPr>
        <w:t>级379</w:t>
      </w:r>
      <w:r>
        <w:rPr>
          <w:rFonts w:ascii="Times New Roman" w:hAnsi="Times New Roman" w:eastAsia="Times New Roman" w:cs="Times New Roman"/>
          <w:spacing w:val="7"/>
          <w:sz w:val="24"/>
          <w:szCs w:val="24"/>
        </w:rPr>
        <w:t>t</w:t>
      </w:r>
      <w:r>
        <w:rPr>
          <w:rFonts w:ascii="宋体" w:hAnsi="宋体" w:eastAsia="宋体" w:cs="宋体"/>
          <w:spacing w:val="7"/>
          <w:sz w:val="24"/>
          <w:szCs w:val="24"/>
        </w:rPr>
        <w:t>。</w:t>
      </w:r>
    </w:p>
    <w:p w14:paraId="3A61E583">
      <w:pPr>
        <w:spacing w:before="227" w:line="307" w:lineRule="auto"/>
        <w:ind w:left="84" w:right="210" w:firstLine="530"/>
        <w:rPr>
          <w:rFonts w:ascii="宋体" w:hAnsi="宋体" w:eastAsia="宋体" w:cs="宋体"/>
          <w:sz w:val="24"/>
          <w:szCs w:val="24"/>
        </w:rPr>
      </w:pPr>
      <w:r>
        <w:rPr>
          <w:rFonts w:ascii="宋体" w:hAnsi="宋体" w:eastAsia="宋体" w:cs="宋体"/>
          <w:sz w:val="24"/>
          <w:szCs w:val="24"/>
        </w:rPr>
        <w:t>④原提交的分散元素锗、镓、铟的储量，由于化验样品数量少，超差较</w:t>
      </w:r>
      <w:r>
        <w:rPr>
          <w:rFonts w:ascii="宋体" w:hAnsi="宋体" w:eastAsia="宋体" w:cs="宋体"/>
          <w:spacing w:val="-1"/>
          <w:sz w:val="24"/>
          <w:szCs w:val="24"/>
        </w:rPr>
        <w:t>大，</w:t>
      </w:r>
      <w:r>
        <w:rPr>
          <w:rFonts w:ascii="宋体" w:hAnsi="宋体" w:eastAsia="宋体" w:cs="宋体"/>
          <w:sz w:val="24"/>
          <w:szCs w:val="24"/>
        </w:rPr>
        <w:t xml:space="preserve"> </w:t>
      </w:r>
      <w:r>
        <w:rPr>
          <w:rFonts w:ascii="宋体" w:hAnsi="宋体" w:eastAsia="宋体" w:cs="宋体"/>
          <w:spacing w:val="2"/>
          <w:sz w:val="24"/>
          <w:szCs w:val="24"/>
        </w:rPr>
        <w:t>因此原储量未获批准。</w:t>
      </w:r>
    </w:p>
    <w:p w14:paraId="75D97205">
      <w:pPr>
        <w:pStyle w:val="2"/>
        <w:spacing w:line="307" w:lineRule="auto"/>
      </w:pPr>
    </w:p>
    <w:p w14:paraId="26B3745B">
      <w:pPr>
        <w:pStyle w:val="2"/>
        <w:spacing w:line="307" w:lineRule="auto"/>
      </w:pPr>
      <w:r>
        <w:drawing>
          <wp:anchor distT="0" distB="0" distL="0" distR="0" simplePos="0" relativeHeight="251829248" behindDoc="0" locked="0" layoutInCell="1" allowOverlap="1">
            <wp:simplePos x="0" y="0"/>
            <wp:positionH relativeFrom="column">
              <wp:posOffset>59690</wp:posOffset>
            </wp:positionH>
            <wp:positionV relativeFrom="paragraph">
              <wp:posOffset>175260</wp:posOffset>
            </wp:positionV>
            <wp:extent cx="5492750" cy="1270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45"/>
                    <a:stretch>
                      <a:fillRect/>
                    </a:stretch>
                  </pic:blipFill>
                  <pic:spPr>
                    <a:xfrm>
                      <a:off x="0" y="0"/>
                      <a:ext cx="5492743" cy="12717"/>
                    </a:xfrm>
                    <a:prstGeom prst="rect">
                      <a:avLst/>
                    </a:prstGeom>
                  </pic:spPr>
                </pic:pic>
              </a:graphicData>
            </a:graphic>
          </wp:anchor>
        </w:drawing>
      </w:r>
    </w:p>
    <w:p w14:paraId="31DB0B0D">
      <w:pPr>
        <w:spacing w:before="58" w:line="188" w:lineRule="auto"/>
        <w:ind w:left="8295"/>
        <w:rPr>
          <w:rFonts w:ascii="Times New Roman" w:hAnsi="Times New Roman" w:eastAsia="Times New Roman" w:cs="Times New Roman"/>
          <w:sz w:val="20"/>
          <w:szCs w:val="20"/>
        </w:rPr>
      </w:pPr>
      <w:r>
        <w:pict>
          <v:shape id="_x0000_s1087" o:spid="_x0000_s1087" o:spt="202" type="#_x0000_t202" style="position:absolute;left:0pt;margin-left:146.25pt;margin-top:2.9pt;height:14.1pt;width:139.1pt;z-index:251828224;mso-width-relative:page;mso-height-relative:page;" filled="f" stroked="f" coordsize="21600,21600">
            <v:path/>
            <v:fill on="f" focussize="0,0"/>
            <v:stroke on="f"/>
            <v:imagedata o:title=""/>
            <o:lock v:ext="edit" aspectratio="f"/>
            <v:textbox inset="0mm,0mm,0mm,0mm">
              <w:txbxContent>
                <w:p w14:paraId="108B03A4">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30"/>
                      <w:sz w:val="18"/>
                      <w:szCs w:val="18"/>
                    </w:rPr>
                    <w:t>云南俊成矿业权评估有限公司</w:t>
                  </w:r>
                </w:p>
              </w:txbxContent>
            </v:textbox>
          </v:shape>
        </w:pict>
      </w:r>
      <w:r>
        <w:rPr>
          <w:rFonts w:ascii="Times New Roman" w:hAnsi="Times New Roman" w:eastAsia="Times New Roman" w:cs="Times New Roman"/>
          <w:spacing w:val="-6"/>
          <w:sz w:val="20"/>
          <w:szCs w:val="20"/>
        </w:rPr>
        <w:t>10</w:t>
      </w:r>
    </w:p>
    <w:p w14:paraId="14708D25">
      <w:pPr>
        <w:spacing w:line="188" w:lineRule="auto"/>
        <w:rPr>
          <w:rFonts w:ascii="Times New Roman" w:hAnsi="Times New Roman" w:eastAsia="Times New Roman" w:cs="Times New Roman"/>
          <w:sz w:val="20"/>
          <w:szCs w:val="20"/>
        </w:rPr>
        <w:sectPr>
          <w:headerReference r:id="rId38" w:type="default"/>
          <w:pgSz w:w="11900" w:h="16830"/>
          <w:pgMar w:top="1247" w:right="1370" w:bottom="400" w:left="1785" w:header="970" w:footer="0" w:gutter="0"/>
          <w:cols w:space="720" w:num="1"/>
        </w:sectPr>
      </w:pPr>
    </w:p>
    <w:p w14:paraId="4E796AF2">
      <w:pPr>
        <w:pStyle w:val="2"/>
        <w:spacing w:line="400" w:lineRule="auto"/>
      </w:pPr>
    </w:p>
    <w:p w14:paraId="37580411">
      <w:pPr>
        <w:spacing w:before="78" w:line="298" w:lineRule="auto"/>
        <w:ind w:left="104" w:right="280" w:firstLine="619"/>
        <w:rPr>
          <w:rFonts w:ascii="宋体" w:hAnsi="宋体" w:eastAsia="宋体" w:cs="宋体"/>
          <w:sz w:val="24"/>
          <w:szCs w:val="24"/>
        </w:rPr>
      </w:pPr>
      <w:r>
        <w:rPr>
          <w:rFonts w:ascii="宋体" w:hAnsi="宋体" w:eastAsia="宋体" w:cs="宋体"/>
          <w:spacing w:val="5"/>
          <w:sz w:val="24"/>
          <w:szCs w:val="24"/>
        </w:rPr>
        <w:t>(4)1994年西南地质勘查局三一七队，根据西南有色地质勘查局沿南昆铁</w:t>
      </w:r>
      <w:r>
        <w:rPr>
          <w:rFonts w:ascii="宋体" w:hAnsi="宋体" w:eastAsia="宋体" w:cs="宋体"/>
          <w:spacing w:val="13"/>
          <w:sz w:val="24"/>
          <w:szCs w:val="24"/>
        </w:rPr>
        <w:t xml:space="preserve"> </w:t>
      </w:r>
      <w:r>
        <w:rPr>
          <w:rFonts w:ascii="宋体" w:hAnsi="宋体" w:eastAsia="宋体" w:cs="宋体"/>
          <w:spacing w:val="-3"/>
          <w:sz w:val="24"/>
          <w:szCs w:val="24"/>
        </w:rPr>
        <w:t>路寻找有色金属的布局，曾在该区进行过普查。</w:t>
      </w:r>
    </w:p>
    <w:p w14:paraId="17082548">
      <w:pPr>
        <w:spacing w:before="237" w:line="338" w:lineRule="auto"/>
        <w:ind w:left="104" w:right="275" w:firstLine="619"/>
        <w:rPr>
          <w:rFonts w:ascii="宋体" w:hAnsi="宋体" w:eastAsia="宋体" w:cs="宋体"/>
          <w:sz w:val="24"/>
          <w:szCs w:val="24"/>
        </w:rPr>
      </w:pPr>
      <w:r>
        <w:rPr>
          <w:rFonts w:ascii="宋体" w:hAnsi="宋体" w:eastAsia="宋体" w:cs="宋体"/>
          <w:spacing w:val="5"/>
          <w:sz w:val="24"/>
          <w:szCs w:val="24"/>
        </w:rPr>
        <w:t>(5)1999年云南省地勘局第一地质大队地质勘查院对富乐铅锌矿进行综合</w:t>
      </w:r>
      <w:r>
        <w:rPr>
          <w:rFonts w:ascii="宋体" w:hAnsi="宋体" w:eastAsia="宋体" w:cs="宋体"/>
          <w:spacing w:val="14"/>
          <w:sz w:val="24"/>
          <w:szCs w:val="24"/>
        </w:rPr>
        <w:t xml:space="preserve"> </w:t>
      </w:r>
      <w:r>
        <w:rPr>
          <w:rFonts w:ascii="宋体" w:hAnsi="宋体" w:eastAsia="宋体" w:cs="宋体"/>
          <w:spacing w:val="2"/>
          <w:sz w:val="24"/>
          <w:szCs w:val="24"/>
        </w:rPr>
        <w:t>地质研究工作，提交了《富乐铅锌矿简测地质报告》,报告中扣除1986年～1998</w:t>
      </w:r>
      <w:r>
        <w:rPr>
          <w:rFonts w:ascii="宋体" w:hAnsi="宋体" w:eastAsia="宋体" w:cs="宋体"/>
          <w:spacing w:val="14"/>
          <w:sz w:val="24"/>
          <w:szCs w:val="24"/>
        </w:rPr>
        <w:t xml:space="preserve"> </w:t>
      </w:r>
      <w:r>
        <w:rPr>
          <w:rFonts w:ascii="宋体" w:hAnsi="宋体" w:eastAsia="宋体" w:cs="宋体"/>
          <w:spacing w:val="1"/>
          <w:sz w:val="24"/>
          <w:szCs w:val="24"/>
        </w:rPr>
        <w:t>年采出的</w:t>
      </w:r>
      <w:r>
        <w:rPr>
          <w:rFonts w:ascii="Times New Roman" w:hAnsi="Times New Roman" w:eastAsia="Times New Roman" w:cs="Times New Roman"/>
          <w:spacing w:val="1"/>
          <w:sz w:val="24"/>
          <w:szCs w:val="24"/>
        </w:rPr>
        <w:t>B+C+D</w:t>
      </w:r>
      <w:r>
        <w:rPr>
          <w:rFonts w:ascii="Times New Roman" w:hAnsi="Times New Roman" w:eastAsia="Times New Roman" w:cs="Times New Roman"/>
          <w:spacing w:val="-14"/>
          <w:sz w:val="24"/>
          <w:szCs w:val="24"/>
        </w:rPr>
        <w:t xml:space="preserve"> </w:t>
      </w:r>
      <w:r>
        <w:rPr>
          <w:rFonts w:ascii="宋体" w:hAnsi="宋体" w:eastAsia="宋体" w:cs="宋体"/>
          <w:spacing w:val="1"/>
          <w:sz w:val="24"/>
          <w:szCs w:val="24"/>
        </w:rPr>
        <w:t>级锌矿石量706856</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占用储量415796</w:t>
      </w:r>
      <w:r>
        <w:rPr>
          <w:rFonts w:ascii="Times New Roman" w:hAnsi="Times New Roman" w:eastAsia="Times New Roman" w:cs="Times New Roman"/>
          <w:spacing w:val="1"/>
          <w:sz w:val="24"/>
          <w:szCs w:val="24"/>
        </w:rPr>
        <w:t xml:space="preserve">t,  </w:t>
      </w:r>
      <w:r>
        <w:rPr>
          <w:rFonts w:ascii="宋体" w:hAnsi="宋体" w:eastAsia="宋体" w:cs="宋体"/>
          <w:spacing w:val="1"/>
          <w:sz w:val="24"/>
          <w:szCs w:val="24"/>
        </w:rPr>
        <w:t>未呈报资源主管部门批</w:t>
      </w:r>
      <w:r>
        <w:rPr>
          <w:rFonts w:ascii="宋体" w:hAnsi="宋体" w:eastAsia="宋体" w:cs="宋体"/>
          <w:sz w:val="24"/>
          <w:szCs w:val="24"/>
        </w:rPr>
        <w:t xml:space="preserve"> </w:t>
      </w:r>
      <w:r>
        <w:rPr>
          <w:rFonts w:ascii="宋体" w:hAnsi="宋体" w:eastAsia="宋体" w:cs="宋体"/>
          <w:spacing w:val="-12"/>
          <w:sz w:val="24"/>
          <w:szCs w:val="24"/>
        </w:rPr>
        <w:t>准。</w:t>
      </w:r>
    </w:p>
    <w:p w14:paraId="23C93CD5">
      <w:pPr>
        <w:spacing w:before="239" w:line="296" w:lineRule="auto"/>
        <w:ind w:left="104" w:right="268" w:firstLine="619"/>
        <w:rPr>
          <w:rFonts w:ascii="宋体" w:hAnsi="宋体" w:eastAsia="宋体" w:cs="宋体"/>
          <w:sz w:val="24"/>
          <w:szCs w:val="24"/>
        </w:rPr>
      </w:pPr>
      <w:r>
        <w:rPr>
          <w:rFonts w:ascii="宋体" w:hAnsi="宋体" w:eastAsia="宋体" w:cs="宋体"/>
          <w:spacing w:val="9"/>
          <w:sz w:val="24"/>
          <w:szCs w:val="24"/>
        </w:rPr>
        <w:t>(6)2013年5月云南地质工程勘察设计研究院提交了《云南省罗平县富乐</w:t>
      </w:r>
      <w:r>
        <w:rPr>
          <w:rFonts w:ascii="宋体" w:hAnsi="宋体" w:eastAsia="宋体" w:cs="宋体"/>
          <w:sz w:val="24"/>
          <w:szCs w:val="24"/>
        </w:rPr>
        <w:t xml:space="preserve"> </w:t>
      </w:r>
      <w:r>
        <w:rPr>
          <w:rFonts w:ascii="宋体" w:hAnsi="宋体" w:eastAsia="宋体" w:cs="宋体"/>
          <w:spacing w:val="5"/>
          <w:sz w:val="24"/>
          <w:szCs w:val="24"/>
        </w:rPr>
        <w:t>铅锌矿资源储量核实报告》(以下简称“2013年核实报告”),2013年12月2日以</w:t>
      </w:r>
    </w:p>
    <w:p w14:paraId="54BB734B">
      <w:pPr>
        <w:spacing w:before="222" w:line="219" w:lineRule="auto"/>
        <w:ind w:left="105"/>
        <w:rPr>
          <w:rFonts w:ascii="宋体" w:hAnsi="宋体" w:eastAsia="宋体" w:cs="宋体"/>
          <w:sz w:val="24"/>
          <w:szCs w:val="24"/>
        </w:rPr>
      </w:pPr>
      <w:r>
        <w:rPr>
          <w:rFonts w:ascii="宋体" w:hAnsi="宋体" w:eastAsia="宋体" w:cs="宋体"/>
          <w:spacing w:val="2"/>
          <w:sz w:val="24"/>
          <w:szCs w:val="24"/>
        </w:rPr>
        <w:t>“云南省国土资源厅云国土资储备字[2013]229号”评审备案。</w:t>
      </w:r>
    </w:p>
    <w:p w14:paraId="394F2E23">
      <w:pPr>
        <w:spacing w:before="201" w:line="369" w:lineRule="auto"/>
        <w:ind w:left="104" w:right="223" w:firstLine="520"/>
        <w:jc w:val="both"/>
        <w:rPr>
          <w:rFonts w:ascii="宋体" w:hAnsi="宋体" w:eastAsia="宋体" w:cs="宋体"/>
          <w:sz w:val="25"/>
          <w:szCs w:val="25"/>
        </w:rPr>
      </w:pPr>
      <w:r>
        <w:rPr>
          <w:rFonts w:ascii="宋体" w:hAnsi="宋体" w:eastAsia="宋体" w:cs="宋体"/>
          <w:spacing w:val="-1"/>
          <w:sz w:val="25"/>
          <w:szCs w:val="25"/>
        </w:rPr>
        <w:t>占用原主金属锌累计查明</w:t>
      </w:r>
      <w:r>
        <w:rPr>
          <w:rFonts w:ascii="宋体" w:hAnsi="宋体" w:eastAsia="宋体" w:cs="宋体"/>
          <w:spacing w:val="-72"/>
          <w:sz w:val="25"/>
          <w:szCs w:val="25"/>
        </w:rPr>
        <w:t xml:space="preserve"> </w:t>
      </w:r>
      <w:r>
        <w:rPr>
          <w:rFonts w:ascii="Times New Roman" w:hAnsi="Times New Roman" w:eastAsia="Times New Roman" w:cs="Times New Roman"/>
          <w:spacing w:val="-1"/>
          <w:sz w:val="25"/>
          <w:szCs w:val="25"/>
        </w:rPr>
        <w:t>B+C₁+C₂</w:t>
      </w:r>
      <w:r>
        <w:rPr>
          <w:rFonts w:ascii="宋体" w:hAnsi="宋体" w:eastAsia="宋体" w:cs="宋体"/>
          <w:spacing w:val="-1"/>
          <w:sz w:val="25"/>
          <w:szCs w:val="25"/>
        </w:rPr>
        <w:t>锌矿石量为301.80万吨</w:t>
      </w:r>
      <w:r>
        <w:rPr>
          <w:rFonts w:ascii="宋体" w:hAnsi="宋体" w:eastAsia="宋体" w:cs="宋体"/>
          <w:spacing w:val="-2"/>
          <w:sz w:val="25"/>
          <w:szCs w:val="25"/>
        </w:rPr>
        <w:t>(其中</w:t>
      </w:r>
      <w:r>
        <w:rPr>
          <w:rFonts w:ascii="宋体" w:hAnsi="宋体" w:eastAsia="宋体" w:cs="宋体"/>
          <w:spacing w:val="-72"/>
          <w:sz w:val="25"/>
          <w:szCs w:val="25"/>
        </w:rPr>
        <w:t xml:space="preserve"> </w:t>
      </w:r>
      <w:r>
        <w:rPr>
          <w:rFonts w:ascii="Times New Roman" w:hAnsi="Times New Roman" w:eastAsia="Times New Roman" w:cs="Times New Roman"/>
          <w:spacing w:val="-2"/>
          <w:sz w:val="25"/>
          <w:szCs w:val="25"/>
        </w:rPr>
        <w:t>B</w:t>
      </w:r>
      <w:r>
        <w:rPr>
          <w:rFonts w:ascii="宋体" w:hAnsi="宋体" w:eastAsia="宋体" w:cs="宋体"/>
          <w:spacing w:val="-2"/>
          <w:sz w:val="25"/>
          <w:szCs w:val="25"/>
        </w:rPr>
        <w:t>级50.81</w:t>
      </w:r>
      <w:r>
        <w:rPr>
          <w:rFonts w:ascii="宋体" w:hAnsi="宋体" w:eastAsia="宋体" w:cs="宋体"/>
          <w:sz w:val="25"/>
          <w:szCs w:val="25"/>
        </w:rPr>
        <w:t xml:space="preserve"> </w:t>
      </w:r>
      <w:r>
        <w:rPr>
          <w:rFonts w:ascii="宋体" w:hAnsi="宋体" w:eastAsia="宋体" w:cs="宋体"/>
          <w:spacing w:val="-2"/>
          <w:sz w:val="25"/>
          <w:szCs w:val="25"/>
        </w:rPr>
        <w:t>万吨、</w:t>
      </w:r>
      <w:r>
        <w:rPr>
          <w:rFonts w:ascii="Times New Roman" w:hAnsi="Times New Roman" w:eastAsia="Times New Roman" w:cs="Times New Roman"/>
          <w:spacing w:val="-2"/>
          <w:sz w:val="25"/>
          <w:szCs w:val="25"/>
        </w:rPr>
        <w:t>C₁</w:t>
      </w:r>
      <w:r>
        <w:rPr>
          <w:rFonts w:ascii="宋体" w:hAnsi="宋体" w:eastAsia="宋体" w:cs="宋体"/>
          <w:spacing w:val="-2"/>
          <w:sz w:val="25"/>
          <w:szCs w:val="25"/>
        </w:rPr>
        <w:t>级127.41万吨、</w:t>
      </w:r>
      <w:r>
        <w:rPr>
          <w:rFonts w:ascii="Times New Roman" w:hAnsi="Times New Roman" w:eastAsia="Times New Roman" w:cs="Times New Roman"/>
          <w:spacing w:val="-2"/>
          <w:sz w:val="25"/>
          <w:szCs w:val="25"/>
        </w:rPr>
        <w:t>C₂</w:t>
      </w:r>
      <w:r>
        <w:rPr>
          <w:rFonts w:ascii="宋体" w:hAnsi="宋体" w:eastAsia="宋体" w:cs="宋体"/>
          <w:spacing w:val="-2"/>
          <w:sz w:val="25"/>
          <w:szCs w:val="25"/>
        </w:rPr>
        <w:t>级123.58万吨),锌金属量141217</w:t>
      </w:r>
      <w:r>
        <w:rPr>
          <w:rFonts w:ascii="Times New Roman" w:hAnsi="Times New Roman" w:eastAsia="Times New Roman" w:cs="Times New Roman"/>
          <w:spacing w:val="-2"/>
          <w:sz w:val="25"/>
          <w:szCs w:val="25"/>
        </w:rPr>
        <w:t>t (</w:t>
      </w:r>
      <w:r>
        <w:rPr>
          <w:rFonts w:ascii="Times New Roman" w:hAnsi="Times New Roman" w:eastAsia="Times New Roman" w:cs="Times New Roman"/>
          <w:spacing w:val="-13"/>
          <w:sz w:val="25"/>
          <w:szCs w:val="25"/>
        </w:rPr>
        <w:t xml:space="preserve"> </w:t>
      </w:r>
      <w:r>
        <w:rPr>
          <w:rFonts w:ascii="宋体" w:hAnsi="宋体" w:eastAsia="宋体" w:cs="宋体"/>
          <w:spacing w:val="-2"/>
          <w:sz w:val="25"/>
          <w:szCs w:val="25"/>
        </w:rPr>
        <w:t>其中</w:t>
      </w:r>
      <w:r>
        <w:rPr>
          <w:rFonts w:ascii="Times New Roman" w:hAnsi="Times New Roman" w:eastAsia="Times New Roman" w:cs="Times New Roman"/>
          <w:spacing w:val="-2"/>
          <w:sz w:val="25"/>
          <w:szCs w:val="25"/>
        </w:rPr>
        <w:t>B</w:t>
      </w:r>
      <w:r>
        <w:rPr>
          <w:rFonts w:ascii="宋体" w:hAnsi="宋体" w:eastAsia="宋体" w:cs="宋体"/>
          <w:spacing w:val="-2"/>
          <w:sz w:val="25"/>
          <w:szCs w:val="25"/>
        </w:rPr>
        <w:t>级25246</w:t>
      </w:r>
      <w:r>
        <w:rPr>
          <w:rFonts w:ascii="Times New Roman" w:hAnsi="Times New Roman" w:eastAsia="Times New Roman" w:cs="Times New Roman"/>
          <w:spacing w:val="-2"/>
          <w:sz w:val="25"/>
          <w:szCs w:val="25"/>
        </w:rPr>
        <w:t>t,</w:t>
      </w:r>
      <w:r>
        <w:rPr>
          <w:rFonts w:ascii="Times New Roman" w:hAnsi="Times New Roman" w:eastAsia="Times New Roman" w:cs="Times New Roman"/>
          <w:sz w:val="25"/>
          <w:szCs w:val="25"/>
        </w:rPr>
        <w:t xml:space="preserve">   </w:t>
      </w:r>
      <w:r>
        <w:rPr>
          <w:rFonts w:ascii="Times New Roman" w:hAnsi="Times New Roman" w:eastAsia="Times New Roman" w:cs="Times New Roman"/>
          <w:spacing w:val="-2"/>
          <w:sz w:val="25"/>
          <w:szCs w:val="25"/>
        </w:rPr>
        <w:t>C₁</w:t>
      </w:r>
      <w:r>
        <w:rPr>
          <w:rFonts w:ascii="仿宋" w:hAnsi="仿宋" w:eastAsia="仿宋" w:cs="仿宋"/>
          <w:spacing w:val="-2"/>
          <w:sz w:val="25"/>
          <w:szCs w:val="25"/>
        </w:rPr>
        <w:t>级60911</w:t>
      </w:r>
      <w:r>
        <w:rPr>
          <w:rFonts w:ascii="Times New Roman" w:hAnsi="Times New Roman" w:eastAsia="Times New Roman" w:cs="Times New Roman"/>
          <w:spacing w:val="-2"/>
          <w:sz w:val="25"/>
          <w:szCs w:val="25"/>
        </w:rPr>
        <w:t>t,</w:t>
      </w:r>
      <w:r>
        <w:rPr>
          <w:rFonts w:ascii="Times New Roman" w:hAnsi="Times New Roman" w:eastAsia="Times New Roman" w:cs="Times New Roman"/>
          <w:spacing w:val="31"/>
          <w:sz w:val="25"/>
          <w:szCs w:val="25"/>
        </w:rPr>
        <w:t xml:space="preserve">  </w:t>
      </w:r>
      <w:r>
        <w:rPr>
          <w:rFonts w:ascii="Times New Roman" w:hAnsi="Times New Roman" w:eastAsia="Times New Roman" w:cs="Times New Roman"/>
          <w:spacing w:val="-2"/>
          <w:sz w:val="25"/>
          <w:szCs w:val="25"/>
        </w:rPr>
        <w:t>C₂</w:t>
      </w:r>
      <w:r>
        <w:rPr>
          <w:rFonts w:ascii="宋体" w:hAnsi="宋体" w:eastAsia="宋体" w:cs="宋体"/>
          <w:spacing w:val="-2"/>
          <w:sz w:val="25"/>
          <w:szCs w:val="25"/>
        </w:rPr>
        <w:t>级55060</w:t>
      </w:r>
      <w:r>
        <w:rPr>
          <w:rFonts w:ascii="Times New Roman" w:hAnsi="Times New Roman" w:eastAsia="Times New Roman" w:cs="Times New Roman"/>
          <w:spacing w:val="-2"/>
          <w:sz w:val="25"/>
          <w:szCs w:val="25"/>
        </w:rPr>
        <w:t>t),</w:t>
      </w:r>
      <w:r>
        <w:rPr>
          <w:rFonts w:ascii="Times New Roman" w:hAnsi="Times New Roman" w:eastAsia="Times New Roman" w:cs="Times New Roman"/>
          <w:spacing w:val="16"/>
          <w:sz w:val="25"/>
          <w:szCs w:val="25"/>
        </w:rPr>
        <w:t xml:space="preserve">  </w:t>
      </w:r>
      <w:r>
        <w:rPr>
          <w:rFonts w:ascii="宋体" w:hAnsi="宋体" w:eastAsia="宋体" w:cs="宋体"/>
          <w:spacing w:val="-2"/>
          <w:sz w:val="25"/>
          <w:szCs w:val="25"/>
        </w:rPr>
        <w:t>平均品位4.48%。开采消耗111</w:t>
      </w:r>
      <w:r>
        <w:rPr>
          <w:rFonts w:ascii="Times New Roman" w:hAnsi="Times New Roman" w:eastAsia="Times New Roman" w:cs="Times New Roman"/>
          <w:spacing w:val="-2"/>
          <w:sz w:val="25"/>
          <w:szCs w:val="25"/>
        </w:rPr>
        <w:t>b</w:t>
      </w:r>
      <w:r>
        <w:rPr>
          <w:rFonts w:ascii="Times New Roman" w:hAnsi="Times New Roman" w:eastAsia="Times New Roman" w:cs="Times New Roman"/>
          <w:spacing w:val="-17"/>
          <w:sz w:val="25"/>
          <w:szCs w:val="25"/>
        </w:rPr>
        <w:t xml:space="preserve"> </w:t>
      </w:r>
      <w:r>
        <w:rPr>
          <w:rFonts w:ascii="宋体" w:hAnsi="宋体" w:eastAsia="宋体" w:cs="宋体"/>
          <w:spacing w:val="-2"/>
          <w:sz w:val="25"/>
          <w:szCs w:val="25"/>
        </w:rPr>
        <w:t>类原</w:t>
      </w:r>
      <w:r>
        <w:rPr>
          <w:rFonts w:ascii="Times New Roman" w:hAnsi="Times New Roman" w:eastAsia="Times New Roman" w:cs="Times New Roman"/>
          <w:spacing w:val="-2"/>
          <w:sz w:val="25"/>
          <w:szCs w:val="25"/>
        </w:rPr>
        <w:t>B+C₁+C₂</w:t>
      </w:r>
      <w:r>
        <w:rPr>
          <w:rFonts w:ascii="宋体" w:hAnsi="宋体" w:eastAsia="宋体" w:cs="宋体"/>
          <w:spacing w:val="-2"/>
          <w:sz w:val="25"/>
          <w:szCs w:val="25"/>
        </w:rPr>
        <w:t>级锌矿</w:t>
      </w:r>
      <w:r>
        <w:rPr>
          <w:rFonts w:ascii="宋体" w:hAnsi="宋体" w:eastAsia="宋体" w:cs="宋体"/>
          <w:sz w:val="25"/>
          <w:szCs w:val="25"/>
        </w:rPr>
        <w:t xml:space="preserve"> </w:t>
      </w:r>
      <w:r>
        <w:rPr>
          <w:rFonts w:ascii="宋体" w:hAnsi="宋体" w:eastAsia="宋体" w:cs="宋体"/>
          <w:spacing w:val="6"/>
          <w:sz w:val="25"/>
          <w:szCs w:val="25"/>
        </w:rPr>
        <w:t>石量121.94万吨，锌金属量61946</w:t>
      </w:r>
      <w:r>
        <w:rPr>
          <w:rFonts w:ascii="Times New Roman" w:hAnsi="Times New Roman" w:eastAsia="Times New Roman" w:cs="Times New Roman"/>
          <w:spacing w:val="6"/>
          <w:sz w:val="25"/>
          <w:szCs w:val="25"/>
        </w:rPr>
        <w:t xml:space="preserve">t,   </w:t>
      </w:r>
      <w:r>
        <w:rPr>
          <w:rFonts w:ascii="宋体" w:hAnsi="宋体" w:eastAsia="宋体" w:cs="宋体"/>
          <w:spacing w:val="6"/>
          <w:sz w:val="25"/>
          <w:szCs w:val="25"/>
        </w:rPr>
        <w:t>锌平均品位5.08%;保有111</w:t>
      </w:r>
      <w:r>
        <w:rPr>
          <w:rFonts w:ascii="Times New Roman" w:hAnsi="Times New Roman" w:eastAsia="Times New Roman" w:cs="Times New Roman"/>
          <w:spacing w:val="6"/>
          <w:sz w:val="25"/>
          <w:szCs w:val="25"/>
        </w:rPr>
        <w:t>b+122b+333</w:t>
      </w:r>
      <w:r>
        <w:rPr>
          <w:rFonts w:ascii="Times New Roman" w:hAnsi="Times New Roman" w:eastAsia="Times New Roman" w:cs="Times New Roman"/>
          <w:spacing w:val="11"/>
          <w:sz w:val="25"/>
          <w:szCs w:val="25"/>
        </w:rPr>
        <w:t xml:space="preserve"> </w:t>
      </w:r>
      <w:r>
        <w:rPr>
          <w:rFonts w:ascii="宋体" w:hAnsi="宋体" w:eastAsia="宋体" w:cs="宋体"/>
          <w:spacing w:val="3"/>
          <w:sz w:val="25"/>
          <w:szCs w:val="25"/>
        </w:rPr>
        <w:t>类(分别为原</w:t>
      </w:r>
      <w:r>
        <w:rPr>
          <w:rFonts w:ascii="Times New Roman" w:hAnsi="Times New Roman" w:eastAsia="Times New Roman" w:cs="Times New Roman"/>
          <w:spacing w:val="3"/>
          <w:sz w:val="25"/>
          <w:szCs w:val="25"/>
        </w:rPr>
        <w:t>B+C₁+C₂</w:t>
      </w:r>
      <w:r>
        <w:rPr>
          <w:rFonts w:ascii="宋体" w:hAnsi="宋体" w:eastAsia="宋体" w:cs="宋体"/>
          <w:spacing w:val="3"/>
          <w:sz w:val="25"/>
          <w:szCs w:val="25"/>
        </w:rPr>
        <w:t>级)锌矿石量为179.86万吨(111</w:t>
      </w:r>
      <w:r>
        <w:rPr>
          <w:rFonts w:ascii="Times New Roman" w:hAnsi="Times New Roman" w:eastAsia="Times New Roman" w:cs="Times New Roman"/>
          <w:spacing w:val="3"/>
          <w:sz w:val="25"/>
          <w:szCs w:val="25"/>
        </w:rPr>
        <w:t>b</w:t>
      </w:r>
      <w:r>
        <w:rPr>
          <w:rFonts w:ascii="Times New Roman" w:hAnsi="Times New Roman" w:eastAsia="Times New Roman" w:cs="Times New Roman"/>
          <w:spacing w:val="-17"/>
          <w:sz w:val="25"/>
          <w:szCs w:val="25"/>
        </w:rPr>
        <w:t xml:space="preserve"> </w:t>
      </w:r>
      <w:r>
        <w:rPr>
          <w:rFonts w:ascii="宋体" w:hAnsi="宋体" w:eastAsia="宋体" w:cs="宋体"/>
          <w:spacing w:val="3"/>
          <w:sz w:val="25"/>
          <w:szCs w:val="25"/>
        </w:rPr>
        <w:t>类11.30万吨、122</w:t>
      </w:r>
      <w:r>
        <w:rPr>
          <w:rFonts w:ascii="Times New Roman" w:hAnsi="Times New Roman" w:eastAsia="Times New Roman" w:cs="Times New Roman"/>
          <w:spacing w:val="3"/>
          <w:sz w:val="25"/>
          <w:szCs w:val="25"/>
        </w:rPr>
        <w:t>b</w:t>
      </w:r>
      <w:r>
        <w:rPr>
          <w:rFonts w:ascii="宋体" w:hAnsi="宋体" w:eastAsia="宋体" w:cs="宋体"/>
          <w:spacing w:val="3"/>
          <w:sz w:val="25"/>
          <w:szCs w:val="25"/>
        </w:rPr>
        <w:t>类</w:t>
      </w:r>
      <w:r>
        <w:rPr>
          <w:rFonts w:ascii="宋体" w:hAnsi="宋体" w:eastAsia="宋体" w:cs="宋体"/>
          <w:sz w:val="25"/>
          <w:szCs w:val="25"/>
        </w:rPr>
        <w:t xml:space="preserve"> </w:t>
      </w:r>
      <w:r>
        <w:rPr>
          <w:rFonts w:ascii="宋体" w:hAnsi="宋体" w:eastAsia="宋体" w:cs="宋体"/>
          <w:spacing w:val="8"/>
          <w:sz w:val="25"/>
          <w:szCs w:val="25"/>
        </w:rPr>
        <w:t>78.63</w:t>
      </w:r>
      <w:r>
        <w:rPr>
          <w:rFonts w:ascii="宋体" w:hAnsi="宋体" w:eastAsia="宋体" w:cs="宋体"/>
          <w:spacing w:val="-24"/>
          <w:sz w:val="25"/>
          <w:szCs w:val="25"/>
        </w:rPr>
        <w:t xml:space="preserve"> </w:t>
      </w:r>
      <w:r>
        <w:rPr>
          <w:rFonts w:ascii="宋体" w:hAnsi="宋体" w:eastAsia="宋体" w:cs="宋体"/>
          <w:spacing w:val="8"/>
          <w:sz w:val="25"/>
          <w:szCs w:val="25"/>
        </w:rPr>
        <w:t>万吨、333类89.93 万吨)锌金属量79271</w:t>
      </w:r>
      <w:r>
        <w:rPr>
          <w:rFonts w:ascii="Times New Roman" w:hAnsi="Times New Roman" w:eastAsia="Times New Roman" w:cs="Times New Roman"/>
          <w:spacing w:val="8"/>
          <w:sz w:val="25"/>
          <w:szCs w:val="25"/>
        </w:rPr>
        <w:t>t (</w:t>
      </w:r>
      <w:r>
        <w:rPr>
          <w:rFonts w:ascii="宋体" w:hAnsi="宋体" w:eastAsia="宋体" w:cs="宋体"/>
          <w:spacing w:val="8"/>
          <w:sz w:val="25"/>
          <w:szCs w:val="25"/>
        </w:rPr>
        <w:t>其中11</w:t>
      </w:r>
      <w:r>
        <w:rPr>
          <w:rFonts w:ascii="Times New Roman" w:hAnsi="Times New Roman" w:eastAsia="Times New Roman" w:cs="Times New Roman"/>
          <w:spacing w:val="8"/>
          <w:sz w:val="25"/>
          <w:szCs w:val="25"/>
        </w:rPr>
        <w:t>b</w:t>
      </w:r>
      <w:r>
        <w:rPr>
          <w:rFonts w:ascii="Times New Roman" w:hAnsi="Times New Roman" w:eastAsia="Times New Roman" w:cs="Times New Roman"/>
          <w:spacing w:val="52"/>
          <w:w w:val="101"/>
          <w:sz w:val="25"/>
          <w:szCs w:val="25"/>
        </w:rPr>
        <w:t xml:space="preserve"> </w:t>
      </w:r>
      <w:r>
        <w:rPr>
          <w:rFonts w:ascii="宋体" w:hAnsi="宋体" w:eastAsia="宋体" w:cs="宋体"/>
          <w:spacing w:val="8"/>
          <w:sz w:val="25"/>
          <w:szCs w:val="25"/>
        </w:rPr>
        <w:t>类5619</w:t>
      </w:r>
      <w:r>
        <w:rPr>
          <w:rFonts w:ascii="Times New Roman" w:hAnsi="Times New Roman" w:eastAsia="Times New Roman" w:cs="Times New Roman"/>
          <w:spacing w:val="8"/>
          <w:sz w:val="25"/>
          <w:szCs w:val="25"/>
        </w:rPr>
        <w:t>t122</w:t>
      </w:r>
      <w:r>
        <w:rPr>
          <w:rFonts w:ascii="Times New Roman" w:hAnsi="Times New Roman" w:eastAsia="Times New Roman" w:cs="Times New Roman"/>
          <w:spacing w:val="7"/>
          <w:sz w:val="25"/>
          <w:szCs w:val="25"/>
        </w:rPr>
        <w:t>b</w:t>
      </w:r>
      <w:r>
        <w:rPr>
          <w:rFonts w:ascii="Times New Roman" w:hAnsi="Times New Roman" w:eastAsia="Times New Roman" w:cs="Times New Roman"/>
          <w:spacing w:val="61"/>
          <w:sz w:val="25"/>
          <w:szCs w:val="25"/>
        </w:rPr>
        <w:t xml:space="preserve"> </w:t>
      </w:r>
      <w:r>
        <w:rPr>
          <w:rFonts w:ascii="宋体" w:hAnsi="宋体" w:eastAsia="宋体" w:cs="宋体"/>
          <w:spacing w:val="7"/>
          <w:sz w:val="25"/>
          <w:szCs w:val="25"/>
        </w:rPr>
        <w:t>类</w:t>
      </w:r>
      <w:r>
        <w:rPr>
          <w:rFonts w:ascii="宋体" w:hAnsi="宋体" w:eastAsia="宋体" w:cs="宋体"/>
          <w:sz w:val="25"/>
          <w:szCs w:val="25"/>
        </w:rPr>
        <w:t xml:space="preserve"> </w:t>
      </w:r>
      <w:r>
        <w:rPr>
          <w:rFonts w:ascii="楷体" w:hAnsi="楷体" w:eastAsia="楷体" w:cs="楷体"/>
          <w:spacing w:val="-1"/>
          <w:sz w:val="25"/>
          <w:szCs w:val="25"/>
        </w:rPr>
        <w:t>36503</w:t>
      </w:r>
      <w:r>
        <w:rPr>
          <w:rFonts w:ascii="Times New Roman" w:hAnsi="Times New Roman" w:eastAsia="Times New Roman" w:cs="Times New Roman"/>
          <w:spacing w:val="-1"/>
          <w:sz w:val="25"/>
          <w:szCs w:val="25"/>
        </w:rPr>
        <w:t>t333</w:t>
      </w:r>
      <w:r>
        <w:rPr>
          <w:rFonts w:ascii="Times New Roman" w:hAnsi="Times New Roman" w:eastAsia="Times New Roman" w:cs="Times New Roman"/>
          <w:spacing w:val="55"/>
          <w:w w:val="101"/>
          <w:sz w:val="25"/>
          <w:szCs w:val="25"/>
        </w:rPr>
        <w:t xml:space="preserve"> </w:t>
      </w:r>
      <w:r>
        <w:rPr>
          <w:rFonts w:ascii="楷体" w:hAnsi="楷体" w:eastAsia="楷体" w:cs="楷体"/>
          <w:spacing w:val="-1"/>
          <w:sz w:val="25"/>
          <w:szCs w:val="25"/>
        </w:rPr>
        <w:t>类37149</w:t>
      </w:r>
      <w:r>
        <w:rPr>
          <w:rFonts w:ascii="Times New Roman" w:hAnsi="Times New Roman" w:eastAsia="Times New Roman" w:cs="Times New Roman"/>
          <w:spacing w:val="-1"/>
          <w:sz w:val="25"/>
          <w:szCs w:val="25"/>
        </w:rPr>
        <w:t xml:space="preserve">t </w:t>
      </w:r>
      <w:r>
        <w:rPr>
          <w:rFonts w:ascii="宋体" w:hAnsi="宋体" w:eastAsia="宋体" w:cs="宋体"/>
          <w:spacing w:val="-1"/>
          <w:sz w:val="25"/>
          <w:szCs w:val="25"/>
        </w:rPr>
        <w:t>)平均</w:t>
      </w:r>
      <w:r>
        <w:rPr>
          <w:rFonts w:ascii="宋体" w:hAnsi="宋体" w:eastAsia="宋体" w:cs="宋体"/>
          <w:spacing w:val="-2"/>
          <w:sz w:val="25"/>
          <w:szCs w:val="25"/>
        </w:rPr>
        <w:t>品位4.41%。</w:t>
      </w:r>
    </w:p>
    <w:p w14:paraId="16BB9777">
      <w:pPr>
        <w:spacing w:before="1" w:line="362" w:lineRule="auto"/>
        <w:ind w:left="104" w:right="225" w:firstLine="520"/>
        <w:jc w:val="both"/>
        <w:rPr>
          <w:rFonts w:ascii="宋体" w:hAnsi="宋体" w:eastAsia="宋体" w:cs="宋体"/>
          <w:sz w:val="22"/>
          <w:szCs w:val="22"/>
        </w:rPr>
      </w:pPr>
      <w:r>
        <w:rPr>
          <w:rFonts w:ascii="宋体" w:hAnsi="宋体" w:eastAsia="宋体" w:cs="宋体"/>
          <w:spacing w:val="8"/>
          <w:sz w:val="24"/>
          <w:szCs w:val="24"/>
        </w:rPr>
        <w:t>占用原伴生铅</w:t>
      </w:r>
      <w:r>
        <w:rPr>
          <w:rFonts w:ascii="Times New Roman" w:hAnsi="Times New Roman" w:eastAsia="Times New Roman" w:cs="Times New Roman"/>
          <w:spacing w:val="8"/>
          <w:sz w:val="24"/>
          <w:szCs w:val="24"/>
        </w:rPr>
        <w:t>C₂</w:t>
      </w:r>
      <w:r>
        <w:rPr>
          <w:rFonts w:ascii="宋体" w:hAnsi="宋体" w:eastAsia="宋体" w:cs="宋体"/>
          <w:spacing w:val="8"/>
          <w:sz w:val="24"/>
          <w:szCs w:val="24"/>
        </w:rPr>
        <w:t>级累计查明矿石量185.59万吨，铅金属量15160</w:t>
      </w:r>
      <w:r>
        <w:rPr>
          <w:rFonts w:ascii="Times New Roman" w:hAnsi="Times New Roman" w:eastAsia="Times New Roman" w:cs="Times New Roman"/>
          <w:spacing w:val="8"/>
          <w:sz w:val="24"/>
          <w:szCs w:val="24"/>
        </w:rPr>
        <w:t xml:space="preserve">t,  </w:t>
      </w:r>
      <w:r>
        <w:rPr>
          <w:rFonts w:ascii="宋体" w:hAnsi="宋体" w:eastAsia="宋体" w:cs="宋体"/>
          <w:spacing w:val="8"/>
          <w:sz w:val="24"/>
          <w:szCs w:val="24"/>
        </w:rPr>
        <w:t>平均品</w:t>
      </w:r>
      <w:r>
        <w:rPr>
          <w:rFonts w:ascii="宋体" w:hAnsi="宋体" w:eastAsia="宋体" w:cs="宋体"/>
          <w:spacing w:val="16"/>
          <w:sz w:val="24"/>
          <w:szCs w:val="24"/>
        </w:rPr>
        <w:t xml:space="preserve"> </w:t>
      </w:r>
      <w:r>
        <w:rPr>
          <w:rFonts w:ascii="宋体" w:hAnsi="宋体" w:eastAsia="宋体" w:cs="宋体"/>
          <w:spacing w:val="-4"/>
          <w:sz w:val="26"/>
          <w:szCs w:val="26"/>
        </w:rPr>
        <w:t>位0.82%。其中开采消耗111</w:t>
      </w:r>
      <w:r>
        <w:rPr>
          <w:rFonts w:ascii="Times New Roman" w:hAnsi="Times New Roman" w:eastAsia="Times New Roman" w:cs="Times New Roman"/>
          <w:spacing w:val="-4"/>
          <w:sz w:val="26"/>
          <w:szCs w:val="26"/>
        </w:rPr>
        <w:t>b</w:t>
      </w:r>
      <w:r>
        <w:rPr>
          <w:rFonts w:ascii="Times New Roman" w:hAnsi="Times New Roman" w:eastAsia="Times New Roman" w:cs="Times New Roman"/>
          <w:spacing w:val="-11"/>
          <w:sz w:val="26"/>
          <w:szCs w:val="26"/>
        </w:rPr>
        <w:t xml:space="preserve"> </w:t>
      </w:r>
      <w:r>
        <w:rPr>
          <w:rFonts w:ascii="宋体" w:hAnsi="宋体" w:eastAsia="宋体" w:cs="宋体"/>
          <w:spacing w:val="-4"/>
          <w:sz w:val="26"/>
          <w:szCs w:val="26"/>
        </w:rPr>
        <w:t>类(原</w:t>
      </w:r>
      <w:r>
        <w:rPr>
          <w:rFonts w:ascii="Times New Roman" w:hAnsi="Times New Roman" w:eastAsia="Times New Roman" w:cs="Times New Roman"/>
          <w:spacing w:val="-4"/>
          <w:sz w:val="26"/>
          <w:szCs w:val="26"/>
        </w:rPr>
        <w:t>C₂</w:t>
      </w:r>
      <w:r>
        <w:rPr>
          <w:rFonts w:ascii="宋体" w:hAnsi="宋体" w:eastAsia="宋体" w:cs="宋体"/>
          <w:spacing w:val="-4"/>
          <w:sz w:val="26"/>
          <w:szCs w:val="26"/>
        </w:rPr>
        <w:t>级)矿石量82.34万吨，铅金属量6024</w:t>
      </w:r>
      <w:r>
        <w:rPr>
          <w:rFonts w:ascii="Times New Roman" w:hAnsi="Times New Roman" w:eastAsia="Times New Roman" w:cs="Times New Roman"/>
          <w:spacing w:val="-4"/>
          <w:sz w:val="26"/>
          <w:szCs w:val="26"/>
        </w:rPr>
        <w:t>t,</w:t>
      </w:r>
      <w:r>
        <w:rPr>
          <w:rFonts w:ascii="Times New Roman" w:hAnsi="Times New Roman" w:eastAsia="Times New Roman" w:cs="Times New Roman"/>
          <w:sz w:val="26"/>
          <w:szCs w:val="26"/>
        </w:rPr>
        <w:t xml:space="preserve">  </w:t>
      </w:r>
      <w:r>
        <w:rPr>
          <w:rFonts w:ascii="宋体" w:hAnsi="宋体" w:eastAsia="宋体" w:cs="宋体"/>
          <w:spacing w:val="-1"/>
          <w:sz w:val="26"/>
          <w:szCs w:val="26"/>
        </w:rPr>
        <w:t>平均品位0.73%;保有333类铅矿石量103.25万吨，铅金属量</w:t>
      </w:r>
      <w:r>
        <w:rPr>
          <w:rFonts w:ascii="宋体" w:hAnsi="宋体" w:eastAsia="宋体" w:cs="宋体"/>
          <w:spacing w:val="-2"/>
          <w:sz w:val="26"/>
          <w:szCs w:val="26"/>
        </w:rPr>
        <w:t>9136</w:t>
      </w:r>
      <w:r>
        <w:rPr>
          <w:rFonts w:ascii="Times New Roman" w:hAnsi="Times New Roman" w:eastAsia="Times New Roman" w:cs="Times New Roman"/>
          <w:spacing w:val="-2"/>
          <w:sz w:val="26"/>
          <w:szCs w:val="26"/>
        </w:rPr>
        <w:t>t,</w:t>
      </w:r>
      <w:r>
        <w:rPr>
          <w:rFonts w:ascii="Times New Roman" w:hAnsi="Times New Roman" w:eastAsia="Times New Roman" w:cs="Times New Roman"/>
          <w:spacing w:val="50"/>
          <w:w w:val="101"/>
          <w:sz w:val="26"/>
          <w:szCs w:val="26"/>
        </w:rPr>
        <w:t xml:space="preserve"> </w:t>
      </w:r>
      <w:r>
        <w:rPr>
          <w:rFonts w:ascii="宋体" w:hAnsi="宋体" w:eastAsia="宋体" w:cs="宋体"/>
          <w:spacing w:val="-2"/>
          <w:sz w:val="26"/>
          <w:szCs w:val="26"/>
        </w:rPr>
        <w:t>平均品位</w:t>
      </w:r>
      <w:r>
        <w:rPr>
          <w:rFonts w:ascii="宋体" w:hAnsi="宋体" w:eastAsia="宋体" w:cs="宋体"/>
          <w:sz w:val="26"/>
          <w:szCs w:val="26"/>
        </w:rPr>
        <w:t xml:space="preserve"> </w:t>
      </w:r>
      <w:r>
        <w:rPr>
          <w:rFonts w:ascii="Times New Roman" w:hAnsi="Times New Roman" w:eastAsia="Times New Roman" w:cs="Times New Roman"/>
          <w:spacing w:val="-2"/>
          <w:sz w:val="22"/>
          <w:szCs w:val="22"/>
        </w:rPr>
        <w:t>0.88%</w:t>
      </w:r>
      <w:r>
        <w:rPr>
          <w:rFonts w:ascii="宋体" w:hAnsi="宋体" w:eastAsia="宋体" w:cs="宋体"/>
          <w:spacing w:val="-2"/>
          <w:sz w:val="22"/>
          <w:szCs w:val="22"/>
        </w:rPr>
        <w:t>。</w:t>
      </w:r>
    </w:p>
    <w:p w14:paraId="3F7FEFE3">
      <w:pPr>
        <w:spacing w:before="59" w:line="378" w:lineRule="auto"/>
        <w:ind w:left="104" w:right="129" w:firstLine="520"/>
        <w:rPr>
          <w:rFonts w:ascii="宋体" w:hAnsi="宋体" w:eastAsia="宋体" w:cs="宋体"/>
          <w:sz w:val="24"/>
          <w:szCs w:val="24"/>
        </w:rPr>
      </w:pPr>
      <w:r>
        <w:rPr>
          <w:rFonts w:ascii="宋体" w:hAnsi="宋体" w:eastAsia="宋体" w:cs="宋体"/>
          <w:spacing w:val="-2"/>
          <w:sz w:val="25"/>
          <w:szCs w:val="25"/>
        </w:rPr>
        <w:t>占用</w:t>
      </w:r>
      <w:r>
        <w:rPr>
          <w:rFonts w:ascii="Times New Roman" w:hAnsi="Times New Roman" w:eastAsia="Times New Roman" w:cs="Times New Roman"/>
          <w:spacing w:val="-2"/>
          <w:sz w:val="25"/>
          <w:szCs w:val="25"/>
        </w:rPr>
        <w:t>C₂</w:t>
      </w:r>
      <w:r>
        <w:rPr>
          <w:rFonts w:ascii="宋体" w:hAnsi="宋体" w:eastAsia="宋体" w:cs="宋体"/>
          <w:spacing w:val="-2"/>
          <w:sz w:val="25"/>
          <w:szCs w:val="25"/>
        </w:rPr>
        <w:t>级伴生镉累计查明矿石量为301.80万吨</w:t>
      </w:r>
      <w:r>
        <w:rPr>
          <w:rFonts w:ascii="宋体" w:hAnsi="宋体" w:eastAsia="宋体" w:cs="宋体"/>
          <w:spacing w:val="-3"/>
          <w:sz w:val="25"/>
          <w:szCs w:val="25"/>
        </w:rPr>
        <w:t>，镉金属量3538</w:t>
      </w:r>
      <w:r>
        <w:rPr>
          <w:rFonts w:ascii="Times New Roman" w:hAnsi="Times New Roman" w:eastAsia="Times New Roman" w:cs="Times New Roman"/>
          <w:spacing w:val="-3"/>
          <w:sz w:val="25"/>
          <w:szCs w:val="25"/>
        </w:rPr>
        <w:t xml:space="preserve">t,  </w:t>
      </w:r>
      <w:r>
        <w:rPr>
          <w:rFonts w:ascii="宋体" w:hAnsi="宋体" w:eastAsia="宋体" w:cs="宋体"/>
          <w:spacing w:val="-3"/>
          <w:sz w:val="25"/>
          <w:szCs w:val="25"/>
        </w:rPr>
        <w:t>平均品位</w:t>
      </w:r>
      <w:r>
        <w:rPr>
          <w:rFonts w:ascii="宋体" w:hAnsi="宋体" w:eastAsia="宋体" w:cs="宋体"/>
          <w:sz w:val="25"/>
          <w:szCs w:val="25"/>
        </w:rPr>
        <w:t xml:space="preserve"> </w:t>
      </w:r>
      <w:r>
        <w:rPr>
          <w:rFonts w:ascii="宋体" w:hAnsi="宋体" w:eastAsia="宋体" w:cs="宋体"/>
          <w:spacing w:val="8"/>
          <w:sz w:val="24"/>
          <w:szCs w:val="24"/>
        </w:rPr>
        <w:t>0.12%。其中开采消耗111</w:t>
      </w:r>
      <w:r>
        <w:rPr>
          <w:rFonts w:ascii="Times New Roman" w:hAnsi="Times New Roman" w:eastAsia="Times New Roman" w:cs="Times New Roman"/>
          <w:spacing w:val="8"/>
          <w:sz w:val="24"/>
          <w:szCs w:val="24"/>
        </w:rPr>
        <w:t xml:space="preserve">b </w:t>
      </w:r>
      <w:r>
        <w:rPr>
          <w:rFonts w:ascii="宋体" w:hAnsi="宋体" w:eastAsia="宋体" w:cs="宋体"/>
          <w:spacing w:val="8"/>
          <w:sz w:val="24"/>
          <w:szCs w:val="24"/>
        </w:rPr>
        <w:t>类 (</w:t>
      </w:r>
      <w:r>
        <w:rPr>
          <w:rFonts w:ascii="宋体" w:hAnsi="宋体" w:eastAsia="宋体" w:cs="宋体"/>
          <w:spacing w:val="-25"/>
          <w:sz w:val="24"/>
          <w:szCs w:val="24"/>
        </w:rPr>
        <w:t xml:space="preserve"> </w:t>
      </w:r>
      <w:r>
        <w:rPr>
          <w:rFonts w:ascii="宋体" w:hAnsi="宋体" w:eastAsia="宋体" w:cs="宋体"/>
          <w:spacing w:val="7"/>
          <w:sz w:val="24"/>
          <w:szCs w:val="24"/>
        </w:rPr>
        <w:t>原</w:t>
      </w:r>
      <w:r>
        <w:rPr>
          <w:rFonts w:ascii="Times New Roman" w:hAnsi="Times New Roman" w:eastAsia="Times New Roman" w:cs="Times New Roman"/>
          <w:spacing w:val="7"/>
          <w:sz w:val="24"/>
          <w:szCs w:val="24"/>
        </w:rPr>
        <w:t>C₂</w:t>
      </w:r>
      <w:r>
        <w:rPr>
          <w:rFonts w:ascii="宋体" w:hAnsi="宋体" w:eastAsia="宋体" w:cs="宋体"/>
          <w:spacing w:val="7"/>
          <w:sz w:val="24"/>
          <w:szCs w:val="24"/>
        </w:rPr>
        <w:t>级)矿石量121.94万吨，镉金属量1346</w:t>
      </w:r>
      <w:r>
        <w:rPr>
          <w:rFonts w:ascii="Times New Roman" w:hAnsi="Times New Roman" w:eastAsia="Times New Roman" w:cs="Times New Roman"/>
          <w:spacing w:val="7"/>
          <w:sz w:val="24"/>
          <w:szCs w:val="24"/>
        </w:rPr>
        <w:t>t,</w:t>
      </w:r>
      <w:r>
        <w:rPr>
          <w:rFonts w:ascii="Times New Roman" w:hAnsi="Times New Roman" w:eastAsia="Times New Roman" w:cs="Times New Roman"/>
          <w:sz w:val="24"/>
          <w:szCs w:val="24"/>
        </w:rPr>
        <w:t xml:space="preserve">    </w:t>
      </w:r>
      <w:r>
        <w:rPr>
          <w:rFonts w:ascii="宋体" w:hAnsi="宋体" w:eastAsia="宋体" w:cs="宋体"/>
          <w:spacing w:val="3"/>
          <w:sz w:val="24"/>
          <w:szCs w:val="24"/>
        </w:rPr>
        <w:t>平均品位0.11%;保有333类矿石量179.86万吨，镉金属量2192</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8"/>
          <w:sz w:val="24"/>
          <w:szCs w:val="24"/>
        </w:rPr>
        <w:t xml:space="preserve"> </w:t>
      </w:r>
      <w:r>
        <w:rPr>
          <w:rFonts w:ascii="宋体" w:hAnsi="宋体" w:eastAsia="宋体" w:cs="宋体"/>
          <w:spacing w:val="3"/>
          <w:sz w:val="24"/>
          <w:szCs w:val="24"/>
        </w:rPr>
        <w:t>平均品位0.12%。</w:t>
      </w:r>
    </w:p>
    <w:p w14:paraId="4F165263">
      <w:pPr>
        <w:spacing w:before="29" w:line="380" w:lineRule="auto"/>
        <w:ind w:left="104" w:right="169" w:firstLine="520"/>
        <w:rPr>
          <w:rFonts w:ascii="宋体" w:hAnsi="宋体" w:eastAsia="宋体" w:cs="宋体"/>
          <w:sz w:val="24"/>
          <w:szCs w:val="24"/>
        </w:rPr>
      </w:pPr>
      <w:r>
        <w:rPr>
          <w:rFonts w:ascii="宋体" w:hAnsi="宋体" w:eastAsia="宋体" w:cs="宋体"/>
          <w:spacing w:val="15"/>
          <w:sz w:val="24"/>
          <w:szCs w:val="24"/>
        </w:rPr>
        <w:t>另外，还占有主金属累计查明(无消耗，即保有)334?类(原</w:t>
      </w:r>
      <w:r>
        <w:rPr>
          <w:rFonts w:ascii="宋体" w:hAnsi="宋体" w:eastAsia="宋体" w:cs="宋体"/>
          <w:spacing w:val="14"/>
          <w:sz w:val="24"/>
          <w:szCs w:val="24"/>
        </w:rPr>
        <w:t>地质储量)矿</w:t>
      </w:r>
      <w:r>
        <w:rPr>
          <w:rFonts w:ascii="宋体" w:hAnsi="宋体" w:eastAsia="宋体" w:cs="宋体"/>
          <w:sz w:val="24"/>
          <w:szCs w:val="24"/>
        </w:rPr>
        <w:t xml:space="preserve"> </w:t>
      </w:r>
      <w:r>
        <w:rPr>
          <w:rFonts w:ascii="宋体" w:hAnsi="宋体" w:eastAsia="宋体" w:cs="宋体"/>
          <w:spacing w:val="4"/>
          <w:sz w:val="24"/>
          <w:szCs w:val="24"/>
        </w:rPr>
        <w:t>石量2.24万吨，锌金属量1945</w:t>
      </w:r>
      <w:r>
        <w:rPr>
          <w:rFonts w:ascii="Times New Roman" w:hAnsi="Times New Roman" w:eastAsia="Times New Roman" w:cs="Times New Roman"/>
          <w:spacing w:val="4"/>
          <w:sz w:val="24"/>
          <w:szCs w:val="24"/>
        </w:rPr>
        <w:t>t,</w:t>
      </w:r>
      <w:r>
        <w:rPr>
          <w:rFonts w:ascii="Times New Roman" w:hAnsi="Times New Roman" w:eastAsia="Times New Roman" w:cs="Times New Roman"/>
          <w:spacing w:val="36"/>
          <w:sz w:val="24"/>
          <w:szCs w:val="24"/>
        </w:rPr>
        <w:t xml:space="preserve"> </w:t>
      </w:r>
      <w:r>
        <w:rPr>
          <w:rFonts w:ascii="宋体" w:hAnsi="宋体" w:eastAsia="宋体" w:cs="宋体"/>
          <w:spacing w:val="4"/>
          <w:sz w:val="24"/>
          <w:szCs w:val="24"/>
        </w:rPr>
        <w:t>平均品位8.68%。其中伴生334?类铅矿石量1</w:t>
      </w:r>
      <w:r>
        <w:rPr>
          <w:rFonts w:ascii="宋体" w:hAnsi="宋体" w:eastAsia="宋体" w:cs="宋体"/>
          <w:spacing w:val="3"/>
          <w:sz w:val="24"/>
          <w:szCs w:val="24"/>
        </w:rPr>
        <w:t>.03</w:t>
      </w:r>
      <w:r>
        <w:rPr>
          <w:rFonts w:ascii="宋体" w:hAnsi="宋体" w:eastAsia="宋体" w:cs="宋体"/>
          <w:sz w:val="24"/>
          <w:szCs w:val="24"/>
        </w:rPr>
        <w:t xml:space="preserve"> </w:t>
      </w:r>
      <w:r>
        <w:rPr>
          <w:rFonts w:ascii="宋体" w:hAnsi="宋体" w:eastAsia="宋体" w:cs="宋体"/>
          <w:spacing w:val="13"/>
          <w:sz w:val="24"/>
          <w:szCs w:val="24"/>
        </w:rPr>
        <w:t>万吨；铅金属量12万吨，平均品位0.09%;伴生镉334?类矿</w:t>
      </w:r>
      <w:r>
        <w:rPr>
          <w:rFonts w:ascii="宋体" w:hAnsi="宋体" w:eastAsia="宋体" w:cs="宋体"/>
          <w:spacing w:val="12"/>
          <w:sz w:val="24"/>
          <w:szCs w:val="24"/>
        </w:rPr>
        <w:t>石量2.24万吨，镉</w:t>
      </w:r>
      <w:r>
        <w:rPr>
          <w:rFonts w:ascii="宋体" w:hAnsi="宋体" w:eastAsia="宋体" w:cs="宋体"/>
          <w:sz w:val="24"/>
          <w:szCs w:val="24"/>
        </w:rPr>
        <w:t xml:space="preserve"> </w:t>
      </w:r>
      <w:r>
        <w:rPr>
          <w:rFonts w:ascii="宋体" w:hAnsi="宋体" w:eastAsia="宋体" w:cs="宋体"/>
          <w:spacing w:val="13"/>
          <w:sz w:val="24"/>
          <w:szCs w:val="24"/>
        </w:rPr>
        <w:t>金属量16</w:t>
      </w:r>
      <w:r>
        <w:rPr>
          <w:rFonts w:ascii="Times New Roman" w:hAnsi="Times New Roman" w:eastAsia="Times New Roman" w:cs="Times New Roman"/>
          <w:spacing w:val="13"/>
          <w:sz w:val="24"/>
          <w:szCs w:val="24"/>
        </w:rPr>
        <w:t xml:space="preserve">t,  </w:t>
      </w:r>
      <w:r>
        <w:rPr>
          <w:rFonts w:ascii="宋体" w:hAnsi="宋体" w:eastAsia="宋体" w:cs="宋体"/>
          <w:spacing w:val="13"/>
          <w:sz w:val="24"/>
          <w:szCs w:val="24"/>
        </w:rPr>
        <w:t>平均品位0.07%。</w:t>
      </w:r>
    </w:p>
    <w:p w14:paraId="74CFF67E">
      <w:pPr>
        <w:pStyle w:val="2"/>
        <w:spacing w:line="458" w:lineRule="auto"/>
      </w:pPr>
      <w:r>
        <w:drawing>
          <wp:anchor distT="0" distB="0" distL="0" distR="0" simplePos="0" relativeHeight="251831296" behindDoc="0" locked="0" layoutInCell="1" allowOverlap="1">
            <wp:simplePos x="0" y="0"/>
            <wp:positionH relativeFrom="column">
              <wp:posOffset>59690</wp:posOffset>
            </wp:positionH>
            <wp:positionV relativeFrom="paragraph">
              <wp:posOffset>263525</wp:posOffset>
            </wp:positionV>
            <wp:extent cx="5499100" cy="1270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46"/>
                    <a:stretch>
                      <a:fillRect/>
                    </a:stretch>
                  </pic:blipFill>
                  <pic:spPr>
                    <a:xfrm>
                      <a:off x="0" y="0"/>
                      <a:ext cx="5499090" cy="12611"/>
                    </a:xfrm>
                    <a:prstGeom prst="rect">
                      <a:avLst/>
                    </a:prstGeom>
                  </pic:spPr>
                </pic:pic>
              </a:graphicData>
            </a:graphic>
          </wp:anchor>
        </w:drawing>
      </w:r>
    </w:p>
    <w:p w14:paraId="7795503C">
      <w:pPr>
        <w:spacing w:before="58" w:line="188" w:lineRule="auto"/>
        <w:ind w:left="8285"/>
        <w:rPr>
          <w:rFonts w:ascii="Times New Roman" w:hAnsi="Times New Roman" w:eastAsia="Times New Roman" w:cs="Times New Roman"/>
          <w:sz w:val="20"/>
          <w:szCs w:val="20"/>
        </w:rPr>
      </w:pPr>
      <w:r>
        <w:pict>
          <v:shape id="_x0000_s1088" o:spid="_x0000_s1088" o:spt="202" type="#_x0000_t202" style="position:absolute;left:0pt;margin-left:145.75pt;margin-top:2.25pt;height:14.1pt;width:138.6pt;z-index:251830272;mso-width-relative:page;mso-height-relative:page;" filled="f" stroked="f" coordsize="21600,21600">
            <v:path/>
            <v:fill on="f" focussize="0,0"/>
            <v:stroke on="f"/>
            <v:imagedata o:title=""/>
            <o:lock v:ext="edit" aspectratio="f"/>
            <v:textbox inset="0mm,0mm,0mm,0mm">
              <w:txbxContent>
                <w:p w14:paraId="1FF28959">
                  <w:pPr>
                    <w:spacing w:before="19" w:line="236" w:lineRule="auto"/>
                    <w:ind w:left="20"/>
                    <w:rPr>
                      <w:rFonts w:ascii="华文行楷" w:hAnsi="华文行楷" w:eastAsia="华文行楷" w:cs="华文行楷"/>
                      <w:sz w:val="18"/>
                      <w:szCs w:val="18"/>
                    </w:rPr>
                  </w:pPr>
                  <w:r>
                    <w:rPr>
                      <w:rFonts w:ascii="华文行楷" w:hAnsi="华文行楷" w:eastAsia="华文行楷" w:cs="华文行楷"/>
                      <w:spacing w:val="30"/>
                      <w:sz w:val="18"/>
                      <w:szCs w:val="18"/>
                    </w:rPr>
                    <w:t>云南俊成矿业权评估有限公司</w:t>
                  </w:r>
                </w:p>
              </w:txbxContent>
            </v:textbox>
          </v:shape>
        </w:pict>
      </w:r>
      <w:r>
        <w:rPr>
          <w:rFonts w:ascii="Times New Roman" w:hAnsi="Times New Roman" w:eastAsia="Times New Roman" w:cs="Times New Roman"/>
          <w:spacing w:val="-6"/>
          <w:sz w:val="20"/>
          <w:szCs w:val="20"/>
        </w:rPr>
        <w:t>11</w:t>
      </w:r>
    </w:p>
    <w:p w14:paraId="1DB9E437">
      <w:pPr>
        <w:spacing w:line="188" w:lineRule="auto"/>
        <w:rPr>
          <w:rFonts w:ascii="Times New Roman" w:hAnsi="Times New Roman" w:eastAsia="Times New Roman" w:cs="Times New Roman"/>
          <w:sz w:val="20"/>
          <w:szCs w:val="20"/>
        </w:rPr>
        <w:sectPr>
          <w:headerReference r:id="rId39" w:type="default"/>
          <w:pgSz w:w="11900" w:h="16830"/>
          <w:pgMar w:top="1186" w:right="1360" w:bottom="400" w:left="1785" w:header="910" w:footer="0" w:gutter="0"/>
          <w:cols w:space="720" w:num="1"/>
        </w:sectPr>
      </w:pPr>
    </w:p>
    <w:p w14:paraId="6E5C2F47">
      <w:pPr>
        <w:pStyle w:val="2"/>
        <w:spacing w:line="383" w:lineRule="auto"/>
      </w:pPr>
    </w:p>
    <w:p w14:paraId="0C0E09D8">
      <w:pPr>
        <w:spacing w:before="78" w:line="392" w:lineRule="auto"/>
        <w:ind w:left="84" w:right="309" w:firstLine="490"/>
        <w:rPr>
          <w:rFonts w:ascii="宋体" w:hAnsi="宋体" w:eastAsia="宋体" w:cs="宋体"/>
          <w:sz w:val="24"/>
          <w:szCs w:val="24"/>
        </w:rPr>
      </w:pPr>
      <w:bookmarkStart w:id="16" w:name="bookmark49"/>
      <w:bookmarkEnd w:id="16"/>
      <w:r>
        <w:rPr>
          <w:rFonts w:ascii="宋体" w:hAnsi="宋体" w:eastAsia="宋体" w:cs="宋体"/>
          <w:spacing w:val="1"/>
          <w:sz w:val="24"/>
          <w:szCs w:val="24"/>
        </w:rPr>
        <w:t>另企业在探采过程中，在矿权内新发现11</w:t>
      </w:r>
      <w:r>
        <w:rPr>
          <w:rFonts w:ascii="宋体" w:hAnsi="宋体" w:eastAsia="宋体" w:cs="宋体"/>
          <w:sz w:val="24"/>
          <w:szCs w:val="24"/>
        </w:rPr>
        <w:t>1</w:t>
      </w:r>
      <w:r>
        <w:rPr>
          <w:rFonts w:ascii="Times New Roman" w:hAnsi="Times New Roman" w:eastAsia="Times New Roman" w:cs="Times New Roman"/>
          <w:sz w:val="24"/>
          <w:szCs w:val="24"/>
        </w:rPr>
        <w:t xml:space="preserve">b </w:t>
      </w:r>
      <w:r>
        <w:rPr>
          <w:rFonts w:ascii="宋体" w:hAnsi="宋体" w:eastAsia="宋体" w:cs="宋体"/>
          <w:sz w:val="24"/>
          <w:szCs w:val="24"/>
        </w:rPr>
        <w:t xml:space="preserve">类主元素锌矿石量(已消耗，无 </w:t>
      </w:r>
      <w:r>
        <w:rPr>
          <w:rFonts w:ascii="宋体" w:hAnsi="宋体" w:eastAsia="宋体" w:cs="宋体"/>
          <w:spacing w:val="7"/>
          <w:sz w:val="24"/>
          <w:szCs w:val="24"/>
        </w:rPr>
        <w:t>保有)24.24万吨，锌金属量9332</w:t>
      </w:r>
      <w:r>
        <w:rPr>
          <w:rFonts w:ascii="Times New Roman" w:hAnsi="Times New Roman" w:eastAsia="Times New Roman" w:cs="Times New Roman"/>
          <w:spacing w:val="7"/>
          <w:sz w:val="24"/>
          <w:szCs w:val="24"/>
        </w:rPr>
        <w:t xml:space="preserve">t,  </w:t>
      </w:r>
      <w:r>
        <w:rPr>
          <w:rFonts w:ascii="宋体" w:hAnsi="宋体" w:eastAsia="宋体" w:cs="宋体"/>
          <w:spacing w:val="7"/>
          <w:sz w:val="24"/>
          <w:szCs w:val="24"/>
        </w:rPr>
        <w:t>平均品位</w:t>
      </w:r>
      <w:r>
        <w:rPr>
          <w:rFonts w:ascii="宋体" w:hAnsi="宋体" w:eastAsia="宋体" w:cs="宋体"/>
          <w:spacing w:val="6"/>
          <w:sz w:val="24"/>
          <w:szCs w:val="24"/>
        </w:rPr>
        <w:t>3.85%。其中伴生铅金属量1091</w:t>
      </w:r>
      <w:r>
        <w:rPr>
          <w:rFonts w:ascii="Times New Roman" w:hAnsi="Times New Roman" w:eastAsia="Times New Roman" w:cs="Times New Roman"/>
          <w:spacing w:val="6"/>
          <w:sz w:val="24"/>
          <w:szCs w:val="24"/>
        </w:rPr>
        <w:t>t,</w:t>
      </w:r>
      <w:r>
        <w:rPr>
          <w:rFonts w:ascii="Times New Roman" w:hAnsi="Times New Roman" w:eastAsia="Times New Roman" w:cs="Times New Roman"/>
          <w:sz w:val="24"/>
          <w:szCs w:val="24"/>
        </w:rPr>
        <w:t xml:space="preserve">   </w:t>
      </w:r>
      <w:r>
        <w:rPr>
          <w:rFonts w:ascii="宋体" w:hAnsi="宋体" w:eastAsia="宋体" w:cs="宋体"/>
          <w:spacing w:val="11"/>
          <w:sz w:val="24"/>
          <w:szCs w:val="24"/>
        </w:rPr>
        <w:t>平均品位0.45%;伴生镉金属量291</w:t>
      </w:r>
      <w:r>
        <w:rPr>
          <w:rFonts w:ascii="Times New Roman" w:hAnsi="Times New Roman" w:eastAsia="Times New Roman" w:cs="Times New Roman"/>
          <w:spacing w:val="11"/>
          <w:sz w:val="24"/>
          <w:szCs w:val="24"/>
        </w:rPr>
        <w:t>t</w:t>
      </w:r>
      <w:r>
        <w:rPr>
          <w:rFonts w:ascii="Times New Roman" w:hAnsi="Times New Roman" w:eastAsia="Times New Roman" w:cs="Times New Roman"/>
          <w:spacing w:val="10"/>
          <w:sz w:val="24"/>
          <w:szCs w:val="24"/>
        </w:rPr>
        <w:t>,</w:t>
      </w:r>
      <w:r>
        <w:rPr>
          <w:rFonts w:ascii="Times New Roman" w:hAnsi="Times New Roman" w:eastAsia="Times New Roman" w:cs="Times New Roman"/>
          <w:spacing w:val="28"/>
          <w:sz w:val="24"/>
          <w:szCs w:val="24"/>
        </w:rPr>
        <w:t xml:space="preserve">  </w:t>
      </w:r>
      <w:r>
        <w:rPr>
          <w:rFonts w:ascii="宋体" w:hAnsi="宋体" w:eastAsia="宋体" w:cs="宋体"/>
          <w:spacing w:val="10"/>
          <w:sz w:val="24"/>
          <w:szCs w:val="24"/>
        </w:rPr>
        <w:t>平均品位0.12%。</w:t>
      </w:r>
    </w:p>
    <w:p w14:paraId="14A3AA5D">
      <w:pPr>
        <w:spacing w:before="10" w:line="378" w:lineRule="auto"/>
        <w:ind w:left="84" w:right="268" w:firstLine="609"/>
        <w:jc w:val="both"/>
        <w:rPr>
          <w:rFonts w:ascii="宋体" w:hAnsi="宋体" w:eastAsia="宋体" w:cs="宋体"/>
          <w:sz w:val="24"/>
          <w:szCs w:val="24"/>
        </w:rPr>
      </w:pPr>
      <w:r>
        <w:rPr>
          <w:rFonts w:ascii="宋体" w:hAnsi="宋体" w:eastAsia="宋体" w:cs="宋体"/>
          <w:spacing w:val="6"/>
          <w:sz w:val="24"/>
          <w:szCs w:val="24"/>
        </w:rPr>
        <w:t>(7)2021年11月，云南省地质工程勘察有限公司编制</w:t>
      </w:r>
      <w:r>
        <w:rPr>
          <w:rFonts w:ascii="宋体" w:hAnsi="宋体" w:eastAsia="宋体" w:cs="宋体"/>
          <w:spacing w:val="5"/>
          <w:sz w:val="24"/>
          <w:szCs w:val="24"/>
        </w:rPr>
        <w:t>了《云南省罗平县富</w:t>
      </w:r>
      <w:r>
        <w:rPr>
          <w:rFonts w:ascii="宋体" w:hAnsi="宋体" w:eastAsia="宋体" w:cs="宋体"/>
          <w:sz w:val="24"/>
          <w:szCs w:val="24"/>
        </w:rPr>
        <w:t xml:space="preserve"> </w:t>
      </w:r>
      <w:r>
        <w:rPr>
          <w:rFonts w:ascii="宋体" w:hAnsi="宋体" w:eastAsia="宋体" w:cs="宋体"/>
          <w:spacing w:val="11"/>
          <w:sz w:val="24"/>
          <w:szCs w:val="24"/>
        </w:rPr>
        <w:t>乐铅锌矿资源储量核实报告(2021)》,截止2021年9月30日，富乐铅锌矿采矿</w:t>
      </w:r>
      <w:r>
        <w:rPr>
          <w:rFonts w:ascii="宋体" w:hAnsi="宋体" w:eastAsia="宋体" w:cs="宋体"/>
          <w:spacing w:val="9"/>
          <w:sz w:val="24"/>
          <w:szCs w:val="24"/>
        </w:rPr>
        <w:t xml:space="preserve"> </w:t>
      </w:r>
      <w:r>
        <w:rPr>
          <w:rFonts w:ascii="宋体" w:hAnsi="宋体" w:eastAsia="宋体" w:cs="宋体"/>
          <w:spacing w:val="4"/>
          <w:sz w:val="24"/>
          <w:szCs w:val="24"/>
        </w:rPr>
        <w:t>权范围内保有</w:t>
      </w:r>
      <w:r>
        <w:rPr>
          <w:rFonts w:ascii="宋体" w:hAnsi="宋体" w:eastAsia="宋体" w:cs="宋体"/>
          <w:spacing w:val="-52"/>
          <w:sz w:val="24"/>
          <w:szCs w:val="24"/>
        </w:rPr>
        <w:t xml:space="preserve"> </w:t>
      </w:r>
      <w:r>
        <w:rPr>
          <w:rFonts w:ascii="Times New Roman" w:hAnsi="Times New Roman" w:eastAsia="Times New Roman" w:cs="Times New Roman"/>
          <w:sz w:val="24"/>
          <w:szCs w:val="24"/>
        </w:rPr>
        <w:t>TM</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类锌矿石量140.31万吨，</w:t>
      </w:r>
      <w:r>
        <w:rPr>
          <w:rFonts w:ascii="宋体" w:hAnsi="宋体" w:eastAsia="宋体" w:cs="宋体"/>
          <w:spacing w:val="3"/>
          <w:sz w:val="24"/>
          <w:szCs w:val="24"/>
        </w:rPr>
        <w:t>锌金属量60957</w:t>
      </w:r>
      <w:r>
        <w:rPr>
          <w:rFonts w:ascii="Times New Roman" w:hAnsi="Times New Roman" w:eastAsia="Times New Roman" w:cs="Times New Roman"/>
          <w:spacing w:val="3"/>
          <w:sz w:val="24"/>
          <w:szCs w:val="24"/>
        </w:rPr>
        <w:t xml:space="preserve">t,  </w:t>
      </w:r>
      <w:r>
        <w:rPr>
          <w:rFonts w:ascii="宋体" w:hAnsi="宋体" w:eastAsia="宋体" w:cs="宋体"/>
          <w:spacing w:val="3"/>
          <w:sz w:val="24"/>
          <w:szCs w:val="24"/>
        </w:rPr>
        <w:t>平均品位</w:t>
      </w:r>
      <w:r>
        <w:rPr>
          <w:rFonts w:ascii="宋体" w:hAnsi="宋体" w:eastAsia="宋体" w:cs="宋体"/>
          <w:sz w:val="24"/>
          <w:szCs w:val="24"/>
        </w:rPr>
        <w:t xml:space="preserve"> </w:t>
      </w:r>
      <w:r>
        <w:rPr>
          <w:rFonts w:ascii="宋体" w:hAnsi="宋体" w:eastAsia="宋体" w:cs="宋体"/>
          <w:spacing w:val="-11"/>
          <w:sz w:val="26"/>
          <w:szCs w:val="26"/>
        </w:rPr>
        <w:t>4.34%;保有</w:t>
      </w:r>
      <w:r>
        <w:rPr>
          <w:rFonts w:ascii="宋体" w:hAnsi="宋体" w:eastAsia="宋体" w:cs="宋体"/>
          <w:spacing w:val="-74"/>
          <w:sz w:val="26"/>
          <w:szCs w:val="26"/>
        </w:rPr>
        <w:t xml:space="preserve"> </w:t>
      </w:r>
      <w:r>
        <w:rPr>
          <w:rFonts w:ascii="Times New Roman" w:hAnsi="Times New Roman" w:eastAsia="Times New Roman" w:cs="Times New Roman"/>
          <w:spacing w:val="-11"/>
          <w:sz w:val="26"/>
          <w:szCs w:val="26"/>
        </w:rPr>
        <w:t>TM+KZ+TD</w:t>
      </w:r>
      <w:r>
        <w:rPr>
          <w:rFonts w:ascii="Times New Roman" w:hAnsi="Times New Roman" w:eastAsia="Times New Roman" w:cs="Times New Roman"/>
          <w:spacing w:val="-22"/>
          <w:sz w:val="26"/>
          <w:szCs w:val="26"/>
        </w:rPr>
        <w:t xml:space="preserve"> </w:t>
      </w:r>
      <w:r>
        <w:rPr>
          <w:rFonts w:ascii="宋体" w:hAnsi="宋体" w:eastAsia="宋体" w:cs="宋体"/>
          <w:spacing w:val="-11"/>
          <w:sz w:val="26"/>
          <w:szCs w:val="26"/>
        </w:rPr>
        <w:t>类伴生铅矿石量76.11万吨，</w:t>
      </w:r>
      <w:r>
        <w:rPr>
          <w:rFonts w:ascii="宋体" w:hAnsi="宋体" w:eastAsia="宋体" w:cs="宋体"/>
          <w:spacing w:val="-12"/>
          <w:sz w:val="26"/>
          <w:szCs w:val="26"/>
        </w:rPr>
        <w:t>铅金属量6015</w:t>
      </w:r>
      <w:r>
        <w:rPr>
          <w:rFonts w:ascii="Times New Roman" w:hAnsi="Times New Roman" w:eastAsia="Times New Roman" w:cs="Times New Roman"/>
          <w:spacing w:val="-12"/>
          <w:sz w:val="26"/>
          <w:szCs w:val="26"/>
        </w:rPr>
        <w:t>t,</w:t>
      </w:r>
      <w:r>
        <w:rPr>
          <w:rFonts w:ascii="Times New Roman" w:hAnsi="Times New Roman" w:eastAsia="Times New Roman" w:cs="Times New Roman"/>
          <w:spacing w:val="51"/>
          <w:sz w:val="26"/>
          <w:szCs w:val="26"/>
        </w:rPr>
        <w:t xml:space="preserve"> </w:t>
      </w:r>
      <w:r>
        <w:rPr>
          <w:rFonts w:ascii="宋体" w:hAnsi="宋体" w:eastAsia="宋体" w:cs="宋体"/>
          <w:spacing w:val="-12"/>
          <w:sz w:val="26"/>
          <w:szCs w:val="26"/>
        </w:rPr>
        <w:t>平均品位</w:t>
      </w:r>
      <w:r>
        <w:rPr>
          <w:rFonts w:ascii="宋体" w:hAnsi="宋体" w:eastAsia="宋体" w:cs="宋体"/>
          <w:sz w:val="26"/>
          <w:szCs w:val="26"/>
        </w:rPr>
        <w:t xml:space="preserve"> </w:t>
      </w:r>
      <w:r>
        <w:rPr>
          <w:rFonts w:ascii="宋体" w:hAnsi="宋体" w:eastAsia="宋体" w:cs="宋体"/>
          <w:spacing w:val="-7"/>
          <w:sz w:val="25"/>
          <w:szCs w:val="25"/>
        </w:rPr>
        <w:t>0.79%;保有</w:t>
      </w:r>
      <w:r>
        <w:rPr>
          <w:rFonts w:ascii="宋体" w:hAnsi="宋体" w:eastAsia="宋体" w:cs="宋体"/>
          <w:spacing w:val="-58"/>
          <w:sz w:val="25"/>
          <w:szCs w:val="25"/>
        </w:rPr>
        <w:t xml:space="preserve"> </w:t>
      </w:r>
      <w:r>
        <w:rPr>
          <w:rFonts w:ascii="Times New Roman" w:hAnsi="Times New Roman" w:eastAsia="Times New Roman" w:cs="Times New Roman"/>
          <w:spacing w:val="-7"/>
          <w:sz w:val="25"/>
          <w:szCs w:val="25"/>
        </w:rPr>
        <w:t>TM+KZ+TD</w:t>
      </w:r>
      <w:r>
        <w:rPr>
          <w:rFonts w:ascii="Times New Roman" w:hAnsi="Times New Roman" w:eastAsia="Times New Roman" w:cs="Times New Roman"/>
          <w:spacing w:val="-20"/>
          <w:sz w:val="25"/>
          <w:szCs w:val="25"/>
        </w:rPr>
        <w:t xml:space="preserve"> </w:t>
      </w:r>
      <w:r>
        <w:rPr>
          <w:rFonts w:ascii="宋体" w:hAnsi="宋体" w:eastAsia="宋体" w:cs="宋体"/>
          <w:spacing w:val="-7"/>
          <w:sz w:val="25"/>
          <w:szCs w:val="25"/>
        </w:rPr>
        <w:t>类伴生镉矿石量140.31万吨，镉金属量1888</w:t>
      </w:r>
      <w:r>
        <w:rPr>
          <w:rFonts w:ascii="Times New Roman" w:hAnsi="Times New Roman" w:eastAsia="Times New Roman" w:cs="Times New Roman"/>
          <w:spacing w:val="-7"/>
          <w:sz w:val="25"/>
          <w:szCs w:val="25"/>
        </w:rPr>
        <w:t xml:space="preserve">t,   </w:t>
      </w:r>
      <w:r>
        <w:rPr>
          <w:rFonts w:ascii="宋体" w:hAnsi="宋体" w:eastAsia="宋体" w:cs="宋体"/>
          <w:spacing w:val="-7"/>
          <w:sz w:val="25"/>
          <w:szCs w:val="25"/>
        </w:rPr>
        <w:t>平均品位</w:t>
      </w:r>
      <w:r>
        <w:rPr>
          <w:rFonts w:ascii="宋体" w:hAnsi="宋体" w:eastAsia="宋体" w:cs="宋体"/>
          <w:sz w:val="25"/>
          <w:szCs w:val="25"/>
        </w:rPr>
        <w:t xml:space="preserve"> </w:t>
      </w:r>
      <w:r>
        <w:rPr>
          <w:rFonts w:ascii="宋体" w:hAnsi="宋体" w:eastAsia="宋体" w:cs="宋体"/>
          <w:sz w:val="24"/>
          <w:szCs w:val="24"/>
        </w:rPr>
        <w:t>0.135%。该储量核实报告经云南省地质矿产勘查开</w:t>
      </w:r>
      <w:r>
        <w:rPr>
          <w:rFonts w:ascii="宋体" w:hAnsi="宋体" w:eastAsia="宋体" w:cs="宋体"/>
          <w:spacing w:val="-1"/>
          <w:sz w:val="24"/>
          <w:szCs w:val="24"/>
        </w:rPr>
        <w:t>发局第一地质大队评审通过，</w:t>
      </w:r>
      <w:r>
        <w:rPr>
          <w:rFonts w:ascii="宋体" w:hAnsi="宋体" w:eastAsia="宋体" w:cs="宋体"/>
          <w:sz w:val="24"/>
          <w:szCs w:val="24"/>
        </w:rPr>
        <w:t xml:space="preserve"> </w:t>
      </w:r>
      <w:r>
        <w:rPr>
          <w:rFonts w:ascii="宋体" w:hAnsi="宋体" w:eastAsia="宋体" w:cs="宋体"/>
          <w:spacing w:val="-4"/>
          <w:sz w:val="24"/>
          <w:szCs w:val="24"/>
        </w:rPr>
        <w:t>取得了《&lt;云南省罗平县富乐铅锌矿资源储量核实报告&gt;评审意见书》(云地一大队</w:t>
      </w:r>
      <w:r>
        <w:rPr>
          <w:rFonts w:ascii="宋体" w:hAnsi="宋体" w:eastAsia="宋体" w:cs="宋体"/>
          <w:sz w:val="24"/>
          <w:szCs w:val="24"/>
        </w:rPr>
        <w:t xml:space="preserve"> </w:t>
      </w:r>
      <w:r>
        <w:rPr>
          <w:rFonts w:ascii="宋体" w:hAnsi="宋体" w:eastAsia="宋体" w:cs="宋体"/>
          <w:spacing w:val="3"/>
          <w:sz w:val="24"/>
          <w:szCs w:val="24"/>
        </w:rPr>
        <w:t>矿评储字[2022]2号)。</w:t>
      </w:r>
    </w:p>
    <w:p w14:paraId="3185A995">
      <w:pPr>
        <w:spacing w:before="7" w:line="219" w:lineRule="auto"/>
        <w:ind w:left="575"/>
        <w:outlineLvl w:val="1"/>
        <w:rPr>
          <w:rFonts w:ascii="宋体" w:hAnsi="宋体" w:eastAsia="宋体" w:cs="宋体"/>
          <w:sz w:val="24"/>
          <w:szCs w:val="24"/>
        </w:rPr>
      </w:pPr>
      <w:bookmarkStart w:id="17" w:name="bookmark13"/>
      <w:bookmarkEnd w:id="17"/>
      <w:r>
        <w:rPr>
          <w:rFonts w:ascii="宋体" w:hAnsi="宋体" w:eastAsia="宋体" w:cs="宋体"/>
          <w:spacing w:val="7"/>
          <w:sz w:val="24"/>
          <w:szCs w:val="24"/>
        </w:rPr>
        <w:t>7.4矿区地质概况</w:t>
      </w:r>
    </w:p>
    <w:p w14:paraId="145567AD">
      <w:pPr>
        <w:spacing w:before="215" w:line="219" w:lineRule="auto"/>
        <w:ind w:left="575"/>
        <w:rPr>
          <w:rFonts w:ascii="宋体" w:hAnsi="宋体" w:eastAsia="宋体" w:cs="宋体"/>
          <w:sz w:val="24"/>
          <w:szCs w:val="24"/>
        </w:rPr>
      </w:pPr>
      <w:r>
        <w:rPr>
          <w:rFonts w:ascii="宋体" w:hAnsi="宋体" w:eastAsia="宋体" w:cs="宋体"/>
          <w:spacing w:val="12"/>
          <w:sz w:val="24"/>
          <w:szCs w:val="24"/>
        </w:rPr>
        <w:t>7.4.1地层</w:t>
      </w:r>
    </w:p>
    <w:p w14:paraId="0F654202">
      <w:pPr>
        <w:spacing w:before="159" w:line="392" w:lineRule="auto"/>
        <w:ind w:left="84" w:right="283" w:firstLine="490"/>
        <w:rPr>
          <w:rFonts w:ascii="宋体" w:hAnsi="宋体" w:eastAsia="宋体" w:cs="宋体"/>
          <w:sz w:val="24"/>
          <w:szCs w:val="24"/>
        </w:rPr>
      </w:pPr>
      <w:r>
        <w:rPr>
          <w:rFonts w:ascii="宋体" w:hAnsi="宋体" w:eastAsia="宋体" w:cs="宋体"/>
          <w:sz w:val="24"/>
          <w:szCs w:val="24"/>
        </w:rPr>
        <w:t>矿区出露地层为上古生界二叠系下统阳新组 (</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P₁y), </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二迭系上统峨眉山玄武</w:t>
      </w:r>
      <w:r>
        <w:rPr>
          <w:rFonts w:ascii="宋体" w:hAnsi="宋体" w:eastAsia="宋体" w:cs="宋体"/>
          <w:sz w:val="24"/>
          <w:szCs w:val="24"/>
        </w:rPr>
        <w:t xml:space="preserve"> </w:t>
      </w:r>
      <w:r>
        <w:rPr>
          <w:rFonts w:ascii="宋体" w:hAnsi="宋体" w:eastAsia="宋体" w:cs="宋体"/>
          <w:spacing w:val="-2"/>
          <w:sz w:val="24"/>
          <w:szCs w:val="24"/>
        </w:rPr>
        <w:t>岩组(</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P₂β)</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w:t>
      </w:r>
      <w:r>
        <w:rPr>
          <w:rFonts w:ascii="宋体" w:hAnsi="宋体" w:eastAsia="宋体" w:cs="宋体"/>
          <w:spacing w:val="48"/>
          <w:sz w:val="24"/>
          <w:szCs w:val="24"/>
        </w:rPr>
        <w:t xml:space="preserve"> </w:t>
      </w:r>
      <w:r>
        <w:rPr>
          <w:rFonts w:ascii="宋体" w:hAnsi="宋体" w:eastAsia="宋体" w:cs="宋体"/>
          <w:spacing w:val="-2"/>
          <w:sz w:val="24"/>
          <w:szCs w:val="24"/>
        </w:rPr>
        <w:t>乐平组(</w:t>
      </w:r>
      <w:r>
        <w:rPr>
          <w:rFonts w:ascii="宋体" w:hAnsi="宋体" w:eastAsia="宋体" w:cs="宋体"/>
          <w:spacing w:val="-59"/>
          <w:sz w:val="24"/>
          <w:szCs w:val="24"/>
        </w:rPr>
        <w:t xml:space="preserve"> </w:t>
      </w:r>
      <w:r>
        <w:rPr>
          <w:rFonts w:ascii="Times New Roman" w:hAnsi="Times New Roman" w:eastAsia="Times New Roman" w:cs="Times New Roman"/>
          <w:spacing w:val="-2"/>
          <w:sz w:val="24"/>
          <w:szCs w:val="24"/>
        </w:rPr>
        <w:t xml:space="preserve">P₂1)  </w:t>
      </w:r>
      <w:r>
        <w:rPr>
          <w:rFonts w:ascii="宋体" w:hAnsi="宋体" w:eastAsia="宋体" w:cs="宋体"/>
          <w:spacing w:val="-2"/>
          <w:sz w:val="24"/>
          <w:szCs w:val="24"/>
        </w:rPr>
        <w:t>中</w:t>
      </w:r>
      <w:r>
        <w:rPr>
          <w:rFonts w:ascii="仿宋" w:hAnsi="仿宋" w:eastAsia="仿宋" w:cs="仿宋"/>
          <w:spacing w:val="-2"/>
          <w:sz w:val="24"/>
          <w:szCs w:val="24"/>
        </w:rPr>
        <w:t>生界三叠系下统</w:t>
      </w:r>
      <w:r>
        <w:rPr>
          <w:rFonts w:ascii="宋体" w:hAnsi="宋体" w:eastAsia="宋体" w:cs="宋体"/>
          <w:spacing w:val="-2"/>
          <w:sz w:val="24"/>
          <w:szCs w:val="24"/>
        </w:rPr>
        <w:t>飞仙关组 (</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T₁f)</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w:t>
      </w:r>
      <w:r>
        <w:rPr>
          <w:rFonts w:ascii="宋体" w:hAnsi="宋体" w:eastAsia="宋体" w:cs="宋体"/>
          <w:spacing w:val="-71"/>
          <w:sz w:val="24"/>
          <w:szCs w:val="24"/>
        </w:rPr>
        <w:t xml:space="preserve"> </w:t>
      </w:r>
      <w:r>
        <w:rPr>
          <w:rFonts w:ascii="宋体" w:hAnsi="宋体" w:eastAsia="宋体" w:cs="宋体"/>
          <w:spacing w:val="-2"/>
          <w:sz w:val="24"/>
          <w:szCs w:val="24"/>
        </w:rPr>
        <w:t>嘉陵江组</w:t>
      </w:r>
      <w:r>
        <w:rPr>
          <w:rFonts w:ascii="宋体" w:hAnsi="宋体" w:eastAsia="宋体" w:cs="宋体"/>
          <w:spacing w:val="-28"/>
          <w:sz w:val="24"/>
          <w:szCs w:val="24"/>
        </w:rPr>
        <w:t xml:space="preserve"> </w:t>
      </w:r>
      <w:r>
        <w:rPr>
          <w:rFonts w:ascii="宋体" w:hAnsi="宋体" w:eastAsia="宋体" w:cs="宋体"/>
          <w:spacing w:val="-2"/>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T₁j)</w:t>
      </w:r>
      <w:r>
        <w:rPr>
          <w:rFonts w:ascii="Times New Roman" w:hAnsi="Times New Roman" w:eastAsia="Times New Roman" w:cs="Times New Roman"/>
          <w:sz w:val="24"/>
          <w:szCs w:val="24"/>
        </w:rPr>
        <w:t xml:space="preserve">  </w:t>
      </w:r>
      <w:r>
        <w:rPr>
          <w:rFonts w:ascii="宋体" w:hAnsi="宋体" w:eastAsia="宋体" w:cs="宋体"/>
          <w:spacing w:val="2"/>
          <w:sz w:val="24"/>
          <w:szCs w:val="24"/>
        </w:rPr>
        <w:t>和新生界第四系(</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Q)</w:t>
      </w:r>
      <w:r>
        <w:rPr>
          <w:rFonts w:ascii="Times New Roman" w:hAnsi="Times New Roman" w:eastAsia="Times New Roman" w:cs="Times New Roman"/>
          <w:spacing w:val="45"/>
          <w:w w:val="101"/>
          <w:sz w:val="24"/>
          <w:szCs w:val="24"/>
        </w:rPr>
        <w:t xml:space="preserve"> </w:t>
      </w:r>
      <w:r>
        <w:rPr>
          <w:rFonts w:ascii="宋体" w:hAnsi="宋体" w:eastAsia="宋体" w:cs="宋体"/>
          <w:spacing w:val="2"/>
          <w:sz w:val="24"/>
          <w:szCs w:val="24"/>
        </w:rPr>
        <w:t>地层。由老至新分述如下。</w:t>
      </w:r>
    </w:p>
    <w:p w14:paraId="53A6CEFA">
      <w:pPr>
        <w:spacing w:line="212" w:lineRule="auto"/>
        <w:ind w:left="765"/>
        <w:rPr>
          <w:rFonts w:ascii="Times New Roman" w:hAnsi="Times New Roman" w:eastAsia="Times New Roman" w:cs="Times New Roman"/>
          <w:sz w:val="24"/>
          <w:szCs w:val="24"/>
        </w:rPr>
      </w:pPr>
      <w:r>
        <w:rPr>
          <w:rFonts w:ascii="宋体" w:hAnsi="宋体" w:eastAsia="宋体" w:cs="宋体"/>
          <w:spacing w:val="5"/>
          <w:sz w:val="24"/>
          <w:szCs w:val="24"/>
        </w:rPr>
        <w:t>(1)二叠系下统</w:t>
      </w:r>
      <w:r>
        <w:rPr>
          <w:rFonts w:ascii="宋体" w:hAnsi="宋体" w:eastAsia="宋体" w:cs="宋体"/>
          <w:spacing w:val="-16"/>
          <w:sz w:val="24"/>
          <w:szCs w:val="24"/>
        </w:rPr>
        <w:t xml:space="preserve"> </w:t>
      </w:r>
      <w:r>
        <w:rPr>
          <w:rFonts w:ascii="宋体" w:hAnsi="宋体" w:eastAsia="宋体" w:cs="宋体"/>
          <w:spacing w:val="5"/>
          <w:sz w:val="24"/>
          <w:szCs w:val="24"/>
        </w:rPr>
        <w:t>(</w:t>
      </w:r>
      <w:r>
        <w:rPr>
          <w:rFonts w:ascii="宋体" w:hAnsi="宋体" w:eastAsia="宋体" w:cs="宋体"/>
          <w:spacing w:val="-59"/>
          <w:sz w:val="24"/>
          <w:szCs w:val="24"/>
        </w:rPr>
        <w:t xml:space="preserve"> </w:t>
      </w:r>
      <w:r>
        <w:rPr>
          <w:rFonts w:ascii="Times New Roman" w:hAnsi="Times New Roman" w:eastAsia="Times New Roman" w:cs="Times New Roman"/>
          <w:spacing w:val="5"/>
          <w:sz w:val="24"/>
          <w:szCs w:val="24"/>
        </w:rPr>
        <w:t>P₁)</w:t>
      </w:r>
    </w:p>
    <w:p w14:paraId="1ECBDFC3">
      <w:pPr>
        <w:spacing w:before="233" w:line="212" w:lineRule="auto"/>
        <w:ind w:left="575"/>
        <w:rPr>
          <w:rFonts w:ascii="Times New Roman" w:hAnsi="Times New Roman" w:eastAsia="Times New Roman" w:cs="Times New Roman"/>
          <w:sz w:val="24"/>
          <w:szCs w:val="24"/>
        </w:rPr>
      </w:pPr>
      <w:r>
        <w:rPr>
          <w:rFonts w:ascii="宋体" w:hAnsi="宋体" w:eastAsia="宋体" w:cs="宋体"/>
          <w:spacing w:val="7"/>
          <w:sz w:val="24"/>
          <w:szCs w:val="24"/>
        </w:rPr>
        <w:t>①阳新组(</w:t>
      </w:r>
      <w:r>
        <w:rPr>
          <w:rFonts w:ascii="宋体" w:hAnsi="宋体" w:eastAsia="宋体" w:cs="宋体"/>
          <w:spacing w:val="-48"/>
          <w:sz w:val="24"/>
          <w:szCs w:val="24"/>
        </w:rPr>
        <w:t xml:space="preserve"> </w:t>
      </w:r>
      <w:r>
        <w:rPr>
          <w:rFonts w:ascii="Times New Roman" w:hAnsi="Times New Roman" w:eastAsia="Times New Roman" w:cs="Times New Roman"/>
          <w:spacing w:val="7"/>
          <w:sz w:val="24"/>
          <w:szCs w:val="24"/>
        </w:rPr>
        <w:t>P₁y)</w:t>
      </w:r>
    </w:p>
    <w:p w14:paraId="7844C18C">
      <w:pPr>
        <w:spacing w:before="221" w:line="386" w:lineRule="auto"/>
        <w:ind w:left="84" w:right="249" w:firstLine="490"/>
        <w:jc w:val="both"/>
        <w:rPr>
          <w:rFonts w:ascii="宋体" w:hAnsi="宋体" w:eastAsia="宋体" w:cs="宋体"/>
          <w:sz w:val="24"/>
          <w:szCs w:val="24"/>
        </w:rPr>
      </w:pPr>
      <w:r>
        <w:rPr>
          <w:rFonts w:ascii="宋体" w:hAnsi="宋体" w:eastAsia="宋体" w:cs="宋体"/>
          <w:spacing w:val="7"/>
          <w:sz w:val="24"/>
          <w:szCs w:val="24"/>
        </w:rPr>
        <w:t>主要出露于矿区的东北部边缘，为一套海相碳酸盐沉积，全区厚度460</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4"/>
          <w:sz w:val="24"/>
          <w:szCs w:val="24"/>
        </w:rPr>
        <w:t xml:space="preserve">  </w:t>
      </w:r>
      <w:r>
        <w:rPr>
          <w:rFonts w:ascii="宋体" w:hAnsi="宋体" w:eastAsia="宋体" w:cs="宋体"/>
          <w:spacing w:val="-2"/>
          <w:sz w:val="24"/>
          <w:szCs w:val="24"/>
        </w:rPr>
        <w:t>500</w:t>
      </w:r>
      <w:r>
        <w:rPr>
          <w:rFonts w:ascii="Times New Roman" w:hAnsi="Times New Roman" w:eastAsia="Times New Roman" w:cs="Times New Roman"/>
          <w:spacing w:val="-2"/>
          <w:sz w:val="24"/>
          <w:szCs w:val="24"/>
        </w:rPr>
        <w:t>m</w:t>
      </w:r>
      <w:r>
        <w:rPr>
          <w:rFonts w:ascii="宋体" w:hAnsi="宋体" w:eastAsia="宋体" w:cs="宋体"/>
          <w:spacing w:val="-2"/>
          <w:sz w:val="24"/>
          <w:szCs w:val="24"/>
        </w:rPr>
        <w:t>。上部灰色至深灰色细晶厚层白云岩与灰色灰白色致密厚层石灰岩互层，其</w:t>
      </w:r>
      <w:r>
        <w:rPr>
          <w:rFonts w:ascii="宋体" w:hAnsi="宋体" w:eastAsia="宋体" w:cs="宋体"/>
          <w:spacing w:val="16"/>
          <w:sz w:val="24"/>
          <w:szCs w:val="24"/>
        </w:rPr>
        <w:t xml:space="preserve"> </w:t>
      </w:r>
      <w:r>
        <w:rPr>
          <w:rFonts w:ascii="宋体" w:hAnsi="宋体" w:eastAsia="宋体" w:cs="宋体"/>
          <w:spacing w:val="1"/>
          <w:sz w:val="24"/>
          <w:szCs w:val="24"/>
        </w:rPr>
        <w:t>中夹一层厚为1～10</w:t>
      </w:r>
      <w:r>
        <w:rPr>
          <w:rFonts w:ascii="Times New Roman" w:hAnsi="Times New Roman" w:eastAsia="Times New Roman" w:cs="Times New Roman"/>
          <w:sz w:val="24"/>
          <w:szCs w:val="24"/>
        </w:rPr>
        <w:t>cm</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铅锌矿化白云石脉；中部浅灰色灰岩与白云岩互层，呈透</w:t>
      </w:r>
      <w:r>
        <w:rPr>
          <w:rFonts w:ascii="宋体" w:hAnsi="宋体" w:eastAsia="宋体" w:cs="宋体"/>
          <w:sz w:val="24"/>
          <w:szCs w:val="24"/>
        </w:rPr>
        <w:t xml:space="preserve"> 镜状及不规则斑块状产出，夹少量燧石结核，白云石化、方解石化较强，为铅锌</w:t>
      </w:r>
      <w:r>
        <w:rPr>
          <w:rFonts w:ascii="宋体" w:hAnsi="宋体" w:eastAsia="宋体" w:cs="宋体"/>
          <w:spacing w:val="12"/>
          <w:sz w:val="24"/>
          <w:szCs w:val="24"/>
        </w:rPr>
        <w:t xml:space="preserve"> </w:t>
      </w:r>
      <w:r>
        <w:rPr>
          <w:rFonts w:ascii="宋体" w:hAnsi="宋体" w:eastAsia="宋体" w:cs="宋体"/>
          <w:sz w:val="24"/>
          <w:szCs w:val="24"/>
        </w:rPr>
        <w:t>矿的主要赋存部位；下部为灰至青灰色中至厚层状细晶灰岩，内碎屑灰岩夹生物</w:t>
      </w:r>
      <w:r>
        <w:rPr>
          <w:rFonts w:ascii="宋体" w:hAnsi="宋体" w:eastAsia="宋体" w:cs="宋体"/>
          <w:spacing w:val="11"/>
          <w:sz w:val="24"/>
          <w:szCs w:val="24"/>
        </w:rPr>
        <w:t xml:space="preserve"> </w:t>
      </w:r>
      <w:r>
        <w:rPr>
          <w:rFonts w:ascii="宋体" w:hAnsi="宋体" w:eastAsia="宋体" w:cs="宋体"/>
          <w:spacing w:val="1"/>
          <w:sz w:val="24"/>
          <w:szCs w:val="24"/>
        </w:rPr>
        <w:t>碎屑灰岩、白云质灰岩及白云岩，含较多燧石结核条带，顶部见0～5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4"/>
          <w:sz w:val="24"/>
          <w:szCs w:val="24"/>
        </w:rPr>
        <w:t xml:space="preserve"> </w:t>
      </w:r>
      <w:r>
        <w:rPr>
          <w:rFonts w:ascii="宋体" w:hAnsi="宋体" w:eastAsia="宋体" w:cs="宋体"/>
          <w:spacing w:val="1"/>
          <w:sz w:val="24"/>
          <w:szCs w:val="24"/>
        </w:rPr>
        <w:t>厚的米灰</w:t>
      </w:r>
      <w:r>
        <w:rPr>
          <w:rFonts w:ascii="宋体" w:hAnsi="宋体" w:eastAsia="宋体" w:cs="宋体"/>
          <w:sz w:val="24"/>
          <w:szCs w:val="24"/>
        </w:rPr>
        <w:t xml:space="preserve"> </w:t>
      </w:r>
      <w:r>
        <w:rPr>
          <w:rFonts w:ascii="宋体" w:hAnsi="宋体" w:eastAsia="宋体" w:cs="宋体"/>
          <w:spacing w:val="1"/>
          <w:sz w:val="24"/>
          <w:szCs w:val="24"/>
        </w:rPr>
        <w:t>色泥质灰岩，偶见黄铁矿，底部见少许铅锌矿化。其底部为区内</w:t>
      </w:r>
      <w:r>
        <w:rPr>
          <w:rFonts w:ascii="宋体" w:hAnsi="宋体" w:eastAsia="宋体" w:cs="宋体"/>
          <w:sz w:val="24"/>
          <w:szCs w:val="24"/>
        </w:rPr>
        <w:t xml:space="preserve">铅锌矿赋矿部位 </w:t>
      </w:r>
      <w:r>
        <w:rPr>
          <w:rFonts w:ascii="黑体" w:hAnsi="黑体" w:eastAsia="黑体" w:cs="黑体"/>
          <w:spacing w:val="-5"/>
          <w:sz w:val="24"/>
          <w:szCs w:val="24"/>
        </w:rPr>
        <w:t>之</w:t>
      </w:r>
      <w:r>
        <w:rPr>
          <w:rFonts w:ascii="宋体" w:hAnsi="宋体" w:eastAsia="宋体" w:cs="宋体"/>
          <w:spacing w:val="-5"/>
          <w:sz w:val="24"/>
          <w:szCs w:val="24"/>
        </w:rPr>
        <w:t>一。</w:t>
      </w:r>
    </w:p>
    <w:p w14:paraId="25B27E44">
      <w:pPr>
        <w:spacing w:line="212" w:lineRule="auto"/>
        <w:ind w:left="775"/>
        <w:rPr>
          <w:rFonts w:ascii="Times New Roman" w:hAnsi="Times New Roman" w:eastAsia="Times New Roman" w:cs="Times New Roman"/>
          <w:sz w:val="24"/>
          <w:szCs w:val="24"/>
        </w:rPr>
      </w:pPr>
      <w:r>
        <w:rPr>
          <w:rFonts w:ascii="宋体" w:hAnsi="宋体" w:eastAsia="宋体" w:cs="宋体"/>
          <w:spacing w:val="7"/>
          <w:sz w:val="24"/>
          <w:szCs w:val="24"/>
        </w:rPr>
        <w:t>(2)二叠系上统</w:t>
      </w:r>
      <w:r>
        <w:rPr>
          <w:rFonts w:ascii="宋体" w:hAnsi="宋体" w:eastAsia="宋体" w:cs="宋体"/>
          <w:spacing w:val="-30"/>
          <w:sz w:val="24"/>
          <w:szCs w:val="24"/>
        </w:rPr>
        <w:t xml:space="preserve"> </w:t>
      </w:r>
      <w:r>
        <w:rPr>
          <w:rFonts w:ascii="宋体" w:hAnsi="宋体" w:eastAsia="宋体" w:cs="宋体"/>
          <w:spacing w:val="7"/>
          <w:sz w:val="24"/>
          <w:szCs w:val="24"/>
        </w:rPr>
        <w:t>(</w:t>
      </w:r>
      <w:r>
        <w:rPr>
          <w:rFonts w:ascii="宋体" w:hAnsi="宋体" w:eastAsia="宋体" w:cs="宋体"/>
          <w:spacing w:val="-49"/>
          <w:sz w:val="24"/>
          <w:szCs w:val="24"/>
        </w:rPr>
        <w:t xml:space="preserve"> </w:t>
      </w:r>
      <w:r>
        <w:rPr>
          <w:rFonts w:ascii="Times New Roman" w:hAnsi="Times New Roman" w:eastAsia="Times New Roman" w:cs="Times New Roman"/>
          <w:spacing w:val="7"/>
          <w:sz w:val="24"/>
          <w:szCs w:val="24"/>
        </w:rPr>
        <w:t>P₂)</w:t>
      </w:r>
    </w:p>
    <w:p w14:paraId="6C3921CC">
      <w:pPr>
        <w:spacing w:line="212" w:lineRule="auto"/>
        <w:rPr>
          <w:rFonts w:ascii="Times New Roman" w:hAnsi="Times New Roman" w:eastAsia="Times New Roman" w:cs="Times New Roman"/>
          <w:sz w:val="24"/>
          <w:szCs w:val="24"/>
        </w:rPr>
        <w:sectPr>
          <w:headerReference r:id="rId40" w:type="default"/>
          <w:footerReference r:id="rId41" w:type="default"/>
          <w:pgSz w:w="11900" w:h="16830"/>
          <w:pgMar w:top="1157" w:right="1350" w:bottom="1299" w:left="1785" w:header="880" w:footer="948" w:gutter="0"/>
          <w:cols w:space="720" w:num="1"/>
        </w:sectPr>
      </w:pPr>
    </w:p>
    <w:p w14:paraId="2A31E7BB">
      <w:pPr>
        <w:pStyle w:val="2"/>
        <w:spacing w:line="395" w:lineRule="auto"/>
      </w:pPr>
    </w:p>
    <w:p w14:paraId="3964AC5D">
      <w:pPr>
        <w:spacing w:before="78" w:line="212" w:lineRule="auto"/>
        <w:ind w:left="545"/>
        <w:rPr>
          <w:rFonts w:ascii="Times New Roman" w:hAnsi="Times New Roman" w:eastAsia="Times New Roman" w:cs="Times New Roman"/>
          <w:sz w:val="24"/>
          <w:szCs w:val="24"/>
        </w:rPr>
      </w:pPr>
      <w:bookmarkStart w:id="18" w:name="bookmark50"/>
      <w:bookmarkEnd w:id="18"/>
      <w:r>
        <w:rPr>
          <w:rFonts w:ascii="宋体" w:hAnsi="宋体" w:eastAsia="宋体" w:cs="宋体"/>
          <w:spacing w:val="2"/>
          <w:sz w:val="24"/>
          <w:szCs w:val="24"/>
        </w:rPr>
        <w:t>①峨眉山玄武岩组(</w:t>
      </w:r>
      <w:r>
        <w:rPr>
          <w:rFonts w:ascii="宋体" w:hAnsi="宋体" w:eastAsia="宋体" w:cs="宋体"/>
          <w:spacing w:val="-61"/>
          <w:sz w:val="24"/>
          <w:szCs w:val="24"/>
        </w:rPr>
        <w:t xml:space="preserve"> </w:t>
      </w:r>
      <w:r>
        <w:rPr>
          <w:rFonts w:ascii="Times New Roman" w:hAnsi="Times New Roman" w:eastAsia="Times New Roman" w:cs="Times New Roman"/>
          <w:spacing w:val="2"/>
          <w:sz w:val="24"/>
          <w:szCs w:val="24"/>
        </w:rPr>
        <w:t>P₂β)</w:t>
      </w:r>
    </w:p>
    <w:p w14:paraId="55A67A8A">
      <w:pPr>
        <w:spacing w:before="230" w:line="384" w:lineRule="auto"/>
        <w:ind w:left="74" w:right="248" w:firstLine="470"/>
        <w:rPr>
          <w:rFonts w:ascii="宋体" w:hAnsi="宋体" w:eastAsia="宋体" w:cs="宋体"/>
          <w:sz w:val="24"/>
          <w:szCs w:val="24"/>
        </w:rPr>
      </w:pPr>
      <w:r>
        <w:rPr>
          <w:rFonts w:ascii="宋体" w:hAnsi="宋体" w:eastAsia="宋体" w:cs="宋体"/>
          <w:spacing w:val="-3"/>
          <w:sz w:val="24"/>
          <w:szCs w:val="24"/>
        </w:rPr>
        <w:t>分布于矿区中部，厚225</w:t>
      </w:r>
      <w:r>
        <w:rPr>
          <w:rFonts w:ascii="Times New Roman" w:hAnsi="Times New Roman" w:eastAsia="Times New Roman" w:cs="Times New Roman"/>
          <w:spacing w:val="-3"/>
          <w:sz w:val="24"/>
          <w:szCs w:val="24"/>
        </w:rPr>
        <w:t>m</w:t>
      </w:r>
      <w:r>
        <w:rPr>
          <w:rFonts w:ascii="宋体" w:hAnsi="宋体" w:eastAsia="宋体" w:cs="宋体"/>
          <w:spacing w:val="-3"/>
          <w:sz w:val="24"/>
          <w:szCs w:val="24"/>
        </w:rPr>
        <w:t>。岩性为一套沉积～基性喷溢岩相组合。</w:t>
      </w:r>
      <w:r>
        <w:rPr>
          <w:rFonts w:ascii="宋体" w:hAnsi="宋体" w:eastAsia="宋体" w:cs="宋体"/>
          <w:spacing w:val="-4"/>
          <w:sz w:val="24"/>
          <w:szCs w:val="24"/>
        </w:rPr>
        <w:t>上部：黄</w:t>
      </w:r>
      <w:r>
        <w:rPr>
          <w:rFonts w:ascii="宋体" w:hAnsi="宋体" w:eastAsia="宋体" w:cs="宋体"/>
          <w:sz w:val="24"/>
          <w:szCs w:val="24"/>
        </w:rPr>
        <w:t xml:space="preserve"> 绿色含砾沉火山碎屑凝灰岩、凝灰质粉砂岩、含凝</w:t>
      </w:r>
      <w:r>
        <w:rPr>
          <w:rFonts w:ascii="宋体" w:hAnsi="宋体" w:eastAsia="宋体" w:cs="宋体"/>
          <w:spacing w:val="-1"/>
          <w:sz w:val="24"/>
          <w:szCs w:val="24"/>
        </w:rPr>
        <w:t>灰质玄武质角砾岩、玄武质熔</w:t>
      </w:r>
      <w:r>
        <w:rPr>
          <w:rFonts w:ascii="宋体" w:hAnsi="宋体" w:eastAsia="宋体" w:cs="宋体"/>
          <w:sz w:val="24"/>
          <w:szCs w:val="24"/>
        </w:rPr>
        <w:t xml:space="preserve"> </w:t>
      </w:r>
      <w:r>
        <w:rPr>
          <w:rFonts w:ascii="宋体" w:hAnsi="宋体" w:eastAsia="宋体" w:cs="宋体"/>
          <w:spacing w:val="-1"/>
          <w:sz w:val="24"/>
          <w:szCs w:val="24"/>
        </w:rPr>
        <w:t>角砾岩，暗绿色粗玄武岩、气孔杏仁状玄武岩不等厚</w:t>
      </w:r>
      <w:r>
        <w:rPr>
          <w:rFonts w:ascii="宋体" w:hAnsi="宋体" w:eastAsia="宋体" w:cs="宋体"/>
          <w:spacing w:val="-2"/>
          <w:sz w:val="24"/>
          <w:szCs w:val="24"/>
        </w:rPr>
        <w:t>度叠覆，组成四个不完全韵</w:t>
      </w:r>
      <w:r>
        <w:rPr>
          <w:rFonts w:ascii="宋体" w:hAnsi="宋体" w:eastAsia="宋体" w:cs="宋体"/>
          <w:sz w:val="24"/>
          <w:szCs w:val="24"/>
        </w:rPr>
        <w:t xml:space="preserve"> </w:t>
      </w:r>
      <w:r>
        <w:rPr>
          <w:rFonts w:ascii="宋体" w:hAnsi="宋体" w:eastAsia="宋体" w:cs="宋体"/>
          <w:spacing w:val="-1"/>
          <w:sz w:val="24"/>
          <w:szCs w:val="24"/>
        </w:rPr>
        <w:t>律，岩石具大型柱状节理。中部：杂斑色岩屑凝灰岩、含砾沉凝灰岩、凝灰玄武</w:t>
      </w:r>
      <w:r>
        <w:rPr>
          <w:rFonts w:ascii="宋体" w:hAnsi="宋体" w:eastAsia="宋体" w:cs="宋体"/>
          <w:spacing w:val="4"/>
          <w:sz w:val="24"/>
          <w:szCs w:val="24"/>
        </w:rPr>
        <w:t xml:space="preserve"> </w:t>
      </w:r>
      <w:r>
        <w:rPr>
          <w:rFonts w:ascii="宋体" w:hAnsi="宋体" w:eastAsia="宋体" w:cs="宋体"/>
          <w:sz w:val="24"/>
          <w:szCs w:val="24"/>
        </w:rPr>
        <w:t>质角砾岩、玄武质熔角砾岩、气孔杏仁状玄武岩构成</w:t>
      </w:r>
      <w:r>
        <w:rPr>
          <w:rFonts w:ascii="宋体" w:hAnsi="宋体" w:eastAsia="宋体" w:cs="宋体"/>
          <w:spacing w:val="-1"/>
          <w:sz w:val="24"/>
          <w:szCs w:val="24"/>
        </w:rPr>
        <w:t>二个不完整喷发韵律，岩石</w:t>
      </w:r>
      <w:r>
        <w:rPr>
          <w:rFonts w:ascii="宋体" w:hAnsi="宋体" w:eastAsia="宋体" w:cs="宋体"/>
          <w:sz w:val="24"/>
          <w:szCs w:val="24"/>
        </w:rPr>
        <w:t xml:space="preserve"> </w:t>
      </w:r>
      <w:r>
        <w:rPr>
          <w:rFonts w:ascii="宋体" w:hAnsi="宋体" w:eastAsia="宋体" w:cs="宋体"/>
          <w:spacing w:val="-1"/>
          <w:sz w:val="24"/>
          <w:szCs w:val="24"/>
        </w:rPr>
        <w:t>以玄武质角砾岩为主，具柱状节理；下部：浅黄～灰紫红色细粒含砂泥岩</w:t>
      </w:r>
      <w:r>
        <w:rPr>
          <w:rFonts w:ascii="宋体" w:hAnsi="宋体" w:eastAsia="宋体" w:cs="宋体"/>
          <w:spacing w:val="-2"/>
          <w:sz w:val="24"/>
          <w:szCs w:val="24"/>
        </w:rPr>
        <w:t>沉火山</w:t>
      </w:r>
      <w:r>
        <w:rPr>
          <w:rFonts w:ascii="宋体" w:hAnsi="宋体" w:eastAsia="宋体" w:cs="宋体"/>
          <w:sz w:val="24"/>
          <w:szCs w:val="24"/>
        </w:rPr>
        <w:t xml:space="preserve"> 碎屑岩，紫灰绿色玄武质熔角砾岩，铅灰绿色气孔杏仁状</w:t>
      </w:r>
      <w:r>
        <w:rPr>
          <w:rFonts w:ascii="宋体" w:hAnsi="宋体" w:eastAsia="宋体" w:cs="宋体"/>
          <w:spacing w:val="-1"/>
          <w:sz w:val="24"/>
          <w:szCs w:val="24"/>
        </w:rPr>
        <w:t>玄武岩，组成一完整的</w:t>
      </w:r>
      <w:r>
        <w:rPr>
          <w:rFonts w:ascii="宋体" w:hAnsi="宋体" w:eastAsia="宋体" w:cs="宋体"/>
          <w:sz w:val="24"/>
          <w:szCs w:val="24"/>
        </w:rPr>
        <w:t xml:space="preserve"> </w:t>
      </w:r>
      <w:r>
        <w:rPr>
          <w:rFonts w:ascii="宋体" w:hAnsi="宋体" w:eastAsia="宋体" w:cs="宋体"/>
          <w:spacing w:val="-1"/>
          <w:sz w:val="24"/>
          <w:szCs w:val="24"/>
        </w:rPr>
        <w:t>喷发韵律。与下伏地层呈假整合接触，接触面</w:t>
      </w:r>
      <w:r>
        <w:rPr>
          <w:rFonts w:ascii="宋体" w:hAnsi="宋体" w:eastAsia="宋体" w:cs="宋体"/>
          <w:spacing w:val="-2"/>
          <w:sz w:val="24"/>
          <w:szCs w:val="24"/>
        </w:rPr>
        <w:t>凹凸不平。</w:t>
      </w:r>
    </w:p>
    <w:p w14:paraId="079AD55A">
      <w:pPr>
        <w:spacing w:line="212" w:lineRule="auto"/>
        <w:ind w:left="545"/>
        <w:rPr>
          <w:rFonts w:ascii="Times New Roman" w:hAnsi="Times New Roman" w:eastAsia="Times New Roman" w:cs="Times New Roman"/>
          <w:sz w:val="24"/>
          <w:szCs w:val="24"/>
        </w:rPr>
      </w:pPr>
      <w:r>
        <w:rPr>
          <w:rFonts w:ascii="宋体" w:hAnsi="宋体" w:eastAsia="宋体" w:cs="宋体"/>
          <w:spacing w:val="-3"/>
          <w:sz w:val="24"/>
          <w:szCs w:val="24"/>
        </w:rPr>
        <w:t>②乐平组</w:t>
      </w:r>
      <w:r>
        <w:rPr>
          <w:rFonts w:ascii="宋体" w:hAnsi="宋体" w:eastAsia="宋体" w:cs="宋体"/>
          <w:spacing w:val="-29"/>
          <w:sz w:val="24"/>
          <w:szCs w:val="24"/>
        </w:rPr>
        <w:t xml:space="preserve"> </w:t>
      </w:r>
      <w:r>
        <w:rPr>
          <w:rFonts w:ascii="宋体" w:hAnsi="宋体" w:eastAsia="宋体" w:cs="宋体"/>
          <w:spacing w:val="-3"/>
          <w:sz w:val="24"/>
          <w:szCs w:val="24"/>
        </w:rPr>
        <w:t>(</w:t>
      </w:r>
      <w:r>
        <w:rPr>
          <w:rFonts w:ascii="宋体" w:hAnsi="宋体" w:eastAsia="宋体" w:cs="宋体"/>
          <w:spacing w:val="-59"/>
          <w:sz w:val="24"/>
          <w:szCs w:val="24"/>
        </w:rPr>
        <w:t xml:space="preserve"> </w:t>
      </w:r>
      <w:r>
        <w:rPr>
          <w:rFonts w:ascii="Times New Roman" w:hAnsi="Times New Roman" w:eastAsia="Times New Roman" w:cs="Times New Roman"/>
          <w:spacing w:val="-3"/>
          <w:sz w:val="24"/>
          <w:szCs w:val="24"/>
        </w:rPr>
        <w:t>P₂1)</w:t>
      </w:r>
    </w:p>
    <w:p w14:paraId="4AA77716">
      <w:pPr>
        <w:spacing w:before="230" w:line="383" w:lineRule="auto"/>
        <w:ind w:left="74" w:right="239" w:firstLine="470"/>
        <w:rPr>
          <w:rFonts w:ascii="宋体" w:hAnsi="宋体" w:eastAsia="宋体" w:cs="宋体"/>
          <w:sz w:val="24"/>
          <w:szCs w:val="24"/>
        </w:rPr>
      </w:pPr>
      <w:r>
        <w:rPr>
          <w:rFonts w:ascii="宋体" w:hAnsi="宋体" w:eastAsia="宋体" w:cs="宋体"/>
          <w:spacing w:val="-2"/>
          <w:sz w:val="24"/>
          <w:szCs w:val="24"/>
        </w:rPr>
        <w:t>分布于矿区西部，厚250</w:t>
      </w:r>
      <w:r>
        <w:rPr>
          <w:rFonts w:ascii="Times New Roman" w:hAnsi="Times New Roman" w:eastAsia="Times New Roman" w:cs="Times New Roman"/>
          <w:spacing w:val="-2"/>
          <w:sz w:val="24"/>
          <w:szCs w:val="24"/>
        </w:rPr>
        <w:t>m</w:t>
      </w:r>
      <w:r>
        <w:rPr>
          <w:rFonts w:ascii="宋体" w:hAnsi="宋体" w:eastAsia="宋体" w:cs="宋体"/>
          <w:spacing w:val="-2"/>
          <w:sz w:val="24"/>
          <w:szCs w:val="24"/>
        </w:rPr>
        <w:t>。岩性为灰绿色钙质泥岩、页岩及黑色碳质页岩，</w:t>
      </w:r>
      <w:r>
        <w:rPr>
          <w:rFonts w:ascii="宋体" w:hAnsi="宋体" w:eastAsia="宋体" w:cs="宋体"/>
          <w:spacing w:val="12"/>
          <w:sz w:val="24"/>
          <w:szCs w:val="24"/>
        </w:rPr>
        <w:t xml:space="preserve"> </w:t>
      </w:r>
      <w:r>
        <w:rPr>
          <w:rFonts w:ascii="宋体" w:hAnsi="宋体" w:eastAsia="宋体" w:cs="宋体"/>
          <w:spacing w:val="-2"/>
          <w:sz w:val="24"/>
          <w:szCs w:val="24"/>
        </w:rPr>
        <w:t>夹薄层硅质岩及砂岩，含煤数层。底部为0～10</w:t>
      </w:r>
      <w:r>
        <w:rPr>
          <w:rFonts w:ascii="Times New Roman" w:hAnsi="Times New Roman" w:eastAsia="Times New Roman" w:cs="Times New Roman"/>
          <w:spacing w:val="-2"/>
          <w:sz w:val="24"/>
          <w:szCs w:val="24"/>
        </w:rPr>
        <w:t>m</w:t>
      </w:r>
      <w:r>
        <w:rPr>
          <w:rFonts w:ascii="宋体" w:hAnsi="宋体" w:eastAsia="宋体" w:cs="宋体"/>
          <w:spacing w:val="-2"/>
          <w:sz w:val="24"/>
          <w:szCs w:val="24"/>
        </w:rPr>
        <w:t>厚的玄武质砾石，与下伏地层呈</w:t>
      </w:r>
      <w:r>
        <w:rPr>
          <w:rFonts w:ascii="宋体" w:hAnsi="宋体" w:eastAsia="宋体" w:cs="宋体"/>
          <w:spacing w:val="6"/>
          <w:sz w:val="24"/>
          <w:szCs w:val="24"/>
        </w:rPr>
        <w:t xml:space="preserve"> </w:t>
      </w:r>
      <w:r>
        <w:rPr>
          <w:rFonts w:ascii="宋体" w:hAnsi="宋体" w:eastAsia="宋体" w:cs="宋体"/>
          <w:spacing w:val="-8"/>
          <w:sz w:val="24"/>
          <w:szCs w:val="24"/>
        </w:rPr>
        <w:t>整合接触。</w:t>
      </w:r>
    </w:p>
    <w:p w14:paraId="7FB60AC6">
      <w:pPr>
        <w:spacing w:line="212" w:lineRule="auto"/>
        <w:ind w:left="734"/>
        <w:rPr>
          <w:rFonts w:ascii="Times New Roman" w:hAnsi="Times New Roman" w:eastAsia="Times New Roman" w:cs="Times New Roman"/>
          <w:sz w:val="24"/>
          <w:szCs w:val="24"/>
        </w:rPr>
      </w:pPr>
      <w:r>
        <w:rPr>
          <w:rFonts w:ascii="宋体" w:hAnsi="宋体" w:eastAsia="宋体" w:cs="宋体"/>
          <w:spacing w:val="12"/>
          <w:sz w:val="24"/>
          <w:szCs w:val="24"/>
        </w:rPr>
        <w:t>(3)三叠系下统(</w:t>
      </w:r>
      <w:r>
        <w:rPr>
          <w:rFonts w:ascii="宋体" w:hAnsi="宋体" w:eastAsia="宋体" w:cs="宋体"/>
          <w:spacing w:val="-61"/>
          <w:sz w:val="24"/>
          <w:szCs w:val="24"/>
        </w:rPr>
        <w:t xml:space="preserve"> </w:t>
      </w:r>
      <w:r>
        <w:rPr>
          <w:rFonts w:ascii="Times New Roman" w:hAnsi="Times New Roman" w:eastAsia="Times New Roman" w:cs="Times New Roman"/>
          <w:spacing w:val="12"/>
          <w:sz w:val="24"/>
          <w:szCs w:val="24"/>
        </w:rPr>
        <w:t>T₁)</w:t>
      </w:r>
    </w:p>
    <w:p w14:paraId="553AA1E4">
      <w:pPr>
        <w:spacing w:before="224" w:line="212" w:lineRule="auto"/>
        <w:ind w:left="545"/>
        <w:rPr>
          <w:rFonts w:ascii="Times New Roman" w:hAnsi="Times New Roman" w:eastAsia="Times New Roman" w:cs="Times New Roman"/>
          <w:sz w:val="24"/>
          <w:szCs w:val="24"/>
        </w:rPr>
      </w:pPr>
      <w:r>
        <w:rPr>
          <w:rFonts w:ascii="宋体" w:hAnsi="宋体" w:eastAsia="宋体" w:cs="宋体"/>
          <w:spacing w:val="-8"/>
          <w:sz w:val="24"/>
          <w:szCs w:val="24"/>
        </w:rPr>
        <w:t>①飞仙关组 (</w:t>
      </w:r>
      <w:r>
        <w:rPr>
          <w:rFonts w:ascii="宋体" w:hAnsi="宋体" w:eastAsia="宋体" w:cs="宋体"/>
          <w:spacing w:val="-49"/>
          <w:sz w:val="24"/>
          <w:szCs w:val="24"/>
        </w:rPr>
        <w:t xml:space="preserve"> </w:t>
      </w:r>
      <w:r>
        <w:rPr>
          <w:rFonts w:ascii="Times New Roman" w:hAnsi="Times New Roman" w:eastAsia="Times New Roman" w:cs="Times New Roman"/>
          <w:spacing w:val="-8"/>
          <w:sz w:val="24"/>
          <w:szCs w:val="24"/>
        </w:rPr>
        <w:t>T₁f)</w:t>
      </w:r>
    </w:p>
    <w:p w14:paraId="4DCDF545">
      <w:pPr>
        <w:spacing w:before="210" w:line="390" w:lineRule="auto"/>
        <w:ind w:left="74" w:right="160" w:firstLine="470"/>
        <w:rPr>
          <w:rFonts w:ascii="宋体" w:hAnsi="宋体" w:eastAsia="宋体" w:cs="宋体"/>
          <w:sz w:val="24"/>
          <w:szCs w:val="24"/>
        </w:rPr>
      </w:pPr>
      <w:r>
        <w:rPr>
          <w:rFonts w:ascii="宋体" w:hAnsi="宋体" w:eastAsia="宋体" w:cs="宋体"/>
          <w:spacing w:val="-5"/>
          <w:sz w:val="24"/>
          <w:szCs w:val="24"/>
        </w:rPr>
        <w:t>分布矿区外围南部。岩性为褐黄色、紫红色泥岩。页岩夹细砂岩，岩屑砂岩、</w:t>
      </w:r>
      <w:r>
        <w:rPr>
          <w:rFonts w:ascii="宋体" w:hAnsi="宋体" w:eastAsia="宋体" w:cs="宋体"/>
          <w:spacing w:val="18"/>
          <w:sz w:val="24"/>
          <w:szCs w:val="24"/>
        </w:rPr>
        <w:t xml:space="preserve"> </w:t>
      </w:r>
      <w:r>
        <w:rPr>
          <w:rFonts w:ascii="宋体" w:hAnsi="宋体" w:eastAsia="宋体" w:cs="宋体"/>
          <w:spacing w:val="1"/>
          <w:sz w:val="24"/>
          <w:szCs w:val="24"/>
        </w:rPr>
        <w:t>粉砂质泥岩，局部夹薄层泥质灰岩，与下伏地层呈</w:t>
      </w:r>
      <w:r>
        <w:rPr>
          <w:rFonts w:ascii="宋体" w:hAnsi="宋体" w:eastAsia="宋体" w:cs="宋体"/>
          <w:sz w:val="24"/>
          <w:szCs w:val="24"/>
        </w:rPr>
        <w:t>整合接触，</w:t>
      </w:r>
      <w:r>
        <w:rPr>
          <w:rFonts w:ascii="仿宋" w:hAnsi="仿宋" w:eastAsia="仿宋" w:cs="仿宋"/>
          <w:sz w:val="24"/>
          <w:szCs w:val="24"/>
        </w:rPr>
        <w:t>厚500</w:t>
      </w:r>
      <w:r>
        <w:rPr>
          <w:rFonts w:ascii="Times New Roman" w:hAnsi="Times New Roman" w:eastAsia="Times New Roman" w:cs="Times New Roman"/>
          <w:sz w:val="24"/>
          <w:szCs w:val="24"/>
        </w:rPr>
        <w:t>m</w:t>
      </w:r>
      <w:r>
        <w:rPr>
          <w:rFonts w:ascii="宋体" w:hAnsi="宋体" w:eastAsia="宋体" w:cs="宋体"/>
          <w:sz w:val="24"/>
          <w:szCs w:val="24"/>
        </w:rPr>
        <w:t>。</w:t>
      </w:r>
    </w:p>
    <w:p w14:paraId="5D8774FF">
      <w:pPr>
        <w:spacing w:line="212" w:lineRule="auto"/>
        <w:ind w:left="545"/>
        <w:rPr>
          <w:rFonts w:ascii="Times New Roman" w:hAnsi="Times New Roman" w:eastAsia="Times New Roman" w:cs="Times New Roman"/>
          <w:sz w:val="24"/>
          <w:szCs w:val="24"/>
        </w:rPr>
      </w:pPr>
      <w:r>
        <w:rPr>
          <w:rFonts w:ascii="宋体" w:hAnsi="宋体" w:eastAsia="宋体" w:cs="宋体"/>
          <w:spacing w:val="5"/>
          <w:sz w:val="24"/>
          <w:szCs w:val="24"/>
        </w:rPr>
        <w:t>②嘉陵江组(</w:t>
      </w:r>
      <w:r>
        <w:rPr>
          <w:rFonts w:ascii="宋体" w:hAnsi="宋体" w:eastAsia="宋体" w:cs="宋体"/>
          <w:spacing w:val="-48"/>
          <w:sz w:val="24"/>
          <w:szCs w:val="24"/>
        </w:rPr>
        <w:t xml:space="preserve"> </w:t>
      </w:r>
      <w:r>
        <w:rPr>
          <w:rFonts w:ascii="Times New Roman" w:hAnsi="Times New Roman" w:eastAsia="Times New Roman" w:cs="Times New Roman"/>
          <w:spacing w:val="5"/>
          <w:sz w:val="24"/>
          <w:szCs w:val="24"/>
        </w:rPr>
        <w:t>T₁j)</w:t>
      </w:r>
    </w:p>
    <w:p w14:paraId="42283AB6">
      <w:pPr>
        <w:spacing w:before="221" w:line="386" w:lineRule="auto"/>
        <w:ind w:left="74" w:right="262" w:firstLine="470"/>
        <w:rPr>
          <w:rFonts w:ascii="宋体" w:hAnsi="宋体" w:eastAsia="宋体" w:cs="宋体"/>
          <w:sz w:val="24"/>
          <w:szCs w:val="24"/>
        </w:rPr>
      </w:pPr>
      <w:r>
        <w:rPr>
          <w:rFonts w:ascii="宋体" w:hAnsi="宋体" w:eastAsia="宋体" w:cs="宋体"/>
          <w:sz w:val="24"/>
          <w:szCs w:val="24"/>
        </w:rPr>
        <w:t>分布矿区外围南部，岩性为灰白色、灰黄色</w:t>
      </w:r>
      <w:r>
        <w:rPr>
          <w:rFonts w:ascii="宋体" w:hAnsi="宋体" w:eastAsia="宋体" w:cs="宋体"/>
          <w:spacing w:val="-1"/>
          <w:sz w:val="24"/>
          <w:szCs w:val="24"/>
        </w:rPr>
        <w:t>薄至中厚层状泥质灰岩，下部夹</w:t>
      </w:r>
      <w:r>
        <w:rPr>
          <w:rFonts w:ascii="宋体" w:hAnsi="宋体" w:eastAsia="宋体" w:cs="宋体"/>
          <w:sz w:val="24"/>
          <w:szCs w:val="24"/>
        </w:rPr>
        <w:t xml:space="preserve"> </w:t>
      </w:r>
      <w:r>
        <w:rPr>
          <w:rFonts w:ascii="宋体" w:hAnsi="宋体" w:eastAsia="宋体" w:cs="宋体"/>
          <w:spacing w:val="1"/>
          <w:sz w:val="24"/>
          <w:szCs w:val="24"/>
        </w:rPr>
        <w:t>少量页岩及蠕虫状碎屑灰岩。与下伏地层呈整合接触，厚4</w:t>
      </w:r>
      <w:r>
        <w:rPr>
          <w:rFonts w:ascii="宋体" w:hAnsi="宋体" w:eastAsia="宋体" w:cs="宋体"/>
          <w:sz w:val="24"/>
          <w:szCs w:val="24"/>
        </w:rPr>
        <w:t>25</w:t>
      </w:r>
      <w:r>
        <w:rPr>
          <w:rFonts w:ascii="Times New Roman" w:hAnsi="Times New Roman" w:eastAsia="Times New Roman" w:cs="Times New Roman"/>
          <w:sz w:val="24"/>
          <w:szCs w:val="24"/>
        </w:rPr>
        <w:t>m</w:t>
      </w:r>
      <w:r>
        <w:rPr>
          <w:rFonts w:ascii="宋体" w:hAnsi="宋体" w:eastAsia="宋体" w:cs="宋体"/>
          <w:sz w:val="24"/>
          <w:szCs w:val="24"/>
        </w:rPr>
        <w:t>。</w:t>
      </w:r>
    </w:p>
    <w:p w14:paraId="2CE4A096">
      <w:pPr>
        <w:spacing w:line="212" w:lineRule="auto"/>
        <w:ind w:left="734"/>
        <w:rPr>
          <w:rFonts w:ascii="Times New Roman" w:hAnsi="Times New Roman" w:eastAsia="Times New Roman" w:cs="Times New Roman"/>
          <w:sz w:val="24"/>
          <w:szCs w:val="24"/>
        </w:rPr>
      </w:pPr>
      <w:r>
        <w:rPr>
          <w:rFonts w:ascii="宋体" w:hAnsi="宋体" w:eastAsia="宋体" w:cs="宋体"/>
          <w:spacing w:val="4"/>
          <w:sz w:val="24"/>
          <w:szCs w:val="24"/>
        </w:rPr>
        <w:t>(4)第四</w:t>
      </w:r>
      <w:r>
        <w:rPr>
          <w:rFonts w:ascii="仿宋" w:hAnsi="仿宋" w:eastAsia="仿宋" w:cs="仿宋"/>
          <w:spacing w:val="4"/>
          <w:sz w:val="24"/>
          <w:szCs w:val="24"/>
        </w:rPr>
        <w:t>系 (</w:t>
      </w:r>
      <w:r>
        <w:rPr>
          <w:rFonts w:ascii="仿宋" w:hAnsi="仿宋" w:eastAsia="仿宋" w:cs="仿宋"/>
          <w:spacing w:val="-57"/>
          <w:sz w:val="24"/>
          <w:szCs w:val="24"/>
        </w:rPr>
        <w:t xml:space="preserve"> </w:t>
      </w:r>
      <w:r>
        <w:rPr>
          <w:rFonts w:ascii="Times New Roman" w:hAnsi="Times New Roman" w:eastAsia="Times New Roman" w:cs="Times New Roman"/>
          <w:spacing w:val="4"/>
          <w:sz w:val="24"/>
          <w:szCs w:val="24"/>
        </w:rPr>
        <w:t>Q)</w:t>
      </w:r>
    </w:p>
    <w:p w14:paraId="2D6A2F5B">
      <w:pPr>
        <w:spacing w:before="221" w:line="394" w:lineRule="auto"/>
        <w:ind w:left="74" w:right="160" w:firstLine="470"/>
        <w:rPr>
          <w:rFonts w:ascii="宋体" w:hAnsi="宋体" w:eastAsia="宋体" w:cs="宋体"/>
          <w:sz w:val="24"/>
          <w:szCs w:val="24"/>
        </w:rPr>
      </w:pPr>
      <w:r>
        <w:rPr>
          <w:rFonts w:ascii="宋体" w:hAnsi="宋体" w:eastAsia="宋体" w:cs="宋体"/>
          <w:spacing w:val="-5"/>
          <w:sz w:val="24"/>
          <w:szCs w:val="24"/>
        </w:rPr>
        <w:t>矿区不发育，分布于山间盆地及沟谷两岸，主要见于块泽河及两岸台地附近，</w:t>
      </w:r>
      <w:r>
        <w:rPr>
          <w:rFonts w:ascii="宋体" w:hAnsi="宋体" w:eastAsia="宋体" w:cs="宋体"/>
          <w:spacing w:val="18"/>
          <w:sz w:val="24"/>
          <w:szCs w:val="24"/>
        </w:rPr>
        <w:t xml:space="preserve"> </w:t>
      </w:r>
      <w:r>
        <w:rPr>
          <w:rFonts w:ascii="宋体" w:hAnsi="宋体" w:eastAsia="宋体" w:cs="宋体"/>
          <w:spacing w:val="-6"/>
          <w:sz w:val="24"/>
          <w:szCs w:val="24"/>
        </w:rPr>
        <w:t>厚0～15</w:t>
      </w:r>
      <w:r>
        <w:rPr>
          <w:rFonts w:ascii="Times New Roman" w:hAnsi="Times New Roman" w:eastAsia="Times New Roman" w:cs="Times New Roman"/>
          <w:spacing w:val="-6"/>
          <w:sz w:val="24"/>
          <w:szCs w:val="24"/>
        </w:rPr>
        <w:t>m</w:t>
      </w:r>
      <w:r>
        <w:rPr>
          <w:rFonts w:ascii="宋体" w:hAnsi="宋体" w:eastAsia="宋体" w:cs="宋体"/>
          <w:spacing w:val="-6"/>
          <w:sz w:val="24"/>
          <w:szCs w:val="24"/>
        </w:rPr>
        <w:t>。为褐灰色、黄色含砾亚粘土及河床冲积物，与下伏地层呈不整合接触。</w:t>
      </w:r>
    </w:p>
    <w:p w14:paraId="67D86551">
      <w:pPr>
        <w:spacing w:before="16" w:line="220" w:lineRule="auto"/>
        <w:ind w:left="545"/>
        <w:rPr>
          <w:rFonts w:ascii="宋体" w:hAnsi="宋体" w:eastAsia="宋体" w:cs="宋体"/>
          <w:sz w:val="23"/>
          <w:szCs w:val="23"/>
        </w:rPr>
      </w:pPr>
      <w:r>
        <w:rPr>
          <w:rFonts w:ascii="宋体" w:hAnsi="宋体" w:eastAsia="宋体" w:cs="宋体"/>
          <w:spacing w:val="-2"/>
          <w:sz w:val="23"/>
          <w:szCs w:val="23"/>
        </w:rPr>
        <w:t>7.4.2</w:t>
      </w:r>
      <w:r>
        <w:rPr>
          <w:rFonts w:ascii="宋体" w:hAnsi="宋体" w:eastAsia="宋体" w:cs="宋体"/>
          <w:spacing w:val="-41"/>
          <w:sz w:val="23"/>
          <w:szCs w:val="23"/>
        </w:rPr>
        <w:t xml:space="preserve"> </w:t>
      </w:r>
      <w:r>
        <w:rPr>
          <w:rFonts w:ascii="宋体" w:hAnsi="宋体" w:eastAsia="宋体" w:cs="宋体"/>
          <w:spacing w:val="-2"/>
          <w:sz w:val="23"/>
          <w:szCs w:val="23"/>
        </w:rPr>
        <w:t>构</w:t>
      </w:r>
      <w:r>
        <w:rPr>
          <w:rFonts w:ascii="宋体" w:hAnsi="宋体" w:eastAsia="宋体" w:cs="宋体"/>
          <w:spacing w:val="-44"/>
          <w:sz w:val="23"/>
          <w:szCs w:val="23"/>
        </w:rPr>
        <w:t xml:space="preserve"> </w:t>
      </w:r>
      <w:r>
        <w:rPr>
          <w:rFonts w:ascii="宋体" w:hAnsi="宋体" w:eastAsia="宋体" w:cs="宋体"/>
          <w:spacing w:val="-2"/>
          <w:sz w:val="23"/>
          <w:szCs w:val="23"/>
        </w:rPr>
        <w:t>造</w:t>
      </w:r>
    </w:p>
    <w:p w14:paraId="4F88EC3A">
      <w:pPr>
        <w:spacing w:before="168" w:line="389" w:lineRule="auto"/>
        <w:ind w:left="74" w:right="219" w:firstLine="470"/>
        <w:rPr>
          <w:rFonts w:ascii="宋体" w:hAnsi="宋体" w:eastAsia="宋体" w:cs="宋体"/>
          <w:sz w:val="24"/>
          <w:szCs w:val="24"/>
        </w:rPr>
      </w:pPr>
      <w:r>
        <w:rPr>
          <w:rFonts w:ascii="宋体" w:hAnsi="宋体" w:eastAsia="宋体" w:cs="宋体"/>
          <w:spacing w:val="-1"/>
          <w:sz w:val="24"/>
          <w:szCs w:val="24"/>
        </w:rPr>
        <w:t>矿区构造较发育，主要有白龙老包背斜、雷鼓洞正断</w:t>
      </w:r>
      <w:r>
        <w:rPr>
          <w:rFonts w:ascii="宋体" w:hAnsi="宋体" w:eastAsia="宋体" w:cs="宋体"/>
          <w:spacing w:val="-2"/>
          <w:sz w:val="24"/>
          <w:szCs w:val="24"/>
        </w:rPr>
        <w:t>层</w:t>
      </w:r>
      <w:r>
        <w:rPr>
          <w:rFonts w:ascii="宋体" w:hAnsi="宋体" w:eastAsia="宋体" w:cs="宋体"/>
          <w:spacing w:val="-24"/>
          <w:sz w:val="24"/>
          <w:szCs w:val="24"/>
        </w:rPr>
        <w:t xml:space="preserve"> </w:t>
      </w:r>
      <w:r>
        <w:rPr>
          <w:rFonts w:ascii="宋体" w:hAnsi="宋体" w:eastAsia="宋体" w:cs="宋体"/>
          <w:spacing w:val="-2"/>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Fss6)</w:t>
      </w:r>
      <w:r>
        <w:rPr>
          <w:rFonts w:ascii="宋体" w:hAnsi="宋体" w:eastAsia="宋体" w:cs="宋体"/>
          <w:spacing w:val="-2"/>
          <w:sz w:val="24"/>
          <w:szCs w:val="24"/>
        </w:rPr>
        <w:t>、老君台正断</w:t>
      </w:r>
      <w:r>
        <w:rPr>
          <w:rFonts w:ascii="宋体" w:hAnsi="宋体" w:eastAsia="宋体" w:cs="宋体"/>
          <w:sz w:val="24"/>
          <w:szCs w:val="24"/>
        </w:rPr>
        <w:t xml:space="preserve"> </w:t>
      </w:r>
      <w:r>
        <w:rPr>
          <w:rFonts w:ascii="宋体" w:hAnsi="宋体" w:eastAsia="宋体" w:cs="宋体"/>
          <w:spacing w:val="-9"/>
          <w:sz w:val="24"/>
          <w:szCs w:val="24"/>
        </w:rPr>
        <w:t>层 (</w:t>
      </w:r>
      <w:r>
        <w:rPr>
          <w:rFonts w:ascii="宋体" w:hAnsi="宋体" w:eastAsia="宋体" w:cs="宋体"/>
          <w:spacing w:val="-41"/>
          <w:sz w:val="24"/>
          <w:szCs w:val="24"/>
        </w:rPr>
        <w:t xml:space="preserve"> </w:t>
      </w:r>
      <w:r>
        <w:rPr>
          <w:rFonts w:ascii="Times New Roman" w:hAnsi="Times New Roman" w:eastAsia="Times New Roman" w:cs="Times New Roman"/>
          <w:spacing w:val="-9"/>
          <w:sz w:val="24"/>
          <w:szCs w:val="24"/>
        </w:rPr>
        <w:t>F₅8)</w:t>
      </w:r>
      <w:r>
        <w:rPr>
          <w:rFonts w:ascii="Times New Roman" w:hAnsi="Times New Roman" w:eastAsia="Times New Roman" w:cs="Times New Roman"/>
          <w:spacing w:val="-34"/>
          <w:sz w:val="24"/>
          <w:szCs w:val="24"/>
        </w:rPr>
        <w:t xml:space="preserve"> </w:t>
      </w:r>
      <w:r>
        <w:rPr>
          <w:rFonts w:ascii="宋体" w:hAnsi="宋体" w:eastAsia="宋体" w:cs="宋体"/>
          <w:spacing w:val="-9"/>
          <w:sz w:val="24"/>
          <w:szCs w:val="24"/>
        </w:rPr>
        <w:t>、魁阁山逆断层</w:t>
      </w:r>
      <w:r>
        <w:rPr>
          <w:rFonts w:ascii="宋体" w:hAnsi="宋体" w:eastAsia="宋体" w:cs="宋体"/>
          <w:spacing w:val="-34"/>
          <w:sz w:val="24"/>
          <w:szCs w:val="24"/>
        </w:rPr>
        <w:t xml:space="preserve"> </w:t>
      </w:r>
      <w:r>
        <w:rPr>
          <w:rFonts w:ascii="宋体" w:hAnsi="宋体" w:eastAsia="宋体" w:cs="宋体"/>
          <w:spacing w:val="-9"/>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pacing w:val="-9"/>
          <w:sz w:val="24"/>
          <w:szCs w:val="24"/>
        </w:rPr>
        <w:t>F515)</w:t>
      </w:r>
      <w:r>
        <w:rPr>
          <w:rFonts w:ascii="宋体" w:hAnsi="宋体" w:eastAsia="宋体" w:cs="宋体"/>
          <w:spacing w:val="-9"/>
          <w:sz w:val="24"/>
          <w:szCs w:val="24"/>
        </w:rPr>
        <w:t>、</w:t>
      </w:r>
      <w:r>
        <w:rPr>
          <w:rFonts w:ascii="Times New Roman" w:hAnsi="Times New Roman" w:eastAsia="Times New Roman" w:cs="Times New Roman"/>
          <w:spacing w:val="-9"/>
          <w:sz w:val="24"/>
          <w:szCs w:val="24"/>
        </w:rPr>
        <w:t>F₅1</w:t>
      </w:r>
      <w:r>
        <w:rPr>
          <w:rFonts w:ascii="宋体" w:hAnsi="宋体" w:eastAsia="宋体" w:cs="宋体"/>
          <w:spacing w:val="-9"/>
          <w:sz w:val="24"/>
          <w:szCs w:val="24"/>
        </w:rPr>
        <w:t>6正断层、</w:t>
      </w:r>
      <w:r>
        <w:rPr>
          <w:rFonts w:ascii="Times New Roman" w:hAnsi="Times New Roman" w:eastAsia="Times New Roman" w:cs="Times New Roman"/>
          <w:spacing w:val="-9"/>
          <w:sz w:val="24"/>
          <w:szCs w:val="24"/>
        </w:rPr>
        <w:t>F</w:t>
      </w:r>
      <w:r>
        <w:rPr>
          <w:rFonts w:ascii="Calibri" w:hAnsi="Calibri" w:eastAsia="Calibri" w:cs="Calibri"/>
          <w:spacing w:val="-9"/>
          <w:sz w:val="24"/>
          <w:szCs w:val="24"/>
        </w:rPr>
        <w:t>₅</w:t>
      </w:r>
      <w:r>
        <w:rPr>
          <w:rFonts w:ascii="宋体" w:hAnsi="宋体" w:eastAsia="宋体" w:cs="宋体"/>
          <w:spacing w:val="-9"/>
          <w:sz w:val="24"/>
          <w:szCs w:val="24"/>
        </w:rPr>
        <w:t>5正断层。其余为次要构造：</w:t>
      </w:r>
      <w:r>
        <w:rPr>
          <w:rFonts w:ascii="Times New Roman" w:hAnsi="Times New Roman" w:eastAsia="Times New Roman" w:cs="Times New Roman"/>
          <w:spacing w:val="-9"/>
          <w:sz w:val="24"/>
          <w:szCs w:val="24"/>
        </w:rPr>
        <w:t>F₅05</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8"/>
          <w:sz w:val="24"/>
          <w:szCs w:val="24"/>
        </w:rPr>
        <w:t>F</w:t>
      </w:r>
      <w:r>
        <w:rPr>
          <w:rFonts w:ascii="Calibri" w:hAnsi="Calibri" w:eastAsia="Calibri" w:cs="Calibri"/>
          <w:spacing w:val="-18"/>
          <w:sz w:val="24"/>
          <w:szCs w:val="24"/>
        </w:rPr>
        <w:t>₅</w:t>
      </w:r>
      <w:r>
        <w:rPr>
          <w:rFonts w:ascii="Calibri" w:hAnsi="Calibri" w:eastAsia="Calibri" w:cs="Calibri"/>
          <w:spacing w:val="-19"/>
          <w:sz w:val="24"/>
          <w:szCs w:val="24"/>
        </w:rPr>
        <w:t xml:space="preserve"> </w:t>
      </w:r>
      <w:r>
        <w:rPr>
          <w:rFonts w:ascii="宋体" w:hAnsi="宋体" w:eastAsia="宋体" w:cs="宋体"/>
          <w:spacing w:val="-18"/>
          <w:sz w:val="24"/>
          <w:szCs w:val="24"/>
        </w:rPr>
        <w:t>17、</w:t>
      </w:r>
      <w:r>
        <w:rPr>
          <w:rFonts w:ascii="Times New Roman" w:hAnsi="Times New Roman" w:eastAsia="Times New Roman" w:cs="Times New Roman"/>
          <w:spacing w:val="-18"/>
          <w:sz w:val="24"/>
          <w:szCs w:val="24"/>
        </w:rPr>
        <w:t>F₅12</w:t>
      </w:r>
      <w:r>
        <w:rPr>
          <w:rFonts w:ascii="宋体" w:hAnsi="宋体" w:eastAsia="宋体" w:cs="宋体"/>
          <w:spacing w:val="-18"/>
          <w:sz w:val="24"/>
          <w:szCs w:val="24"/>
        </w:rPr>
        <w:t>、</w:t>
      </w:r>
      <w:r>
        <w:rPr>
          <w:rFonts w:ascii="Times New Roman" w:hAnsi="Times New Roman" w:eastAsia="Times New Roman" w:cs="Times New Roman"/>
          <w:spacing w:val="-18"/>
          <w:sz w:val="24"/>
          <w:szCs w:val="24"/>
        </w:rPr>
        <w:t>F₅13</w:t>
      </w:r>
      <w:r>
        <w:rPr>
          <w:rFonts w:ascii="宋体" w:hAnsi="宋体" w:eastAsia="宋体" w:cs="宋体"/>
          <w:spacing w:val="-18"/>
          <w:sz w:val="24"/>
          <w:szCs w:val="24"/>
        </w:rPr>
        <w:t>、</w:t>
      </w:r>
      <w:r>
        <w:rPr>
          <w:rFonts w:ascii="Times New Roman" w:hAnsi="Times New Roman" w:eastAsia="Times New Roman" w:cs="Times New Roman"/>
          <w:spacing w:val="-18"/>
          <w:sz w:val="24"/>
          <w:szCs w:val="24"/>
        </w:rPr>
        <w:t xml:space="preserve">F507,  </w:t>
      </w:r>
      <w:r>
        <w:rPr>
          <w:rFonts w:ascii="宋体" w:hAnsi="宋体" w:eastAsia="宋体" w:cs="宋体"/>
          <w:spacing w:val="-18"/>
          <w:sz w:val="24"/>
          <w:szCs w:val="24"/>
        </w:rPr>
        <w:t>现将褶皱及断层叙述如下：</w:t>
      </w:r>
    </w:p>
    <w:p w14:paraId="7D920741">
      <w:pPr>
        <w:spacing w:line="389" w:lineRule="auto"/>
        <w:rPr>
          <w:rFonts w:ascii="宋体" w:hAnsi="宋体" w:eastAsia="宋体" w:cs="宋体"/>
          <w:sz w:val="24"/>
          <w:szCs w:val="24"/>
        </w:rPr>
        <w:sectPr>
          <w:headerReference r:id="rId42" w:type="default"/>
          <w:footerReference r:id="rId43" w:type="default"/>
          <w:pgSz w:w="11900" w:h="16830"/>
          <w:pgMar w:top="1166" w:right="1400" w:bottom="1290" w:left="1785" w:header="890" w:footer="948" w:gutter="0"/>
          <w:cols w:space="720" w:num="1"/>
        </w:sectPr>
      </w:pPr>
    </w:p>
    <w:p w14:paraId="14ADDB84">
      <w:pPr>
        <w:pStyle w:val="2"/>
        <w:spacing w:line="377" w:lineRule="auto"/>
      </w:pPr>
    </w:p>
    <w:p w14:paraId="0EBEB674">
      <w:pPr>
        <w:tabs>
          <w:tab w:val="left" w:pos="265"/>
        </w:tabs>
        <w:spacing w:before="78" w:line="380" w:lineRule="auto"/>
        <w:ind w:left="134" w:right="193" w:firstLine="480"/>
        <w:jc w:val="both"/>
        <w:rPr>
          <w:rFonts w:ascii="宋体" w:hAnsi="宋体" w:eastAsia="宋体" w:cs="宋体"/>
          <w:sz w:val="24"/>
          <w:szCs w:val="24"/>
        </w:rPr>
      </w:pPr>
      <w:r>
        <w:rPr>
          <w:rFonts w:ascii="宋体" w:hAnsi="宋体" w:eastAsia="宋体" w:cs="宋体"/>
          <w:spacing w:val="1"/>
          <w:sz w:val="24"/>
          <w:szCs w:val="24"/>
        </w:rPr>
        <w:t>白龙老包背斜：背斜轴向340°,轴长1</w:t>
      </w:r>
      <w:r>
        <w:rPr>
          <w:rFonts w:ascii="Times New Roman" w:hAnsi="Times New Roman" w:eastAsia="Times New Roman" w:cs="Times New Roman"/>
          <w:sz w:val="24"/>
          <w:szCs w:val="24"/>
        </w:rPr>
        <w:t>km,</w:t>
      </w:r>
      <w:r>
        <w:rPr>
          <w:rFonts w:ascii="宋体" w:hAnsi="宋体" w:eastAsia="宋体" w:cs="宋体"/>
          <w:sz w:val="24"/>
          <w:szCs w:val="24"/>
        </w:rPr>
        <w:t xml:space="preserve">由南向北经过魁阁山、白龙老包、 </w:t>
      </w:r>
      <w:r>
        <w:rPr>
          <w:rFonts w:ascii="宋体" w:hAnsi="宋体" w:eastAsia="宋体" w:cs="宋体"/>
          <w:spacing w:val="-1"/>
          <w:sz w:val="24"/>
          <w:szCs w:val="24"/>
        </w:rPr>
        <w:t>莫勒黑后山，两翼地层因受断层影响出露不对称，由内向外为</w:t>
      </w:r>
      <w:r>
        <w:rPr>
          <w:rFonts w:ascii="宋体" w:hAnsi="宋体" w:eastAsia="宋体" w:cs="宋体"/>
          <w:spacing w:val="-2"/>
          <w:sz w:val="24"/>
          <w:szCs w:val="24"/>
        </w:rPr>
        <w:t>二叠系上统乐平组</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pacing w:val="3"/>
          <w:sz w:val="24"/>
          <w:szCs w:val="24"/>
        </w:rPr>
        <w:t>(</w:t>
      </w:r>
      <w:r>
        <w:rPr>
          <w:rFonts w:ascii="Times New Roman" w:hAnsi="Times New Roman" w:eastAsia="Times New Roman" w:cs="Times New Roman"/>
          <w:spacing w:val="3"/>
          <w:sz w:val="24"/>
          <w:szCs w:val="24"/>
        </w:rPr>
        <w:t>P₂1)</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、峨眉山玄武岩组</w:t>
      </w:r>
      <w:r>
        <w:rPr>
          <w:rFonts w:ascii="宋体" w:hAnsi="宋体" w:eastAsia="宋体" w:cs="宋体"/>
          <w:spacing w:val="-34"/>
          <w:sz w:val="24"/>
          <w:szCs w:val="24"/>
        </w:rPr>
        <w:t xml:space="preserve"> </w:t>
      </w:r>
      <w:r>
        <w:rPr>
          <w:rFonts w:ascii="宋体" w:hAnsi="宋体" w:eastAsia="宋体" w:cs="宋体"/>
          <w:spacing w:val="3"/>
          <w:sz w:val="24"/>
          <w:szCs w:val="24"/>
        </w:rPr>
        <w:t>(</w:t>
      </w:r>
      <w:r>
        <w:rPr>
          <w:rFonts w:ascii="宋体" w:hAnsi="宋体" w:eastAsia="宋体" w:cs="宋体"/>
          <w:spacing w:val="-38"/>
          <w:sz w:val="24"/>
          <w:szCs w:val="24"/>
        </w:rPr>
        <w:t xml:space="preserve"> </w:t>
      </w:r>
      <w:r>
        <w:rPr>
          <w:rFonts w:ascii="Times New Roman" w:hAnsi="Times New Roman" w:eastAsia="Times New Roman" w:cs="Times New Roman"/>
          <w:spacing w:val="3"/>
          <w:sz w:val="24"/>
          <w:szCs w:val="24"/>
        </w:rPr>
        <w:t xml:space="preserve">P₂β)   </w:t>
      </w:r>
      <w:r>
        <w:rPr>
          <w:rFonts w:ascii="宋体" w:hAnsi="宋体" w:eastAsia="宋体" w:cs="宋体"/>
          <w:spacing w:val="3"/>
          <w:sz w:val="24"/>
          <w:szCs w:val="24"/>
        </w:rPr>
        <w:t>地层，地层倾角5～15°,产状平缓</w:t>
      </w:r>
      <w:r>
        <w:rPr>
          <w:rFonts w:ascii="宋体" w:hAnsi="宋体" w:eastAsia="宋体" w:cs="宋体"/>
          <w:spacing w:val="2"/>
          <w:sz w:val="24"/>
          <w:szCs w:val="24"/>
        </w:rPr>
        <w:t>。矿体主要</w:t>
      </w:r>
      <w:r>
        <w:rPr>
          <w:rFonts w:ascii="宋体" w:hAnsi="宋体" w:eastAsia="宋体" w:cs="宋体"/>
          <w:sz w:val="24"/>
          <w:szCs w:val="24"/>
        </w:rPr>
        <w:t xml:space="preserve"> </w:t>
      </w:r>
      <w:r>
        <w:rPr>
          <w:rFonts w:ascii="宋体" w:hAnsi="宋体" w:eastAsia="宋体" w:cs="宋体"/>
          <w:spacing w:val="1"/>
          <w:sz w:val="24"/>
          <w:szCs w:val="24"/>
        </w:rPr>
        <w:t>产于背斜两翼阳新组(</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 xml:space="preserve">P₂y)  </w:t>
      </w:r>
      <w:r>
        <w:rPr>
          <w:rFonts w:ascii="宋体" w:hAnsi="宋体" w:eastAsia="宋体" w:cs="宋体"/>
          <w:b/>
          <w:bCs/>
          <w:spacing w:val="1"/>
          <w:sz w:val="24"/>
          <w:szCs w:val="24"/>
        </w:rPr>
        <w:t>灰岩地层中。</w:t>
      </w:r>
    </w:p>
    <w:p w14:paraId="049B174D">
      <w:pPr>
        <w:spacing w:before="11" w:line="383" w:lineRule="auto"/>
        <w:ind w:left="134" w:right="219" w:firstLine="480"/>
        <w:jc w:val="both"/>
        <w:rPr>
          <w:rFonts w:ascii="宋体" w:hAnsi="宋体" w:eastAsia="宋体" w:cs="宋体"/>
          <w:sz w:val="24"/>
          <w:szCs w:val="24"/>
        </w:rPr>
      </w:pPr>
      <w:r>
        <w:rPr>
          <w:rFonts w:ascii="宋体" w:hAnsi="宋体" w:eastAsia="宋体" w:cs="宋体"/>
          <w:spacing w:val="1"/>
          <w:sz w:val="24"/>
          <w:szCs w:val="24"/>
        </w:rPr>
        <w:t>雷鼓洞正断层(</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F5₃6):</w:t>
      </w:r>
      <w:r>
        <w:rPr>
          <w:rFonts w:ascii="Times New Roman" w:hAnsi="Times New Roman" w:eastAsia="Times New Roman" w:cs="Times New Roman"/>
          <w:spacing w:val="42"/>
          <w:sz w:val="24"/>
          <w:szCs w:val="24"/>
        </w:rPr>
        <w:t xml:space="preserve"> </w:t>
      </w:r>
      <w:r>
        <w:rPr>
          <w:rFonts w:ascii="宋体" w:hAnsi="宋体" w:eastAsia="宋体" w:cs="宋体"/>
          <w:spacing w:val="1"/>
          <w:sz w:val="24"/>
          <w:szCs w:val="24"/>
        </w:rPr>
        <w:t>位于老君台矿区东部，块泽河旁</w:t>
      </w:r>
      <w:r>
        <w:rPr>
          <w:rFonts w:ascii="宋体" w:hAnsi="宋体" w:eastAsia="宋体" w:cs="宋体"/>
          <w:sz w:val="24"/>
          <w:szCs w:val="24"/>
        </w:rPr>
        <w:t xml:space="preserve">，区内走向长度大于 </w:t>
      </w:r>
      <w:r>
        <w:rPr>
          <w:rFonts w:ascii="宋体" w:hAnsi="宋体" w:eastAsia="宋体" w:cs="宋体"/>
          <w:spacing w:val="-1"/>
          <w:sz w:val="24"/>
          <w:szCs w:val="24"/>
        </w:rPr>
        <w:t>470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70"/>
          <w:w w:val="101"/>
          <w:sz w:val="24"/>
          <w:szCs w:val="24"/>
        </w:rPr>
        <w:t xml:space="preserve"> </w:t>
      </w:r>
      <w:r>
        <w:rPr>
          <w:rFonts w:ascii="宋体" w:hAnsi="宋体" w:eastAsia="宋体" w:cs="宋体"/>
          <w:spacing w:val="-1"/>
          <w:sz w:val="24"/>
          <w:szCs w:val="24"/>
        </w:rPr>
        <w:t>断层线大部分穿过阳新石灰岩上部。从南向北经过雷鼓洞、迎风咀、块泽</w:t>
      </w:r>
      <w:r>
        <w:rPr>
          <w:rFonts w:ascii="宋体" w:hAnsi="宋体" w:eastAsia="宋体" w:cs="宋体"/>
          <w:sz w:val="24"/>
          <w:szCs w:val="24"/>
        </w:rPr>
        <w:t xml:space="preserve"> </w:t>
      </w:r>
      <w:r>
        <w:rPr>
          <w:rFonts w:ascii="宋体" w:hAnsi="宋体" w:eastAsia="宋体" w:cs="宋体"/>
          <w:spacing w:val="7"/>
          <w:sz w:val="24"/>
          <w:szCs w:val="24"/>
        </w:rPr>
        <w:t>河等地。断层走向0～10°,倾向90～100°,倾角近于直立，断距约10</w:t>
      </w:r>
      <w:r>
        <w:rPr>
          <w:rFonts w:ascii="Times New Roman" w:hAnsi="Times New Roman" w:eastAsia="Times New Roman" w:cs="Times New Roman"/>
          <w:spacing w:val="7"/>
          <w:sz w:val="24"/>
          <w:szCs w:val="24"/>
        </w:rPr>
        <w:t>m</w:t>
      </w:r>
      <w:r>
        <w:rPr>
          <w:rFonts w:ascii="宋体" w:hAnsi="宋体" w:eastAsia="宋体" w:cs="宋体"/>
          <w:spacing w:val="7"/>
          <w:sz w:val="24"/>
          <w:szCs w:val="24"/>
        </w:rPr>
        <w:t>。导矿</w:t>
      </w:r>
      <w:r>
        <w:rPr>
          <w:rFonts w:ascii="宋体" w:hAnsi="宋体" w:eastAsia="宋体" w:cs="宋体"/>
          <w:spacing w:val="12"/>
          <w:sz w:val="24"/>
          <w:szCs w:val="24"/>
        </w:rPr>
        <w:t xml:space="preserve"> </w:t>
      </w:r>
      <w:r>
        <w:rPr>
          <w:rFonts w:ascii="宋体" w:hAnsi="宋体" w:eastAsia="宋体" w:cs="宋体"/>
          <w:spacing w:val="-5"/>
          <w:sz w:val="24"/>
          <w:szCs w:val="24"/>
        </w:rPr>
        <w:t>构造。</w:t>
      </w:r>
    </w:p>
    <w:p w14:paraId="21C6B1EE">
      <w:pPr>
        <w:spacing w:before="7" w:line="385" w:lineRule="auto"/>
        <w:ind w:left="134" w:right="218" w:firstLine="480"/>
        <w:jc w:val="both"/>
        <w:rPr>
          <w:rFonts w:ascii="宋体" w:hAnsi="宋体" w:eastAsia="宋体" w:cs="宋体"/>
          <w:sz w:val="24"/>
          <w:szCs w:val="24"/>
        </w:rPr>
      </w:pPr>
      <w:r>
        <w:rPr>
          <w:rFonts w:ascii="宋体" w:hAnsi="宋体" w:eastAsia="宋体" w:cs="宋体"/>
          <w:sz w:val="24"/>
          <w:szCs w:val="24"/>
        </w:rPr>
        <w:t>老君台正断层(</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F538): </w:t>
      </w:r>
      <w:r>
        <w:rPr>
          <w:rFonts w:ascii="宋体" w:hAnsi="宋体" w:eastAsia="宋体" w:cs="宋体"/>
          <w:sz w:val="24"/>
          <w:szCs w:val="24"/>
        </w:rPr>
        <w:t>位于老君台矿区东部，走向</w:t>
      </w:r>
      <w:r>
        <w:rPr>
          <w:rFonts w:ascii="宋体" w:hAnsi="宋体" w:eastAsia="宋体" w:cs="宋体"/>
          <w:spacing w:val="-1"/>
          <w:sz w:val="24"/>
          <w:szCs w:val="24"/>
        </w:rPr>
        <w:t>长度大于1100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断层线大</w:t>
      </w:r>
      <w:r>
        <w:rPr>
          <w:rFonts w:ascii="宋体" w:hAnsi="宋体" w:eastAsia="宋体" w:cs="宋体"/>
          <w:sz w:val="24"/>
          <w:szCs w:val="24"/>
        </w:rPr>
        <w:t xml:space="preserve"> </w:t>
      </w:r>
      <w:r>
        <w:rPr>
          <w:rFonts w:ascii="宋体" w:hAnsi="宋体" w:eastAsia="宋体" w:cs="宋体"/>
          <w:spacing w:val="2"/>
          <w:sz w:val="24"/>
          <w:szCs w:val="24"/>
        </w:rPr>
        <w:t>部分穿过阳新石灰岩上部(</w:t>
      </w:r>
      <w:r>
        <w:rPr>
          <w:rFonts w:ascii="宋体" w:hAnsi="宋体" w:eastAsia="宋体" w:cs="宋体"/>
          <w:spacing w:val="-57"/>
          <w:sz w:val="24"/>
          <w:szCs w:val="24"/>
        </w:rPr>
        <w:t xml:space="preserve"> </w:t>
      </w:r>
      <w:r>
        <w:rPr>
          <w:rFonts w:ascii="Times New Roman" w:hAnsi="Times New Roman" w:eastAsia="Times New Roman" w:cs="Times New Roman"/>
          <w:spacing w:val="2"/>
          <w:sz w:val="24"/>
          <w:szCs w:val="24"/>
        </w:rPr>
        <w:t xml:space="preserve">P₂y),   </w:t>
      </w:r>
      <w:r>
        <w:rPr>
          <w:rFonts w:ascii="宋体" w:hAnsi="宋体" w:eastAsia="宋体" w:cs="宋体"/>
          <w:spacing w:val="2"/>
          <w:sz w:val="24"/>
          <w:szCs w:val="24"/>
        </w:rPr>
        <w:t>从南向北经过猴子地、老君台、大蛙子等地，</w:t>
      </w:r>
      <w:r>
        <w:rPr>
          <w:rFonts w:ascii="宋体" w:hAnsi="宋体" w:eastAsia="宋体" w:cs="宋体"/>
          <w:sz w:val="24"/>
          <w:szCs w:val="24"/>
        </w:rPr>
        <w:t xml:space="preserve"> </w:t>
      </w:r>
      <w:r>
        <w:rPr>
          <w:rFonts w:ascii="宋体" w:hAnsi="宋体" w:eastAsia="宋体" w:cs="宋体"/>
          <w:spacing w:val="8"/>
          <w:sz w:val="24"/>
          <w:szCs w:val="24"/>
        </w:rPr>
        <w:t>断层走向0～10°,倾向90～100°,倾角近于直立，断距约10</w:t>
      </w:r>
      <w:r>
        <w:rPr>
          <w:rFonts w:ascii="Times New Roman" w:hAnsi="Times New Roman" w:eastAsia="Times New Roman" w:cs="Times New Roman"/>
          <w:spacing w:val="8"/>
          <w:sz w:val="24"/>
          <w:szCs w:val="24"/>
        </w:rPr>
        <w:t>m</w:t>
      </w:r>
      <w:r>
        <w:rPr>
          <w:rFonts w:ascii="宋体" w:hAnsi="宋体" w:eastAsia="宋体" w:cs="宋体"/>
          <w:spacing w:val="8"/>
          <w:sz w:val="24"/>
          <w:szCs w:val="24"/>
        </w:rPr>
        <w:t>。导矿构造。</w:t>
      </w:r>
    </w:p>
    <w:p w14:paraId="737C6A17">
      <w:pPr>
        <w:spacing w:line="369" w:lineRule="auto"/>
        <w:ind w:left="134" w:right="144" w:firstLine="480"/>
        <w:jc w:val="both"/>
        <w:rPr>
          <w:rFonts w:ascii="宋体" w:hAnsi="宋体" w:eastAsia="宋体" w:cs="宋体"/>
          <w:sz w:val="25"/>
          <w:szCs w:val="25"/>
        </w:rPr>
      </w:pPr>
      <w:r>
        <w:rPr>
          <w:rFonts w:ascii="Times New Roman" w:hAnsi="Times New Roman" w:eastAsia="Times New Roman" w:cs="Times New Roman"/>
          <w:spacing w:val="-9"/>
          <w:sz w:val="25"/>
          <w:szCs w:val="25"/>
        </w:rPr>
        <w:t>F₅35</w:t>
      </w:r>
      <w:r>
        <w:rPr>
          <w:rFonts w:ascii="Times New Roman" w:hAnsi="Times New Roman" w:eastAsia="Times New Roman" w:cs="Times New Roman"/>
          <w:spacing w:val="-16"/>
          <w:sz w:val="25"/>
          <w:szCs w:val="25"/>
        </w:rPr>
        <w:t xml:space="preserve"> </w:t>
      </w:r>
      <w:r>
        <w:rPr>
          <w:rFonts w:ascii="宋体" w:hAnsi="宋体" w:eastAsia="宋体" w:cs="宋体"/>
          <w:spacing w:val="-9"/>
          <w:sz w:val="25"/>
          <w:szCs w:val="25"/>
        </w:rPr>
        <w:t>正断层：位于老君台矿区东部，块泽河旁，区内走向长度大于</w:t>
      </w:r>
      <w:r>
        <w:rPr>
          <w:rFonts w:ascii="宋体" w:hAnsi="宋体" w:eastAsia="宋体" w:cs="宋体"/>
          <w:spacing w:val="-10"/>
          <w:sz w:val="25"/>
          <w:szCs w:val="25"/>
        </w:rPr>
        <w:t>617</w:t>
      </w:r>
      <w:r>
        <w:rPr>
          <w:rFonts w:ascii="Times New Roman" w:hAnsi="Times New Roman" w:eastAsia="Times New Roman" w:cs="Times New Roman"/>
          <w:spacing w:val="-10"/>
          <w:sz w:val="25"/>
          <w:szCs w:val="25"/>
        </w:rPr>
        <w:t>m,</w:t>
      </w:r>
      <w:r>
        <w:rPr>
          <w:rFonts w:ascii="Times New Roman" w:hAnsi="Times New Roman" w:eastAsia="Times New Roman" w:cs="Times New Roman"/>
          <w:spacing w:val="43"/>
          <w:sz w:val="25"/>
          <w:szCs w:val="25"/>
        </w:rPr>
        <w:t xml:space="preserve"> </w:t>
      </w:r>
      <w:r>
        <w:rPr>
          <w:rFonts w:ascii="宋体" w:hAnsi="宋体" w:eastAsia="宋体" w:cs="宋体"/>
          <w:spacing w:val="-10"/>
          <w:sz w:val="25"/>
          <w:szCs w:val="25"/>
        </w:rPr>
        <w:t>断</w:t>
      </w:r>
      <w:r>
        <w:rPr>
          <w:rFonts w:ascii="宋体" w:hAnsi="宋体" w:eastAsia="宋体" w:cs="宋体"/>
          <w:sz w:val="25"/>
          <w:szCs w:val="25"/>
        </w:rPr>
        <w:t xml:space="preserve"> </w:t>
      </w:r>
      <w:r>
        <w:rPr>
          <w:rFonts w:ascii="宋体" w:hAnsi="宋体" w:eastAsia="宋体" w:cs="宋体"/>
          <w:spacing w:val="-7"/>
          <w:sz w:val="25"/>
          <w:szCs w:val="25"/>
        </w:rPr>
        <w:t>层主要位于阳新石灰岩上部。断层走向0～10°,倾向10～100°,倾角近于直立，</w:t>
      </w:r>
      <w:r>
        <w:rPr>
          <w:rFonts w:ascii="宋体" w:hAnsi="宋体" w:eastAsia="宋体" w:cs="宋体"/>
          <w:spacing w:val="4"/>
          <w:sz w:val="25"/>
          <w:szCs w:val="25"/>
        </w:rPr>
        <w:t xml:space="preserve"> </w:t>
      </w:r>
      <w:r>
        <w:rPr>
          <w:rFonts w:ascii="宋体" w:hAnsi="宋体" w:eastAsia="宋体" w:cs="宋体"/>
          <w:spacing w:val="-5"/>
          <w:sz w:val="25"/>
          <w:szCs w:val="25"/>
        </w:rPr>
        <w:t>断距10</w:t>
      </w:r>
      <w:r>
        <w:rPr>
          <w:rFonts w:ascii="Times New Roman" w:hAnsi="Times New Roman" w:eastAsia="Times New Roman" w:cs="Times New Roman"/>
          <w:spacing w:val="-5"/>
          <w:sz w:val="25"/>
          <w:szCs w:val="25"/>
        </w:rPr>
        <w:t>m,</w:t>
      </w:r>
      <w:r>
        <w:rPr>
          <w:rFonts w:ascii="Times New Roman" w:hAnsi="Times New Roman" w:eastAsia="Times New Roman" w:cs="Times New Roman"/>
          <w:spacing w:val="42"/>
          <w:w w:val="101"/>
          <w:sz w:val="25"/>
          <w:szCs w:val="25"/>
        </w:rPr>
        <w:t xml:space="preserve"> </w:t>
      </w:r>
      <w:r>
        <w:rPr>
          <w:rFonts w:ascii="宋体" w:hAnsi="宋体" w:eastAsia="宋体" w:cs="宋体"/>
          <w:spacing w:val="-5"/>
          <w:sz w:val="25"/>
          <w:szCs w:val="25"/>
        </w:rPr>
        <w:t>断层性质是北翼上升，南翼下降，断层角砾岩</w:t>
      </w:r>
      <w:r>
        <w:rPr>
          <w:rFonts w:ascii="宋体" w:hAnsi="宋体" w:eastAsia="宋体" w:cs="宋体"/>
          <w:spacing w:val="-6"/>
          <w:sz w:val="25"/>
          <w:szCs w:val="25"/>
        </w:rPr>
        <w:t>由石灰岩组成，钙质胶</w:t>
      </w:r>
      <w:r>
        <w:rPr>
          <w:rFonts w:ascii="宋体" w:hAnsi="宋体" w:eastAsia="宋体" w:cs="宋体"/>
          <w:sz w:val="25"/>
          <w:szCs w:val="25"/>
        </w:rPr>
        <w:t xml:space="preserve"> </w:t>
      </w:r>
      <w:r>
        <w:rPr>
          <w:rFonts w:ascii="宋体" w:hAnsi="宋体" w:eastAsia="宋体" w:cs="宋体"/>
          <w:spacing w:val="-9"/>
          <w:sz w:val="25"/>
          <w:szCs w:val="25"/>
        </w:rPr>
        <w:t>结，结构较致密。导矿构造。</w:t>
      </w:r>
    </w:p>
    <w:p w14:paraId="25B5F516">
      <w:pPr>
        <w:spacing w:before="3" w:line="389" w:lineRule="auto"/>
        <w:ind w:left="134" w:right="190" w:firstLine="480"/>
        <w:jc w:val="both"/>
        <w:rPr>
          <w:rFonts w:ascii="宋体" w:hAnsi="宋体" w:eastAsia="宋体" w:cs="宋体"/>
          <w:sz w:val="24"/>
          <w:szCs w:val="24"/>
        </w:rPr>
      </w:pPr>
      <w:r>
        <w:rPr>
          <w:rFonts w:ascii="宋体" w:hAnsi="宋体" w:eastAsia="宋体" w:cs="宋体"/>
          <w:spacing w:val="-1"/>
          <w:sz w:val="24"/>
          <w:szCs w:val="24"/>
        </w:rPr>
        <w:t>魁阁山逆断层(</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F515):</w:t>
      </w:r>
      <w:r>
        <w:rPr>
          <w:rFonts w:ascii="Times New Roman" w:hAnsi="Times New Roman" w:eastAsia="Times New Roman" w:cs="Times New Roman"/>
          <w:spacing w:val="24"/>
          <w:sz w:val="24"/>
          <w:szCs w:val="24"/>
        </w:rPr>
        <w:t xml:space="preserve"> </w:t>
      </w:r>
      <w:r>
        <w:rPr>
          <w:rFonts w:ascii="宋体" w:hAnsi="宋体" w:eastAsia="宋体" w:cs="宋体"/>
          <w:spacing w:val="-1"/>
          <w:sz w:val="24"/>
          <w:szCs w:val="24"/>
        </w:rPr>
        <w:t>位于老君台西部，区内走向长度大于3320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断层线大</w:t>
      </w:r>
      <w:r>
        <w:rPr>
          <w:rFonts w:ascii="宋体" w:hAnsi="宋体" w:eastAsia="宋体" w:cs="宋体"/>
          <w:sz w:val="24"/>
          <w:szCs w:val="24"/>
        </w:rPr>
        <w:t xml:space="preserve"> </w:t>
      </w:r>
      <w:r>
        <w:rPr>
          <w:rFonts w:ascii="宋体" w:hAnsi="宋体" w:eastAsia="宋体" w:cs="宋体"/>
          <w:spacing w:val="1"/>
          <w:sz w:val="24"/>
          <w:szCs w:val="24"/>
        </w:rPr>
        <w:t>部分穿过峨眉山玄武岩与乐平煤系交界带，</w:t>
      </w:r>
      <w:r>
        <w:rPr>
          <w:rFonts w:ascii="宋体" w:hAnsi="宋体" w:eastAsia="宋体" w:cs="宋体"/>
          <w:sz w:val="24"/>
          <w:szCs w:val="24"/>
        </w:rPr>
        <w:t xml:space="preserve">从南向北经过虾子弯、魁阁山、白龙 </w:t>
      </w:r>
      <w:r>
        <w:rPr>
          <w:rFonts w:ascii="宋体" w:hAnsi="宋体" w:eastAsia="宋体" w:cs="宋体"/>
          <w:spacing w:val="10"/>
          <w:sz w:val="24"/>
          <w:szCs w:val="24"/>
        </w:rPr>
        <w:t>老包、莫勒黑等地，断层走向350～10°,倾向东，倾角60°~80°。峨眉</w:t>
      </w:r>
      <w:r>
        <w:rPr>
          <w:rFonts w:ascii="宋体" w:hAnsi="宋体" w:eastAsia="宋体" w:cs="宋体"/>
          <w:spacing w:val="9"/>
          <w:sz w:val="24"/>
          <w:szCs w:val="24"/>
        </w:rPr>
        <w:t>山玄</w:t>
      </w:r>
      <w:r>
        <w:rPr>
          <w:rFonts w:ascii="宋体" w:hAnsi="宋体" w:eastAsia="宋体" w:cs="宋体"/>
          <w:sz w:val="24"/>
          <w:szCs w:val="24"/>
        </w:rPr>
        <w:t xml:space="preserve"> </w:t>
      </w:r>
      <w:r>
        <w:rPr>
          <w:rFonts w:ascii="宋体" w:hAnsi="宋体" w:eastAsia="宋体" w:cs="宋体"/>
          <w:spacing w:val="4"/>
          <w:sz w:val="24"/>
          <w:szCs w:val="24"/>
        </w:rPr>
        <w:t>武岩覆于乐平煤系之上，断距约10</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55"/>
          <w:w w:val="101"/>
          <w:sz w:val="24"/>
          <w:szCs w:val="24"/>
        </w:rPr>
        <w:t xml:space="preserve"> </w:t>
      </w:r>
      <w:r>
        <w:rPr>
          <w:rFonts w:ascii="宋体" w:hAnsi="宋体" w:eastAsia="宋体" w:cs="宋体"/>
          <w:spacing w:val="4"/>
          <w:sz w:val="24"/>
          <w:szCs w:val="24"/>
        </w:rPr>
        <w:t>断层带上岩石破碎，局部产</w:t>
      </w:r>
      <w:r>
        <w:rPr>
          <w:rFonts w:ascii="宋体" w:hAnsi="宋体" w:eastAsia="宋体" w:cs="宋体"/>
          <w:spacing w:val="3"/>
          <w:sz w:val="24"/>
          <w:szCs w:val="24"/>
        </w:rPr>
        <w:t>生断层泥和次</w:t>
      </w:r>
      <w:r>
        <w:rPr>
          <w:rFonts w:ascii="宋体" w:hAnsi="宋体" w:eastAsia="宋体" w:cs="宋体"/>
          <w:sz w:val="24"/>
          <w:szCs w:val="24"/>
        </w:rPr>
        <w:t xml:space="preserve"> </w:t>
      </w:r>
      <w:r>
        <w:rPr>
          <w:rFonts w:ascii="宋体" w:hAnsi="宋体" w:eastAsia="宋体" w:cs="宋体"/>
          <w:spacing w:val="1"/>
          <w:sz w:val="24"/>
          <w:szCs w:val="24"/>
        </w:rPr>
        <w:t>生粘土。破矿构造。</w:t>
      </w:r>
    </w:p>
    <w:p w14:paraId="3D01AB28">
      <w:pPr>
        <w:spacing w:before="6" w:line="379" w:lineRule="auto"/>
        <w:ind w:left="134" w:right="179" w:firstLine="480"/>
        <w:jc w:val="both"/>
        <w:rPr>
          <w:rFonts w:ascii="宋体" w:hAnsi="宋体" w:eastAsia="宋体" w:cs="宋体"/>
          <w:sz w:val="24"/>
          <w:szCs w:val="24"/>
        </w:rPr>
      </w:pPr>
      <w:r>
        <w:rPr>
          <w:rFonts w:ascii="Times New Roman" w:hAnsi="Times New Roman" w:eastAsia="Times New Roman" w:cs="Times New Roman"/>
          <w:spacing w:val="-5"/>
          <w:sz w:val="24"/>
          <w:szCs w:val="24"/>
        </w:rPr>
        <w:t>F⁵16</w:t>
      </w:r>
      <w:r>
        <w:rPr>
          <w:rFonts w:ascii="宋体" w:hAnsi="宋体" w:eastAsia="宋体" w:cs="宋体"/>
          <w:spacing w:val="-5"/>
          <w:sz w:val="24"/>
          <w:szCs w:val="24"/>
        </w:rPr>
        <w:t>正断层：位于老君台515西边，与</w:t>
      </w:r>
      <w:r>
        <w:rPr>
          <w:rFonts w:ascii="Times New Roman" w:hAnsi="Times New Roman" w:eastAsia="Times New Roman" w:cs="Times New Roman"/>
          <w:spacing w:val="-5"/>
          <w:sz w:val="24"/>
          <w:szCs w:val="24"/>
        </w:rPr>
        <w:t>F515</w:t>
      </w:r>
      <w:r>
        <w:rPr>
          <w:rFonts w:ascii="宋体" w:hAnsi="宋体" w:eastAsia="宋体" w:cs="宋体"/>
          <w:spacing w:val="-5"/>
          <w:sz w:val="24"/>
          <w:szCs w:val="24"/>
        </w:rPr>
        <w:t>大致平行，走向长度大于1530</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45"/>
          <w:sz w:val="24"/>
          <w:szCs w:val="24"/>
        </w:rPr>
        <w:t xml:space="preserve"> </w:t>
      </w:r>
      <w:r>
        <w:rPr>
          <w:rFonts w:ascii="宋体" w:hAnsi="宋体" w:eastAsia="宋体" w:cs="宋体"/>
          <w:spacing w:val="-5"/>
          <w:sz w:val="24"/>
          <w:szCs w:val="24"/>
        </w:rPr>
        <w:t>断</w:t>
      </w:r>
      <w:r>
        <w:rPr>
          <w:rFonts w:ascii="宋体" w:hAnsi="宋体" w:eastAsia="宋体" w:cs="宋体"/>
          <w:sz w:val="24"/>
          <w:szCs w:val="24"/>
        </w:rPr>
        <w:t xml:space="preserve"> </w:t>
      </w:r>
      <w:r>
        <w:rPr>
          <w:rFonts w:ascii="宋体" w:hAnsi="宋体" w:eastAsia="宋体" w:cs="宋体"/>
          <w:spacing w:val="7"/>
          <w:sz w:val="24"/>
          <w:szCs w:val="24"/>
        </w:rPr>
        <w:t>层线大部分穿过峨眉山玄武岩与乐平组煤系交界带，断层走向350～10°,倾向</w:t>
      </w:r>
      <w:r>
        <w:rPr>
          <w:rFonts w:ascii="宋体" w:hAnsi="宋体" w:eastAsia="宋体" w:cs="宋体"/>
          <w:spacing w:val="15"/>
          <w:sz w:val="24"/>
          <w:szCs w:val="24"/>
        </w:rPr>
        <w:t xml:space="preserve"> </w:t>
      </w:r>
      <w:r>
        <w:rPr>
          <w:rFonts w:ascii="宋体" w:hAnsi="宋体" w:eastAsia="宋体" w:cs="宋体"/>
          <w:spacing w:val="6"/>
          <w:sz w:val="24"/>
          <w:szCs w:val="24"/>
        </w:rPr>
        <w:t>东，倾角70°,断距10</w:t>
      </w:r>
      <w:r>
        <w:rPr>
          <w:rFonts w:ascii="Times New Roman" w:hAnsi="Times New Roman" w:eastAsia="Times New Roman" w:cs="Times New Roman"/>
          <w:spacing w:val="6"/>
          <w:sz w:val="24"/>
          <w:szCs w:val="24"/>
        </w:rPr>
        <w:t xml:space="preserve">m,  </w:t>
      </w:r>
      <w:r>
        <w:rPr>
          <w:rFonts w:ascii="宋体" w:hAnsi="宋体" w:eastAsia="宋体" w:cs="宋体"/>
          <w:spacing w:val="6"/>
          <w:sz w:val="24"/>
          <w:szCs w:val="24"/>
        </w:rPr>
        <w:t>断层性质是东翼下降，西翼上升，导致峨眉山玄武岩</w:t>
      </w:r>
      <w:r>
        <w:rPr>
          <w:rFonts w:ascii="宋体" w:hAnsi="宋体" w:eastAsia="宋体" w:cs="宋体"/>
          <w:spacing w:val="9"/>
          <w:sz w:val="24"/>
          <w:szCs w:val="24"/>
        </w:rPr>
        <w:t xml:space="preserve"> </w:t>
      </w:r>
      <w:r>
        <w:rPr>
          <w:rFonts w:ascii="宋体" w:hAnsi="宋体" w:eastAsia="宋体" w:cs="宋体"/>
          <w:spacing w:val="1"/>
          <w:sz w:val="24"/>
          <w:szCs w:val="24"/>
        </w:rPr>
        <w:t>逆覆于乐平组煤系之上，断层带上岩石破碎，局部由断层泥和次生粘土组成，断</w:t>
      </w:r>
      <w:r>
        <w:rPr>
          <w:rFonts w:ascii="宋体" w:hAnsi="宋体" w:eastAsia="宋体" w:cs="宋体"/>
          <w:spacing w:val="4"/>
          <w:sz w:val="24"/>
          <w:szCs w:val="24"/>
        </w:rPr>
        <w:t xml:space="preserve"> </w:t>
      </w:r>
      <w:r>
        <w:rPr>
          <w:rFonts w:ascii="宋体" w:hAnsi="宋体" w:eastAsia="宋体" w:cs="宋体"/>
          <w:spacing w:val="1"/>
          <w:sz w:val="24"/>
          <w:szCs w:val="24"/>
        </w:rPr>
        <w:t>层破碎带为泥质胶结，结构稍松。破矿构造。</w:t>
      </w:r>
    </w:p>
    <w:p w14:paraId="1C08071C">
      <w:pPr>
        <w:spacing w:before="20" w:line="398" w:lineRule="auto"/>
        <w:ind w:left="134" w:right="178" w:firstLine="480"/>
        <w:rPr>
          <w:rFonts w:ascii="宋体" w:hAnsi="宋体" w:eastAsia="宋体" w:cs="宋体"/>
          <w:sz w:val="24"/>
          <w:szCs w:val="24"/>
        </w:rPr>
      </w:pPr>
      <w:r>
        <w:rPr>
          <w:rFonts w:ascii="Times New Roman" w:hAnsi="Times New Roman" w:eastAsia="Times New Roman" w:cs="Times New Roman"/>
          <w:spacing w:val="1"/>
          <w:sz w:val="24"/>
          <w:szCs w:val="24"/>
        </w:rPr>
        <w:t>F₅07</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正断层：位于矿区北东部，区内走向长度大于327</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56"/>
          <w:sz w:val="24"/>
          <w:szCs w:val="24"/>
        </w:rPr>
        <w:t xml:space="preserve"> </w:t>
      </w:r>
      <w:r>
        <w:rPr>
          <w:rFonts w:ascii="宋体" w:hAnsi="宋体" w:eastAsia="宋体" w:cs="宋体"/>
          <w:spacing w:val="1"/>
          <w:sz w:val="24"/>
          <w:szCs w:val="24"/>
        </w:rPr>
        <w:t>断层</w:t>
      </w:r>
      <w:r>
        <w:rPr>
          <w:rFonts w:ascii="宋体" w:hAnsi="宋体" w:eastAsia="宋体" w:cs="宋体"/>
          <w:sz w:val="24"/>
          <w:szCs w:val="24"/>
        </w:rPr>
        <w:t xml:space="preserve">线大部分穿过 </w:t>
      </w:r>
      <w:r>
        <w:rPr>
          <w:rFonts w:ascii="宋体" w:hAnsi="宋体" w:eastAsia="宋体" w:cs="宋体"/>
          <w:spacing w:val="10"/>
          <w:sz w:val="24"/>
          <w:szCs w:val="24"/>
        </w:rPr>
        <w:t>峨眉山玄武岩与阳新组灰岩交界带，断层走向0～10°,倾向185～325°,倾角</w:t>
      </w:r>
    </w:p>
    <w:p w14:paraId="3B58E1B7">
      <w:pPr>
        <w:spacing w:line="398" w:lineRule="auto"/>
        <w:rPr>
          <w:rFonts w:ascii="宋体" w:hAnsi="宋体" w:eastAsia="宋体" w:cs="宋体"/>
          <w:sz w:val="24"/>
          <w:szCs w:val="24"/>
        </w:rPr>
        <w:sectPr>
          <w:headerReference r:id="rId44" w:type="default"/>
          <w:footerReference r:id="rId45" w:type="default"/>
          <w:pgSz w:w="11900" w:h="16830"/>
          <w:pgMar w:top="1197" w:right="1360" w:bottom="1260" w:left="1785" w:header="920" w:footer="928" w:gutter="0"/>
          <w:cols w:space="720" w:num="1"/>
        </w:sectPr>
      </w:pPr>
    </w:p>
    <w:p w14:paraId="087ACE9E">
      <w:pPr>
        <w:pStyle w:val="2"/>
        <w:spacing w:line="387" w:lineRule="auto"/>
      </w:pPr>
    </w:p>
    <w:p w14:paraId="150FDC8C">
      <w:pPr>
        <w:spacing w:before="78" w:line="388" w:lineRule="auto"/>
        <w:ind w:left="94" w:right="306"/>
        <w:rPr>
          <w:rFonts w:ascii="宋体" w:hAnsi="宋体" w:eastAsia="宋体" w:cs="宋体"/>
          <w:sz w:val="24"/>
          <w:szCs w:val="24"/>
        </w:rPr>
      </w:pPr>
      <w:bookmarkStart w:id="19" w:name="bookmark51"/>
      <w:bookmarkEnd w:id="19"/>
      <w:r>
        <w:rPr>
          <w:rFonts w:ascii="宋体" w:hAnsi="宋体" w:eastAsia="宋体" w:cs="宋体"/>
          <w:spacing w:val="1"/>
          <w:sz w:val="24"/>
          <w:szCs w:val="24"/>
        </w:rPr>
        <w:t>近于直立，断距10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69"/>
          <w:sz w:val="24"/>
          <w:szCs w:val="24"/>
        </w:rPr>
        <w:t xml:space="preserve"> </w:t>
      </w:r>
      <w:r>
        <w:rPr>
          <w:rFonts w:ascii="宋体" w:hAnsi="宋体" w:eastAsia="宋体" w:cs="宋体"/>
          <w:spacing w:val="1"/>
          <w:sz w:val="24"/>
          <w:szCs w:val="24"/>
        </w:rPr>
        <w:t>断层性质是北西翼下降，南翼上升，断层角砾岩由石灰岩</w:t>
      </w:r>
      <w:r>
        <w:rPr>
          <w:rFonts w:ascii="宋体" w:hAnsi="宋体" w:eastAsia="宋体" w:cs="宋体"/>
          <w:sz w:val="24"/>
          <w:szCs w:val="24"/>
        </w:rPr>
        <w:t xml:space="preserve"> </w:t>
      </w:r>
      <w:r>
        <w:rPr>
          <w:rFonts w:ascii="宋体" w:hAnsi="宋体" w:eastAsia="宋体" w:cs="宋体"/>
          <w:spacing w:val="-4"/>
          <w:sz w:val="24"/>
          <w:szCs w:val="24"/>
        </w:rPr>
        <w:t>组成，钙质胶结，结构较致密。</w:t>
      </w:r>
    </w:p>
    <w:p w14:paraId="1D2873A2">
      <w:pPr>
        <w:spacing w:before="2" w:line="380" w:lineRule="auto"/>
        <w:ind w:left="94" w:right="200" w:firstLine="470"/>
        <w:rPr>
          <w:rFonts w:ascii="宋体" w:hAnsi="宋体" w:eastAsia="宋体" w:cs="宋体"/>
          <w:sz w:val="24"/>
          <w:szCs w:val="24"/>
        </w:rPr>
      </w:pPr>
      <w:r>
        <w:rPr>
          <w:rFonts w:ascii="Times New Roman" w:hAnsi="Times New Roman" w:eastAsia="Times New Roman" w:cs="Times New Roman"/>
          <w:spacing w:val="-5"/>
          <w:sz w:val="24"/>
          <w:szCs w:val="24"/>
        </w:rPr>
        <w:t>Fs13</w:t>
      </w:r>
      <w:r>
        <w:rPr>
          <w:rFonts w:ascii="宋体" w:hAnsi="宋体" w:eastAsia="宋体" w:cs="宋体"/>
          <w:spacing w:val="-5"/>
          <w:sz w:val="24"/>
          <w:szCs w:val="24"/>
        </w:rPr>
        <w:t>正断层：位于矿区北东部，与</w:t>
      </w:r>
      <w:r>
        <w:rPr>
          <w:rFonts w:ascii="Times New Roman" w:hAnsi="Times New Roman" w:eastAsia="Times New Roman" w:cs="Times New Roman"/>
          <w:spacing w:val="-5"/>
          <w:sz w:val="24"/>
          <w:szCs w:val="24"/>
        </w:rPr>
        <w:t>F₅07</w:t>
      </w:r>
      <w:r>
        <w:rPr>
          <w:rFonts w:ascii="宋体" w:hAnsi="宋体" w:eastAsia="宋体" w:cs="宋体"/>
          <w:spacing w:val="-5"/>
          <w:sz w:val="24"/>
          <w:szCs w:val="24"/>
        </w:rPr>
        <w:t>正断层平行，区内走向长度大于215</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3"/>
          <w:sz w:val="24"/>
          <w:szCs w:val="24"/>
        </w:rPr>
        <w:t xml:space="preserve">   </w:t>
      </w:r>
      <w:r>
        <w:rPr>
          <w:rFonts w:ascii="宋体" w:hAnsi="宋体" w:eastAsia="宋体" w:cs="宋体"/>
          <w:spacing w:val="7"/>
          <w:sz w:val="24"/>
          <w:szCs w:val="24"/>
        </w:rPr>
        <w:t>断层线穿过峨眉山玄武岩，断层走向0～10°,倾向95～185°,倾角近于直立，</w:t>
      </w:r>
      <w:r>
        <w:rPr>
          <w:rFonts w:ascii="宋体" w:hAnsi="宋体" w:eastAsia="宋体" w:cs="宋体"/>
          <w:spacing w:val="5"/>
          <w:sz w:val="24"/>
          <w:szCs w:val="24"/>
        </w:rPr>
        <w:t xml:space="preserve"> </w:t>
      </w:r>
      <w:r>
        <w:rPr>
          <w:rFonts w:ascii="宋体" w:hAnsi="宋体" w:eastAsia="宋体" w:cs="宋体"/>
          <w:spacing w:val="3"/>
          <w:sz w:val="24"/>
          <w:szCs w:val="24"/>
        </w:rPr>
        <w:t>断距10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55"/>
          <w:sz w:val="24"/>
          <w:szCs w:val="24"/>
        </w:rPr>
        <w:t xml:space="preserve"> </w:t>
      </w:r>
      <w:r>
        <w:rPr>
          <w:rFonts w:ascii="宋体" w:hAnsi="宋体" w:eastAsia="宋体" w:cs="宋体"/>
          <w:spacing w:val="3"/>
          <w:sz w:val="24"/>
          <w:szCs w:val="24"/>
        </w:rPr>
        <w:t>断层性质是北西翼下降，南东翼上升，断层角</w:t>
      </w:r>
      <w:r>
        <w:rPr>
          <w:rFonts w:ascii="宋体" w:hAnsi="宋体" w:eastAsia="宋体" w:cs="宋体"/>
          <w:spacing w:val="2"/>
          <w:sz w:val="24"/>
          <w:szCs w:val="24"/>
        </w:rPr>
        <w:t>砾岩由石灰岩组成，钙</w:t>
      </w:r>
      <w:r>
        <w:rPr>
          <w:rFonts w:ascii="宋体" w:hAnsi="宋体" w:eastAsia="宋体" w:cs="宋体"/>
          <w:sz w:val="24"/>
          <w:szCs w:val="24"/>
        </w:rPr>
        <w:t xml:space="preserve"> 质胶结，结构较致密。</w:t>
      </w:r>
    </w:p>
    <w:p w14:paraId="7EFD930E">
      <w:pPr>
        <w:spacing w:before="19" w:line="385" w:lineRule="auto"/>
        <w:ind w:left="94" w:right="258" w:firstLine="470"/>
        <w:jc w:val="both"/>
        <w:rPr>
          <w:rFonts w:ascii="仿宋" w:hAnsi="仿宋" w:eastAsia="仿宋" w:cs="仿宋"/>
          <w:sz w:val="24"/>
          <w:szCs w:val="24"/>
        </w:rPr>
      </w:pPr>
      <w:r>
        <w:rPr>
          <w:rFonts w:ascii="Times New Roman" w:hAnsi="Times New Roman" w:eastAsia="Times New Roman" w:cs="Times New Roman"/>
          <w:spacing w:val="-1"/>
          <w:sz w:val="24"/>
          <w:szCs w:val="24"/>
        </w:rPr>
        <w:t>Fs12</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逆断层：位于矿权外北东部，走向长度大于234</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45"/>
          <w:w w:val="101"/>
          <w:sz w:val="24"/>
          <w:szCs w:val="24"/>
        </w:rPr>
        <w:t xml:space="preserve"> </w:t>
      </w:r>
      <w:r>
        <w:rPr>
          <w:rFonts w:ascii="宋体" w:hAnsi="宋体" w:eastAsia="宋体" w:cs="宋体"/>
          <w:spacing w:val="-1"/>
          <w:sz w:val="24"/>
          <w:szCs w:val="24"/>
        </w:rPr>
        <w:t>断层线穿过峨眉山玄</w:t>
      </w:r>
      <w:r>
        <w:rPr>
          <w:rFonts w:ascii="宋体" w:hAnsi="宋体" w:eastAsia="宋体" w:cs="宋体"/>
          <w:sz w:val="24"/>
          <w:szCs w:val="24"/>
        </w:rPr>
        <w:t xml:space="preserve"> </w:t>
      </w:r>
      <w:r>
        <w:rPr>
          <w:rFonts w:ascii="宋体" w:hAnsi="宋体" w:eastAsia="宋体" w:cs="宋体"/>
          <w:spacing w:val="11"/>
          <w:sz w:val="24"/>
          <w:szCs w:val="24"/>
        </w:rPr>
        <w:t>武岩，断层走向0～10°,倾向185～325°,倾角近于直立，断距10</w:t>
      </w:r>
      <w:r>
        <w:rPr>
          <w:rFonts w:ascii="Times New Roman" w:hAnsi="Times New Roman" w:eastAsia="Times New Roman" w:cs="Times New Roman"/>
          <w:spacing w:val="11"/>
          <w:sz w:val="24"/>
          <w:szCs w:val="24"/>
        </w:rPr>
        <w:t>m,</w:t>
      </w:r>
      <w:r>
        <w:rPr>
          <w:rFonts w:ascii="Times New Roman" w:hAnsi="Times New Roman" w:eastAsia="Times New Roman" w:cs="Times New Roman"/>
          <w:spacing w:val="53"/>
          <w:w w:val="101"/>
          <w:sz w:val="24"/>
          <w:szCs w:val="24"/>
        </w:rPr>
        <w:t xml:space="preserve"> </w:t>
      </w:r>
      <w:r>
        <w:rPr>
          <w:rFonts w:ascii="宋体" w:hAnsi="宋体" w:eastAsia="宋体" w:cs="宋体"/>
          <w:spacing w:val="11"/>
          <w:sz w:val="24"/>
          <w:szCs w:val="24"/>
        </w:rPr>
        <w:t>断层性</w:t>
      </w:r>
      <w:r>
        <w:rPr>
          <w:rFonts w:ascii="宋体" w:hAnsi="宋体" w:eastAsia="宋体" w:cs="宋体"/>
          <w:sz w:val="24"/>
          <w:szCs w:val="24"/>
        </w:rPr>
        <w:t xml:space="preserve"> </w:t>
      </w:r>
      <w:r>
        <w:rPr>
          <w:rFonts w:ascii="宋体" w:hAnsi="宋体" w:eastAsia="宋体" w:cs="宋体"/>
          <w:spacing w:val="-1"/>
          <w:sz w:val="24"/>
          <w:szCs w:val="24"/>
        </w:rPr>
        <w:t>质是北西翼上升，南东翼下降，断层角砾岩由石灰岩组成，钙质胶结，结构较致</w:t>
      </w:r>
      <w:r>
        <w:rPr>
          <w:rFonts w:ascii="宋体" w:hAnsi="宋体" w:eastAsia="宋体" w:cs="宋体"/>
          <w:spacing w:val="3"/>
          <w:sz w:val="24"/>
          <w:szCs w:val="24"/>
        </w:rPr>
        <w:t xml:space="preserve"> </w:t>
      </w:r>
      <w:r>
        <w:rPr>
          <w:rFonts w:ascii="仿宋" w:hAnsi="仿宋" w:eastAsia="仿宋" w:cs="仿宋"/>
          <w:spacing w:val="-15"/>
          <w:sz w:val="24"/>
          <w:szCs w:val="24"/>
        </w:rPr>
        <w:t>密。</w:t>
      </w:r>
    </w:p>
    <w:p w14:paraId="7E880624">
      <w:pPr>
        <w:spacing w:before="4" w:line="378" w:lineRule="auto"/>
        <w:ind w:left="94" w:right="238" w:firstLine="470"/>
        <w:jc w:val="both"/>
        <w:rPr>
          <w:rFonts w:ascii="宋体" w:hAnsi="宋体" w:eastAsia="宋体" w:cs="宋体"/>
          <w:sz w:val="24"/>
          <w:szCs w:val="24"/>
        </w:rPr>
      </w:pPr>
      <w:r>
        <w:rPr>
          <w:rFonts w:ascii="Times New Roman" w:hAnsi="Times New Roman" w:eastAsia="Times New Roman" w:cs="Times New Roman"/>
          <w:spacing w:val="-1"/>
          <w:sz w:val="24"/>
          <w:szCs w:val="24"/>
        </w:rPr>
        <w:t>F517</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逆断层：位于矿权外东部，走向长度大于533</w:t>
      </w:r>
      <w:r>
        <w:rPr>
          <w:rFonts w:ascii="Times New Roman" w:hAnsi="Times New Roman" w:eastAsia="Times New Roman" w:cs="Times New Roman"/>
          <w:spacing w:val="-1"/>
          <w:sz w:val="24"/>
          <w:szCs w:val="24"/>
        </w:rPr>
        <w:t xml:space="preserve">m,  </w:t>
      </w:r>
      <w:r>
        <w:rPr>
          <w:rFonts w:ascii="宋体" w:hAnsi="宋体" w:eastAsia="宋体" w:cs="宋体"/>
          <w:spacing w:val="-1"/>
          <w:sz w:val="24"/>
          <w:szCs w:val="24"/>
        </w:rPr>
        <w:t>断层线大部分</w:t>
      </w:r>
      <w:r>
        <w:rPr>
          <w:rFonts w:ascii="宋体" w:hAnsi="宋体" w:eastAsia="宋体" w:cs="宋体"/>
          <w:spacing w:val="-2"/>
          <w:sz w:val="24"/>
          <w:szCs w:val="24"/>
        </w:rPr>
        <w:t>穿过峨眉</w:t>
      </w:r>
      <w:r>
        <w:rPr>
          <w:rFonts w:ascii="宋体" w:hAnsi="宋体" w:eastAsia="宋体" w:cs="宋体"/>
          <w:sz w:val="24"/>
          <w:szCs w:val="24"/>
        </w:rPr>
        <w:t xml:space="preserve"> </w:t>
      </w:r>
      <w:r>
        <w:rPr>
          <w:rFonts w:ascii="宋体" w:hAnsi="宋体" w:eastAsia="宋体" w:cs="宋体"/>
          <w:spacing w:val="12"/>
          <w:sz w:val="24"/>
          <w:szCs w:val="24"/>
        </w:rPr>
        <w:t>山玄武岩与乐平组煤系交界带，断层走向160～340°,倾</w:t>
      </w:r>
      <w:r>
        <w:rPr>
          <w:rFonts w:ascii="宋体" w:hAnsi="宋体" w:eastAsia="宋体" w:cs="宋体"/>
          <w:spacing w:val="11"/>
          <w:sz w:val="24"/>
          <w:szCs w:val="24"/>
        </w:rPr>
        <w:t>向150～175°,倾角</w:t>
      </w:r>
      <w:r>
        <w:rPr>
          <w:rFonts w:ascii="宋体" w:hAnsi="宋体" w:eastAsia="宋体" w:cs="宋体"/>
          <w:sz w:val="24"/>
          <w:szCs w:val="24"/>
        </w:rPr>
        <w:t xml:space="preserve"> </w:t>
      </w:r>
      <w:r>
        <w:rPr>
          <w:rFonts w:ascii="宋体" w:hAnsi="宋体" w:eastAsia="宋体" w:cs="宋体"/>
          <w:spacing w:val="3"/>
          <w:sz w:val="24"/>
          <w:szCs w:val="24"/>
        </w:rPr>
        <w:t>近于直立，断距10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65"/>
          <w:sz w:val="24"/>
          <w:szCs w:val="24"/>
        </w:rPr>
        <w:t xml:space="preserve"> </w:t>
      </w:r>
      <w:r>
        <w:rPr>
          <w:rFonts w:ascii="宋体" w:hAnsi="宋体" w:eastAsia="宋体" w:cs="宋体"/>
          <w:spacing w:val="3"/>
          <w:sz w:val="24"/>
          <w:szCs w:val="24"/>
        </w:rPr>
        <w:t>断层性质是北西翼上升，南东翼下降，断层角砾岩由峨眉</w:t>
      </w:r>
      <w:r>
        <w:rPr>
          <w:rFonts w:ascii="宋体" w:hAnsi="宋体" w:eastAsia="宋体" w:cs="宋体"/>
          <w:sz w:val="24"/>
          <w:szCs w:val="24"/>
        </w:rPr>
        <w:t xml:space="preserve"> </w:t>
      </w:r>
      <w:r>
        <w:rPr>
          <w:rFonts w:ascii="宋体" w:hAnsi="宋体" w:eastAsia="宋体" w:cs="宋体"/>
          <w:spacing w:val="-3"/>
          <w:sz w:val="24"/>
          <w:szCs w:val="24"/>
        </w:rPr>
        <w:t>山玄武岩组成，泥质胶结，结构稍松。</w:t>
      </w:r>
    </w:p>
    <w:p w14:paraId="2ED5BDD2">
      <w:pPr>
        <w:spacing w:before="4" w:line="387" w:lineRule="auto"/>
        <w:ind w:left="94" w:right="258" w:firstLine="470"/>
        <w:jc w:val="both"/>
        <w:rPr>
          <w:rFonts w:ascii="宋体" w:hAnsi="宋体" w:eastAsia="宋体" w:cs="宋体"/>
          <w:sz w:val="24"/>
          <w:szCs w:val="24"/>
        </w:rPr>
      </w:pPr>
      <w:r>
        <w:rPr>
          <w:rFonts w:ascii="Times New Roman" w:hAnsi="Times New Roman" w:eastAsia="Times New Roman" w:cs="Times New Roman"/>
          <w:spacing w:val="-2"/>
          <w:sz w:val="24"/>
          <w:szCs w:val="24"/>
        </w:rPr>
        <w:t>F₅05</w:t>
      </w:r>
      <w:r>
        <w:rPr>
          <w:rFonts w:ascii="宋体" w:hAnsi="宋体" w:eastAsia="宋体" w:cs="宋体"/>
          <w:spacing w:val="-2"/>
          <w:sz w:val="24"/>
          <w:szCs w:val="24"/>
        </w:rPr>
        <w:t>正断层：位于矿区外南西上菜园、下菜园，走向长</w:t>
      </w:r>
      <w:r>
        <w:rPr>
          <w:rFonts w:ascii="宋体" w:hAnsi="宋体" w:eastAsia="宋体" w:cs="宋体"/>
          <w:spacing w:val="-3"/>
          <w:sz w:val="24"/>
          <w:szCs w:val="24"/>
        </w:rPr>
        <w:t>度大于1810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46"/>
          <w:sz w:val="24"/>
          <w:szCs w:val="24"/>
        </w:rPr>
        <w:t xml:space="preserve"> </w:t>
      </w:r>
      <w:r>
        <w:rPr>
          <w:rFonts w:ascii="宋体" w:hAnsi="宋体" w:eastAsia="宋体" w:cs="宋体"/>
          <w:spacing w:val="-3"/>
          <w:sz w:val="24"/>
          <w:szCs w:val="24"/>
        </w:rPr>
        <w:t>断层线</w:t>
      </w:r>
      <w:r>
        <w:rPr>
          <w:rFonts w:ascii="宋体" w:hAnsi="宋体" w:eastAsia="宋体" w:cs="宋体"/>
          <w:sz w:val="24"/>
          <w:szCs w:val="24"/>
        </w:rPr>
        <w:t xml:space="preserve"> </w:t>
      </w:r>
      <w:r>
        <w:rPr>
          <w:rFonts w:ascii="宋体" w:hAnsi="宋体" w:eastAsia="宋体" w:cs="宋体"/>
          <w:spacing w:val="7"/>
          <w:sz w:val="24"/>
          <w:szCs w:val="24"/>
        </w:rPr>
        <w:t>大部分穿过乐平组煤系、飞仙关组、嘉陵江组交界带，断层走向130～300°,</w:t>
      </w:r>
      <w:r>
        <w:rPr>
          <w:rFonts w:ascii="宋体" w:hAnsi="宋体" w:eastAsia="宋体" w:cs="宋体"/>
          <w:spacing w:val="14"/>
          <w:sz w:val="24"/>
          <w:szCs w:val="24"/>
        </w:rPr>
        <w:t xml:space="preserve"> </w:t>
      </w:r>
      <w:r>
        <w:rPr>
          <w:rFonts w:ascii="宋体" w:hAnsi="宋体" w:eastAsia="宋体" w:cs="宋体"/>
          <w:spacing w:val="12"/>
          <w:sz w:val="24"/>
          <w:szCs w:val="24"/>
        </w:rPr>
        <w:t>倾向150～225°,倾角0～15°,断距10</w:t>
      </w:r>
      <w:r>
        <w:rPr>
          <w:rFonts w:ascii="Times New Roman" w:hAnsi="Times New Roman" w:eastAsia="Times New Roman" w:cs="Times New Roman"/>
          <w:spacing w:val="12"/>
          <w:sz w:val="24"/>
          <w:szCs w:val="24"/>
        </w:rPr>
        <w:t>m,</w:t>
      </w:r>
      <w:r>
        <w:rPr>
          <w:rFonts w:ascii="Times New Roman" w:hAnsi="Times New Roman" w:eastAsia="Times New Roman" w:cs="Times New Roman"/>
          <w:spacing w:val="45"/>
          <w:w w:val="101"/>
          <w:sz w:val="24"/>
          <w:szCs w:val="24"/>
        </w:rPr>
        <w:t xml:space="preserve"> </w:t>
      </w:r>
      <w:r>
        <w:rPr>
          <w:rFonts w:ascii="宋体" w:hAnsi="宋体" w:eastAsia="宋体" w:cs="宋体"/>
          <w:spacing w:val="12"/>
          <w:sz w:val="24"/>
          <w:szCs w:val="24"/>
        </w:rPr>
        <w:t>断层性</w:t>
      </w:r>
      <w:r>
        <w:rPr>
          <w:rFonts w:ascii="宋体" w:hAnsi="宋体" w:eastAsia="宋体" w:cs="宋体"/>
          <w:spacing w:val="11"/>
          <w:sz w:val="24"/>
          <w:szCs w:val="24"/>
        </w:rPr>
        <w:t>质是北翼上升，南翼下降，</w:t>
      </w:r>
      <w:r>
        <w:rPr>
          <w:rFonts w:ascii="宋体" w:hAnsi="宋体" w:eastAsia="宋体" w:cs="宋体"/>
          <w:sz w:val="24"/>
          <w:szCs w:val="24"/>
        </w:rPr>
        <w:t xml:space="preserve"> </w:t>
      </w:r>
      <w:r>
        <w:rPr>
          <w:rFonts w:ascii="宋体" w:hAnsi="宋体" w:eastAsia="宋体" w:cs="宋体"/>
          <w:spacing w:val="-1"/>
          <w:sz w:val="24"/>
          <w:szCs w:val="24"/>
        </w:rPr>
        <w:t>断层角砾岩由灰岩、碎屑岩组成，泥质胶结，结构稍松。</w:t>
      </w:r>
    </w:p>
    <w:p w14:paraId="6ED87828">
      <w:pPr>
        <w:spacing w:before="19" w:line="219" w:lineRule="auto"/>
        <w:ind w:left="565"/>
        <w:rPr>
          <w:rFonts w:ascii="宋体" w:hAnsi="宋体" w:eastAsia="宋体" w:cs="宋体"/>
          <w:sz w:val="24"/>
          <w:szCs w:val="24"/>
        </w:rPr>
      </w:pPr>
      <w:r>
        <w:rPr>
          <w:rFonts w:ascii="宋体" w:hAnsi="宋体" w:eastAsia="宋体" w:cs="宋体"/>
          <w:spacing w:val="10"/>
          <w:sz w:val="24"/>
          <w:szCs w:val="24"/>
        </w:rPr>
        <w:t>7.4.3岩浆岩</w:t>
      </w:r>
    </w:p>
    <w:p w14:paraId="336A128F">
      <w:pPr>
        <w:spacing w:before="203" w:line="383" w:lineRule="auto"/>
        <w:ind w:left="94" w:right="210" w:firstLine="470"/>
        <w:rPr>
          <w:rFonts w:ascii="仿宋" w:hAnsi="仿宋" w:eastAsia="仿宋" w:cs="仿宋"/>
          <w:sz w:val="24"/>
          <w:szCs w:val="24"/>
        </w:rPr>
      </w:pPr>
      <w:r>
        <w:rPr>
          <w:rFonts w:ascii="宋体" w:hAnsi="宋体" w:eastAsia="宋体" w:cs="宋体"/>
          <w:spacing w:val="1"/>
          <w:sz w:val="24"/>
          <w:szCs w:val="24"/>
        </w:rPr>
        <w:t>矿区内仅有晚二叠系峨眉山玄武岩，岩性为</w:t>
      </w:r>
      <w:r>
        <w:rPr>
          <w:rFonts w:ascii="宋体" w:hAnsi="宋体" w:eastAsia="宋体" w:cs="宋体"/>
          <w:sz w:val="24"/>
          <w:szCs w:val="24"/>
        </w:rPr>
        <w:t xml:space="preserve">深灰绿色致密块状玄武岩，气孔 </w:t>
      </w:r>
      <w:r>
        <w:rPr>
          <w:rFonts w:ascii="宋体" w:hAnsi="宋体" w:eastAsia="宋体" w:cs="宋体"/>
          <w:spacing w:val="-1"/>
          <w:sz w:val="24"/>
          <w:szCs w:val="24"/>
        </w:rPr>
        <w:t>状、杏仁状玄武岩。厚度225</w:t>
      </w:r>
      <w:r>
        <w:rPr>
          <w:rFonts w:ascii="Times New Roman" w:hAnsi="Times New Roman" w:eastAsia="Times New Roman" w:cs="Times New Roman"/>
          <w:spacing w:val="-1"/>
          <w:sz w:val="24"/>
          <w:szCs w:val="24"/>
        </w:rPr>
        <w:t>m</w:t>
      </w:r>
      <w:r>
        <w:rPr>
          <w:rFonts w:ascii="宋体" w:hAnsi="宋体" w:eastAsia="宋体" w:cs="宋体"/>
          <w:spacing w:val="-1"/>
          <w:sz w:val="24"/>
          <w:szCs w:val="24"/>
        </w:rPr>
        <w:t>。覆盖于二叠系茅口组灰岩之上，两者呈不整合接</w:t>
      </w:r>
      <w:r>
        <w:rPr>
          <w:rFonts w:ascii="宋体" w:hAnsi="宋体" w:eastAsia="宋体" w:cs="宋体"/>
          <w:sz w:val="24"/>
          <w:szCs w:val="24"/>
        </w:rPr>
        <w:t xml:space="preserve"> </w:t>
      </w:r>
      <w:r>
        <w:rPr>
          <w:rFonts w:ascii="仿宋" w:hAnsi="仿宋" w:eastAsia="仿宋" w:cs="仿宋"/>
          <w:spacing w:val="-6"/>
          <w:sz w:val="24"/>
          <w:szCs w:val="24"/>
        </w:rPr>
        <w:t>触。</w:t>
      </w:r>
    </w:p>
    <w:p w14:paraId="56E80E73">
      <w:pPr>
        <w:spacing w:before="9" w:line="220" w:lineRule="auto"/>
        <w:ind w:left="565"/>
        <w:rPr>
          <w:rFonts w:ascii="宋体" w:hAnsi="宋体" w:eastAsia="宋体" w:cs="宋体"/>
          <w:sz w:val="24"/>
          <w:szCs w:val="24"/>
        </w:rPr>
      </w:pPr>
      <w:r>
        <w:rPr>
          <w:rFonts w:ascii="宋体" w:hAnsi="宋体" w:eastAsia="宋体" w:cs="宋体"/>
          <w:spacing w:val="9"/>
          <w:sz w:val="24"/>
          <w:szCs w:val="24"/>
        </w:rPr>
        <w:t>7.4.4变质作用</w:t>
      </w:r>
    </w:p>
    <w:p w14:paraId="7F485E4A">
      <w:pPr>
        <w:spacing w:before="233" w:line="381" w:lineRule="auto"/>
        <w:ind w:left="94" w:right="74" w:firstLine="470"/>
        <w:rPr>
          <w:rFonts w:ascii="宋体" w:hAnsi="宋体" w:eastAsia="宋体" w:cs="宋体"/>
          <w:sz w:val="24"/>
          <w:szCs w:val="24"/>
        </w:rPr>
      </w:pPr>
      <w:r>
        <w:rPr>
          <w:rFonts w:ascii="宋体" w:hAnsi="宋体" w:eastAsia="宋体" w:cs="宋体"/>
          <w:spacing w:val="-2"/>
          <w:sz w:val="24"/>
          <w:szCs w:val="24"/>
        </w:rPr>
        <w:t>出露地层主要是沉积岩地层，各类岩石不显变质作用。围岩蚀变有白云石化、</w:t>
      </w:r>
      <w:r>
        <w:rPr>
          <w:rFonts w:ascii="宋体" w:hAnsi="宋体" w:eastAsia="宋体" w:cs="宋体"/>
          <w:spacing w:val="2"/>
          <w:sz w:val="24"/>
          <w:szCs w:val="24"/>
        </w:rPr>
        <w:t xml:space="preserve"> </w:t>
      </w:r>
      <w:r>
        <w:rPr>
          <w:rFonts w:ascii="宋体" w:hAnsi="宋体" w:eastAsia="宋体" w:cs="宋体"/>
          <w:sz w:val="24"/>
          <w:szCs w:val="24"/>
        </w:rPr>
        <w:t>硅化、方解石化、角砾岩化，局部有重结晶作用及褪色现象。</w:t>
      </w:r>
    </w:p>
    <w:p w14:paraId="48320F9C">
      <w:pPr>
        <w:spacing w:line="219" w:lineRule="auto"/>
        <w:ind w:left="565"/>
        <w:rPr>
          <w:rFonts w:ascii="宋体" w:hAnsi="宋体" w:eastAsia="宋体" w:cs="宋体"/>
          <w:sz w:val="24"/>
          <w:szCs w:val="24"/>
        </w:rPr>
      </w:pPr>
      <w:r>
        <w:rPr>
          <w:rFonts w:ascii="宋体" w:hAnsi="宋体" w:eastAsia="宋体" w:cs="宋体"/>
          <w:spacing w:val="10"/>
          <w:sz w:val="24"/>
          <w:szCs w:val="24"/>
        </w:rPr>
        <w:t>7.4.5矿床特征</w:t>
      </w:r>
    </w:p>
    <w:p w14:paraId="7A26F840">
      <w:pPr>
        <w:spacing w:before="226" w:line="219" w:lineRule="auto"/>
        <w:ind w:left="565"/>
        <w:rPr>
          <w:rFonts w:ascii="宋体" w:hAnsi="宋体" w:eastAsia="宋体" w:cs="宋体"/>
          <w:sz w:val="24"/>
          <w:szCs w:val="24"/>
        </w:rPr>
      </w:pPr>
      <w:r>
        <w:rPr>
          <w:rFonts w:ascii="宋体" w:hAnsi="宋体" w:eastAsia="宋体" w:cs="宋体"/>
          <w:spacing w:val="3"/>
          <w:sz w:val="24"/>
          <w:szCs w:val="24"/>
        </w:rPr>
        <w:t>该矿床产于白老包背斜两翼，具有地层岩性控矿特征</w:t>
      </w:r>
      <w:r>
        <w:rPr>
          <w:rFonts w:ascii="宋体" w:hAnsi="宋体" w:eastAsia="宋体" w:cs="宋体"/>
          <w:spacing w:val="2"/>
          <w:sz w:val="24"/>
          <w:szCs w:val="24"/>
        </w:rPr>
        <w:t>，同时构造控矿明显。</w:t>
      </w:r>
    </w:p>
    <w:p w14:paraId="1CE509DA">
      <w:pPr>
        <w:spacing w:line="219" w:lineRule="auto"/>
        <w:rPr>
          <w:rFonts w:ascii="宋体" w:hAnsi="宋体" w:eastAsia="宋体" w:cs="宋体"/>
          <w:sz w:val="24"/>
          <w:szCs w:val="24"/>
        </w:rPr>
        <w:sectPr>
          <w:headerReference r:id="rId46" w:type="default"/>
          <w:footerReference r:id="rId47" w:type="default"/>
          <w:pgSz w:w="11900" w:h="16830"/>
          <w:pgMar w:top="1197" w:right="1380" w:bottom="1269" w:left="1785" w:header="920" w:footer="928" w:gutter="0"/>
          <w:cols w:space="720" w:num="1"/>
        </w:sectPr>
      </w:pPr>
    </w:p>
    <w:p w14:paraId="2A96E222">
      <w:pPr>
        <w:pStyle w:val="2"/>
        <w:spacing w:line="307" w:lineRule="auto"/>
      </w:pPr>
    </w:p>
    <w:p w14:paraId="6677FDDC">
      <w:pPr>
        <w:spacing w:before="78" w:line="388" w:lineRule="auto"/>
        <w:ind w:left="64" w:right="160"/>
        <w:jc w:val="both"/>
        <w:rPr>
          <w:rFonts w:ascii="宋体" w:hAnsi="宋体" w:eastAsia="宋体" w:cs="宋体"/>
          <w:sz w:val="24"/>
          <w:szCs w:val="24"/>
        </w:rPr>
      </w:pPr>
      <w:bookmarkStart w:id="20" w:name="bookmark52"/>
      <w:bookmarkEnd w:id="20"/>
      <w:r>
        <w:rPr>
          <w:rFonts w:ascii="宋体" w:hAnsi="宋体" w:eastAsia="宋体" w:cs="宋体"/>
          <w:sz w:val="24"/>
          <w:szCs w:val="24"/>
        </w:rPr>
        <w:t>矿体赋存于阳新组(</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P₁y)</w:t>
      </w:r>
      <w:r>
        <w:rPr>
          <w:rFonts w:ascii="Times New Roman" w:hAnsi="Times New Roman" w:eastAsia="Times New Roman" w:cs="Times New Roman"/>
          <w:spacing w:val="49"/>
          <w:w w:val="101"/>
          <w:sz w:val="24"/>
          <w:szCs w:val="24"/>
        </w:rPr>
        <w:t xml:space="preserve"> </w:t>
      </w:r>
      <w:r>
        <w:rPr>
          <w:rFonts w:ascii="宋体" w:hAnsi="宋体" w:eastAsia="宋体" w:cs="宋体"/>
          <w:sz w:val="24"/>
          <w:szCs w:val="24"/>
        </w:rPr>
        <w:t>石灰岩中，为隐伏于地下200</w:t>
      </w:r>
      <w:r>
        <w:rPr>
          <w:rFonts w:ascii="Times New Roman" w:hAnsi="Times New Roman" w:eastAsia="Times New Roman" w:cs="Times New Roman"/>
          <w:sz w:val="24"/>
          <w:szCs w:val="24"/>
        </w:rPr>
        <w:t>m</w:t>
      </w:r>
      <w:r>
        <w:rPr>
          <w:rFonts w:ascii="宋体" w:hAnsi="宋体" w:eastAsia="宋体" w:cs="宋体"/>
          <w:sz w:val="24"/>
          <w:szCs w:val="24"/>
        </w:rPr>
        <w:t>左右之盲矿体</w:t>
      </w:r>
      <w:r>
        <w:rPr>
          <w:rFonts w:ascii="宋体" w:hAnsi="宋体" w:eastAsia="宋体" w:cs="宋体"/>
          <w:spacing w:val="-1"/>
          <w:sz w:val="24"/>
          <w:szCs w:val="24"/>
        </w:rPr>
        <w:t>。矿化对围</w:t>
      </w:r>
      <w:r>
        <w:rPr>
          <w:rFonts w:ascii="宋体" w:hAnsi="宋体" w:eastAsia="宋体" w:cs="宋体"/>
          <w:sz w:val="24"/>
          <w:szCs w:val="24"/>
        </w:rPr>
        <w:t xml:space="preserve"> </w:t>
      </w:r>
      <w:r>
        <w:rPr>
          <w:rFonts w:ascii="宋体" w:hAnsi="宋体" w:eastAsia="宋体" w:cs="宋体"/>
          <w:spacing w:val="-4"/>
          <w:sz w:val="24"/>
          <w:szCs w:val="24"/>
        </w:rPr>
        <w:t>岩具明显的选择性，多选择在热液蚀变形成的白云岩和白云石化灰岩中进行交代，</w:t>
      </w:r>
      <w:r>
        <w:rPr>
          <w:rFonts w:ascii="宋体" w:hAnsi="宋体" w:eastAsia="宋体" w:cs="宋体"/>
          <w:spacing w:val="12"/>
          <w:sz w:val="24"/>
          <w:szCs w:val="24"/>
        </w:rPr>
        <w:t xml:space="preserve"> </w:t>
      </w:r>
      <w:r>
        <w:rPr>
          <w:rFonts w:ascii="宋体" w:hAnsi="宋体" w:eastAsia="宋体" w:cs="宋体"/>
          <w:spacing w:val="1"/>
          <w:sz w:val="24"/>
          <w:szCs w:val="24"/>
        </w:rPr>
        <w:t>原生白云岩或其顶部燧石结核条带灰岩，一般不含工业矿体。矿体形态受次级北</w:t>
      </w:r>
      <w:r>
        <w:rPr>
          <w:rFonts w:ascii="宋体" w:hAnsi="宋体" w:eastAsia="宋体" w:cs="宋体"/>
          <w:spacing w:val="6"/>
          <w:sz w:val="24"/>
          <w:szCs w:val="24"/>
        </w:rPr>
        <w:t xml:space="preserve"> </w:t>
      </w:r>
      <w:r>
        <w:rPr>
          <w:rFonts w:ascii="宋体" w:hAnsi="宋体" w:eastAsia="宋体" w:cs="宋体"/>
          <w:spacing w:val="1"/>
          <w:sz w:val="24"/>
          <w:szCs w:val="24"/>
        </w:rPr>
        <w:t>北西、北北东向压扭性断层、层间破碎带的控制。矿体多产于层间破碎带及两侧</w:t>
      </w:r>
      <w:r>
        <w:rPr>
          <w:rFonts w:ascii="宋体" w:hAnsi="宋体" w:eastAsia="宋体" w:cs="宋体"/>
          <w:spacing w:val="10"/>
          <w:sz w:val="24"/>
          <w:szCs w:val="24"/>
        </w:rPr>
        <w:t xml:space="preserve"> </w:t>
      </w:r>
      <w:r>
        <w:rPr>
          <w:rFonts w:ascii="宋体" w:hAnsi="宋体" w:eastAsia="宋体" w:cs="宋体"/>
          <w:spacing w:val="2"/>
          <w:sz w:val="24"/>
          <w:szCs w:val="24"/>
        </w:rPr>
        <w:t>裂隙中，以似层状或大的扁豆状沿层分布，其矿体产状与</w:t>
      </w:r>
      <w:r>
        <w:rPr>
          <w:rFonts w:ascii="宋体" w:hAnsi="宋体" w:eastAsia="宋体" w:cs="宋体"/>
          <w:spacing w:val="1"/>
          <w:sz w:val="24"/>
          <w:szCs w:val="24"/>
        </w:rPr>
        <w:t>岩层产状基本一致，或</w:t>
      </w:r>
      <w:r>
        <w:rPr>
          <w:rFonts w:ascii="宋体" w:hAnsi="宋体" w:eastAsia="宋体" w:cs="宋体"/>
          <w:sz w:val="24"/>
          <w:szCs w:val="24"/>
        </w:rPr>
        <w:t xml:space="preserve"> </w:t>
      </w:r>
      <w:r>
        <w:rPr>
          <w:rFonts w:ascii="宋体" w:hAnsi="宋体" w:eastAsia="宋体" w:cs="宋体"/>
          <w:spacing w:val="4"/>
          <w:sz w:val="24"/>
          <w:szCs w:val="24"/>
        </w:rPr>
        <w:t>小角度相交，矿体倾角一般小于10°,比较平缓。在北东、北西向容矿断裂带及</w:t>
      </w:r>
      <w:r>
        <w:rPr>
          <w:rFonts w:ascii="宋体" w:hAnsi="宋体" w:eastAsia="宋体" w:cs="宋体"/>
          <w:spacing w:val="18"/>
          <w:sz w:val="24"/>
          <w:szCs w:val="24"/>
        </w:rPr>
        <w:t xml:space="preserve"> </w:t>
      </w:r>
      <w:r>
        <w:rPr>
          <w:rFonts w:ascii="宋体" w:hAnsi="宋体" w:eastAsia="宋体" w:cs="宋体"/>
          <w:spacing w:val="-2"/>
          <w:sz w:val="24"/>
          <w:szCs w:val="24"/>
        </w:rPr>
        <w:t>两侧形成角砾岩化处，矿体膨胀较大，且矿石品位较高。</w:t>
      </w:r>
    </w:p>
    <w:p w14:paraId="693222DF">
      <w:pPr>
        <w:spacing w:before="4" w:line="219" w:lineRule="auto"/>
        <w:ind w:left="585"/>
        <w:rPr>
          <w:rFonts w:ascii="宋体" w:hAnsi="宋体" w:eastAsia="宋体" w:cs="宋体"/>
          <w:sz w:val="24"/>
          <w:szCs w:val="24"/>
        </w:rPr>
      </w:pPr>
      <w:r>
        <w:rPr>
          <w:rFonts w:ascii="宋体" w:hAnsi="宋体" w:eastAsia="宋体" w:cs="宋体"/>
          <w:spacing w:val="25"/>
          <w:sz w:val="24"/>
          <w:szCs w:val="24"/>
        </w:rPr>
        <w:t>7.4.6矿体(层)特征</w:t>
      </w:r>
    </w:p>
    <w:p w14:paraId="3EF2FB13">
      <w:pPr>
        <w:spacing w:before="132" w:line="399" w:lineRule="auto"/>
        <w:ind w:left="64" w:right="266" w:firstLine="520"/>
        <w:rPr>
          <w:rFonts w:ascii="宋体" w:hAnsi="宋体" w:eastAsia="宋体" w:cs="宋体"/>
          <w:sz w:val="24"/>
          <w:szCs w:val="24"/>
        </w:rPr>
      </w:pPr>
      <w:r>
        <w:rPr>
          <w:rFonts w:ascii="宋体" w:hAnsi="宋体" w:eastAsia="宋体" w:cs="宋体"/>
          <w:spacing w:val="-11"/>
          <w:sz w:val="25"/>
          <w:szCs w:val="25"/>
        </w:rPr>
        <w:t>矿权区九个主矿体：②、⑦、⑨、⑩、</w:t>
      </w:r>
      <w:r>
        <w:rPr>
          <w:rFonts w:ascii="Times New Roman" w:hAnsi="Times New Roman" w:eastAsia="Times New Roman" w:cs="Times New Roman"/>
          <w:spacing w:val="-11"/>
          <w:sz w:val="25"/>
          <w:szCs w:val="25"/>
        </w:rPr>
        <w:t>O11</w:t>
      </w:r>
      <w:r>
        <w:rPr>
          <w:rFonts w:ascii="Times New Roman" w:hAnsi="Times New Roman" w:eastAsia="Times New Roman" w:cs="Times New Roman"/>
          <w:spacing w:val="-24"/>
          <w:sz w:val="25"/>
          <w:szCs w:val="25"/>
        </w:rPr>
        <w:t xml:space="preserve"> </w:t>
      </w:r>
      <w:r>
        <w:rPr>
          <w:rFonts w:ascii="宋体" w:hAnsi="宋体" w:eastAsia="宋体" w:cs="宋体"/>
          <w:spacing w:val="-11"/>
          <w:sz w:val="25"/>
          <w:szCs w:val="25"/>
        </w:rPr>
        <w:t>、</w:t>
      </w:r>
      <w:r>
        <w:rPr>
          <w:rFonts w:ascii="Calibri" w:hAnsi="Calibri" w:eastAsia="Calibri" w:cs="Calibri"/>
          <w:spacing w:val="-11"/>
          <w:sz w:val="25"/>
          <w:szCs w:val="25"/>
        </w:rPr>
        <w:t>⑮</w:t>
      </w:r>
      <w:r>
        <w:rPr>
          <w:rFonts w:ascii="宋体" w:hAnsi="宋体" w:eastAsia="宋体" w:cs="宋体"/>
          <w:spacing w:val="-11"/>
          <w:sz w:val="25"/>
          <w:szCs w:val="25"/>
        </w:rPr>
        <w:t>、</w:t>
      </w:r>
      <w:r>
        <w:rPr>
          <w:rFonts w:ascii="Calibri" w:hAnsi="Calibri" w:eastAsia="Calibri" w:cs="Calibri"/>
          <w:spacing w:val="-11"/>
          <w:sz w:val="25"/>
          <w:szCs w:val="25"/>
        </w:rPr>
        <w:t>⑰</w:t>
      </w:r>
      <w:r>
        <w:rPr>
          <w:rFonts w:ascii="Calibri" w:hAnsi="Calibri" w:eastAsia="Calibri" w:cs="Calibri"/>
          <w:spacing w:val="-27"/>
          <w:sz w:val="25"/>
          <w:szCs w:val="25"/>
        </w:rPr>
        <w:t xml:space="preserve"> </w:t>
      </w:r>
      <w:r>
        <w:rPr>
          <w:rFonts w:ascii="宋体" w:hAnsi="宋体" w:eastAsia="宋体" w:cs="宋体"/>
          <w:spacing w:val="-11"/>
          <w:sz w:val="25"/>
          <w:szCs w:val="25"/>
        </w:rPr>
        <w:t>矿体、原新增的</w:t>
      </w:r>
      <w:r>
        <w:rPr>
          <w:rFonts w:ascii="Calibri" w:hAnsi="Calibri" w:eastAsia="Calibri" w:cs="Calibri"/>
          <w:spacing w:val="-11"/>
          <w:sz w:val="25"/>
          <w:szCs w:val="25"/>
        </w:rPr>
        <w:t>⑲</w:t>
      </w:r>
      <w:r>
        <w:rPr>
          <w:rFonts w:ascii="宋体" w:hAnsi="宋体" w:eastAsia="宋体" w:cs="宋体"/>
          <w:spacing w:val="-11"/>
          <w:sz w:val="25"/>
          <w:szCs w:val="25"/>
        </w:rPr>
        <w:t>及</w:t>
      </w:r>
      <w:r>
        <w:rPr>
          <w:rFonts w:ascii="宋体" w:hAnsi="宋体" w:eastAsia="宋体" w:cs="宋体"/>
          <w:sz w:val="25"/>
          <w:szCs w:val="25"/>
        </w:rPr>
        <w:t xml:space="preserve"> </w:t>
      </w:r>
      <w:r>
        <w:rPr>
          <w:rFonts w:ascii="宋体" w:hAnsi="宋体" w:eastAsia="宋体" w:cs="宋体"/>
          <w:spacing w:val="-1"/>
          <w:sz w:val="24"/>
          <w:szCs w:val="24"/>
        </w:rPr>
        <w:t>本次新增的②矿体特征如下：</w:t>
      </w:r>
    </w:p>
    <w:p w14:paraId="2E95E7B7">
      <w:pPr>
        <w:spacing w:before="1" w:line="369" w:lineRule="auto"/>
        <w:ind w:left="64" w:right="160" w:firstLine="520"/>
        <w:rPr>
          <w:rFonts w:ascii="宋体" w:hAnsi="宋体" w:eastAsia="宋体" w:cs="宋体"/>
          <w:sz w:val="24"/>
          <w:szCs w:val="24"/>
        </w:rPr>
      </w:pPr>
      <w:r>
        <w:rPr>
          <w:rFonts w:ascii="宋体" w:hAnsi="宋体" w:eastAsia="宋体" w:cs="宋体"/>
          <w:spacing w:val="3"/>
          <w:sz w:val="24"/>
          <w:szCs w:val="24"/>
        </w:rPr>
        <w:t>②号锌矿体：其矿体特征分两个地段进行控制，即老君台老包(Ⅲ号勘探线</w:t>
      </w:r>
      <w:r>
        <w:rPr>
          <w:rFonts w:ascii="宋体" w:hAnsi="宋体" w:eastAsia="宋体" w:cs="宋体"/>
          <w:spacing w:val="6"/>
          <w:sz w:val="24"/>
          <w:szCs w:val="24"/>
        </w:rPr>
        <w:t xml:space="preserve"> </w:t>
      </w:r>
      <w:r>
        <w:rPr>
          <w:rFonts w:ascii="Times New Roman" w:hAnsi="Times New Roman" w:eastAsia="Times New Roman" w:cs="Times New Roman"/>
          <w:spacing w:val="-1"/>
          <w:sz w:val="24"/>
          <w:szCs w:val="24"/>
        </w:rPr>
        <w:t>CK60)</w:t>
      </w:r>
      <w:r>
        <w:rPr>
          <w:rFonts w:ascii="Times New Roman" w:hAnsi="Times New Roman" w:eastAsia="Times New Roman" w:cs="Times New Roman"/>
          <w:spacing w:val="25"/>
          <w:w w:val="101"/>
          <w:sz w:val="24"/>
          <w:szCs w:val="24"/>
        </w:rPr>
        <w:t xml:space="preserve"> </w:t>
      </w:r>
      <w:r>
        <w:rPr>
          <w:rFonts w:ascii="宋体" w:hAnsi="宋体" w:eastAsia="宋体" w:cs="宋体"/>
          <w:spacing w:val="-1"/>
          <w:sz w:val="24"/>
          <w:szCs w:val="24"/>
        </w:rPr>
        <w:t>至虾子湾沟</w:t>
      </w:r>
      <w:r>
        <w:rPr>
          <w:rFonts w:ascii="宋体" w:hAnsi="宋体" w:eastAsia="宋体" w:cs="宋体"/>
          <w:spacing w:val="-39"/>
          <w:sz w:val="24"/>
          <w:szCs w:val="24"/>
        </w:rPr>
        <w:t xml:space="preserve"> </w:t>
      </w:r>
      <w:r>
        <w:rPr>
          <w:rFonts w:ascii="宋体" w:hAnsi="宋体" w:eastAsia="宋体" w:cs="宋体"/>
          <w:spacing w:val="-1"/>
          <w:sz w:val="24"/>
          <w:szCs w:val="24"/>
        </w:rPr>
        <w:t>(</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X</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 xml:space="preserve">号勘探线 </w:t>
      </w:r>
      <w:r>
        <w:rPr>
          <w:rFonts w:ascii="Times New Roman" w:hAnsi="Times New Roman" w:eastAsia="Times New Roman" w:cs="Times New Roman"/>
          <w:spacing w:val="-1"/>
          <w:sz w:val="24"/>
          <w:szCs w:val="24"/>
        </w:rPr>
        <w:t>CK111)</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以北地段主</w:t>
      </w:r>
      <w:r>
        <w:rPr>
          <w:rFonts w:ascii="宋体" w:hAnsi="宋体" w:eastAsia="宋体" w:cs="宋体"/>
          <w:spacing w:val="-2"/>
          <w:sz w:val="24"/>
          <w:szCs w:val="24"/>
        </w:rPr>
        <w:t>要用钻探了解矿体形态，以</w:t>
      </w:r>
      <w:r>
        <w:rPr>
          <w:rFonts w:ascii="宋体" w:hAnsi="宋体" w:eastAsia="宋体" w:cs="宋体"/>
          <w:sz w:val="24"/>
          <w:szCs w:val="24"/>
        </w:rPr>
        <w:t xml:space="preserve"> 南地段主要利用早年的民采老窿的有利地段，施</w:t>
      </w:r>
      <w:r>
        <w:rPr>
          <w:rFonts w:ascii="宋体" w:hAnsi="宋体" w:eastAsia="宋体" w:cs="宋体"/>
          <w:spacing w:val="-1"/>
          <w:sz w:val="24"/>
          <w:szCs w:val="24"/>
        </w:rPr>
        <w:t>工穿脉平硐探明矿体形态。矿体</w:t>
      </w:r>
      <w:r>
        <w:rPr>
          <w:rFonts w:ascii="宋体" w:hAnsi="宋体" w:eastAsia="宋体" w:cs="宋体"/>
          <w:sz w:val="24"/>
          <w:szCs w:val="24"/>
        </w:rPr>
        <w:t xml:space="preserve">  </w:t>
      </w:r>
      <w:r>
        <w:rPr>
          <w:rFonts w:ascii="宋体" w:hAnsi="宋体" w:eastAsia="宋体" w:cs="宋体"/>
          <w:spacing w:val="-4"/>
          <w:sz w:val="24"/>
          <w:szCs w:val="24"/>
        </w:rPr>
        <w:t>呈似层状，大透镜状产出，矿体的尖灭与膨胀没有一定的规律，北部大，南部小。</w:t>
      </w:r>
      <w:r>
        <w:rPr>
          <w:rFonts w:ascii="宋体" w:hAnsi="宋体" w:eastAsia="宋体" w:cs="宋体"/>
          <w:spacing w:val="12"/>
          <w:sz w:val="24"/>
          <w:szCs w:val="24"/>
        </w:rPr>
        <w:t xml:space="preserve"> </w:t>
      </w:r>
      <w:r>
        <w:rPr>
          <w:rFonts w:ascii="宋体" w:hAnsi="宋体" w:eastAsia="宋体" w:cs="宋体"/>
          <w:spacing w:val="2"/>
          <w:sz w:val="24"/>
          <w:szCs w:val="24"/>
        </w:rPr>
        <w:t>矿体产状较平缓，倾角∠5～10°,构造较简单；控制主矿体长1200</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69"/>
          <w:sz w:val="24"/>
          <w:szCs w:val="24"/>
        </w:rPr>
        <w:t xml:space="preserve"> </w:t>
      </w:r>
      <w:r>
        <w:rPr>
          <w:rFonts w:ascii="宋体" w:hAnsi="宋体" w:eastAsia="宋体" w:cs="宋体"/>
          <w:spacing w:val="2"/>
          <w:sz w:val="24"/>
          <w:szCs w:val="24"/>
        </w:rPr>
        <w:t>宽400</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 xml:space="preserve">     </w:t>
      </w:r>
      <w:r>
        <w:rPr>
          <w:rFonts w:ascii="宋体" w:hAnsi="宋体" w:eastAsia="宋体" w:cs="宋体"/>
          <w:spacing w:val="8"/>
          <w:sz w:val="24"/>
          <w:szCs w:val="24"/>
        </w:rPr>
        <w:t>矿体真厚1.12～8.14</w:t>
      </w:r>
      <w:r>
        <w:rPr>
          <w:rFonts w:ascii="Times New Roman" w:hAnsi="Times New Roman" w:eastAsia="Times New Roman" w:cs="Times New Roman"/>
          <w:spacing w:val="8"/>
          <w:sz w:val="24"/>
          <w:szCs w:val="24"/>
        </w:rPr>
        <w:t>m,</w:t>
      </w:r>
      <w:r>
        <w:rPr>
          <w:rFonts w:ascii="Times New Roman" w:hAnsi="Times New Roman" w:eastAsia="Times New Roman" w:cs="Times New Roman"/>
          <w:spacing w:val="-11"/>
          <w:sz w:val="24"/>
          <w:szCs w:val="24"/>
        </w:rPr>
        <w:t xml:space="preserve"> </w:t>
      </w:r>
      <w:r>
        <w:rPr>
          <w:rFonts w:ascii="宋体" w:hAnsi="宋体" w:eastAsia="宋体" w:cs="宋体"/>
          <w:spacing w:val="8"/>
          <w:sz w:val="24"/>
          <w:szCs w:val="24"/>
        </w:rPr>
        <w:t>平均真厚5.57</w:t>
      </w:r>
      <w:r>
        <w:rPr>
          <w:rFonts w:ascii="Times New Roman" w:hAnsi="Times New Roman" w:eastAsia="Times New Roman" w:cs="Times New Roman"/>
          <w:spacing w:val="8"/>
          <w:sz w:val="24"/>
          <w:szCs w:val="24"/>
        </w:rPr>
        <w:t>m,</w:t>
      </w:r>
      <w:r>
        <w:rPr>
          <w:rFonts w:ascii="Times New Roman" w:hAnsi="Times New Roman" w:eastAsia="Times New Roman" w:cs="Times New Roman"/>
          <w:spacing w:val="35"/>
          <w:w w:val="101"/>
          <w:sz w:val="24"/>
          <w:szCs w:val="24"/>
        </w:rPr>
        <w:t xml:space="preserve"> </w:t>
      </w:r>
      <w:r>
        <w:rPr>
          <w:rFonts w:ascii="宋体" w:hAnsi="宋体" w:eastAsia="宋体" w:cs="宋体"/>
          <w:spacing w:val="8"/>
          <w:sz w:val="24"/>
          <w:szCs w:val="24"/>
        </w:rPr>
        <w:t>厚度变化系数67%,厚度较稳定；单工</w:t>
      </w:r>
      <w:r>
        <w:rPr>
          <w:rFonts w:ascii="宋体" w:hAnsi="宋体" w:eastAsia="宋体" w:cs="宋体"/>
          <w:sz w:val="24"/>
          <w:szCs w:val="24"/>
        </w:rPr>
        <w:t xml:space="preserve"> </w:t>
      </w:r>
      <w:r>
        <w:rPr>
          <w:rFonts w:ascii="宋体" w:hAnsi="宋体" w:eastAsia="宋体" w:cs="宋体"/>
          <w:spacing w:val="9"/>
          <w:sz w:val="24"/>
          <w:szCs w:val="24"/>
        </w:rPr>
        <w:t>程锌矿石品位</w:t>
      </w:r>
      <w:r>
        <w:rPr>
          <w:rFonts w:ascii="宋体" w:hAnsi="宋体" w:eastAsia="宋体" w:cs="宋体"/>
          <w:spacing w:val="-42"/>
          <w:sz w:val="24"/>
          <w:szCs w:val="24"/>
        </w:rPr>
        <w:t xml:space="preserve"> </w:t>
      </w:r>
      <w:r>
        <w:rPr>
          <w:rFonts w:ascii="Times New Roman" w:hAnsi="Times New Roman" w:eastAsia="Times New Roman" w:cs="Times New Roman"/>
          <w:sz w:val="24"/>
          <w:szCs w:val="24"/>
        </w:rPr>
        <w:t>Zn</w:t>
      </w:r>
      <w:r>
        <w:rPr>
          <w:rFonts w:ascii="Times New Roman" w:hAnsi="Times New Roman" w:eastAsia="Times New Roman" w:cs="Times New Roman"/>
          <w:spacing w:val="9"/>
          <w:sz w:val="24"/>
          <w:szCs w:val="24"/>
        </w:rPr>
        <w:t>1.31</w:t>
      </w:r>
      <w:r>
        <w:rPr>
          <w:rFonts w:ascii="宋体" w:hAnsi="宋体" w:eastAsia="宋体" w:cs="宋体"/>
          <w:spacing w:val="9"/>
          <w:sz w:val="24"/>
          <w:szCs w:val="24"/>
        </w:rPr>
        <w:t>～</w:t>
      </w:r>
      <w:r>
        <w:rPr>
          <w:rFonts w:ascii="Times New Roman" w:hAnsi="Times New Roman" w:eastAsia="Times New Roman" w:cs="Times New Roman"/>
          <w:spacing w:val="9"/>
          <w:sz w:val="24"/>
          <w:szCs w:val="24"/>
        </w:rPr>
        <w:t xml:space="preserve">21.30%, </w:t>
      </w:r>
      <w:r>
        <w:rPr>
          <w:rFonts w:ascii="宋体" w:hAnsi="宋体" w:eastAsia="宋体" w:cs="宋体"/>
          <w:spacing w:val="9"/>
          <w:sz w:val="24"/>
          <w:szCs w:val="24"/>
        </w:rPr>
        <w:t>平均品位</w:t>
      </w:r>
      <w:r>
        <w:rPr>
          <w:rFonts w:ascii="宋体" w:hAnsi="宋体" w:eastAsia="宋体" w:cs="宋体"/>
          <w:spacing w:val="-70"/>
          <w:sz w:val="24"/>
          <w:szCs w:val="24"/>
        </w:rPr>
        <w:t xml:space="preserve"> </w:t>
      </w:r>
      <w:r>
        <w:rPr>
          <w:rFonts w:ascii="Times New Roman" w:hAnsi="Times New Roman" w:eastAsia="Times New Roman" w:cs="Times New Roman"/>
          <w:sz w:val="24"/>
          <w:szCs w:val="24"/>
        </w:rPr>
        <w:t>Zn</w:t>
      </w:r>
      <w:r>
        <w:rPr>
          <w:rFonts w:ascii="Times New Roman" w:hAnsi="Times New Roman" w:eastAsia="Times New Roman" w:cs="Times New Roman"/>
          <w:spacing w:val="9"/>
          <w:sz w:val="24"/>
          <w:szCs w:val="24"/>
        </w:rPr>
        <w:t xml:space="preserve">3.42%,  </w:t>
      </w:r>
      <w:r>
        <w:rPr>
          <w:rFonts w:ascii="宋体" w:hAnsi="宋体" w:eastAsia="宋体" w:cs="宋体"/>
          <w:spacing w:val="9"/>
          <w:sz w:val="24"/>
          <w:szCs w:val="24"/>
        </w:rPr>
        <w:t>品位变化系数85%,属有用</w:t>
      </w:r>
      <w:r>
        <w:rPr>
          <w:rFonts w:ascii="宋体" w:hAnsi="宋体" w:eastAsia="宋体" w:cs="宋体"/>
          <w:sz w:val="24"/>
          <w:szCs w:val="24"/>
        </w:rPr>
        <w:t xml:space="preserve"> </w:t>
      </w:r>
      <w:r>
        <w:rPr>
          <w:rFonts w:ascii="宋体" w:hAnsi="宋体" w:eastAsia="宋体" w:cs="宋体"/>
          <w:spacing w:val="13"/>
          <w:sz w:val="24"/>
          <w:szCs w:val="24"/>
        </w:rPr>
        <w:t>组分较均匀的矿体；伴生</w:t>
      </w:r>
      <w:r>
        <w:rPr>
          <w:rFonts w:ascii="宋体" w:hAnsi="宋体" w:eastAsia="宋体" w:cs="宋体"/>
          <w:spacing w:val="-71"/>
          <w:sz w:val="24"/>
          <w:szCs w:val="24"/>
        </w:rPr>
        <w:t xml:space="preserve"> </w:t>
      </w:r>
      <w:r>
        <w:rPr>
          <w:rFonts w:ascii="Times New Roman" w:hAnsi="Times New Roman" w:eastAsia="Times New Roman" w:cs="Times New Roman"/>
          <w:sz w:val="24"/>
          <w:szCs w:val="24"/>
        </w:rPr>
        <w:t>Pb</w:t>
      </w:r>
      <w:r>
        <w:rPr>
          <w:rFonts w:ascii="Times New Roman" w:hAnsi="Times New Roman" w:eastAsia="Times New Roman" w:cs="Times New Roman"/>
          <w:spacing w:val="40"/>
          <w:w w:val="101"/>
          <w:sz w:val="24"/>
          <w:szCs w:val="24"/>
        </w:rPr>
        <w:t xml:space="preserve"> </w:t>
      </w:r>
      <w:r>
        <w:rPr>
          <w:rFonts w:ascii="宋体" w:hAnsi="宋体" w:eastAsia="宋体" w:cs="宋体"/>
          <w:spacing w:val="13"/>
          <w:sz w:val="24"/>
          <w:szCs w:val="24"/>
        </w:rPr>
        <w:t>平均品位0.24～2.26%;伴生</w:t>
      </w:r>
      <w:r>
        <w:rPr>
          <w:rFonts w:ascii="宋体" w:hAnsi="宋体" w:eastAsia="宋体" w:cs="宋体"/>
          <w:spacing w:val="-42"/>
          <w:sz w:val="24"/>
          <w:szCs w:val="24"/>
        </w:rPr>
        <w:t xml:space="preserve"> </w:t>
      </w:r>
      <w:r>
        <w:rPr>
          <w:rFonts w:ascii="Times New Roman" w:hAnsi="Times New Roman" w:eastAsia="Times New Roman" w:cs="Times New Roman"/>
          <w:sz w:val="24"/>
          <w:szCs w:val="24"/>
        </w:rPr>
        <w:t>Cd</w:t>
      </w:r>
      <w:r>
        <w:rPr>
          <w:rFonts w:ascii="Times New Roman" w:hAnsi="Times New Roman" w:eastAsia="Times New Roman" w:cs="Times New Roman"/>
          <w:spacing w:val="13"/>
          <w:sz w:val="24"/>
          <w:szCs w:val="24"/>
        </w:rPr>
        <w:t xml:space="preserve"> </w:t>
      </w:r>
      <w:r>
        <w:rPr>
          <w:rFonts w:ascii="宋体" w:hAnsi="宋体" w:eastAsia="宋体" w:cs="宋体"/>
          <w:spacing w:val="13"/>
          <w:sz w:val="24"/>
          <w:szCs w:val="24"/>
        </w:rPr>
        <w:t>平均</w:t>
      </w:r>
      <w:r>
        <w:rPr>
          <w:rFonts w:ascii="宋体" w:hAnsi="宋体" w:eastAsia="宋体" w:cs="宋体"/>
          <w:spacing w:val="12"/>
          <w:sz w:val="24"/>
          <w:szCs w:val="24"/>
        </w:rPr>
        <w:t>品位0.07~</w:t>
      </w:r>
      <w:r>
        <w:rPr>
          <w:rFonts w:ascii="宋体" w:hAnsi="宋体" w:eastAsia="宋体" w:cs="宋体"/>
          <w:sz w:val="24"/>
          <w:szCs w:val="24"/>
        </w:rPr>
        <w:t xml:space="preserve">  </w:t>
      </w:r>
      <w:r>
        <w:rPr>
          <w:rFonts w:ascii="宋体" w:hAnsi="宋体" w:eastAsia="宋体" w:cs="宋体"/>
          <w:spacing w:val="4"/>
          <w:sz w:val="24"/>
          <w:szCs w:val="24"/>
        </w:rPr>
        <w:t>0.28%。属易选矿石。②矿体共探获累计查明矿石量57.54万</w:t>
      </w:r>
      <w:r>
        <w:rPr>
          <w:rFonts w:ascii="Times New Roman" w:hAnsi="Times New Roman" w:eastAsia="Times New Roman" w:cs="Times New Roman"/>
          <w:spacing w:val="4"/>
          <w:sz w:val="24"/>
          <w:szCs w:val="24"/>
        </w:rPr>
        <w:t xml:space="preserve">t,   </w:t>
      </w:r>
      <w:r>
        <w:rPr>
          <w:rFonts w:ascii="宋体" w:hAnsi="宋体" w:eastAsia="宋体" w:cs="宋体"/>
          <w:spacing w:val="4"/>
          <w:sz w:val="24"/>
          <w:szCs w:val="24"/>
        </w:rPr>
        <w:t>锌金属量79694</w:t>
      </w:r>
      <w:r>
        <w:rPr>
          <w:rFonts w:ascii="Times New Roman" w:hAnsi="Times New Roman" w:eastAsia="Times New Roman" w:cs="Times New Roman"/>
          <w:spacing w:val="4"/>
          <w:sz w:val="24"/>
          <w:szCs w:val="24"/>
        </w:rPr>
        <w:t>t</w:t>
      </w:r>
      <w:r>
        <w:rPr>
          <w:rFonts w:ascii="Times New Roman" w:hAnsi="Times New Roman" w:eastAsia="Times New Roman" w:cs="Times New Roman"/>
          <w:spacing w:val="5"/>
          <w:sz w:val="24"/>
          <w:szCs w:val="24"/>
        </w:rPr>
        <w:t xml:space="preserve">   </w:t>
      </w:r>
      <w:r>
        <w:rPr>
          <w:rFonts w:ascii="宋体" w:hAnsi="宋体" w:eastAsia="宋体" w:cs="宋体"/>
          <w:spacing w:val="1"/>
          <w:sz w:val="24"/>
          <w:szCs w:val="24"/>
        </w:rPr>
        <w:t>占矿区总量51.18%。矿石自然类型为硫化矿。</w:t>
      </w:r>
    </w:p>
    <w:p w14:paraId="59405C10">
      <w:pPr>
        <w:spacing w:before="201" w:line="345" w:lineRule="auto"/>
        <w:ind w:left="64" w:right="159" w:firstLine="520"/>
        <w:rPr>
          <w:rFonts w:ascii="宋体" w:hAnsi="宋体" w:eastAsia="宋体" w:cs="宋体"/>
          <w:sz w:val="24"/>
          <w:szCs w:val="24"/>
        </w:rPr>
      </w:pPr>
      <w:r>
        <w:rPr>
          <w:rFonts w:ascii="宋体" w:hAnsi="宋体" w:eastAsia="宋体" w:cs="宋体"/>
          <w:spacing w:val="-6"/>
          <w:sz w:val="24"/>
          <w:szCs w:val="24"/>
        </w:rPr>
        <w:t>⑦号锌矿体：在Ⅲ号勘探线</w:t>
      </w:r>
      <w:r>
        <w:rPr>
          <w:rFonts w:ascii="Times New Roman" w:hAnsi="Times New Roman" w:eastAsia="Times New Roman" w:cs="Times New Roman"/>
          <w:spacing w:val="-6"/>
          <w:sz w:val="24"/>
          <w:szCs w:val="24"/>
        </w:rPr>
        <w:t>CK23</w:t>
      </w:r>
      <w:r>
        <w:rPr>
          <w:rFonts w:ascii="宋体" w:hAnsi="宋体" w:eastAsia="宋体" w:cs="宋体"/>
          <w:spacing w:val="-6"/>
          <w:sz w:val="24"/>
          <w:szCs w:val="24"/>
        </w:rPr>
        <w:t>、</w:t>
      </w:r>
      <w:r>
        <w:rPr>
          <w:rFonts w:ascii="Times New Roman" w:hAnsi="Times New Roman" w:eastAsia="Times New Roman" w:cs="Times New Roman"/>
          <w:spacing w:val="-6"/>
          <w:sz w:val="24"/>
          <w:szCs w:val="24"/>
        </w:rPr>
        <w:t xml:space="preserve">CK57 </w:t>
      </w:r>
      <w:r>
        <w:rPr>
          <w:rFonts w:ascii="宋体" w:hAnsi="宋体" w:eastAsia="宋体" w:cs="宋体"/>
          <w:spacing w:val="-6"/>
          <w:sz w:val="24"/>
          <w:szCs w:val="24"/>
        </w:rPr>
        <w:t>两个钻孔</w:t>
      </w:r>
      <w:r>
        <w:rPr>
          <w:rFonts w:ascii="宋体" w:hAnsi="宋体" w:eastAsia="宋体" w:cs="宋体"/>
          <w:spacing w:val="-7"/>
          <w:sz w:val="24"/>
          <w:szCs w:val="24"/>
        </w:rPr>
        <w:t>中有该矿体，其它勘探线的</w:t>
      </w:r>
      <w:r>
        <w:rPr>
          <w:rFonts w:ascii="宋体" w:hAnsi="宋体" w:eastAsia="宋体" w:cs="宋体"/>
          <w:sz w:val="24"/>
          <w:szCs w:val="24"/>
        </w:rPr>
        <w:t xml:space="preserve"> </w:t>
      </w:r>
      <w:r>
        <w:rPr>
          <w:rFonts w:ascii="宋体" w:hAnsi="宋体" w:eastAsia="宋体" w:cs="宋体"/>
          <w:spacing w:val="4"/>
          <w:sz w:val="24"/>
          <w:szCs w:val="24"/>
        </w:rPr>
        <w:t>钻孔未揭露到。矿体沿层或层间裂隙呈似层状或透镜</w:t>
      </w:r>
      <w:r>
        <w:rPr>
          <w:rFonts w:ascii="宋体" w:hAnsi="宋体" w:eastAsia="宋体" w:cs="宋体"/>
          <w:spacing w:val="3"/>
          <w:sz w:val="24"/>
          <w:szCs w:val="24"/>
        </w:rPr>
        <w:t>体产出，倾角5°左右，与</w:t>
      </w:r>
      <w:r>
        <w:rPr>
          <w:rFonts w:ascii="宋体" w:hAnsi="宋体" w:eastAsia="宋体" w:cs="宋体"/>
          <w:sz w:val="24"/>
          <w:szCs w:val="24"/>
        </w:rPr>
        <w:t xml:space="preserve">  </w:t>
      </w:r>
      <w:r>
        <w:rPr>
          <w:rFonts w:ascii="宋体" w:hAnsi="宋体" w:eastAsia="宋体" w:cs="宋体"/>
          <w:spacing w:val="8"/>
          <w:sz w:val="24"/>
          <w:szCs w:val="24"/>
        </w:rPr>
        <w:t>岩层产状一致，沿走向长约110</w:t>
      </w:r>
      <w:r>
        <w:rPr>
          <w:rFonts w:ascii="Times New Roman" w:hAnsi="Times New Roman" w:eastAsia="Times New Roman" w:cs="Times New Roman"/>
          <w:spacing w:val="8"/>
          <w:sz w:val="24"/>
          <w:szCs w:val="24"/>
        </w:rPr>
        <w:t>m,</w:t>
      </w:r>
      <w:r>
        <w:rPr>
          <w:rFonts w:ascii="Times New Roman" w:hAnsi="Times New Roman" w:eastAsia="Times New Roman" w:cs="Times New Roman"/>
          <w:spacing w:val="46"/>
          <w:sz w:val="24"/>
          <w:szCs w:val="24"/>
        </w:rPr>
        <w:t xml:space="preserve"> </w:t>
      </w:r>
      <w:r>
        <w:rPr>
          <w:rFonts w:ascii="宋体" w:hAnsi="宋体" w:eastAsia="宋体" w:cs="宋体"/>
          <w:spacing w:val="8"/>
          <w:sz w:val="24"/>
          <w:szCs w:val="24"/>
        </w:rPr>
        <w:t>宽约80</w:t>
      </w:r>
      <w:r>
        <w:rPr>
          <w:rFonts w:ascii="Times New Roman" w:hAnsi="Times New Roman" w:eastAsia="Times New Roman" w:cs="Times New Roman"/>
          <w:spacing w:val="8"/>
          <w:sz w:val="24"/>
          <w:szCs w:val="24"/>
        </w:rPr>
        <w:t>m</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Zn</w:t>
      </w:r>
      <w:r>
        <w:rPr>
          <w:rFonts w:ascii="Times New Roman" w:hAnsi="Times New Roman" w:eastAsia="Times New Roman" w:cs="Times New Roman"/>
          <w:spacing w:val="19"/>
          <w:w w:val="101"/>
          <w:sz w:val="24"/>
          <w:szCs w:val="24"/>
        </w:rPr>
        <w:t xml:space="preserve">  </w:t>
      </w:r>
      <w:r>
        <w:rPr>
          <w:rFonts w:ascii="宋体" w:hAnsi="宋体" w:eastAsia="宋体" w:cs="宋体"/>
          <w:spacing w:val="7"/>
          <w:sz w:val="24"/>
          <w:szCs w:val="24"/>
        </w:rPr>
        <w:t>矿体平均厚度4.4</w:t>
      </w:r>
      <w:r>
        <w:rPr>
          <w:rFonts w:ascii="Times New Roman" w:hAnsi="Times New Roman" w:eastAsia="Times New Roman" w:cs="Times New Roman"/>
          <w:spacing w:val="7"/>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平均品</w:t>
      </w:r>
      <w:r>
        <w:rPr>
          <w:rFonts w:ascii="宋体" w:hAnsi="宋体" w:eastAsia="宋体" w:cs="宋体"/>
          <w:sz w:val="24"/>
          <w:szCs w:val="24"/>
        </w:rPr>
        <w:t xml:space="preserve"> </w:t>
      </w:r>
      <w:r>
        <w:rPr>
          <w:rFonts w:ascii="宋体" w:hAnsi="宋体" w:eastAsia="宋体" w:cs="宋体"/>
          <w:spacing w:val="10"/>
          <w:sz w:val="24"/>
          <w:szCs w:val="24"/>
        </w:rPr>
        <w:t>位3.91%;伴生</w:t>
      </w:r>
      <w:r>
        <w:rPr>
          <w:rFonts w:ascii="Times New Roman" w:hAnsi="Times New Roman" w:eastAsia="Times New Roman" w:cs="Times New Roman"/>
          <w:sz w:val="24"/>
          <w:szCs w:val="24"/>
        </w:rPr>
        <w:t>Pb</w:t>
      </w:r>
      <w:r>
        <w:rPr>
          <w:rFonts w:ascii="Times New Roman" w:hAnsi="Times New Roman" w:eastAsia="Times New Roman" w:cs="Times New Roman"/>
          <w:spacing w:val="10"/>
          <w:sz w:val="24"/>
          <w:szCs w:val="24"/>
        </w:rPr>
        <w:t xml:space="preserve"> </w:t>
      </w:r>
      <w:r>
        <w:rPr>
          <w:rFonts w:ascii="宋体" w:hAnsi="宋体" w:eastAsia="宋体" w:cs="宋体"/>
          <w:spacing w:val="10"/>
          <w:sz w:val="24"/>
          <w:szCs w:val="24"/>
        </w:rPr>
        <w:t>平均厚度3.03</w:t>
      </w:r>
      <w:r>
        <w:rPr>
          <w:rFonts w:ascii="Times New Roman" w:hAnsi="Times New Roman" w:eastAsia="Times New Roman" w:cs="Times New Roman"/>
          <w:spacing w:val="10"/>
          <w:sz w:val="24"/>
          <w:szCs w:val="24"/>
        </w:rPr>
        <w:t>m,</w:t>
      </w:r>
      <w:r>
        <w:rPr>
          <w:rFonts w:ascii="Times New Roman" w:hAnsi="Times New Roman" w:eastAsia="Times New Roman" w:cs="Times New Roman"/>
          <w:sz w:val="24"/>
          <w:szCs w:val="24"/>
        </w:rPr>
        <w:t>Pb</w:t>
      </w:r>
      <w:r>
        <w:rPr>
          <w:rFonts w:ascii="Times New Roman" w:hAnsi="Times New Roman" w:eastAsia="Times New Roman" w:cs="Times New Roman"/>
          <w:spacing w:val="57"/>
          <w:sz w:val="24"/>
          <w:szCs w:val="24"/>
        </w:rPr>
        <w:t xml:space="preserve"> </w:t>
      </w:r>
      <w:r>
        <w:rPr>
          <w:rFonts w:ascii="宋体" w:hAnsi="宋体" w:eastAsia="宋体" w:cs="宋体"/>
          <w:spacing w:val="10"/>
          <w:sz w:val="24"/>
          <w:szCs w:val="24"/>
        </w:rPr>
        <w:t>平均品位0.53%;伴生</w:t>
      </w:r>
      <w:r>
        <w:rPr>
          <w:rFonts w:ascii="Times New Roman" w:hAnsi="Times New Roman" w:eastAsia="Times New Roman" w:cs="Times New Roman"/>
          <w:sz w:val="24"/>
          <w:szCs w:val="24"/>
        </w:rPr>
        <w:t>Cd</w:t>
      </w:r>
      <w:r>
        <w:rPr>
          <w:rFonts w:ascii="Times New Roman" w:hAnsi="Times New Roman" w:eastAsia="Times New Roman" w:cs="Times New Roman"/>
          <w:spacing w:val="-22"/>
          <w:sz w:val="24"/>
          <w:szCs w:val="24"/>
        </w:rPr>
        <w:t xml:space="preserve"> </w:t>
      </w:r>
      <w:r>
        <w:rPr>
          <w:rFonts w:ascii="宋体" w:hAnsi="宋体" w:eastAsia="宋体" w:cs="宋体"/>
          <w:spacing w:val="10"/>
          <w:sz w:val="24"/>
          <w:szCs w:val="24"/>
        </w:rPr>
        <w:t>平均品位0.03%。</w:t>
      </w:r>
    </w:p>
    <w:p w14:paraId="43E1BE3B">
      <w:pPr>
        <w:spacing w:before="214" w:line="304" w:lineRule="auto"/>
        <w:ind w:left="64" w:right="229"/>
        <w:rPr>
          <w:rFonts w:ascii="宋体" w:hAnsi="宋体" w:eastAsia="宋体" w:cs="宋体"/>
          <w:sz w:val="24"/>
          <w:szCs w:val="24"/>
        </w:rPr>
      </w:pPr>
      <w:r>
        <w:rPr>
          <w:rFonts w:ascii="宋体" w:hAnsi="宋体" w:eastAsia="宋体" w:cs="宋体"/>
          <w:spacing w:val="7"/>
          <w:sz w:val="24"/>
          <w:szCs w:val="24"/>
        </w:rPr>
        <w:t>⑦矿体共探获累计查明矿石量6.10万</w:t>
      </w:r>
      <w:r>
        <w:rPr>
          <w:rFonts w:ascii="宋体" w:hAnsi="宋体" w:eastAsia="宋体" w:cs="宋体"/>
          <w:spacing w:val="-56"/>
          <w:sz w:val="24"/>
          <w:szCs w:val="24"/>
        </w:rPr>
        <w:t xml:space="preserve"> </w:t>
      </w:r>
      <w:r>
        <w:rPr>
          <w:rFonts w:ascii="Times New Roman" w:hAnsi="Times New Roman" w:eastAsia="Times New Roman" w:cs="Times New Roman"/>
          <w:spacing w:val="7"/>
          <w:sz w:val="24"/>
          <w:szCs w:val="24"/>
        </w:rPr>
        <w:t xml:space="preserve">t,   </w:t>
      </w:r>
      <w:r>
        <w:rPr>
          <w:rFonts w:ascii="宋体" w:hAnsi="宋体" w:eastAsia="宋体" w:cs="宋体"/>
          <w:spacing w:val="7"/>
          <w:sz w:val="24"/>
          <w:szCs w:val="24"/>
        </w:rPr>
        <w:t>锌金属量2385</w:t>
      </w:r>
      <w:r>
        <w:rPr>
          <w:rFonts w:ascii="Times New Roman" w:hAnsi="Times New Roman" w:eastAsia="Times New Roman" w:cs="Times New Roman"/>
          <w:spacing w:val="7"/>
          <w:sz w:val="24"/>
          <w:szCs w:val="24"/>
        </w:rPr>
        <w:t xml:space="preserve">t  </w:t>
      </w:r>
      <w:r>
        <w:rPr>
          <w:rFonts w:ascii="宋体" w:hAnsi="宋体" w:eastAsia="宋体" w:cs="宋体"/>
          <w:spacing w:val="7"/>
          <w:sz w:val="24"/>
          <w:szCs w:val="24"/>
        </w:rPr>
        <w:t>占矿区总量1.53%。矿</w:t>
      </w:r>
      <w:r>
        <w:rPr>
          <w:rFonts w:ascii="宋体" w:hAnsi="宋体" w:eastAsia="宋体" w:cs="宋体"/>
          <w:sz w:val="24"/>
          <w:szCs w:val="24"/>
        </w:rPr>
        <w:t xml:space="preserve"> 石自然类型为硫化矿。</w:t>
      </w:r>
    </w:p>
    <w:p w14:paraId="5241B1C4">
      <w:pPr>
        <w:spacing w:before="212" w:line="222" w:lineRule="auto"/>
        <w:ind w:left="585"/>
        <w:rPr>
          <w:rFonts w:ascii="宋体" w:hAnsi="宋体" w:eastAsia="宋体" w:cs="宋体"/>
          <w:sz w:val="24"/>
          <w:szCs w:val="24"/>
        </w:rPr>
      </w:pPr>
      <w:r>
        <w:rPr>
          <w:rFonts w:ascii="仿宋" w:hAnsi="仿宋" w:eastAsia="仿宋" w:cs="仿宋"/>
          <w:spacing w:val="-3"/>
          <w:sz w:val="24"/>
          <w:szCs w:val="24"/>
        </w:rPr>
        <w:t>⑨号锌矿体：</w:t>
      </w:r>
      <w:r>
        <w:rPr>
          <w:rFonts w:ascii="宋体" w:hAnsi="宋体" w:eastAsia="宋体" w:cs="宋体"/>
          <w:spacing w:val="-3"/>
          <w:sz w:val="24"/>
          <w:szCs w:val="24"/>
        </w:rPr>
        <w:t>见矿钻孔是</w:t>
      </w:r>
      <w:r>
        <w:rPr>
          <w:rFonts w:ascii="Times New Roman" w:hAnsi="Times New Roman" w:eastAsia="Times New Roman" w:cs="Times New Roman"/>
          <w:spacing w:val="-3"/>
          <w:sz w:val="24"/>
          <w:szCs w:val="24"/>
        </w:rPr>
        <w:t xml:space="preserve">V </w:t>
      </w:r>
      <w:r>
        <w:rPr>
          <w:rFonts w:ascii="宋体" w:hAnsi="宋体" w:eastAsia="宋体" w:cs="宋体"/>
          <w:spacing w:val="-3"/>
          <w:sz w:val="24"/>
          <w:szCs w:val="24"/>
        </w:rPr>
        <w:t>号勘探线</w:t>
      </w:r>
      <w:r>
        <w:rPr>
          <w:rFonts w:ascii="Times New Roman" w:hAnsi="Times New Roman" w:eastAsia="Times New Roman" w:cs="Times New Roman"/>
          <w:spacing w:val="-3"/>
          <w:sz w:val="24"/>
          <w:szCs w:val="24"/>
        </w:rPr>
        <w:t>CK41</w:t>
      </w:r>
      <w:r>
        <w:rPr>
          <w:rFonts w:ascii="宋体" w:hAnsi="宋体" w:eastAsia="宋体" w:cs="宋体"/>
          <w:spacing w:val="-3"/>
          <w:sz w:val="24"/>
          <w:szCs w:val="24"/>
        </w:rPr>
        <w:t>、</w:t>
      </w:r>
      <w:r>
        <w:rPr>
          <w:rFonts w:ascii="Times New Roman" w:hAnsi="Times New Roman" w:eastAsia="Times New Roman" w:cs="Times New Roman"/>
          <w:spacing w:val="-3"/>
          <w:sz w:val="24"/>
          <w:szCs w:val="24"/>
        </w:rPr>
        <w:t>CK40</w:t>
      </w:r>
      <w:r>
        <w:rPr>
          <w:rFonts w:ascii="宋体" w:hAnsi="宋体" w:eastAsia="宋体" w:cs="宋体"/>
          <w:spacing w:val="-3"/>
          <w:sz w:val="24"/>
          <w:szCs w:val="24"/>
        </w:rPr>
        <w:t>、</w:t>
      </w:r>
      <w:r>
        <w:rPr>
          <w:rFonts w:ascii="Times New Roman" w:hAnsi="Times New Roman" w:eastAsia="Times New Roman" w:cs="Times New Roman"/>
          <w:spacing w:val="-3"/>
          <w:sz w:val="24"/>
          <w:szCs w:val="24"/>
        </w:rPr>
        <w:t>CK20</w:t>
      </w:r>
      <w:r>
        <w:rPr>
          <w:rFonts w:ascii="宋体" w:hAnsi="宋体" w:eastAsia="宋体" w:cs="宋体"/>
          <w:spacing w:val="-3"/>
          <w:sz w:val="24"/>
          <w:szCs w:val="24"/>
        </w:rPr>
        <w:t>三个钻孔。</w:t>
      </w:r>
      <w:r>
        <w:rPr>
          <w:rFonts w:ascii="宋体" w:hAnsi="宋体" w:eastAsia="宋体" w:cs="宋体"/>
          <w:spacing w:val="-4"/>
          <w:sz w:val="24"/>
          <w:szCs w:val="24"/>
        </w:rPr>
        <w:t>该矿体包</w:t>
      </w:r>
    </w:p>
    <w:p w14:paraId="795827F7">
      <w:pPr>
        <w:spacing w:line="222" w:lineRule="auto"/>
        <w:rPr>
          <w:rFonts w:ascii="宋体" w:hAnsi="宋体" w:eastAsia="宋体" w:cs="宋体"/>
          <w:sz w:val="24"/>
          <w:szCs w:val="24"/>
        </w:rPr>
        <w:sectPr>
          <w:headerReference r:id="rId48" w:type="default"/>
          <w:footerReference r:id="rId49" w:type="default"/>
          <w:pgSz w:w="11900" w:h="16830"/>
          <w:pgMar w:top="1256" w:right="1380" w:bottom="1290" w:left="1785" w:header="980" w:footer="938" w:gutter="0"/>
          <w:cols w:space="720" w:num="1"/>
        </w:sectPr>
      </w:pPr>
    </w:p>
    <w:p w14:paraId="6A47623D">
      <w:pPr>
        <w:pStyle w:val="2"/>
        <w:spacing w:line="321" w:lineRule="auto"/>
      </w:pPr>
    </w:p>
    <w:p w14:paraId="5C7E2F3A">
      <w:pPr>
        <w:spacing w:before="78" w:line="380" w:lineRule="auto"/>
        <w:ind w:left="1509" w:right="109"/>
        <w:rPr>
          <w:rFonts w:ascii="宋体" w:hAnsi="宋体" w:eastAsia="宋体" w:cs="宋体"/>
          <w:sz w:val="24"/>
          <w:szCs w:val="24"/>
        </w:rPr>
      </w:pPr>
      <w:r>
        <w:rPr>
          <w:rFonts w:ascii="宋体" w:hAnsi="宋体" w:eastAsia="宋体" w:cs="宋体"/>
          <w:spacing w:val="-4"/>
          <w:sz w:val="24"/>
          <w:szCs w:val="24"/>
        </w:rPr>
        <w:t>含2层矿，矿体呈似层状或透镜体产出，与岩层小角度相交。上层矿长约60</w:t>
      </w:r>
      <w:r>
        <w:rPr>
          <w:rFonts w:ascii="Times New Roman" w:hAnsi="Times New Roman" w:eastAsia="Times New Roman" w:cs="Times New Roman"/>
          <w:spacing w:val="-4"/>
          <w:sz w:val="24"/>
          <w:szCs w:val="24"/>
        </w:rPr>
        <w:t>m</w:t>
      </w:r>
      <w:r>
        <w:rPr>
          <w:rFonts w:ascii="宋体" w:hAnsi="宋体" w:eastAsia="宋体" w:cs="宋体"/>
          <w:spacing w:val="-4"/>
          <w:sz w:val="24"/>
          <w:szCs w:val="24"/>
        </w:rPr>
        <w:t>左右，</w:t>
      </w:r>
      <w:r>
        <w:rPr>
          <w:rFonts w:ascii="宋体" w:hAnsi="宋体" w:eastAsia="宋体" w:cs="宋体"/>
          <w:spacing w:val="4"/>
          <w:sz w:val="24"/>
          <w:szCs w:val="24"/>
        </w:rPr>
        <w:t xml:space="preserve"> </w:t>
      </w:r>
      <w:r>
        <w:rPr>
          <w:rFonts w:ascii="宋体" w:hAnsi="宋体" w:eastAsia="宋体" w:cs="宋体"/>
          <w:spacing w:val="2"/>
          <w:sz w:val="24"/>
          <w:szCs w:val="24"/>
        </w:rPr>
        <w:t>宽约50</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77"/>
          <w:w w:val="101"/>
          <w:sz w:val="24"/>
          <w:szCs w:val="24"/>
        </w:rPr>
        <w:t xml:space="preserve"> </w:t>
      </w:r>
      <w:r>
        <w:rPr>
          <w:rFonts w:ascii="宋体" w:hAnsi="宋体" w:eastAsia="宋体" w:cs="宋体"/>
          <w:spacing w:val="2"/>
          <w:sz w:val="24"/>
          <w:szCs w:val="24"/>
        </w:rPr>
        <w:t>矿体平均厚度2.18</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49"/>
          <w:sz w:val="24"/>
          <w:szCs w:val="24"/>
        </w:rPr>
        <w:t xml:space="preserve"> </w:t>
      </w:r>
      <w:r>
        <w:rPr>
          <w:rFonts w:ascii="宋体" w:hAnsi="宋体" w:eastAsia="宋体" w:cs="宋体"/>
          <w:spacing w:val="2"/>
          <w:sz w:val="24"/>
          <w:szCs w:val="24"/>
        </w:rPr>
        <w:t>平均品位5.76%;伴生</w:t>
      </w:r>
      <w:r>
        <w:rPr>
          <w:rFonts w:ascii="Times New Roman" w:hAnsi="Times New Roman" w:eastAsia="Times New Roman" w:cs="Times New Roman"/>
          <w:sz w:val="24"/>
          <w:szCs w:val="24"/>
        </w:rPr>
        <w:t>Pb</w:t>
      </w:r>
      <w:r>
        <w:rPr>
          <w:rFonts w:ascii="宋体" w:hAnsi="宋体" w:eastAsia="宋体" w:cs="宋体"/>
          <w:spacing w:val="2"/>
          <w:sz w:val="24"/>
          <w:szCs w:val="24"/>
        </w:rPr>
        <w:t>平均厚度0.91</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 xml:space="preserve">Pb    </w:t>
      </w:r>
      <w:r>
        <w:rPr>
          <w:rFonts w:ascii="宋体" w:hAnsi="宋体" w:eastAsia="宋体" w:cs="宋体"/>
          <w:spacing w:val="-1"/>
          <w:sz w:val="24"/>
          <w:szCs w:val="24"/>
        </w:rPr>
        <w:t>平均品位0.54%; 伴生</w:t>
      </w:r>
      <w:r>
        <w:rPr>
          <w:rFonts w:ascii="Times New Roman" w:hAnsi="Times New Roman" w:eastAsia="Times New Roman" w:cs="Times New Roman"/>
          <w:spacing w:val="-1"/>
          <w:sz w:val="24"/>
          <w:szCs w:val="24"/>
        </w:rPr>
        <w:t>Cd</w:t>
      </w:r>
      <w:r>
        <w:rPr>
          <w:rFonts w:ascii="宋体" w:hAnsi="宋体" w:eastAsia="宋体" w:cs="宋体"/>
          <w:spacing w:val="-1"/>
          <w:sz w:val="24"/>
          <w:szCs w:val="24"/>
        </w:rPr>
        <w:t>平均品位0.17%。下层矿长约210</w:t>
      </w:r>
      <w:r>
        <w:rPr>
          <w:rFonts w:ascii="Times New Roman" w:hAnsi="Times New Roman" w:eastAsia="Times New Roman" w:cs="Times New Roman"/>
          <w:spacing w:val="-1"/>
          <w:sz w:val="24"/>
          <w:szCs w:val="24"/>
        </w:rPr>
        <w:t>m</w:t>
      </w:r>
      <w:r>
        <w:rPr>
          <w:rFonts w:ascii="宋体" w:hAnsi="宋体" w:eastAsia="宋体" w:cs="宋体"/>
          <w:spacing w:val="-1"/>
          <w:sz w:val="24"/>
          <w:szCs w:val="24"/>
        </w:rPr>
        <w:t>左右。⑨矿体共探获累</w:t>
      </w:r>
      <w:r>
        <w:rPr>
          <w:rFonts w:ascii="宋体" w:hAnsi="宋体" w:eastAsia="宋体" w:cs="宋体"/>
          <w:spacing w:val="3"/>
          <w:sz w:val="24"/>
          <w:szCs w:val="24"/>
        </w:rPr>
        <w:t xml:space="preserve"> </w:t>
      </w:r>
      <w:r>
        <w:rPr>
          <w:rFonts w:ascii="宋体" w:hAnsi="宋体" w:eastAsia="宋体" w:cs="宋体"/>
          <w:spacing w:val="-2"/>
          <w:sz w:val="24"/>
          <w:szCs w:val="24"/>
        </w:rPr>
        <w:t>计查明矿石量5.46万</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锌金属量3145</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占矿区总量2.02%。矿石自然类型为硫化矿。</w:t>
      </w:r>
    </w:p>
    <w:p w14:paraId="1558D0C5">
      <w:pPr>
        <w:spacing w:before="18" w:line="379" w:lineRule="auto"/>
        <w:ind w:left="1509" w:right="178" w:firstLine="490"/>
        <w:jc w:val="both"/>
        <w:rPr>
          <w:rFonts w:ascii="宋体" w:hAnsi="宋体" w:eastAsia="宋体" w:cs="宋体"/>
          <w:sz w:val="24"/>
          <w:szCs w:val="24"/>
        </w:rPr>
      </w:pPr>
      <w:r>
        <w:rPr>
          <w:rFonts w:ascii="宋体" w:hAnsi="宋体" w:eastAsia="宋体" w:cs="宋体"/>
          <w:spacing w:val="-8"/>
          <w:sz w:val="24"/>
          <w:szCs w:val="24"/>
        </w:rPr>
        <w:t>⑩号锌矿体：见矿钻孔是</w:t>
      </w:r>
      <w:r>
        <w:rPr>
          <w:rFonts w:ascii="Times New Roman" w:hAnsi="Times New Roman" w:eastAsia="Times New Roman" w:cs="Times New Roman"/>
          <w:spacing w:val="-8"/>
          <w:sz w:val="24"/>
          <w:szCs w:val="24"/>
        </w:rPr>
        <w:t>IV</w:t>
      </w:r>
      <w:r>
        <w:rPr>
          <w:rFonts w:ascii="宋体" w:hAnsi="宋体" w:eastAsia="宋体" w:cs="宋体"/>
          <w:spacing w:val="-8"/>
          <w:sz w:val="24"/>
          <w:szCs w:val="24"/>
        </w:rPr>
        <w:t>号勘探线</w:t>
      </w:r>
      <w:r>
        <w:rPr>
          <w:rFonts w:ascii="Times New Roman" w:hAnsi="Times New Roman" w:eastAsia="Times New Roman" w:cs="Times New Roman"/>
          <w:spacing w:val="-8"/>
          <w:sz w:val="24"/>
          <w:szCs w:val="24"/>
        </w:rPr>
        <w:t>CK37</w:t>
      </w:r>
      <w:r>
        <w:rPr>
          <w:rFonts w:ascii="宋体" w:hAnsi="宋体" w:eastAsia="宋体" w:cs="宋体"/>
          <w:spacing w:val="-8"/>
          <w:sz w:val="24"/>
          <w:szCs w:val="24"/>
        </w:rPr>
        <w:t>及</w:t>
      </w:r>
      <w:r>
        <w:rPr>
          <w:rFonts w:ascii="Times New Roman" w:hAnsi="Times New Roman" w:eastAsia="Times New Roman" w:cs="Times New Roman"/>
          <w:spacing w:val="-8"/>
          <w:sz w:val="24"/>
          <w:szCs w:val="24"/>
        </w:rPr>
        <w:t xml:space="preserve">V </w:t>
      </w:r>
      <w:r>
        <w:rPr>
          <w:rFonts w:ascii="宋体" w:hAnsi="宋体" w:eastAsia="宋体" w:cs="宋体"/>
          <w:spacing w:val="-8"/>
          <w:sz w:val="24"/>
          <w:szCs w:val="24"/>
        </w:rPr>
        <w:t>号勘探线</w:t>
      </w:r>
      <w:r>
        <w:rPr>
          <w:rFonts w:ascii="Times New Roman" w:hAnsi="Times New Roman" w:eastAsia="Times New Roman" w:cs="Times New Roman"/>
          <w:spacing w:val="-8"/>
          <w:sz w:val="24"/>
          <w:szCs w:val="24"/>
        </w:rPr>
        <w:t>CK41</w:t>
      </w:r>
      <w:r>
        <w:rPr>
          <w:rFonts w:ascii="宋体" w:hAnsi="宋体" w:eastAsia="宋体" w:cs="宋体"/>
          <w:spacing w:val="-8"/>
          <w:sz w:val="24"/>
          <w:szCs w:val="24"/>
        </w:rPr>
        <w:t>、</w:t>
      </w:r>
      <w:r>
        <w:rPr>
          <w:rFonts w:ascii="Times New Roman" w:hAnsi="Times New Roman" w:eastAsia="Times New Roman" w:cs="Times New Roman"/>
          <w:spacing w:val="-8"/>
          <w:sz w:val="24"/>
          <w:szCs w:val="24"/>
        </w:rPr>
        <w:t>CK40</w:t>
      </w:r>
      <w:r>
        <w:rPr>
          <w:rFonts w:ascii="宋体" w:hAnsi="宋体" w:eastAsia="宋体" w:cs="宋体"/>
          <w:spacing w:val="-8"/>
          <w:sz w:val="24"/>
          <w:szCs w:val="24"/>
        </w:rPr>
        <w:t>、</w:t>
      </w:r>
      <w:r>
        <w:rPr>
          <w:rFonts w:ascii="Times New Roman" w:hAnsi="Times New Roman" w:eastAsia="Times New Roman" w:cs="Times New Roman"/>
          <w:spacing w:val="-8"/>
          <w:sz w:val="24"/>
          <w:szCs w:val="24"/>
        </w:rPr>
        <w:t>CK20</w:t>
      </w:r>
      <w:r>
        <w:rPr>
          <w:rFonts w:ascii="宋体" w:hAnsi="宋体" w:eastAsia="宋体" w:cs="宋体"/>
          <w:spacing w:val="-8"/>
          <w:sz w:val="24"/>
          <w:szCs w:val="24"/>
        </w:rPr>
        <w:t>共</w:t>
      </w:r>
      <w:r>
        <w:rPr>
          <w:rFonts w:ascii="宋体" w:hAnsi="宋体" w:eastAsia="宋体" w:cs="宋体"/>
          <w:spacing w:val="14"/>
          <w:sz w:val="24"/>
          <w:szCs w:val="24"/>
        </w:rPr>
        <w:t xml:space="preserve"> </w:t>
      </w:r>
      <w:r>
        <w:rPr>
          <w:rFonts w:ascii="宋体" w:hAnsi="宋体" w:eastAsia="宋体" w:cs="宋体"/>
          <w:spacing w:val="2"/>
          <w:sz w:val="24"/>
          <w:szCs w:val="24"/>
        </w:rPr>
        <w:t xml:space="preserve">四个钻孔。该矿体呈似层状、大扁豆状产出，并与岩层小角度相交，北部小南部 </w:t>
      </w:r>
      <w:r>
        <w:rPr>
          <w:rFonts w:ascii="宋体" w:hAnsi="宋体" w:eastAsia="宋体" w:cs="宋体"/>
          <w:spacing w:val="3"/>
          <w:sz w:val="24"/>
          <w:szCs w:val="24"/>
        </w:rPr>
        <w:t>大。矿体沿岩层走向长约180</w:t>
      </w:r>
      <w:r>
        <w:rPr>
          <w:rFonts w:ascii="Times New Roman" w:hAnsi="Times New Roman" w:eastAsia="Times New Roman" w:cs="Times New Roman"/>
          <w:spacing w:val="3"/>
          <w:sz w:val="24"/>
          <w:szCs w:val="24"/>
        </w:rPr>
        <w:t xml:space="preserve">m,  </w:t>
      </w:r>
      <w:r>
        <w:rPr>
          <w:rFonts w:ascii="宋体" w:hAnsi="宋体" w:eastAsia="宋体" w:cs="宋体"/>
          <w:spacing w:val="3"/>
          <w:sz w:val="24"/>
          <w:szCs w:val="24"/>
        </w:rPr>
        <w:t>宽约140</w:t>
      </w:r>
      <w:r>
        <w:rPr>
          <w:rFonts w:ascii="Times New Roman" w:hAnsi="Times New Roman" w:eastAsia="Times New Roman" w:cs="Times New Roman"/>
          <w:spacing w:val="3"/>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66"/>
          <w:sz w:val="24"/>
          <w:szCs w:val="24"/>
        </w:rPr>
        <w:t xml:space="preserve"> </w:t>
      </w:r>
      <w:r>
        <w:rPr>
          <w:rFonts w:ascii="宋体" w:hAnsi="宋体" w:eastAsia="宋体" w:cs="宋体"/>
          <w:spacing w:val="3"/>
          <w:sz w:val="24"/>
          <w:szCs w:val="24"/>
        </w:rPr>
        <w:t>矿体平均厚度1.67</w:t>
      </w:r>
      <w:r>
        <w:rPr>
          <w:rFonts w:ascii="Times New Roman" w:hAnsi="Times New Roman" w:eastAsia="Times New Roman" w:cs="Times New Roman"/>
          <w:spacing w:val="3"/>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平均品位</w:t>
      </w:r>
      <w:r>
        <w:rPr>
          <w:rFonts w:ascii="宋体" w:hAnsi="宋体" w:eastAsia="宋体" w:cs="宋体"/>
          <w:sz w:val="24"/>
          <w:szCs w:val="24"/>
        </w:rPr>
        <w:t xml:space="preserve"> </w:t>
      </w:r>
      <w:r>
        <w:rPr>
          <w:rFonts w:ascii="宋体" w:hAnsi="宋体" w:eastAsia="宋体" w:cs="宋体"/>
          <w:spacing w:val="4"/>
          <w:sz w:val="24"/>
          <w:szCs w:val="24"/>
        </w:rPr>
        <w:t>3.02%;伴生</w:t>
      </w:r>
      <w:r>
        <w:rPr>
          <w:rFonts w:ascii="Times New Roman" w:hAnsi="Times New Roman" w:eastAsia="Times New Roman" w:cs="Times New Roman"/>
          <w:sz w:val="24"/>
          <w:szCs w:val="24"/>
        </w:rPr>
        <w:t>Pb</w:t>
      </w:r>
      <w:r>
        <w:rPr>
          <w:rFonts w:ascii="宋体" w:hAnsi="宋体" w:eastAsia="宋体" w:cs="宋体"/>
          <w:spacing w:val="4"/>
          <w:sz w:val="24"/>
          <w:szCs w:val="24"/>
        </w:rPr>
        <w:t>平均厚度0.66</w:t>
      </w:r>
      <w:r>
        <w:rPr>
          <w:rFonts w:ascii="Times New Roman" w:hAnsi="Times New Roman" w:eastAsia="Times New Roman" w:cs="Times New Roman"/>
          <w:spacing w:val="4"/>
          <w:sz w:val="24"/>
          <w:szCs w:val="24"/>
        </w:rPr>
        <w:t>m,</w:t>
      </w:r>
      <w:r>
        <w:rPr>
          <w:rFonts w:ascii="Times New Roman" w:hAnsi="Times New Roman" w:eastAsia="Times New Roman" w:cs="Times New Roman"/>
          <w:sz w:val="24"/>
          <w:szCs w:val="24"/>
        </w:rPr>
        <w:t>Pb</w:t>
      </w:r>
      <w:r>
        <w:rPr>
          <w:rFonts w:ascii="Times New Roman" w:hAnsi="Times New Roman" w:eastAsia="Times New Roman" w:cs="Times New Roman"/>
          <w:spacing w:val="32"/>
          <w:w w:val="101"/>
          <w:sz w:val="24"/>
          <w:szCs w:val="24"/>
        </w:rPr>
        <w:t xml:space="preserve"> </w:t>
      </w:r>
      <w:r>
        <w:rPr>
          <w:rFonts w:ascii="宋体" w:hAnsi="宋体" w:eastAsia="宋体" w:cs="宋体"/>
          <w:spacing w:val="4"/>
          <w:sz w:val="24"/>
          <w:szCs w:val="24"/>
        </w:rPr>
        <w:t>平均品位1.4%;伴生</w:t>
      </w:r>
      <w:r>
        <w:rPr>
          <w:rFonts w:ascii="Times New Roman" w:hAnsi="Times New Roman" w:eastAsia="Times New Roman" w:cs="Times New Roman"/>
          <w:sz w:val="24"/>
          <w:szCs w:val="24"/>
        </w:rPr>
        <w:t>Cd</w:t>
      </w:r>
      <w:r>
        <w:rPr>
          <w:rFonts w:ascii="宋体" w:hAnsi="宋体" w:eastAsia="宋体" w:cs="宋体"/>
          <w:spacing w:val="4"/>
          <w:sz w:val="24"/>
          <w:szCs w:val="24"/>
        </w:rPr>
        <w:t>平均品位0.08%</w:t>
      </w:r>
      <w:r>
        <w:rPr>
          <w:rFonts w:ascii="宋体" w:hAnsi="宋体" w:eastAsia="宋体" w:cs="宋体"/>
          <w:spacing w:val="3"/>
          <w:sz w:val="24"/>
          <w:szCs w:val="24"/>
        </w:rPr>
        <w:t>。⑩矿体</w:t>
      </w:r>
      <w:r>
        <w:rPr>
          <w:rFonts w:ascii="宋体" w:hAnsi="宋体" w:eastAsia="宋体" w:cs="宋体"/>
          <w:sz w:val="24"/>
          <w:szCs w:val="24"/>
        </w:rPr>
        <w:t xml:space="preserve"> </w:t>
      </w:r>
      <w:r>
        <w:rPr>
          <w:rFonts w:ascii="宋体" w:hAnsi="宋体" w:eastAsia="宋体" w:cs="宋体"/>
          <w:spacing w:val="3"/>
          <w:sz w:val="24"/>
          <w:szCs w:val="24"/>
        </w:rPr>
        <w:t>共探获累计查明矿石量12.82万</w:t>
      </w:r>
      <w:r>
        <w:rPr>
          <w:rFonts w:ascii="Times New Roman" w:hAnsi="Times New Roman" w:eastAsia="Times New Roman" w:cs="Times New Roman"/>
          <w:spacing w:val="3"/>
          <w:sz w:val="24"/>
          <w:szCs w:val="24"/>
        </w:rPr>
        <w:t xml:space="preserve">t,   </w:t>
      </w:r>
      <w:r>
        <w:rPr>
          <w:rFonts w:ascii="宋体" w:hAnsi="宋体" w:eastAsia="宋体" w:cs="宋体"/>
          <w:spacing w:val="3"/>
          <w:sz w:val="24"/>
          <w:szCs w:val="24"/>
        </w:rPr>
        <w:t>锌金属量3869</w:t>
      </w:r>
      <w:r>
        <w:rPr>
          <w:rFonts w:ascii="Times New Roman" w:hAnsi="Times New Roman" w:eastAsia="Times New Roman" w:cs="Times New Roman"/>
          <w:spacing w:val="3"/>
          <w:sz w:val="24"/>
          <w:szCs w:val="24"/>
        </w:rPr>
        <w:t xml:space="preserve">t </w:t>
      </w:r>
      <w:r>
        <w:rPr>
          <w:rFonts w:ascii="宋体" w:hAnsi="宋体" w:eastAsia="宋体" w:cs="宋体"/>
          <w:spacing w:val="3"/>
          <w:sz w:val="24"/>
          <w:szCs w:val="24"/>
        </w:rPr>
        <w:t>占矿区总量2.48%。</w:t>
      </w:r>
      <w:r>
        <w:rPr>
          <w:rFonts w:ascii="宋体" w:hAnsi="宋体" w:eastAsia="宋体" w:cs="宋体"/>
          <w:spacing w:val="2"/>
          <w:sz w:val="24"/>
          <w:szCs w:val="24"/>
        </w:rPr>
        <w:t>矿石自然类</w:t>
      </w:r>
      <w:r>
        <w:rPr>
          <w:rFonts w:ascii="宋体" w:hAnsi="宋体" w:eastAsia="宋体" w:cs="宋体"/>
          <w:sz w:val="24"/>
          <w:szCs w:val="24"/>
        </w:rPr>
        <w:t xml:space="preserve"> </w:t>
      </w:r>
      <w:r>
        <w:rPr>
          <w:rFonts w:ascii="宋体" w:hAnsi="宋体" w:eastAsia="宋体" w:cs="宋体"/>
          <w:spacing w:val="-3"/>
          <w:sz w:val="24"/>
          <w:szCs w:val="24"/>
        </w:rPr>
        <w:t>型为硫化矿。</w:t>
      </w:r>
    </w:p>
    <w:p w14:paraId="5EBE147D">
      <w:pPr>
        <w:spacing w:before="4" w:line="384" w:lineRule="auto"/>
        <w:ind w:left="1509" w:right="158" w:firstLine="490"/>
        <w:jc w:val="both"/>
        <w:rPr>
          <w:rFonts w:ascii="宋体" w:hAnsi="宋体" w:eastAsia="宋体" w:cs="宋体"/>
          <w:sz w:val="24"/>
          <w:szCs w:val="24"/>
        </w:rPr>
      </w:pPr>
      <w:r>
        <w:drawing>
          <wp:anchor distT="0" distB="0" distL="0" distR="0" simplePos="0" relativeHeight="251832320" behindDoc="0" locked="0" layoutInCell="1" allowOverlap="1">
            <wp:simplePos x="0" y="0"/>
            <wp:positionH relativeFrom="column">
              <wp:posOffset>0</wp:posOffset>
            </wp:positionH>
            <wp:positionV relativeFrom="paragraph">
              <wp:posOffset>1450975</wp:posOffset>
            </wp:positionV>
            <wp:extent cx="158750" cy="32385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47"/>
                    <a:stretch>
                      <a:fillRect/>
                    </a:stretch>
                  </pic:blipFill>
                  <pic:spPr>
                    <a:xfrm>
                      <a:off x="0" y="0"/>
                      <a:ext cx="158762" cy="323817"/>
                    </a:xfrm>
                    <a:prstGeom prst="rect">
                      <a:avLst/>
                    </a:prstGeom>
                  </pic:spPr>
                </pic:pic>
              </a:graphicData>
            </a:graphic>
          </wp:anchor>
        </w:drawing>
      </w:r>
      <w:r>
        <w:rPr>
          <w:rFonts w:ascii="Calibri" w:hAnsi="Calibri" w:eastAsia="Calibri" w:cs="Calibri"/>
          <w:spacing w:val="-6"/>
          <w:sz w:val="24"/>
          <w:szCs w:val="24"/>
        </w:rPr>
        <w:t>⑪</w:t>
      </w:r>
      <w:r>
        <w:rPr>
          <w:rFonts w:ascii="宋体" w:hAnsi="宋体" w:eastAsia="宋体" w:cs="宋体"/>
          <w:spacing w:val="-6"/>
          <w:sz w:val="24"/>
          <w:szCs w:val="24"/>
        </w:rPr>
        <w:t>号锌矿体：见矿钻孔是</w:t>
      </w:r>
      <w:r>
        <w:rPr>
          <w:rFonts w:ascii="Times New Roman" w:hAnsi="Times New Roman" w:eastAsia="Times New Roman" w:cs="Times New Roman"/>
          <w:spacing w:val="-6"/>
          <w:sz w:val="24"/>
          <w:szCs w:val="24"/>
        </w:rPr>
        <w:t xml:space="preserve">V </w:t>
      </w:r>
      <w:r>
        <w:rPr>
          <w:rFonts w:ascii="宋体" w:hAnsi="宋体" w:eastAsia="宋体" w:cs="宋体"/>
          <w:spacing w:val="-6"/>
          <w:sz w:val="24"/>
          <w:szCs w:val="24"/>
        </w:rPr>
        <w:t>号勘探线</w:t>
      </w:r>
      <w:r>
        <w:rPr>
          <w:rFonts w:ascii="Times New Roman" w:hAnsi="Times New Roman" w:eastAsia="Times New Roman" w:cs="Times New Roman"/>
          <w:spacing w:val="-6"/>
          <w:sz w:val="24"/>
          <w:szCs w:val="24"/>
        </w:rPr>
        <w:t>CK40</w:t>
      </w:r>
      <w:r>
        <w:rPr>
          <w:rFonts w:ascii="宋体" w:hAnsi="宋体" w:eastAsia="宋体" w:cs="宋体"/>
          <w:spacing w:val="-6"/>
          <w:sz w:val="24"/>
          <w:szCs w:val="24"/>
        </w:rPr>
        <w:t>及</w:t>
      </w:r>
      <w:r>
        <w:rPr>
          <w:rFonts w:ascii="Times New Roman" w:hAnsi="Times New Roman" w:eastAsia="Times New Roman" w:cs="Times New Roman"/>
          <w:spacing w:val="-7"/>
          <w:sz w:val="24"/>
          <w:szCs w:val="24"/>
        </w:rPr>
        <w:t>VI</w:t>
      </w:r>
      <w:r>
        <w:rPr>
          <w:rFonts w:ascii="宋体" w:hAnsi="宋体" w:eastAsia="宋体" w:cs="宋体"/>
          <w:spacing w:val="-7"/>
          <w:sz w:val="24"/>
          <w:szCs w:val="24"/>
        </w:rPr>
        <w:t>号勘探线</w:t>
      </w:r>
      <w:r>
        <w:rPr>
          <w:rFonts w:ascii="Times New Roman" w:hAnsi="Times New Roman" w:eastAsia="Times New Roman" w:cs="Times New Roman"/>
          <w:spacing w:val="-7"/>
          <w:sz w:val="24"/>
          <w:szCs w:val="24"/>
        </w:rPr>
        <w:t>CK32</w:t>
      </w:r>
      <w:r>
        <w:rPr>
          <w:rFonts w:ascii="宋体" w:hAnsi="宋体" w:eastAsia="宋体" w:cs="宋体"/>
          <w:spacing w:val="-7"/>
          <w:sz w:val="24"/>
          <w:szCs w:val="24"/>
        </w:rPr>
        <w:t>、</w:t>
      </w:r>
      <w:r>
        <w:rPr>
          <w:rFonts w:ascii="Times New Roman" w:hAnsi="Times New Roman" w:eastAsia="Times New Roman" w:cs="Times New Roman"/>
          <w:spacing w:val="-7"/>
          <w:sz w:val="24"/>
          <w:szCs w:val="24"/>
        </w:rPr>
        <w:t>CK82</w:t>
      </w:r>
      <w:r>
        <w:rPr>
          <w:rFonts w:ascii="宋体" w:hAnsi="宋体" w:eastAsia="宋体" w:cs="宋体"/>
          <w:spacing w:val="-7"/>
          <w:sz w:val="24"/>
          <w:szCs w:val="24"/>
        </w:rPr>
        <w:t>共三个钻</w:t>
      </w:r>
      <w:r>
        <w:rPr>
          <w:rFonts w:ascii="宋体" w:hAnsi="宋体" w:eastAsia="宋体" w:cs="宋体"/>
          <w:sz w:val="24"/>
          <w:szCs w:val="24"/>
        </w:rPr>
        <w:t xml:space="preserve"> </w:t>
      </w:r>
      <w:r>
        <w:rPr>
          <w:rFonts w:ascii="宋体" w:hAnsi="宋体" w:eastAsia="宋体" w:cs="宋体"/>
          <w:spacing w:val="3"/>
          <w:sz w:val="24"/>
          <w:szCs w:val="24"/>
        </w:rPr>
        <w:t>孔。该矿体呈似层状、大扁豆状产出，并与</w:t>
      </w:r>
      <w:r>
        <w:rPr>
          <w:rFonts w:ascii="宋体" w:hAnsi="宋体" w:eastAsia="宋体" w:cs="宋体"/>
          <w:spacing w:val="2"/>
          <w:sz w:val="24"/>
          <w:szCs w:val="24"/>
        </w:rPr>
        <w:t>岩层小角度相交，北部小南部大。矿</w:t>
      </w:r>
      <w:r>
        <w:rPr>
          <w:rFonts w:ascii="宋体" w:hAnsi="宋体" w:eastAsia="宋体" w:cs="宋体"/>
          <w:sz w:val="24"/>
          <w:szCs w:val="24"/>
        </w:rPr>
        <w:t xml:space="preserve"> </w:t>
      </w:r>
      <w:r>
        <w:rPr>
          <w:rFonts w:ascii="宋体" w:hAnsi="宋体" w:eastAsia="宋体" w:cs="宋体"/>
          <w:spacing w:val="2"/>
          <w:sz w:val="24"/>
          <w:szCs w:val="24"/>
        </w:rPr>
        <w:t>体沿岩层走向长约215</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宽约80</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39"/>
          <w:sz w:val="24"/>
          <w:szCs w:val="24"/>
        </w:rPr>
        <w:t xml:space="preserve"> </w:t>
      </w:r>
      <w:r>
        <w:rPr>
          <w:rFonts w:ascii="宋体" w:hAnsi="宋体" w:eastAsia="宋体" w:cs="宋体"/>
          <w:spacing w:val="2"/>
          <w:sz w:val="24"/>
          <w:szCs w:val="24"/>
        </w:rPr>
        <w:t>矿体平均厚度3.01</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39"/>
          <w:sz w:val="24"/>
          <w:szCs w:val="24"/>
        </w:rPr>
        <w:t xml:space="preserve"> </w:t>
      </w:r>
      <w:r>
        <w:rPr>
          <w:rFonts w:ascii="宋体" w:hAnsi="宋体" w:eastAsia="宋体" w:cs="宋体"/>
          <w:spacing w:val="2"/>
          <w:sz w:val="24"/>
          <w:szCs w:val="24"/>
        </w:rPr>
        <w:t>平均品位3.96%;伴</w:t>
      </w:r>
      <w:r>
        <w:rPr>
          <w:rFonts w:ascii="宋体" w:hAnsi="宋体" w:eastAsia="宋体" w:cs="宋体"/>
          <w:sz w:val="24"/>
          <w:szCs w:val="24"/>
        </w:rPr>
        <w:t xml:space="preserve"> </w:t>
      </w:r>
      <w:r>
        <w:rPr>
          <w:rFonts w:ascii="宋体" w:hAnsi="宋体" w:eastAsia="宋体" w:cs="宋体"/>
          <w:spacing w:val="2"/>
          <w:sz w:val="24"/>
          <w:szCs w:val="24"/>
        </w:rPr>
        <w:t>生</w:t>
      </w:r>
      <w:r>
        <w:rPr>
          <w:rFonts w:ascii="Times New Roman" w:hAnsi="Times New Roman" w:eastAsia="Times New Roman" w:cs="Times New Roman"/>
          <w:sz w:val="24"/>
          <w:szCs w:val="24"/>
        </w:rPr>
        <w:t>Pb</w:t>
      </w:r>
      <w:r>
        <w:rPr>
          <w:rFonts w:ascii="宋体" w:hAnsi="宋体" w:eastAsia="宋体" w:cs="宋体"/>
          <w:spacing w:val="2"/>
          <w:sz w:val="24"/>
          <w:szCs w:val="24"/>
        </w:rPr>
        <w:t>平均厚度2.58</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Pb</w:t>
      </w:r>
      <w:r>
        <w:rPr>
          <w:rFonts w:ascii="Times New Roman" w:hAnsi="Times New Roman" w:eastAsia="Times New Roman" w:cs="Times New Roman"/>
          <w:spacing w:val="33"/>
          <w:w w:val="101"/>
          <w:sz w:val="24"/>
          <w:szCs w:val="24"/>
        </w:rPr>
        <w:t xml:space="preserve"> </w:t>
      </w:r>
      <w:r>
        <w:rPr>
          <w:rFonts w:ascii="宋体" w:hAnsi="宋体" w:eastAsia="宋体" w:cs="宋体"/>
          <w:spacing w:val="2"/>
          <w:sz w:val="24"/>
          <w:szCs w:val="24"/>
        </w:rPr>
        <w:t>平均品位0.028%;伴生</w:t>
      </w:r>
      <w:r>
        <w:rPr>
          <w:rFonts w:ascii="Times New Roman" w:hAnsi="Times New Roman" w:eastAsia="Times New Roman" w:cs="Times New Roman"/>
          <w:sz w:val="24"/>
          <w:szCs w:val="24"/>
        </w:rPr>
        <w:t>Cd</w:t>
      </w:r>
      <w:r>
        <w:rPr>
          <w:rFonts w:ascii="宋体" w:hAnsi="宋体" w:eastAsia="宋体" w:cs="宋体"/>
          <w:spacing w:val="2"/>
          <w:sz w:val="24"/>
          <w:szCs w:val="24"/>
        </w:rPr>
        <w:t>平均品位0.09%。</w:t>
      </w:r>
      <w:r>
        <w:rPr>
          <w:rFonts w:ascii="Calibri" w:hAnsi="Calibri" w:eastAsia="Calibri" w:cs="Calibri"/>
          <w:spacing w:val="2"/>
          <w:sz w:val="24"/>
          <w:szCs w:val="24"/>
        </w:rPr>
        <w:t>⑪</w:t>
      </w:r>
      <w:r>
        <w:rPr>
          <w:rFonts w:ascii="宋体" w:hAnsi="宋体" w:eastAsia="宋体" w:cs="宋体"/>
          <w:spacing w:val="2"/>
          <w:sz w:val="24"/>
          <w:szCs w:val="24"/>
        </w:rPr>
        <w:t>矿体共探获</w:t>
      </w:r>
      <w:r>
        <w:rPr>
          <w:rFonts w:ascii="宋体" w:hAnsi="宋体" w:eastAsia="宋体" w:cs="宋体"/>
          <w:sz w:val="24"/>
          <w:szCs w:val="24"/>
        </w:rPr>
        <w:t xml:space="preserve"> </w:t>
      </w:r>
      <w:r>
        <w:rPr>
          <w:rFonts w:ascii="宋体" w:hAnsi="宋体" w:eastAsia="宋体" w:cs="宋体"/>
          <w:spacing w:val="4"/>
          <w:sz w:val="24"/>
          <w:szCs w:val="24"/>
        </w:rPr>
        <w:t>累计查明矿石量14.14万</w:t>
      </w:r>
      <w:r>
        <w:rPr>
          <w:rFonts w:ascii="Times New Roman" w:hAnsi="Times New Roman" w:eastAsia="Times New Roman" w:cs="Times New Roman"/>
          <w:spacing w:val="4"/>
          <w:sz w:val="24"/>
          <w:szCs w:val="24"/>
        </w:rPr>
        <w:t xml:space="preserve">t,   </w:t>
      </w:r>
      <w:r>
        <w:rPr>
          <w:rFonts w:ascii="宋体" w:hAnsi="宋体" w:eastAsia="宋体" w:cs="宋体"/>
          <w:spacing w:val="4"/>
          <w:sz w:val="24"/>
          <w:szCs w:val="24"/>
        </w:rPr>
        <w:t>锌金属量5600</w:t>
      </w:r>
      <w:r>
        <w:rPr>
          <w:rFonts w:ascii="Times New Roman" w:hAnsi="Times New Roman" w:eastAsia="Times New Roman" w:cs="Times New Roman"/>
          <w:spacing w:val="4"/>
          <w:sz w:val="24"/>
          <w:szCs w:val="24"/>
        </w:rPr>
        <w:t>t</w:t>
      </w:r>
      <w:r>
        <w:rPr>
          <w:rFonts w:ascii="Times New Roman" w:hAnsi="Times New Roman" w:eastAsia="Times New Roman" w:cs="Times New Roman"/>
          <w:spacing w:val="-35"/>
          <w:sz w:val="24"/>
          <w:szCs w:val="24"/>
        </w:rPr>
        <w:t xml:space="preserve"> </w:t>
      </w:r>
      <w:r>
        <w:rPr>
          <w:rFonts w:ascii="宋体" w:hAnsi="宋体" w:eastAsia="宋体" w:cs="宋体"/>
          <w:spacing w:val="4"/>
          <w:sz w:val="24"/>
          <w:szCs w:val="24"/>
        </w:rPr>
        <w:t>占矿区总量</w:t>
      </w:r>
      <w:r>
        <w:rPr>
          <w:rFonts w:ascii="宋体" w:hAnsi="宋体" w:eastAsia="宋体" w:cs="宋体"/>
          <w:spacing w:val="3"/>
          <w:sz w:val="24"/>
          <w:szCs w:val="24"/>
        </w:rPr>
        <w:t>3.60%。矿石自然类型为硫</w:t>
      </w:r>
      <w:r>
        <w:rPr>
          <w:rFonts w:ascii="宋体" w:hAnsi="宋体" w:eastAsia="宋体" w:cs="宋体"/>
          <w:sz w:val="24"/>
          <w:szCs w:val="24"/>
        </w:rPr>
        <w:t xml:space="preserve"> </w:t>
      </w:r>
      <w:r>
        <w:rPr>
          <w:rFonts w:ascii="宋体" w:hAnsi="宋体" w:eastAsia="宋体" w:cs="宋体"/>
          <w:spacing w:val="-11"/>
          <w:sz w:val="24"/>
          <w:szCs w:val="24"/>
        </w:rPr>
        <w:t>化矿。</w:t>
      </w:r>
    </w:p>
    <w:p w14:paraId="59774C46">
      <w:pPr>
        <w:spacing w:before="5" w:line="360" w:lineRule="auto"/>
        <w:ind w:left="1509" w:right="129" w:firstLine="490"/>
        <w:rPr>
          <w:rFonts w:ascii="宋体" w:hAnsi="宋体" w:eastAsia="宋体" w:cs="宋体"/>
          <w:sz w:val="24"/>
          <w:szCs w:val="24"/>
        </w:rPr>
      </w:pPr>
      <w:r>
        <w:rPr>
          <w:rFonts w:ascii="Calibri" w:hAnsi="Calibri" w:eastAsia="Calibri" w:cs="Calibri"/>
          <w:spacing w:val="-12"/>
          <w:sz w:val="24"/>
          <w:szCs w:val="24"/>
        </w:rPr>
        <w:t>⑮</w:t>
      </w:r>
      <w:r>
        <w:rPr>
          <w:rFonts w:ascii="宋体" w:hAnsi="宋体" w:eastAsia="宋体" w:cs="宋体"/>
          <w:spacing w:val="-12"/>
          <w:sz w:val="24"/>
          <w:szCs w:val="24"/>
        </w:rPr>
        <w:t>号锌矿体：见矿钻孔是</w:t>
      </w:r>
      <w:r>
        <w:rPr>
          <w:rFonts w:ascii="Times New Roman" w:hAnsi="Times New Roman" w:eastAsia="Times New Roman" w:cs="Times New Roman"/>
          <w:spacing w:val="-12"/>
          <w:sz w:val="24"/>
          <w:szCs w:val="24"/>
        </w:rPr>
        <w:t>VⅡ</w:t>
      </w:r>
      <w:r>
        <w:rPr>
          <w:rFonts w:ascii="宋体" w:hAnsi="宋体" w:eastAsia="宋体" w:cs="宋体"/>
          <w:spacing w:val="-12"/>
          <w:sz w:val="24"/>
          <w:szCs w:val="24"/>
        </w:rPr>
        <w:t>号勘探线</w:t>
      </w:r>
      <w:r>
        <w:rPr>
          <w:rFonts w:ascii="Times New Roman" w:hAnsi="Times New Roman" w:eastAsia="Times New Roman" w:cs="Times New Roman"/>
          <w:spacing w:val="-12"/>
          <w:sz w:val="24"/>
          <w:szCs w:val="24"/>
        </w:rPr>
        <w:t>CK45</w:t>
      </w:r>
      <w:r>
        <w:rPr>
          <w:rFonts w:ascii="宋体" w:hAnsi="宋体" w:eastAsia="宋体" w:cs="宋体"/>
          <w:spacing w:val="-12"/>
          <w:sz w:val="24"/>
          <w:szCs w:val="24"/>
        </w:rPr>
        <w:t>及</w:t>
      </w:r>
      <w:r>
        <w:rPr>
          <w:rFonts w:ascii="Times New Roman" w:hAnsi="Times New Roman" w:eastAsia="Times New Roman" w:cs="Times New Roman"/>
          <w:spacing w:val="-13"/>
          <w:sz w:val="24"/>
          <w:szCs w:val="24"/>
        </w:rPr>
        <w:t>VⅢ</w:t>
      </w:r>
      <w:r>
        <w:rPr>
          <w:rFonts w:ascii="宋体" w:hAnsi="宋体" w:eastAsia="宋体" w:cs="宋体"/>
          <w:spacing w:val="-13"/>
          <w:sz w:val="24"/>
          <w:szCs w:val="24"/>
        </w:rPr>
        <w:t>号勘探线</w:t>
      </w:r>
      <w:r>
        <w:rPr>
          <w:rFonts w:ascii="Times New Roman" w:hAnsi="Times New Roman" w:eastAsia="Times New Roman" w:cs="Times New Roman"/>
          <w:spacing w:val="-13"/>
          <w:sz w:val="24"/>
          <w:szCs w:val="24"/>
        </w:rPr>
        <w:t>CK12</w:t>
      </w:r>
      <w:r>
        <w:rPr>
          <w:rFonts w:ascii="宋体" w:hAnsi="宋体" w:eastAsia="宋体" w:cs="宋体"/>
          <w:spacing w:val="-13"/>
          <w:sz w:val="24"/>
          <w:szCs w:val="24"/>
        </w:rPr>
        <w:t>、</w:t>
      </w:r>
      <w:r>
        <w:rPr>
          <w:rFonts w:ascii="Times New Roman" w:hAnsi="Times New Roman" w:eastAsia="Times New Roman" w:cs="Times New Roman"/>
          <w:spacing w:val="-13"/>
          <w:sz w:val="24"/>
          <w:szCs w:val="24"/>
        </w:rPr>
        <w:t>CK33</w:t>
      </w:r>
      <w:r>
        <w:rPr>
          <w:rFonts w:ascii="宋体" w:hAnsi="宋体" w:eastAsia="宋体" w:cs="宋体"/>
          <w:spacing w:val="-13"/>
          <w:sz w:val="24"/>
          <w:szCs w:val="24"/>
        </w:rPr>
        <w:t>共三个钻</w:t>
      </w:r>
      <w:r>
        <w:rPr>
          <w:rFonts w:ascii="宋体" w:hAnsi="宋体" w:eastAsia="宋体" w:cs="宋体"/>
          <w:sz w:val="24"/>
          <w:szCs w:val="24"/>
        </w:rPr>
        <w:t xml:space="preserve"> </w:t>
      </w:r>
      <w:r>
        <w:rPr>
          <w:rFonts w:ascii="宋体" w:hAnsi="宋体" w:eastAsia="宋体" w:cs="宋体"/>
          <w:spacing w:val="-1"/>
          <w:sz w:val="24"/>
          <w:szCs w:val="24"/>
        </w:rPr>
        <w:t>孔。该矿体沿层呈透镜体产出，北小南大。矿</w:t>
      </w:r>
      <w:r>
        <w:rPr>
          <w:rFonts w:ascii="宋体" w:hAnsi="宋体" w:eastAsia="宋体" w:cs="宋体"/>
          <w:spacing w:val="-2"/>
          <w:sz w:val="24"/>
          <w:szCs w:val="24"/>
        </w:rPr>
        <w:t>体沿岩层走向长约220</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56"/>
          <w:sz w:val="24"/>
          <w:szCs w:val="24"/>
        </w:rPr>
        <w:t xml:space="preserve"> </w:t>
      </w:r>
      <w:r>
        <w:rPr>
          <w:rFonts w:ascii="宋体" w:hAnsi="宋体" w:eastAsia="宋体" w:cs="宋体"/>
          <w:spacing w:val="-2"/>
          <w:sz w:val="24"/>
          <w:szCs w:val="24"/>
        </w:rPr>
        <w:t>宽约125</w:t>
      </w:r>
      <w:r>
        <w:rPr>
          <w:rFonts w:ascii="Times New Roman" w:hAnsi="Times New Roman" w:eastAsia="Times New Roman" w:cs="Times New Roman"/>
          <w:spacing w:val="-2"/>
          <w:sz w:val="24"/>
          <w:szCs w:val="24"/>
        </w:rPr>
        <w:t>m,</w:t>
      </w:r>
      <w:r>
        <w:rPr>
          <w:rFonts w:ascii="Times New Roman" w:hAnsi="Times New Roman" w:eastAsia="Times New Roman" w:cs="Times New Roman"/>
          <w:sz w:val="24"/>
          <w:szCs w:val="24"/>
        </w:rPr>
        <w:t xml:space="preserve">  Zn</w:t>
      </w:r>
      <w:r>
        <w:rPr>
          <w:rFonts w:ascii="宋体" w:hAnsi="宋体" w:eastAsia="宋体" w:cs="宋体"/>
          <w:spacing w:val="7"/>
          <w:sz w:val="24"/>
          <w:szCs w:val="24"/>
        </w:rPr>
        <w:t>矿体平均厚度1.49</w:t>
      </w:r>
      <w:r>
        <w:rPr>
          <w:rFonts w:ascii="Times New Roman" w:hAnsi="Times New Roman" w:eastAsia="Times New Roman" w:cs="Times New Roman"/>
          <w:spacing w:val="7"/>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49"/>
          <w:sz w:val="24"/>
          <w:szCs w:val="24"/>
        </w:rPr>
        <w:t xml:space="preserve"> </w:t>
      </w:r>
      <w:r>
        <w:rPr>
          <w:rFonts w:ascii="宋体" w:hAnsi="宋体" w:eastAsia="宋体" w:cs="宋体"/>
          <w:spacing w:val="7"/>
          <w:sz w:val="24"/>
          <w:szCs w:val="24"/>
        </w:rPr>
        <w:t>平均品位1.24%;伴生</w:t>
      </w:r>
      <w:r>
        <w:rPr>
          <w:rFonts w:ascii="Times New Roman" w:hAnsi="Times New Roman" w:eastAsia="Times New Roman" w:cs="Times New Roman"/>
          <w:sz w:val="24"/>
          <w:szCs w:val="24"/>
        </w:rPr>
        <w:t>Pb</w:t>
      </w:r>
      <w:r>
        <w:rPr>
          <w:rFonts w:ascii="宋体" w:hAnsi="宋体" w:eastAsia="宋体" w:cs="宋体"/>
          <w:spacing w:val="7"/>
          <w:sz w:val="24"/>
          <w:szCs w:val="24"/>
        </w:rPr>
        <w:t>平均厚度0.47</w:t>
      </w:r>
      <w:r>
        <w:rPr>
          <w:rFonts w:ascii="Times New Roman" w:hAnsi="Times New Roman" w:eastAsia="Times New Roman" w:cs="Times New Roman"/>
          <w:spacing w:val="7"/>
          <w:sz w:val="24"/>
          <w:szCs w:val="24"/>
        </w:rPr>
        <w:t>m;</w:t>
      </w:r>
      <w:r>
        <w:rPr>
          <w:rFonts w:ascii="Times New Roman" w:hAnsi="Times New Roman" w:eastAsia="Times New Roman" w:cs="Times New Roman"/>
          <w:sz w:val="24"/>
          <w:szCs w:val="24"/>
        </w:rPr>
        <w:t>Pb</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平均品位</w:t>
      </w:r>
      <w:r>
        <w:rPr>
          <w:rFonts w:ascii="宋体" w:hAnsi="宋体" w:eastAsia="宋体" w:cs="宋体"/>
          <w:sz w:val="24"/>
          <w:szCs w:val="24"/>
        </w:rPr>
        <w:t xml:space="preserve"> </w:t>
      </w:r>
      <w:r>
        <w:rPr>
          <w:rFonts w:ascii="宋体" w:hAnsi="宋体" w:eastAsia="宋体" w:cs="宋体"/>
          <w:spacing w:val="4"/>
          <w:sz w:val="24"/>
          <w:szCs w:val="24"/>
        </w:rPr>
        <w:t>0.63%;伴生</w:t>
      </w:r>
      <w:r>
        <w:rPr>
          <w:rFonts w:ascii="Times New Roman" w:hAnsi="Times New Roman" w:eastAsia="Times New Roman" w:cs="Times New Roman"/>
          <w:sz w:val="24"/>
          <w:szCs w:val="24"/>
        </w:rPr>
        <w:t>Cd</w:t>
      </w:r>
      <w:r>
        <w:rPr>
          <w:rFonts w:ascii="宋体" w:hAnsi="宋体" w:eastAsia="宋体" w:cs="宋体"/>
          <w:spacing w:val="4"/>
          <w:sz w:val="24"/>
          <w:szCs w:val="24"/>
        </w:rPr>
        <w:t>平均品位0.03%。</w:t>
      </w:r>
      <w:r>
        <w:rPr>
          <w:rFonts w:ascii="Calibri" w:hAnsi="Calibri" w:eastAsia="Calibri" w:cs="Calibri"/>
          <w:spacing w:val="4"/>
          <w:sz w:val="24"/>
          <w:szCs w:val="24"/>
        </w:rPr>
        <w:t>⑮</w:t>
      </w:r>
      <w:r>
        <w:rPr>
          <w:rFonts w:ascii="宋体" w:hAnsi="宋体" w:eastAsia="宋体" w:cs="宋体"/>
          <w:spacing w:val="4"/>
          <w:sz w:val="24"/>
          <w:szCs w:val="24"/>
        </w:rPr>
        <w:t>矿体共探获累计查明矿石量11.89万</w:t>
      </w:r>
      <w:r>
        <w:rPr>
          <w:rFonts w:ascii="Times New Roman" w:hAnsi="Times New Roman" w:eastAsia="Times New Roman" w:cs="Times New Roman"/>
          <w:spacing w:val="4"/>
          <w:sz w:val="24"/>
          <w:szCs w:val="24"/>
        </w:rPr>
        <w:t xml:space="preserve">t,   </w:t>
      </w:r>
      <w:r>
        <w:rPr>
          <w:rFonts w:ascii="宋体" w:hAnsi="宋体" w:eastAsia="宋体" w:cs="宋体"/>
          <w:spacing w:val="4"/>
          <w:sz w:val="24"/>
          <w:szCs w:val="24"/>
        </w:rPr>
        <w:t>锌金属</w:t>
      </w:r>
      <w:r>
        <w:rPr>
          <w:rFonts w:ascii="宋体" w:hAnsi="宋体" w:eastAsia="宋体" w:cs="宋体"/>
          <w:spacing w:val="14"/>
          <w:sz w:val="24"/>
          <w:szCs w:val="24"/>
        </w:rPr>
        <w:t xml:space="preserve"> </w:t>
      </w:r>
      <w:r>
        <w:rPr>
          <w:rFonts w:ascii="宋体" w:hAnsi="宋体" w:eastAsia="宋体" w:cs="宋体"/>
          <w:spacing w:val="-1"/>
          <w:sz w:val="24"/>
          <w:szCs w:val="24"/>
        </w:rPr>
        <w:t>量1486</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占矿区总量0.95%。矿石自然类型为硫化矿。</w:t>
      </w:r>
    </w:p>
    <w:p w14:paraId="7603E091">
      <w:pPr>
        <w:spacing w:before="155" w:line="348" w:lineRule="auto"/>
        <w:ind w:left="1509" w:right="49" w:firstLine="490"/>
        <w:rPr>
          <w:rFonts w:ascii="宋体" w:hAnsi="宋体" w:eastAsia="宋体" w:cs="宋体"/>
          <w:sz w:val="24"/>
          <w:szCs w:val="24"/>
        </w:rPr>
      </w:pPr>
      <w:r>
        <w:rPr>
          <w:rFonts w:ascii="Calibri" w:hAnsi="Calibri" w:eastAsia="Calibri" w:cs="Calibri"/>
          <w:spacing w:val="-16"/>
          <w:sz w:val="24"/>
          <w:szCs w:val="24"/>
        </w:rPr>
        <w:t>⑫</w:t>
      </w:r>
      <w:r>
        <w:rPr>
          <w:rFonts w:ascii="宋体" w:hAnsi="宋体" w:eastAsia="宋体" w:cs="宋体"/>
          <w:spacing w:val="-16"/>
          <w:sz w:val="24"/>
          <w:szCs w:val="24"/>
        </w:rPr>
        <w:t>号锌矿体：见矿钻孔是</w:t>
      </w:r>
      <w:r>
        <w:rPr>
          <w:rFonts w:ascii="Times New Roman" w:hAnsi="Times New Roman" w:eastAsia="Times New Roman" w:cs="Times New Roman"/>
          <w:spacing w:val="-16"/>
          <w:sz w:val="24"/>
          <w:szCs w:val="24"/>
        </w:rPr>
        <w:t>VⅢ</w:t>
      </w:r>
      <w:r>
        <w:rPr>
          <w:rFonts w:ascii="宋体" w:hAnsi="宋体" w:eastAsia="宋体" w:cs="宋体"/>
          <w:spacing w:val="-16"/>
          <w:sz w:val="24"/>
          <w:szCs w:val="24"/>
        </w:rPr>
        <w:t>号勘探线</w:t>
      </w:r>
      <w:r>
        <w:rPr>
          <w:rFonts w:ascii="Times New Roman" w:hAnsi="Times New Roman" w:eastAsia="Times New Roman" w:cs="Times New Roman"/>
          <w:spacing w:val="-16"/>
          <w:sz w:val="24"/>
          <w:szCs w:val="24"/>
        </w:rPr>
        <w:t>CK33</w:t>
      </w:r>
      <w:r>
        <w:rPr>
          <w:rFonts w:ascii="宋体" w:hAnsi="宋体" w:eastAsia="宋体" w:cs="宋体"/>
          <w:spacing w:val="-16"/>
          <w:sz w:val="24"/>
          <w:szCs w:val="24"/>
        </w:rPr>
        <w:t>、</w:t>
      </w:r>
      <w:r>
        <w:rPr>
          <w:rFonts w:ascii="Times New Roman" w:hAnsi="Times New Roman" w:eastAsia="Times New Roman" w:cs="Times New Roman"/>
          <w:spacing w:val="-16"/>
          <w:sz w:val="24"/>
          <w:szCs w:val="24"/>
        </w:rPr>
        <w:t>IX</w:t>
      </w:r>
      <w:r>
        <w:rPr>
          <w:rFonts w:ascii="宋体" w:hAnsi="宋体" w:eastAsia="宋体" w:cs="宋体"/>
          <w:spacing w:val="-16"/>
          <w:sz w:val="24"/>
          <w:szCs w:val="24"/>
        </w:rPr>
        <w:t>号勘探线</w:t>
      </w:r>
      <w:r>
        <w:rPr>
          <w:rFonts w:ascii="Times New Roman" w:hAnsi="Times New Roman" w:eastAsia="Times New Roman" w:cs="Times New Roman"/>
          <w:spacing w:val="-16"/>
          <w:sz w:val="24"/>
          <w:szCs w:val="24"/>
        </w:rPr>
        <w:t>CK109</w:t>
      </w:r>
      <w:r>
        <w:rPr>
          <w:rFonts w:ascii="宋体" w:hAnsi="宋体" w:eastAsia="宋体" w:cs="宋体"/>
          <w:spacing w:val="-16"/>
          <w:sz w:val="24"/>
          <w:szCs w:val="24"/>
        </w:rPr>
        <w:t>、</w:t>
      </w:r>
      <w:r>
        <w:rPr>
          <w:rFonts w:ascii="Times New Roman" w:hAnsi="Times New Roman" w:eastAsia="Times New Roman" w:cs="Times New Roman"/>
          <w:spacing w:val="-16"/>
          <w:sz w:val="24"/>
          <w:szCs w:val="24"/>
        </w:rPr>
        <w:t>X</w:t>
      </w:r>
      <w:r>
        <w:rPr>
          <w:rFonts w:ascii="宋体" w:hAnsi="宋体" w:eastAsia="宋体" w:cs="宋体"/>
          <w:spacing w:val="-16"/>
          <w:sz w:val="24"/>
          <w:szCs w:val="24"/>
        </w:rPr>
        <w:t>号勘探线</w:t>
      </w:r>
      <w:r>
        <w:rPr>
          <w:rFonts w:ascii="Times New Roman" w:hAnsi="Times New Roman" w:eastAsia="Times New Roman" w:cs="Times New Roman"/>
          <w:spacing w:val="-16"/>
          <w:sz w:val="24"/>
          <w:szCs w:val="24"/>
        </w:rPr>
        <w:t>CK34</w:t>
      </w:r>
      <w:r>
        <w:rPr>
          <w:rFonts w:ascii="Times New Roman" w:hAnsi="Times New Roman" w:eastAsia="Times New Roman" w:cs="Times New Roman"/>
          <w:spacing w:val="2"/>
          <w:sz w:val="24"/>
          <w:szCs w:val="24"/>
        </w:rPr>
        <w:t xml:space="preserve">  </w:t>
      </w:r>
      <w:r>
        <w:rPr>
          <w:rFonts w:ascii="宋体" w:hAnsi="宋体" w:eastAsia="宋体" w:cs="宋体"/>
          <w:spacing w:val="1"/>
          <w:sz w:val="24"/>
          <w:szCs w:val="24"/>
        </w:rPr>
        <w:t>共三个钻孔；该矿体沿层呈透镜体产出，矿体沿岩层走</w:t>
      </w:r>
      <w:r>
        <w:rPr>
          <w:rFonts w:ascii="宋体" w:hAnsi="宋体" w:eastAsia="宋体" w:cs="宋体"/>
          <w:sz w:val="24"/>
          <w:szCs w:val="24"/>
        </w:rPr>
        <w:t>向长约330</w:t>
      </w:r>
      <w:r>
        <w:rPr>
          <w:rFonts w:ascii="Times New Roman" w:hAnsi="Times New Roman" w:eastAsia="Times New Roman" w:cs="Times New Roman"/>
          <w:sz w:val="24"/>
          <w:szCs w:val="24"/>
        </w:rPr>
        <w:t>m,</w:t>
      </w:r>
      <w:r>
        <w:rPr>
          <w:rFonts w:ascii="Times New Roman" w:hAnsi="Times New Roman" w:eastAsia="Times New Roman" w:cs="Times New Roman"/>
          <w:spacing w:val="36"/>
          <w:sz w:val="24"/>
          <w:szCs w:val="24"/>
        </w:rPr>
        <w:t xml:space="preserve"> </w:t>
      </w:r>
      <w:r>
        <w:rPr>
          <w:rFonts w:ascii="宋体" w:hAnsi="宋体" w:eastAsia="宋体" w:cs="宋体"/>
          <w:sz w:val="24"/>
          <w:szCs w:val="24"/>
        </w:rPr>
        <w:t>宽约60</w:t>
      </w:r>
      <w:r>
        <w:rPr>
          <w:rFonts w:ascii="Times New Roman" w:hAnsi="Times New Roman" w:eastAsia="Times New Roman" w:cs="Times New Roman"/>
          <w:sz w:val="24"/>
          <w:szCs w:val="24"/>
        </w:rPr>
        <w:t xml:space="preserve">m,Zn    </w:t>
      </w:r>
      <w:r>
        <w:rPr>
          <w:rFonts w:ascii="宋体" w:hAnsi="宋体" w:eastAsia="宋体" w:cs="宋体"/>
          <w:spacing w:val="3"/>
          <w:sz w:val="24"/>
          <w:szCs w:val="24"/>
        </w:rPr>
        <w:t>矿体平均厚度1.39</w:t>
      </w:r>
      <w:r>
        <w:rPr>
          <w:rFonts w:ascii="Times New Roman" w:hAnsi="Times New Roman" w:eastAsia="Times New Roman" w:cs="Times New Roman"/>
          <w:spacing w:val="3"/>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41"/>
          <w:sz w:val="24"/>
          <w:szCs w:val="24"/>
        </w:rPr>
        <w:t xml:space="preserve"> </w:t>
      </w:r>
      <w:r>
        <w:rPr>
          <w:rFonts w:ascii="宋体" w:hAnsi="宋体" w:eastAsia="宋体" w:cs="宋体"/>
          <w:spacing w:val="3"/>
          <w:sz w:val="24"/>
          <w:szCs w:val="24"/>
        </w:rPr>
        <w:t>平均品位2.2%;伴生</w:t>
      </w:r>
      <w:r>
        <w:rPr>
          <w:rFonts w:ascii="Times New Roman" w:hAnsi="Times New Roman" w:eastAsia="Times New Roman" w:cs="Times New Roman"/>
          <w:sz w:val="24"/>
          <w:szCs w:val="24"/>
        </w:rPr>
        <w:t>Cd</w:t>
      </w:r>
      <w:r>
        <w:rPr>
          <w:rFonts w:ascii="宋体" w:hAnsi="宋体" w:eastAsia="宋体" w:cs="宋体"/>
          <w:spacing w:val="3"/>
          <w:sz w:val="24"/>
          <w:szCs w:val="24"/>
        </w:rPr>
        <w:t>平均品位0.05%。</w:t>
      </w:r>
      <w:r>
        <w:rPr>
          <w:rFonts w:ascii="Calibri" w:hAnsi="Calibri" w:eastAsia="Calibri" w:cs="Calibri"/>
          <w:spacing w:val="3"/>
          <w:sz w:val="24"/>
          <w:szCs w:val="24"/>
        </w:rPr>
        <w:t>⑫</w:t>
      </w:r>
      <w:r>
        <w:rPr>
          <w:rFonts w:ascii="宋体" w:hAnsi="宋体" w:eastAsia="宋体" w:cs="宋体"/>
          <w:spacing w:val="3"/>
          <w:sz w:val="24"/>
          <w:szCs w:val="24"/>
        </w:rPr>
        <w:t>矿体共探获累</w:t>
      </w:r>
      <w:r>
        <w:rPr>
          <w:rFonts w:ascii="宋体" w:hAnsi="宋体" w:eastAsia="宋体" w:cs="宋体"/>
          <w:sz w:val="24"/>
          <w:szCs w:val="24"/>
        </w:rPr>
        <w:t xml:space="preserve"> </w:t>
      </w:r>
      <w:r>
        <w:rPr>
          <w:rFonts w:ascii="宋体" w:hAnsi="宋体" w:eastAsia="宋体" w:cs="宋体"/>
          <w:spacing w:val="-1"/>
          <w:sz w:val="24"/>
          <w:szCs w:val="24"/>
        </w:rPr>
        <w:t>计查明矿石量6.80万</w:t>
      </w:r>
      <w:r>
        <w:rPr>
          <w:rFonts w:ascii="Times New Roman" w:hAnsi="Times New Roman" w:eastAsia="Times New Roman" w:cs="Times New Roman"/>
          <w:spacing w:val="-1"/>
          <w:sz w:val="24"/>
          <w:szCs w:val="24"/>
        </w:rPr>
        <w:t xml:space="preserve">t,  </w:t>
      </w:r>
      <w:r>
        <w:rPr>
          <w:rFonts w:ascii="宋体" w:hAnsi="宋体" w:eastAsia="宋体" w:cs="宋体"/>
          <w:spacing w:val="-1"/>
          <w:sz w:val="24"/>
          <w:szCs w:val="24"/>
        </w:rPr>
        <w:t>锌金属量1498</w:t>
      </w:r>
      <w:r>
        <w:rPr>
          <w:rFonts w:ascii="Times New Roman" w:hAnsi="Times New Roman" w:eastAsia="Times New Roman" w:cs="Times New Roman"/>
          <w:spacing w:val="-1"/>
          <w:sz w:val="24"/>
          <w:szCs w:val="24"/>
        </w:rPr>
        <w:t xml:space="preserve">t </w:t>
      </w:r>
      <w:r>
        <w:rPr>
          <w:rFonts w:ascii="宋体" w:hAnsi="宋体" w:eastAsia="宋体" w:cs="宋体"/>
          <w:spacing w:val="-1"/>
          <w:sz w:val="24"/>
          <w:szCs w:val="24"/>
        </w:rPr>
        <w:t>占矿区总量0.96%。矿石自然类型为硫化矿。</w:t>
      </w:r>
    </w:p>
    <w:p w14:paraId="46EFAE82">
      <w:pPr>
        <w:spacing w:before="171" w:line="328" w:lineRule="auto"/>
        <w:ind w:left="1509" w:right="132" w:firstLine="490"/>
        <w:rPr>
          <w:rFonts w:ascii="宋体" w:hAnsi="宋体" w:eastAsia="宋体" w:cs="宋体"/>
          <w:sz w:val="24"/>
          <w:szCs w:val="24"/>
        </w:rPr>
      </w:pPr>
      <w:r>
        <w:rPr>
          <w:rFonts w:ascii="Calibri" w:hAnsi="Calibri" w:eastAsia="Calibri" w:cs="Calibri"/>
          <w:spacing w:val="1"/>
          <w:sz w:val="24"/>
          <w:szCs w:val="24"/>
        </w:rPr>
        <w:t>⑲</w:t>
      </w:r>
      <w:r>
        <w:rPr>
          <w:rFonts w:ascii="宋体" w:hAnsi="宋体" w:eastAsia="宋体" w:cs="宋体"/>
          <w:spacing w:val="1"/>
          <w:sz w:val="24"/>
          <w:szCs w:val="24"/>
        </w:rPr>
        <w:t>号锌矿体：位于采矿证范围内、原勘探区老君台矿段范围之外的西边，属</w:t>
      </w:r>
      <w:r>
        <w:rPr>
          <w:rFonts w:ascii="宋体" w:hAnsi="宋体" w:eastAsia="宋体" w:cs="宋体"/>
          <w:spacing w:val="14"/>
          <w:sz w:val="24"/>
          <w:szCs w:val="24"/>
        </w:rPr>
        <w:t xml:space="preserve"> </w:t>
      </w:r>
      <w:r>
        <w:rPr>
          <w:rFonts w:ascii="宋体" w:hAnsi="宋体" w:eastAsia="宋体" w:cs="宋体"/>
          <w:spacing w:val="3"/>
          <w:sz w:val="24"/>
          <w:szCs w:val="24"/>
        </w:rPr>
        <w:t>2013年新增矿体，地表无工程控制；该矿体是采矿权人为寻找资源，根据成矿规</w:t>
      </w:r>
    </w:p>
    <w:p w14:paraId="4669EF13">
      <w:pPr>
        <w:spacing w:line="328" w:lineRule="auto"/>
        <w:rPr>
          <w:rFonts w:ascii="宋体" w:hAnsi="宋体" w:eastAsia="宋体" w:cs="宋体"/>
          <w:sz w:val="24"/>
          <w:szCs w:val="24"/>
        </w:rPr>
        <w:sectPr>
          <w:headerReference r:id="rId50" w:type="default"/>
          <w:footerReference r:id="rId51" w:type="default"/>
          <w:pgSz w:w="11900" w:h="16830"/>
          <w:pgMar w:top="1267" w:right="1340" w:bottom="1279" w:left="379" w:header="990" w:footer="938" w:gutter="0"/>
          <w:cols w:space="720" w:num="1"/>
        </w:sectPr>
      </w:pPr>
    </w:p>
    <w:p w14:paraId="1AF94718">
      <w:pPr>
        <w:pStyle w:val="2"/>
        <w:spacing w:line="423" w:lineRule="auto"/>
      </w:pPr>
    </w:p>
    <w:p w14:paraId="1C1F2E59">
      <w:pPr>
        <w:spacing w:before="78" w:line="371" w:lineRule="auto"/>
        <w:ind w:left="84" w:right="63"/>
        <w:jc w:val="both"/>
        <w:rPr>
          <w:rFonts w:ascii="宋体" w:hAnsi="宋体" w:eastAsia="宋体" w:cs="宋体"/>
          <w:sz w:val="24"/>
          <w:szCs w:val="24"/>
        </w:rPr>
      </w:pPr>
      <w:r>
        <w:rPr>
          <w:rFonts w:ascii="宋体" w:hAnsi="宋体" w:eastAsia="宋体" w:cs="宋体"/>
          <w:spacing w:val="2"/>
          <w:sz w:val="24"/>
          <w:szCs w:val="24"/>
        </w:rPr>
        <w:t>律，边探边采、探采结合，实施探矿坑道而发现的</w:t>
      </w:r>
      <w:r>
        <w:rPr>
          <w:rFonts w:ascii="宋体" w:hAnsi="宋体" w:eastAsia="宋体" w:cs="宋体"/>
          <w:spacing w:val="1"/>
          <w:sz w:val="24"/>
          <w:szCs w:val="24"/>
        </w:rPr>
        <w:t>矿体，该矿体沿层呈不规则的</w:t>
      </w:r>
      <w:r>
        <w:rPr>
          <w:rFonts w:ascii="宋体" w:hAnsi="宋体" w:eastAsia="宋体" w:cs="宋体"/>
          <w:sz w:val="24"/>
          <w:szCs w:val="24"/>
        </w:rPr>
        <w:t xml:space="preserve"> </w:t>
      </w:r>
      <w:r>
        <w:rPr>
          <w:rFonts w:ascii="宋体" w:hAnsi="宋体" w:eastAsia="宋体" w:cs="宋体"/>
          <w:spacing w:val="1"/>
          <w:sz w:val="24"/>
          <w:szCs w:val="24"/>
        </w:rPr>
        <w:t>大透镜体产出，矿体沿岩层走向长约165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48"/>
          <w:w w:val="101"/>
          <w:sz w:val="24"/>
          <w:szCs w:val="24"/>
        </w:rPr>
        <w:t xml:space="preserve"> </w:t>
      </w:r>
      <w:r>
        <w:rPr>
          <w:rFonts w:ascii="宋体" w:hAnsi="宋体" w:eastAsia="宋体" w:cs="宋体"/>
          <w:spacing w:val="1"/>
          <w:sz w:val="24"/>
          <w:szCs w:val="24"/>
        </w:rPr>
        <w:t>宽约142</w:t>
      </w:r>
      <w:r>
        <w:rPr>
          <w:rFonts w:ascii="Times New Roman" w:hAnsi="Times New Roman" w:eastAsia="Times New Roman" w:cs="Times New Roman"/>
          <w:spacing w:val="1"/>
          <w:sz w:val="24"/>
          <w:szCs w:val="24"/>
        </w:rPr>
        <w:t>m,</w:t>
      </w:r>
      <w:r>
        <w:rPr>
          <w:rFonts w:ascii="Times New Roman" w:hAnsi="Times New Roman" w:eastAsia="Times New Roman" w:cs="Times New Roman"/>
          <w:sz w:val="24"/>
          <w:szCs w:val="24"/>
        </w:rPr>
        <w:t>Zn</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矿体平均厚度4.8</w:t>
      </w:r>
      <w:r>
        <w:rPr>
          <w:rFonts w:ascii="Times New Roman" w:hAnsi="Times New Roman" w:eastAsia="Times New Roman" w:cs="Times New Roman"/>
          <w:spacing w:val="1"/>
          <w:sz w:val="24"/>
          <w:szCs w:val="24"/>
        </w:rPr>
        <w:t>m,</w:t>
      </w:r>
      <w:r>
        <w:rPr>
          <w:rFonts w:ascii="Times New Roman" w:hAnsi="Times New Roman" w:eastAsia="Times New Roman" w:cs="Times New Roman"/>
          <w:sz w:val="24"/>
          <w:szCs w:val="24"/>
        </w:rPr>
        <w:t xml:space="preserve">Zn    </w:t>
      </w:r>
      <w:r>
        <w:rPr>
          <w:rFonts w:ascii="宋体" w:hAnsi="宋体" w:eastAsia="宋体" w:cs="宋体"/>
          <w:spacing w:val="-1"/>
          <w:sz w:val="24"/>
          <w:szCs w:val="24"/>
        </w:rPr>
        <w:t>平均品位3.85%;伴生</w:t>
      </w:r>
      <w:r>
        <w:rPr>
          <w:rFonts w:ascii="Times New Roman" w:hAnsi="Times New Roman" w:eastAsia="Times New Roman" w:cs="Times New Roman"/>
          <w:spacing w:val="-1"/>
          <w:sz w:val="24"/>
          <w:szCs w:val="24"/>
        </w:rPr>
        <w:t>Pb</w:t>
      </w:r>
      <w:r>
        <w:rPr>
          <w:rFonts w:ascii="宋体" w:hAnsi="宋体" w:eastAsia="宋体" w:cs="宋体"/>
          <w:spacing w:val="-1"/>
          <w:sz w:val="24"/>
          <w:szCs w:val="24"/>
        </w:rPr>
        <w:t>平均厚度4.19</w:t>
      </w:r>
      <w:r>
        <w:rPr>
          <w:rFonts w:ascii="Times New Roman" w:hAnsi="Times New Roman" w:eastAsia="Times New Roman" w:cs="Times New Roman"/>
          <w:spacing w:val="-1"/>
          <w:sz w:val="24"/>
          <w:szCs w:val="24"/>
        </w:rPr>
        <w:t>m,Pb</w:t>
      </w:r>
      <w:r>
        <w:rPr>
          <w:rFonts w:ascii="宋体" w:hAnsi="宋体" w:eastAsia="宋体" w:cs="宋体"/>
          <w:spacing w:val="-1"/>
          <w:sz w:val="24"/>
          <w:szCs w:val="24"/>
        </w:rPr>
        <w:t>平均品位0.45%;伴生</w:t>
      </w:r>
      <w:r>
        <w:rPr>
          <w:rFonts w:ascii="Times New Roman" w:hAnsi="Times New Roman" w:eastAsia="Times New Roman" w:cs="Times New Roman"/>
          <w:spacing w:val="-1"/>
          <w:sz w:val="24"/>
          <w:szCs w:val="24"/>
        </w:rPr>
        <w:t>Cd</w:t>
      </w:r>
      <w:r>
        <w:rPr>
          <w:rFonts w:ascii="宋体" w:hAnsi="宋体" w:eastAsia="宋体" w:cs="宋体"/>
          <w:spacing w:val="-1"/>
          <w:sz w:val="24"/>
          <w:szCs w:val="24"/>
        </w:rPr>
        <w:t>平均品位0.12%。</w:t>
      </w:r>
      <w:r>
        <w:rPr>
          <w:rFonts w:ascii="宋体" w:hAnsi="宋体" w:eastAsia="宋体" w:cs="宋体"/>
          <w:spacing w:val="12"/>
          <w:sz w:val="24"/>
          <w:szCs w:val="24"/>
        </w:rPr>
        <w:t xml:space="preserve"> </w:t>
      </w:r>
      <w:r>
        <w:rPr>
          <w:rFonts w:ascii="宋体" w:hAnsi="宋体" w:eastAsia="宋体" w:cs="宋体"/>
          <w:spacing w:val="-1"/>
          <w:sz w:val="24"/>
          <w:szCs w:val="24"/>
        </w:rPr>
        <w:t>此矿体已采空，并且采空区已回填。</w:t>
      </w:r>
      <w:r>
        <w:rPr>
          <w:rFonts w:ascii="Calibri" w:hAnsi="Calibri" w:eastAsia="Calibri" w:cs="Calibri"/>
          <w:spacing w:val="-1"/>
          <w:sz w:val="24"/>
          <w:szCs w:val="24"/>
        </w:rPr>
        <w:t>⑲</w:t>
      </w:r>
      <w:r>
        <w:rPr>
          <w:rFonts w:ascii="宋体" w:hAnsi="宋体" w:eastAsia="宋体" w:cs="宋体"/>
          <w:spacing w:val="-1"/>
          <w:sz w:val="24"/>
          <w:szCs w:val="24"/>
        </w:rPr>
        <w:t>矿体共探获累计查明矿石量24.24万</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锌</w:t>
      </w:r>
      <w:r>
        <w:rPr>
          <w:rFonts w:ascii="宋体" w:hAnsi="宋体" w:eastAsia="宋体" w:cs="宋体"/>
          <w:sz w:val="24"/>
          <w:szCs w:val="24"/>
        </w:rPr>
        <w:t xml:space="preserve">  </w:t>
      </w:r>
      <w:r>
        <w:rPr>
          <w:rFonts w:ascii="宋体" w:hAnsi="宋体" w:eastAsia="宋体" w:cs="宋体"/>
          <w:spacing w:val="-2"/>
          <w:sz w:val="24"/>
          <w:szCs w:val="24"/>
        </w:rPr>
        <w:t>金属量9332</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占矿区总量5.99%。矿石自然类</w:t>
      </w:r>
      <w:r>
        <w:rPr>
          <w:rFonts w:ascii="宋体" w:hAnsi="宋体" w:eastAsia="宋体" w:cs="宋体"/>
          <w:spacing w:val="-3"/>
          <w:sz w:val="24"/>
          <w:szCs w:val="24"/>
        </w:rPr>
        <w:t>型为硫化矿。</w:t>
      </w:r>
    </w:p>
    <w:p w14:paraId="06305DDB">
      <w:pPr>
        <w:pStyle w:val="2"/>
        <w:spacing w:before="69" w:line="385" w:lineRule="auto"/>
        <w:ind w:left="84" w:right="117" w:firstLine="790"/>
        <w:rPr>
          <w:rFonts w:ascii="宋体" w:hAnsi="宋体" w:eastAsia="宋体" w:cs="宋体"/>
          <w:sz w:val="24"/>
          <w:szCs w:val="24"/>
        </w:rPr>
      </w:pPr>
      <w:r>
        <w:rPr>
          <w:rFonts w:ascii="宋体" w:hAnsi="宋体" w:eastAsia="宋体" w:cs="宋体"/>
          <w:spacing w:val="-1"/>
          <w:sz w:val="24"/>
          <w:szCs w:val="24"/>
        </w:rPr>
        <w:t>号锌矿体：位于采矿证范围内、原勘探区老君台矿段范围之外的西边，分</w:t>
      </w:r>
      <w:r>
        <w:rPr>
          <w:rFonts w:ascii="宋体" w:hAnsi="宋体" w:eastAsia="宋体" w:cs="宋体"/>
          <w:spacing w:val="15"/>
          <w:sz w:val="24"/>
          <w:szCs w:val="24"/>
        </w:rPr>
        <w:t xml:space="preserve"> </w:t>
      </w:r>
      <w:r>
        <w:rPr>
          <w:rFonts w:ascii="宋体" w:hAnsi="宋体" w:eastAsia="宋体" w:cs="宋体"/>
          <w:spacing w:val="-3"/>
          <w:sz w:val="24"/>
          <w:szCs w:val="24"/>
        </w:rPr>
        <w:t>布于</w:t>
      </w:r>
      <w:r>
        <w:rPr>
          <w:rFonts w:ascii="Times New Roman" w:hAnsi="Times New Roman" w:eastAsia="Times New Roman" w:cs="Times New Roman"/>
          <w:spacing w:val="-3"/>
          <w:sz w:val="24"/>
          <w:szCs w:val="24"/>
        </w:rPr>
        <w:t>V</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VI </w:t>
      </w:r>
      <w:r>
        <w:rPr>
          <w:rFonts w:ascii="宋体" w:hAnsi="宋体" w:eastAsia="宋体" w:cs="宋体"/>
          <w:spacing w:val="-3"/>
          <w:sz w:val="24"/>
          <w:szCs w:val="24"/>
        </w:rPr>
        <w:t>号剖面线间，呈隐伏分布于1505</w:t>
      </w:r>
      <w:r>
        <w:rPr>
          <w:rFonts w:ascii="宋体" w:hAnsi="宋体" w:eastAsia="宋体" w:cs="宋体"/>
          <w:spacing w:val="-4"/>
          <w:sz w:val="24"/>
          <w:szCs w:val="24"/>
        </w:rPr>
        <w:t>～1553</w:t>
      </w:r>
      <w:r>
        <w:rPr>
          <w:rFonts w:ascii="Times New Roman" w:hAnsi="Times New Roman" w:eastAsia="Times New Roman" w:cs="Times New Roman"/>
          <w:spacing w:val="-4"/>
          <w:sz w:val="24"/>
          <w:szCs w:val="24"/>
        </w:rPr>
        <w:t>m</w:t>
      </w:r>
      <w:r>
        <w:rPr>
          <w:rFonts w:ascii="宋体" w:hAnsi="宋体" w:eastAsia="宋体" w:cs="宋体"/>
          <w:spacing w:val="-4"/>
          <w:sz w:val="24"/>
          <w:szCs w:val="24"/>
        </w:rPr>
        <w:t>标高范围内。属新增矿体，地</w:t>
      </w:r>
      <w:r>
        <w:rPr>
          <w:rFonts w:ascii="宋体" w:hAnsi="宋体" w:eastAsia="宋体" w:cs="宋体"/>
          <w:sz w:val="24"/>
          <w:szCs w:val="24"/>
        </w:rPr>
        <w:t xml:space="preserve"> </w:t>
      </w:r>
      <w:r>
        <w:rPr>
          <w:rFonts w:ascii="宋体" w:hAnsi="宋体" w:eastAsia="宋体" w:cs="宋体"/>
          <w:spacing w:val="2"/>
          <w:sz w:val="24"/>
          <w:szCs w:val="24"/>
        </w:rPr>
        <w:t>表无工程控制；该矿体是采矿权人为寻找资源，根据成矿规律，边探边采、探采</w:t>
      </w:r>
      <w:r>
        <w:rPr>
          <w:rFonts w:ascii="宋体" w:hAnsi="宋体" w:eastAsia="宋体" w:cs="宋体"/>
          <w:sz w:val="24"/>
          <w:szCs w:val="24"/>
        </w:rPr>
        <w:t xml:space="preserve"> </w:t>
      </w:r>
      <w:r>
        <w:rPr>
          <w:rFonts w:ascii="宋体" w:hAnsi="宋体" w:eastAsia="宋体" w:cs="宋体"/>
          <w:spacing w:val="4"/>
          <w:sz w:val="24"/>
          <w:szCs w:val="24"/>
        </w:rPr>
        <w:t>结合，实施探矿坑道、坑内钻而发现的矿体，由4个见矿工程点和采</w:t>
      </w:r>
      <w:r>
        <w:rPr>
          <w:rFonts w:ascii="宋体" w:hAnsi="宋体" w:eastAsia="宋体" w:cs="宋体"/>
          <w:spacing w:val="3"/>
          <w:sz w:val="24"/>
          <w:szCs w:val="24"/>
        </w:rPr>
        <w:t>样点(22个)</w:t>
      </w:r>
      <w:r>
        <w:rPr>
          <w:rFonts w:ascii="宋体" w:hAnsi="宋体" w:eastAsia="宋体" w:cs="宋体"/>
          <w:sz w:val="24"/>
          <w:szCs w:val="24"/>
        </w:rPr>
        <w:t xml:space="preserve"> </w:t>
      </w:r>
      <w:r>
        <w:rPr>
          <w:rFonts w:ascii="宋体" w:hAnsi="宋体" w:eastAsia="宋体" w:cs="宋体"/>
          <w:spacing w:val="3"/>
          <w:sz w:val="24"/>
          <w:szCs w:val="24"/>
        </w:rPr>
        <w:t>控制，工程控制矿体长110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46"/>
          <w:sz w:val="24"/>
          <w:szCs w:val="24"/>
        </w:rPr>
        <w:t xml:space="preserve"> </w:t>
      </w:r>
      <w:r>
        <w:rPr>
          <w:rFonts w:ascii="宋体" w:hAnsi="宋体" w:eastAsia="宋体" w:cs="宋体"/>
          <w:spacing w:val="3"/>
          <w:sz w:val="24"/>
          <w:szCs w:val="24"/>
        </w:rPr>
        <w:t>宽约控制</w:t>
      </w:r>
      <w:r>
        <w:rPr>
          <w:rFonts w:ascii="宋体" w:hAnsi="宋体" w:eastAsia="宋体" w:cs="宋体"/>
          <w:spacing w:val="2"/>
          <w:sz w:val="24"/>
          <w:szCs w:val="24"/>
        </w:rPr>
        <w:t>斜深185～258</w:t>
      </w:r>
      <w:r>
        <w:rPr>
          <w:rFonts w:ascii="Times New Roman" w:hAnsi="Times New Roman" w:eastAsia="Times New Roman" w:cs="Times New Roman"/>
          <w:spacing w:val="2"/>
          <w:sz w:val="24"/>
          <w:szCs w:val="24"/>
        </w:rPr>
        <w:t xml:space="preserve">m, </w:t>
      </w:r>
      <w:r>
        <w:rPr>
          <w:rFonts w:ascii="宋体" w:hAnsi="宋体" w:eastAsia="宋体" w:cs="宋体"/>
          <w:spacing w:val="2"/>
          <w:sz w:val="24"/>
          <w:szCs w:val="24"/>
        </w:rPr>
        <w:t>矿体倾向165～170°,倾</w:t>
      </w:r>
      <w:r>
        <w:rPr>
          <w:rFonts w:ascii="宋体" w:hAnsi="宋体" w:eastAsia="宋体" w:cs="宋体"/>
          <w:sz w:val="24"/>
          <w:szCs w:val="24"/>
        </w:rPr>
        <w:t xml:space="preserve"> </w:t>
      </w:r>
      <w:r>
        <w:rPr>
          <w:rFonts w:ascii="宋体" w:hAnsi="宋体" w:eastAsia="宋体" w:cs="宋体"/>
          <w:spacing w:val="3"/>
          <w:sz w:val="24"/>
          <w:szCs w:val="24"/>
        </w:rPr>
        <w:t>角8～9°呈似层状产出。单工程矿体厚度1.92</w:t>
      </w:r>
      <w:r>
        <w:rPr>
          <w:rFonts w:ascii="宋体" w:hAnsi="宋体" w:eastAsia="宋体" w:cs="宋体"/>
          <w:spacing w:val="2"/>
          <w:sz w:val="24"/>
          <w:szCs w:val="24"/>
        </w:rPr>
        <w:t>～3.75</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4"/>
          <w:sz w:val="24"/>
          <w:szCs w:val="24"/>
        </w:rPr>
        <w:t xml:space="preserve"> </w:t>
      </w:r>
      <w:r>
        <w:rPr>
          <w:rFonts w:ascii="宋体" w:hAnsi="宋体" w:eastAsia="宋体" w:cs="宋体"/>
          <w:spacing w:val="2"/>
          <w:sz w:val="24"/>
          <w:szCs w:val="24"/>
        </w:rPr>
        <w:t>平均2.56</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55"/>
          <w:sz w:val="24"/>
          <w:szCs w:val="24"/>
        </w:rPr>
        <w:t xml:space="preserve"> </w:t>
      </w:r>
      <w:r>
        <w:rPr>
          <w:rFonts w:ascii="宋体" w:hAnsi="宋体" w:eastAsia="宋体" w:cs="宋体"/>
          <w:spacing w:val="2"/>
          <w:sz w:val="24"/>
          <w:szCs w:val="24"/>
        </w:rPr>
        <w:t>厚度变化系</w:t>
      </w:r>
      <w:r>
        <w:rPr>
          <w:rFonts w:ascii="宋体" w:hAnsi="宋体" w:eastAsia="宋体" w:cs="宋体"/>
          <w:sz w:val="24"/>
          <w:szCs w:val="24"/>
        </w:rPr>
        <w:t xml:space="preserve"> </w:t>
      </w:r>
      <w:r>
        <w:rPr>
          <w:rFonts w:ascii="宋体" w:hAnsi="宋体" w:eastAsia="宋体" w:cs="宋体"/>
          <w:spacing w:val="10"/>
          <w:sz w:val="24"/>
          <w:szCs w:val="24"/>
        </w:rPr>
        <w:t>数为15.48%,属稳定型。单工程锌品位2.91～7.72%,平均锌品位</w:t>
      </w:r>
      <w:r>
        <w:rPr>
          <w:rFonts w:ascii="宋体" w:hAnsi="宋体" w:eastAsia="宋体" w:cs="宋体"/>
          <w:spacing w:val="9"/>
          <w:sz w:val="24"/>
          <w:szCs w:val="24"/>
        </w:rPr>
        <w:t>4.44%,变化系</w:t>
      </w:r>
      <w:r>
        <w:rPr>
          <w:rFonts w:ascii="宋体" w:hAnsi="宋体" w:eastAsia="宋体" w:cs="宋体"/>
          <w:sz w:val="24"/>
          <w:szCs w:val="24"/>
        </w:rPr>
        <w:t xml:space="preserve"> </w:t>
      </w:r>
      <w:r>
        <w:rPr>
          <w:rFonts w:ascii="宋体" w:hAnsi="宋体" w:eastAsia="宋体" w:cs="宋体"/>
          <w:spacing w:val="4"/>
          <w:sz w:val="24"/>
          <w:szCs w:val="24"/>
        </w:rPr>
        <w:t>数69.75%,有用组分分布均匀程度属均匀；单工程铅品位0.00～6.36%,平均铅品</w:t>
      </w:r>
      <w:r>
        <w:rPr>
          <w:rFonts w:ascii="宋体" w:hAnsi="宋体" w:eastAsia="宋体" w:cs="宋体"/>
          <w:spacing w:val="11"/>
          <w:sz w:val="24"/>
          <w:szCs w:val="24"/>
        </w:rPr>
        <w:t xml:space="preserve"> </w:t>
      </w:r>
      <w:r>
        <w:rPr>
          <w:rFonts w:ascii="宋体" w:hAnsi="宋体" w:eastAsia="宋体" w:cs="宋体"/>
          <w:spacing w:val="4"/>
          <w:sz w:val="24"/>
          <w:szCs w:val="24"/>
        </w:rPr>
        <w:t>位2.19%,变化系数32.68%,</w:t>
      </w:r>
      <w:r>
        <w:rPr>
          <w:rFonts w:ascii="黑体" w:hAnsi="黑体" w:eastAsia="黑体" w:cs="黑体"/>
          <w:spacing w:val="4"/>
          <w:sz w:val="24"/>
          <w:szCs w:val="24"/>
        </w:rPr>
        <w:t>有用组分分布均</w:t>
      </w:r>
      <w:r>
        <w:rPr>
          <w:rFonts w:ascii="黑体" w:hAnsi="黑体" w:eastAsia="黑体" w:cs="黑体"/>
          <w:spacing w:val="3"/>
          <w:sz w:val="24"/>
          <w:szCs w:val="24"/>
        </w:rPr>
        <w:t>匀程度属均匀。</w:t>
      </w:r>
      <w:r>
        <w:rPr>
          <w:sz w:val="24"/>
          <w:szCs w:val="24"/>
        </w:rPr>
        <w:t>Cd</w:t>
      </w:r>
      <w:r>
        <w:rPr>
          <w:rFonts w:ascii="黑体" w:hAnsi="黑体" w:eastAsia="黑体" w:cs="黑体"/>
          <w:spacing w:val="3"/>
          <w:sz w:val="24"/>
          <w:szCs w:val="24"/>
        </w:rPr>
        <w:t>平均品位0.075%。</w:t>
      </w:r>
      <w:r>
        <w:rPr>
          <w:rFonts w:ascii="黑体" w:hAnsi="黑体" w:eastAsia="黑体" w:cs="黑体"/>
          <w:sz w:val="24"/>
          <w:szCs w:val="24"/>
        </w:rPr>
        <w:t xml:space="preserve"> </w:t>
      </w:r>
      <w:r>
        <w:rPr>
          <w:rFonts w:ascii="Calibri" w:hAnsi="Calibri" w:eastAsia="Calibri" w:cs="Calibri"/>
          <w:spacing w:val="2"/>
          <w:sz w:val="24"/>
          <w:szCs w:val="24"/>
        </w:rPr>
        <w:t>⑲</w:t>
      </w:r>
      <w:r>
        <w:rPr>
          <w:rFonts w:ascii="宋体" w:hAnsi="宋体" w:eastAsia="宋体" w:cs="宋体"/>
          <w:spacing w:val="2"/>
          <w:sz w:val="24"/>
          <w:szCs w:val="24"/>
        </w:rPr>
        <w:t>矿体共探获累计查明矿石量11.35万</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锌金属量5038</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14"/>
          <w:sz w:val="24"/>
          <w:szCs w:val="24"/>
        </w:rPr>
        <w:t xml:space="preserve"> </w:t>
      </w:r>
      <w:r>
        <w:rPr>
          <w:rFonts w:ascii="宋体" w:hAnsi="宋体" w:eastAsia="宋体" w:cs="宋体"/>
          <w:spacing w:val="2"/>
          <w:sz w:val="24"/>
          <w:szCs w:val="24"/>
        </w:rPr>
        <w:t>占矿区总</w:t>
      </w:r>
      <w:r>
        <w:rPr>
          <w:rFonts w:ascii="宋体" w:hAnsi="宋体" w:eastAsia="宋体" w:cs="宋体"/>
          <w:spacing w:val="1"/>
          <w:sz w:val="24"/>
          <w:szCs w:val="24"/>
        </w:rPr>
        <w:t>量3.24%。矿石</w:t>
      </w:r>
      <w:r>
        <w:rPr>
          <w:rFonts w:ascii="宋体" w:hAnsi="宋体" w:eastAsia="宋体" w:cs="宋体"/>
          <w:sz w:val="24"/>
          <w:szCs w:val="24"/>
        </w:rPr>
        <w:t xml:space="preserve"> </w:t>
      </w:r>
      <w:r>
        <w:rPr>
          <w:rFonts w:ascii="宋体" w:hAnsi="宋体" w:eastAsia="宋体" w:cs="宋体"/>
          <w:spacing w:val="-4"/>
          <w:sz w:val="24"/>
          <w:szCs w:val="24"/>
        </w:rPr>
        <w:t>自然类型为硫化矿。</w:t>
      </w:r>
    </w:p>
    <w:p w14:paraId="64887FFF">
      <w:pPr>
        <w:spacing w:before="1" w:line="384" w:lineRule="auto"/>
        <w:ind w:left="84" w:right="117" w:firstLine="510"/>
        <w:jc w:val="both"/>
        <w:rPr>
          <w:rFonts w:ascii="宋体" w:hAnsi="宋体" w:eastAsia="宋体" w:cs="宋体"/>
          <w:sz w:val="24"/>
          <w:szCs w:val="24"/>
        </w:rPr>
      </w:pPr>
      <w:r>
        <w:rPr>
          <w:rFonts w:ascii="宋体" w:hAnsi="宋体" w:eastAsia="宋体" w:cs="宋体"/>
          <w:spacing w:val="1"/>
          <w:sz w:val="24"/>
          <w:szCs w:val="24"/>
        </w:rPr>
        <w:t>总之，原勘查区范围内的矿体产状、形态及规模特征根据多年的</w:t>
      </w:r>
      <w:r>
        <w:rPr>
          <w:rFonts w:ascii="宋体" w:hAnsi="宋体" w:eastAsia="宋体" w:cs="宋体"/>
          <w:sz w:val="24"/>
          <w:szCs w:val="24"/>
        </w:rPr>
        <w:t xml:space="preserve">开采情况， </w:t>
      </w:r>
      <w:r>
        <w:rPr>
          <w:rFonts w:ascii="宋体" w:hAnsi="宋体" w:eastAsia="宋体" w:cs="宋体"/>
          <w:spacing w:val="3"/>
          <w:sz w:val="24"/>
          <w:szCs w:val="24"/>
        </w:rPr>
        <w:t>已基本上了解清楚，其倾向约165～170°,倾角5～13°,矿体真厚1.12～8.14</w:t>
      </w:r>
      <w:r>
        <w:rPr>
          <w:rFonts w:ascii="Times New Roman" w:hAnsi="Times New Roman" w:eastAsia="Times New Roman" w:cs="Times New Roman"/>
          <w:spacing w:val="3"/>
          <w:sz w:val="24"/>
          <w:szCs w:val="24"/>
        </w:rPr>
        <w:t xml:space="preserve">m,  </w:t>
      </w:r>
      <w:r>
        <w:rPr>
          <w:rFonts w:ascii="宋体" w:hAnsi="宋体" w:eastAsia="宋体" w:cs="宋体"/>
          <w:spacing w:val="14"/>
          <w:sz w:val="24"/>
          <w:szCs w:val="24"/>
        </w:rPr>
        <w:t>平均真厚5.57</w:t>
      </w:r>
      <w:r>
        <w:rPr>
          <w:rFonts w:ascii="Times New Roman" w:hAnsi="Times New Roman" w:eastAsia="Times New Roman" w:cs="Times New Roman"/>
          <w:spacing w:val="14"/>
          <w:sz w:val="24"/>
          <w:szCs w:val="24"/>
        </w:rPr>
        <w:t>m,</w:t>
      </w:r>
      <w:r>
        <w:rPr>
          <w:rFonts w:ascii="Times New Roman" w:hAnsi="Times New Roman" w:eastAsia="Times New Roman" w:cs="Times New Roman"/>
          <w:spacing w:val="3"/>
          <w:sz w:val="24"/>
          <w:szCs w:val="24"/>
        </w:rPr>
        <w:t xml:space="preserve">  </w:t>
      </w:r>
      <w:r>
        <w:rPr>
          <w:rFonts w:ascii="宋体" w:hAnsi="宋体" w:eastAsia="宋体" w:cs="宋体"/>
          <w:spacing w:val="14"/>
          <w:sz w:val="24"/>
          <w:szCs w:val="24"/>
        </w:rPr>
        <w:t>厚度变化系数67%,厚度较稳定。</w:t>
      </w:r>
      <w:r>
        <w:rPr>
          <w:rFonts w:ascii="宋体" w:hAnsi="宋体" w:eastAsia="宋体" w:cs="宋体"/>
          <w:spacing w:val="13"/>
          <w:sz w:val="24"/>
          <w:szCs w:val="24"/>
        </w:rPr>
        <w:t>单工程锌矿石品位</w:t>
      </w:r>
      <w:r>
        <w:rPr>
          <w:rFonts w:ascii="Times New Roman" w:hAnsi="Times New Roman" w:eastAsia="Times New Roman" w:cs="Times New Roman"/>
          <w:sz w:val="24"/>
          <w:szCs w:val="24"/>
        </w:rPr>
        <w:t>Zn</w:t>
      </w:r>
      <w:r>
        <w:rPr>
          <w:rFonts w:ascii="Times New Roman" w:hAnsi="Times New Roman" w:eastAsia="Times New Roman" w:cs="Times New Roman"/>
          <w:spacing w:val="13"/>
          <w:sz w:val="24"/>
          <w:szCs w:val="24"/>
        </w:rPr>
        <w:t>1.31</w:t>
      </w:r>
      <w:r>
        <w:rPr>
          <w:rFonts w:ascii="宋体" w:hAnsi="宋体" w:eastAsia="宋体" w:cs="宋体"/>
          <w:spacing w:val="13"/>
          <w:sz w:val="24"/>
          <w:szCs w:val="24"/>
        </w:rPr>
        <w:t>~</w:t>
      </w:r>
      <w:r>
        <w:rPr>
          <w:rFonts w:ascii="宋体" w:hAnsi="宋体" w:eastAsia="宋体" w:cs="宋体"/>
          <w:sz w:val="24"/>
          <w:szCs w:val="24"/>
        </w:rPr>
        <w:t xml:space="preserve"> </w:t>
      </w:r>
      <w:r>
        <w:rPr>
          <w:rFonts w:ascii="宋体" w:hAnsi="宋体" w:eastAsia="宋体" w:cs="宋体"/>
          <w:spacing w:val="9"/>
          <w:sz w:val="24"/>
          <w:szCs w:val="24"/>
        </w:rPr>
        <w:t>21.30%,平均品位</w:t>
      </w:r>
      <w:r>
        <w:rPr>
          <w:rFonts w:ascii="Times New Roman" w:hAnsi="Times New Roman" w:eastAsia="Times New Roman" w:cs="Times New Roman"/>
          <w:sz w:val="24"/>
          <w:szCs w:val="24"/>
        </w:rPr>
        <w:t>Zn</w:t>
      </w:r>
      <w:r>
        <w:rPr>
          <w:rFonts w:ascii="Times New Roman" w:hAnsi="Times New Roman" w:eastAsia="Times New Roman" w:cs="Times New Roman"/>
          <w:spacing w:val="9"/>
          <w:sz w:val="24"/>
          <w:szCs w:val="24"/>
        </w:rPr>
        <w:t>3.42%,</w:t>
      </w:r>
      <w:r>
        <w:rPr>
          <w:rFonts w:ascii="Times New Roman" w:hAnsi="Times New Roman" w:eastAsia="Times New Roman" w:cs="Times New Roman"/>
          <w:spacing w:val="45"/>
          <w:w w:val="101"/>
          <w:sz w:val="24"/>
          <w:szCs w:val="24"/>
        </w:rPr>
        <w:t xml:space="preserve"> </w:t>
      </w:r>
      <w:r>
        <w:rPr>
          <w:rFonts w:ascii="宋体" w:hAnsi="宋体" w:eastAsia="宋体" w:cs="宋体"/>
          <w:spacing w:val="9"/>
          <w:sz w:val="24"/>
          <w:szCs w:val="24"/>
        </w:rPr>
        <w:t>变化系数85%,有益组分分布较均匀。主要金属矿物</w:t>
      </w:r>
      <w:r>
        <w:rPr>
          <w:rFonts w:ascii="宋体" w:hAnsi="宋体" w:eastAsia="宋体" w:cs="宋体"/>
          <w:sz w:val="24"/>
          <w:szCs w:val="24"/>
        </w:rPr>
        <w:t xml:space="preserve"> </w:t>
      </w:r>
      <w:r>
        <w:rPr>
          <w:rFonts w:ascii="宋体" w:hAnsi="宋体" w:eastAsia="宋体" w:cs="宋体"/>
          <w:spacing w:val="-1"/>
          <w:sz w:val="24"/>
          <w:szCs w:val="24"/>
        </w:rPr>
        <w:t>为闪锌矿、菱锌矿等。属硫化矿石类型，可选性较好。</w:t>
      </w:r>
    </w:p>
    <w:p w14:paraId="3D881090">
      <w:pPr>
        <w:spacing w:before="4" w:line="219" w:lineRule="auto"/>
        <w:ind w:left="594"/>
        <w:outlineLvl w:val="1"/>
        <w:rPr>
          <w:rFonts w:ascii="宋体" w:hAnsi="宋体" w:eastAsia="宋体" w:cs="宋体"/>
          <w:sz w:val="24"/>
          <w:szCs w:val="24"/>
        </w:rPr>
      </w:pPr>
      <w:bookmarkStart w:id="21" w:name="bookmark14"/>
      <w:bookmarkEnd w:id="21"/>
      <w:r>
        <w:rPr>
          <w:rFonts w:ascii="宋体" w:hAnsi="宋体" w:eastAsia="宋体" w:cs="宋体"/>
          <w:spacing w:val="7"/>
          <w:sz w:val="24"/>
          <w:szCs w:val="24"/>
        </w:rPr>
        <w:t>7.5矿石质量特征</w:t>
      </w:r>
    </w:p>
    <w:p w14:paraId="4B346E50">
      <w:pPr>
        <w:spacing w:before="225" w:line="219" w:lineRule="auto"/>
        <w:ind w:left="594"/>
        <w:rPr>
          <w:rFonts w:ascii="宋体" w:hAnsi="宋体" w:eastAsia="宋体" w:cs="宋体"/>
          <w:sz w:val="24"/>
          <w:szCs w:val="24"/>
        </w:rPr>
      </w:pPr>
      <w:r>
        <w:rPr>
          <w:rFonts w:ascii="宋体" w:hAnsi="宋体" w:eastAsia="宋体" w:cs="宋体"/>
          <w:spacing w:val="6"/>
          <w:sz w:val="24"/>
          <w:szCs w:val="24"/>
        </w:rPr>
        <w:t>7.5.1矿石物质组成</w:t>
      </w:r>
    </w:p>
    <w:p w14:paraId="03BBE3F8">
      <w:pPr>
        <w:spacing w:before="214" w:line="219" w:lineRule="auto"/>
        <w:ind w:left="595"/>
        <w:rPr>
          <w:rFonts w:ascii="宋体" w:hAnsi="宋体" w:eastAsia="宋体" w:cs="宋体"/>
          <w:sz w:val="24"/>
          <w:szCs w:val="24"/>
        </w:rPr>
      </w:pPr>
      <w:r>
        <w:rPr>
          <w:rFonts w:ascii="宋体" w:hAnsi="宋体" w:eastAsia="宋体" w:cs="宋体"/>
          <w:spacing w:val="-1"/>
          <w:sz w:val="24"/>
          <w:szCs w:val="24"/>
        </w:rPr>
        <w:t>矿区内矿石矿物成分较简单。</w:t>
      </w:r>
    </w:p>
    <w:p w14:paraId="0BC3B45F">
      <w:pPr>
        <w:spacing w:before="205" w:line="385" w:lineRule="auto"/>
        <w:ind w:left="84" w:right="169" w:firstLine="510"/>
        <w:rPr>
          <w:rFonts w:ascii="宋体" w:hAnsi="宋体" w:eastAsia="宋体" w:cs="宋体"/>
          <w:sz w:val="24"/>
          <w:szCs w:val="24"/>
        </w:rPr>
      </w:pPr>
      <w:r>
        <w:rPr>
          <w:rFonts w:ascii="宋体" w:hAnsi="宋体" w:eastAsia="宋体" w:cs="宋体"/>
          <w:spacing w:val="1"/>
          <w:sz w:val="24"/>
          <w:szCs w:val="24"/>
        </w:rPr>
        <w:t>金属矿物为：闪锌矿、异极矿、菱锌矿、硅</w:t>
      </w:r>
      <w:r>
        <w:rPr>
          <w:rFonts w:ascii="宋体" w:hAnsi="宋体" w:eastAsia="宋体" w:cs="宋体"/>
          <w:sz w:val="24"/>
          <w:szCs w:val="24"/>
        </w:rPr>
        <w:t xml:space="preserve">锌矿、水锌矿、方铅矿、白铅矿 </w:t>
      </w:r>
      <w:r>
        <w:rPr>
          <w:rFonts w:ascii="宋体" w:hAnsi="宋体" w:eastAsia="宋体" w:cs="宋体"/>
          <w:spacing w:val="-1"/>
          <w:sz w:val="24"/>
          <w:szCs w:val="24"/>
        </w:rPr>
        <w:t>等。矿石中以闪锌矿、菱锌矿、方铅矿、白铅矿为主要矿物。</w:t>
      </w:r>
    </w:p>
    <w:p w14:paraId="3D4E83B4">
      <w:pPr>
        <w:spacing w:before="1" w:line="219" w:lineRule="auto"/>
        <w:ind w:left="595"/>
        <w:rPr>
          <w:rFonts w:ascii="宋体" w:hAnsi="宋体" w:eastAsia="宋体" w:cs="宋体"/>
          <w:sz w:val="24"/>
          <w:szCs w:val="24"/>
        </w:rPr>
      </w:pPr>
      <w:r>
        <w:rPr>
          <w:rFonts w:ascii="宋体" w:hAnsi="宋体" w:eastAsia="宋体" w:cs="宋体"/>
          <w:spacing w:val="-1"/>
          <w:sz w:val="24"/>
          <w:szCs w:val="24"/>
        </w:rPr>
        <w:t>脉石矿物以白云石为主，方解石次之，另有重晶石、石英。</w:t>
      </w:r>
    </w:p>
    <w:p w14:paraId="073E1CFC">
      <w:pPr>
        <w:spacing w:line="219" w:lineRule="auto"/>
        <w:rPr>
          <w:rFonts w:ascii="宋体" w:hAnsi="宋体" w:eastAsia="宋体" w:cs="宋体"/>
          <w:sz w:val="24"/>
          <w:szCs w:val="24"/>
        </w:rPr>
        <w:sectPr>
          <w:headerReference r:id="rId52" w:type="default"/>
          <w:footerReference r:id="rId53" w:type="default"/>
          <w:pgSz w:w="11900" w:h="16830"/>
          <w:pgMar w:top="1177" w:right="1410" w:bottom="1269" w:left="1785" w:header="900" w:footer="938" w:gutter="0"/>
          <w:cols w:space="720" w:num="1"/>
        </w:sectPr>
      </w:pPr>
    </w:p>
    <w:p w14:paraId="4A16235A">
      <w:pPr>
        <w:pStyle w:val="2"/>
        <w:spacing w:line="411" w:lineRule="auto"/>
      </w:pPr>
    </w:p>
    <w:p w14:paraId="493CA7B8">
      <w:pPr>
        <w:spacing w:before="78" w:line="372" w:lineRule="auto"/>
        <w:ind w:left="94" w:right="259" w:firstLine="470"/>
        <w:rPr>
          <w:rFonts w:ascii="宋体" w:hAnsi="宋体" w:eastAsia="宋体" w:cs="宋体"/>
          <w:sz w:val="24"/>
          <w:szCs w:val="24"/>
        </w:rPr>
      </w:pPr>
      <w:bookmarkStart w:id="22" w:name="bookmark53"/>
      <w:bookmarkEnd w:id="22"/>
      <w:r>
        <w:rPr>
          <w:rFonts w:ascii="宋体" w:hAnsi="宋体" w:eastAsia="宋体" w:cs="宋体"/>
          <w:spacing w:val="-1"/>
          <w:sz w:val="24"/>
          <w:szCs w:val="24"/>
        </w:rPr>
        <w:t>矿石中偶见伴生微量铜矿物黄铜矿，部分硫化矿表面见有</w:t>
      </w:r>
      <w:r>
        <w:rPr>
          <w:rFonts w:ascii="宋体" w:hAnsi="宋体" w:eastAsia="宋体" w:cs="宋体"/>
          <w:spacing w:val="-2"/>
          <w:sz w:val="24"/>
          <w:szCs w:val="24"/>
        </w:rPr>
        <w:t>少量硫镉矿呈黄色</w:t>
      </w:r>
      <w:r>
        <w:rPr>
          <w:rFonts w:ascii="宋体" w:hAnsi="宋体" w:eastAsia="宋体" w:cs="宋体"/>
          <w:sz w:val="24"/>
          <w:szCs w:val="24"/>
        </w:rPr>
        <w:t xml:space="preserve"> </w:t>
      </w:r>
      <w:r>
        <w:rPr>
          <w:rFonts w:ascii="宋体" w:hAnsi="宋体" w:eastAsia="宋体" w:cs="宋体"/>
          <w:spacing w:val="-1"/>
          <w:sz w:val="24"/>
          <w:szCs w:val="24"/>
        </w:rPr>
        <w:t>粉末状、葡萄状产出。</w:t>
      </w:r>
    </w:p>
    <w:p w14:paraId="784605AF">
      <w:pPr>
        <w:spacing w:before="45" w:line="376" w:lineRule="auto"/>
        <w:ind w:left="94" w:right="230" w:firstLine="470"/>
        <w:jc w:val="both"/>
        <w:rPr>
          <w:rFonts w:ascii="宋体" w:hAnsi="宋体" w:eastAsia="宋体" w:cs="宋体"/>
          <w:sz w:val="24"/>
          <w:szCs w:val="24"/>
        </w:rPr>
      </w:pPr>
      <w:r>
        <w:rPr>
          <w:rFonts w:ascii="宋体" w:hAnsi="宋体" w:eastAsia="宋体" w:cs="宋体"/>
          <w:spacing w:val="-3"/>
          <w:sz w:val="24"/>
          <w:szCs w:val="24"/>
        </w:rPr>
        <w:t>闪锌矿多呈自然晶形，晶粒一般在0.2</w:t>
      </w:r>
      <w:r>
        <w:rPr>
          <w:rFonts w:ascii="Times New Roman" w:hAnsi="Times New Roman" w:eastAsia="Times New Roman" w:cs="Times New Roman"/>
          <w:spacing w:val="-3"/>
          <w:sz w:val="24"/>
          <w:szCs w:val="24"/>
        </w:rPr>
        <w:t xml:space="preserve">mm </w:t>
      </w:r>
      <w:r>
        <w:rPr>
          <w:rFonts w:ascii="宋体" w:hAnsi="宋体" w:eastAsia="宋体" w:cs="宋体"/>
          <w:spacing w:val="-3"/>
          <w:sz w:val="24"/>
          <w:szCs w:val="24"/>
        </w:rPr>
        <w:t>以上，多呈块状和星散状，</w:t>
      </w:r>
      <w:r>
        <w:rPr>
          <w:rFonts w:ascii="宋体" w:hAnsi="宋体" w:eastAsia="宋体" w:cs="宋体"/>
          <w:spacing w:val="-4"/>
          <w:sz w:val="24"/>
          <w:szCs w:val="24"/>
        </w:rPr>
        <w:t>产于白</w:t>
      </w:r>
      <w:r>
        <w:rPr>
          <w:rFonts w:ascii="宋体" w:hAnsi="宋体" w:eastAsia="宋体" w:cs="宋体"/>
          <w:sz w:val="24"/>
          <w:szCs w:val="24"/>
        </w:rPr>
        <w:t xml:space="preserve"> </w:t>
      </w:r>
      <w:r>
        <w:rPr>
          <w:rFonts w:ascii="宋体" w:hAnsi="宋体" w:eastAsia="宋体" w:cs="宋体"/>
          <w:spacing w:val="4"/>
          <w:sz w:val="24"/>
          <w:szCs w:val="24"/>
        </w:rPr>
        <w:t>云岩和方解石脉(团块)中。块状晶粒度最大达42×51</w:t>
      </w:r>
      <w:r>
        <w:rPr>
          <w:rFonts w:ascii="Times New Roman" w:hAnsi="Times New Roman" w:eastAsia="Times New Roman" w:cs="Times New Roman"/>
          <w:sz w:val="24"/>
          <w:szCs w:val="24"/>
        </w:rPr>
        <w:t>mm</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9"/>
          <w:w w:val="101"/>
          <w:sz w:val="24"/>
          <w:szCs w:val="24"/>
        </w:rPr>
        <w:t xml:space="preserve"> </w:t>
      </w:r>
      <w:r>
        <w:rPr>
          <w:rFonts w:ascii="宋体" w:hAnsi="宋体" w:eastAsia="宋体" w:cs="宋体"/>
          <w:spacing w:val="4"/>
          <w:sz w:val="24"/>
          <w:szCs w:val="24"/>
        </w:rPr>
        <w:t>散状者粒</w:t>
      </w:r>
      <w:r>
        <w:rPr>
          <w:rFonts w:ascii="宋体" w:hAnsi="宋体" w:eastAsia="宋体" w:cs="宋体"/>
          <w:spacing w:val="3"/>
          <w:sz w:val="24"/>
          <w:szCs w:val="24"/>
        </w:rPr>
        <w:t>度较细，在</w:t>
      </w:r>
      <w:r>
        <w:rPr>
          <w:rFonts w:ascii="宋体" w:hAnsi="宋体" w:eastAsia="宋体" w:cs="宋体"/>
          <w:sz w:val="24"/>
          <w:szCs w:val="24"/>
        </w:rPr>
        <w:t xml:space="preserve"> </w:t>
      </w:r>
      <w:r>
        <w:rPr>
          <w:rFonts w:ascii="宋体" w:hAnsi="宋体" w:eastAsia="宋体" w:cs="宋体"/>
          <w:spacing w:val="-2"/>
          <w:sz w:val="24"/>
          <w:szCs w:val="24"/>
        </w:rPr>
        <w:t>0.039×2.5</w:t>
      </w:r>
      <w:r>
        <w:rPr>
          <w:rFonts w:ascii="Times New Roman" w:hAnsi="Times New Roman" w:eastAsia="Times New Roman" w:cs="Times New Roman"/>
          <w:spacing w:val="-2"/>
          <w:sz w:val="24"/>
          <w:szCs w:val="24"/>
        </w:rPr>
        <w:t>mm,</w:t>
      </w:r>
      <w:r>
        <w:rPr>
          <w:rFonts w:ascii="Times New Roman" w:hAnsi="Times New Roman" w:eastAsia="Times New Roman" w:cs="Times New Roman"/>
          <w:spacing w:val="50"/>
          <w:sz w:val="24"/>
          <w:szCs w:val="24"/>
        </w:rPr>
        <w:t xml:space="preserve"> </w:t>
      </w:r>
      <w:r>
        <w:rPr>
          <w:rFonts w:ascii="宋体" w:hAnsi="宋体" w:eastAsia="宋体" w:cs="宋体"/>
          <w:spacing w:val="-2"/>
          <w:sz w:val="24"/>
          <w:szCs w:val="24"/>
        </w:rPr>
        <w:t>一般在0.2</w:t>
      </w:r>
      <w:r>
        <w:rPr>
          <w:rFonts w:ascii="Times New Roman" w:hAnsi="Times New Roman" w:eastAsia="Times New Roman" w:cs="Times New Roman"/>
          <w:spacing w:val="-2"/>
          <w:sz w:val="24"/>
          <w:szCs w:val="24"/>
        </w:rPr>
        <w:t>mm</w:t>
      </w:r>
      <w:r>
        <w:rPr>
          <w:rFonts w:ascii="宋体" w:hAnsi="宋体" w:eastAsia="宋体" w:cs="宋体"/>
          <w:spacing w:val="-2"/>
          <w:sz w:val="24"/>
          <w:szCs w:val="24"/>
        </w:rPr>
        <w:t>。有的与异极矿、</w:t>
      </w:r>
      <w:r>
        <w:rPr>
          <w:rFonts w:ascii="宋体" w:hAnsi="宋体" w:eastAsia="宋体" w:cs="宋体"/>
          <w:spacing w:val="-3"/>
          <w:sz w:val="24"/>
          <w:szCs w:val="24"/>
        </w:rPr>
        <w:t>方铅矿结合成条带或块状，粒度</w:t>
      </w:r>
      <w:r>
        <w:rPr>
          <w:rFonts w:ascii="宋体" w:hAnsi="宋体" w:eastAsia="宋体" w:cs="宋体"/>
          <w:sz w:val="24"/>
          <w:szCs w:val="24"/>
        </w:rPr>
        <w:t xml:space="preserve"> </w:t>
      </w:r>
      <w:r>
        <w:rPr>
          <w:rFonts w:ascii="宋体" w:hAnsi="宋体" w:eastAsia="宋体" w:cs="宋体"/>
          <w:spacing w:val="-2"/>
          <w:sz w:val="24"/>
          <w:szCs w:val="24"/>
        </w:rPr>
        <w:t>为20×20</w:t>
      </w:r>
      <w:r>
        <w:rPr>
          <w:rFonts w:ascii="Times New Roman" w:hAnsi="Times New Roman" w:eastAsia="Times New Roman" w:cs="Times New Roman"/>
          <w:spacing w:val="-2"/>
          <w:sz w:val="24"/>
          <w:szCs w:val="24"/>
        </w:rPr>
        <w:t>mm,</w:t>
      </w:r>
      <w:r>
        <w:rPr>
          <w:rFonts w:ascii="Times New Roman" w:hAnsi="Times New Roman" w:eastAsia="Times New Roman" w:cs="Times New Roman"/>
          <w:spacing w:val="60"/>
          <w:w w:val="101"/>
          <w:sz w:val="24"/>
          <w:szCs w:val="24"/>
        </w:rPr>
        <w:t xml:space="preserve"> </w:t>
      </w:r>
      <w:r>
        <w:rPr>
          <w:rFonts w:ascii="宋体" w:hAnsi="宋体" w:eastAsia="宋体" w:cs="宋体"/>
          <w:spacing w:val="-2"/>
          <w:sz w:val="24"/>
          <w:szCs w:val="24"/>
        </w:rPr>
        <w:t>其晶粒为0.32×0.74</w:t>
      </w:r>
      <w:r>
        <w:rPr>
          <w:rFonts w:ascii="Times New Roman" w:hAnsi="Times New Roman" w:eastAsia="Times New Roman" w:cs="Times New Roman"/>
          <w:spacing w:val="-2"/>
          <w:sz w:val="24"/>
          <w:szCs w:val="24"/>
        </w:rPr>
        <w:t>mm</w:t>
      </w:r>
      <w:r>
        <w:rPr>
          <w:rFonts w:ascii="宋体" w:hAnsi="宋体" w:eastAsia="宋体" w:cs="宋体"/>
          <w:spacing w:val="-2"/>
          <w:sz w:val="24"/>
          <w:szCs w:val="24"/>
        </w:rPr>
        <w:t>。</w:t>
      </w:r>
    </w:p>
    <w:p w14:paraId="2A4EF8DD">
      <w:pPr>
        <w:spacing w:before="27" w:line="379" w:lineRule="auto"/>
        <w:ind w:left="265" w:right="279" w:firstLine="299"/>
        <w:rPr>
          <w:rFonts w:ascii="宋体" w:hAnsi="宋体" w:eastAsia="宋体" w:cs="宋体"/>
          <w:sz w:val="24"/>
          <w:szCs w:val="24"/>
        </w:rPr>
      </w:pPr>
      <w:r>
        <w:rPr>
          <w:rFonts w:ascii="宋体" w:hAnsi="宋体" w:eastAsia="宋体" w:cs="宋体"/>
          <w:spacing w:val="-2"/>
          <w:sz w:val="24"/>
          <w:szCs w:val="24"/>
        </w:rPr>
        <w:t>方铅矿：晶粒在0.1×2</w:t>
      </w:r>
      <w:r>
        <w:rPr>
          <w:rFonts w:ascii="Times New Roman" w:hAnsi="Times New Roman" w:eastAsia="Times New Roman" w:cs="Times New Roman"/>
          <w:spacing w:val="-2"/>
          <w:sz w:val="24"/>
          <w:szCs w:val="24"/>
        </w:rPr>
        <w:t xml:space="preserve">mm, </w:t>
      </w:r>
      <w:r>
        <w:rPr>
          <w:rFonts w:ascii="宋体" w:hAnsi="宋体" w:eastAsia="宋体" w:cs="宋体"/>
          <w:spacing w:val="-2"/>
          <w:sz w:val="24"/>
          <w:szCs w:val="24"/>
        </w:rPr>
        <w:t>部分达3×3～12.6×15</w:t>
      </w:r>
      <w:r>
        <w:rPr>
          <w:rFonts w:ascii="Times New Roman" w:hAnsi="Times New Roman" w:eastAsia="Times New Roman" w:cs="Times New Roman"/>
          <w:spacing w:val="-2"/>
          <w:sz w:val="24"/>
          <w:szCs w:val="24"/>
        </w:rPr>
        <w:t xml:space="preserve">mm, </w:t>
      </w:r>
      <w:r>
        <w:rPr>
          <w:rFonts w:ascii="宋体" w:hAnsi="宋体" w:eastAsia="宋体" w:cs="宋体"/>
          <w:spacing w:val="-2"/>
          <w:sz w:val="24"/>
          <w:szCs w:val="24"/>
        </w:rPr>
        <w:t>产于白云岩方解</w:t>
      </w:r>
      <w:r>
        <w:rPr>
          <w:rFonts w:ascii="宋体" w:hAnsi="宋体" w:eastAsia="宋体" w:cs="宋体"/>
          <w:spacing w:val="-3"/>
          <w:sz w:val="24"/>
          <w:szCs w:val="24"/>
        </w:rPr>
        <w:t>石脉</w:t>
      </w:r>
      <w:r>
        <w:rPr>
          <w:rFonts w:ascii="宋体" w:hAnsi="宋体" w:eastAsia="宋体" w:cs="宋体"/>
          <w:sz w:val="24"/>
          <w:szCs w:val="24"/>
        </w:rPr>
        <w:t xml:space="preserve"> </w:t>
      </w:r>
      <w:r>
        <w:rPr>
          <w:rFonts w:ascii="宋体" w:hAnsi="宋体" w:eastAsia="宋体" w:cs="宋体"/>
          <w:spacing w:val="5"/>
          <w:sz w:val="24"/>
          <w:szCs w:val="24"/>
        </w:rPr>
        <w:t>(团块)中，部分产于块状闪锌矿中。</w:t>
      </w:r>
    </w:p>
    <w:p w14:paraId="4EB595D5">
      <w:pPr>
        <w:spacing w:before="29" w:line="379" w:lineRule="auto"/>
        <w:ind w:left="94" w:right="232" w:firstLine="470"/>
        <w:rPr>
          <w:rFonts w:ascii="宋体" w:hAnsi="宋体" w:eastAsia="宋体" w:cs="宋体"/>
          <w:sz w:val="24"/>
          <w:szCs w:val="24"/>
        </w:rPr>
      </w:pPr>
      <w:r>
        <w:rPr>
          <w:rFonts w:ascii="宋体" w:hAnsi="宋体" w:eastAsia="宋体" w:cs="宋体"/>
          <w:sz w:val="24"/>
          <w:szCs w:val="24"/>
        </w:rPr>
        <w:t>异极矿：多为土状及皮壳状，也有呈块状的</w:t>
      </w:r>
      <w:r>
        <w:rPr>
          <w:rFonts w:ascii="宋体" w:hAnsi="宋体" w:eastAsia="宋体" w:cs="宋体"/>
          <w:spacing w:val="-1"/>
          <w:sz w:val="24"/>
          <w:szCs w:val="24"/>
        </w:rPr>
        <w:t>，其土状多为堆积在氢硫化锌和</w:t>
      </w:r>
      <w:r>
        <w:rPr>
          <w:rFonts w:ascii="宋体" w:hAnsi="宋体" w:eastAsia="宋体" w:cs="宋体"/>
          <w:sz w:val="24"/>
          <w:szCs w:val="24"/>
        </w:rPr>
        <w:t xml:space="preserve"> </w:t>
      </w:r>
      <w:r>
        <w:rPr>
          <w:rFonts w:ascii="宋体" w:hAnsi="宋体" w:eastAsia="宋体" w:cs="宋体"/>
          <w:spacing w:val="-2"/>
          <w:sz w:val="24"/>
          <w:szCs w:val="24"/>
        </w:rPr>
        <w:t>溶蚀空洞中，皮壳状多包裹在闪锌矿表面，块状粒度2.5×</w:t>
      </w:r>
      <w:r>
        <w:rPr>
          <w:rFonts w:ascii="宋体" w:hAnsi="宋体" w:eastAsia="宋体" w:cs="宋体"/>
          <w:spacing w:val="-3"/>
          <w:sz w:val="24"/>
          <w:szCs w:val="24"/>
        </w:rPr>
        <w:t>3～5×15</w:t>
      </w:r>
      <w:r>
        <w:rPr>
          <w:rFonts w:ascii="Times New Roman" w:hAnsi="Times New Roman" w:eastAsia="Times New Roman" w:cs="Times New Roman"/>
          <w:spacing w:val="-3"/>
          <w:sz w:val="24"/>
          <w:szCs w:val="24"/>
        </w:rPr>
        <w:t>mm</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左右。</w:t>
      </w:r>
    </w:p>
    <w:p w14:paraId="25B92CA5">
      <w:pPr>
        <w:spacing w:before="5" w:line="372" w:lineRule="auto"/>
        <w:ind w:left="94" w:right="251" w:firstLine="470"/>
        <w:rPr>
          <w:rFonts w:ascii="宋体" w:hAnsi="宋体" w:eastAsia="宋体" w:cs="宋体"/>
          <w:sz w:val="24"/>
          <w:szCs w:val="24"/>
        </w:rPr>
      </w:pPr>
      <w:r>
        <w:rPr>
          <w:rFonts w:ascii="宋体" w:hAnsi="宋体" w:eastAsia="宋体" w:cs="宋体"/>
          <w:spacing w:val="-2"/>
          <w:sz w:val="24"/>
          <w:szCs w:val="24"/>
        </w:rPr>
        <w:t>菱锌矿：多呈脉状覆盖于白云岩、方解石表面，粒度一般为</w:t>
      </w:r>
      <w:r>
        <w:rPr>
          <w:rFonts w:ascii="宋体" w:hAnsi="宋体" w:eastAsia="宋体" w:cs="宋体"/>
          <w:spacing w:val="-3"/>
          <w:sz w:val="24"/>
          <w:szCs w:val="24"/>
        </w:rPr>
        <w:t>0.14～0.7</w:t>
      </w:r>
      <w:r>
        <w:rPr>
          <w:rFonts w:ascii="Times New Roman" w:hAnsi="Times New Roman" w:eastAsia="Times New Roman" w:cs="Times New Roman"/>
          <w:spacing w:val="-3"/>
          <w:sz w:val="24"/>
          <w:szCs w:val="24"/>
        </w:rPr>
        <w:t>mm</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左</w:t>
      </w:r>
      <w:r>
        <w:rPr>
          <w:rFonts w:ascii="宋体" w:hAnsi="宋体" w:eastAsia="宋体" w:cs="宋体"/>
          <w:sz w:val="24"/>
          <w:szCs w:val="24"/>
        </w:rPr>
        <w:t xml:space="preserve"> </w:t>
      </w:r>
      <w:r>
        <w:rPr>
          <w:rFonts w:ascii="宋体" w:hAnsi="宋体" w:eastAsia="宋体" w:cs="宋体"/>
          <w:spacing w:val="-12"/>
          <w:sz w:val="24"/>
          <w:szCs w:val="24"/>
        </w:rPr>
        <w:t>右。</w:t>
      </w:r>
    </w:p>
    <w:p w14:paraId="2CC48F2D">
      <w:pPr>
        <w:spacing w:before="33" w:line="219" w:lineRule="auto"/>
        <w:ind w:left="565"/>
        <w:rPr>
          <w:rFonts w:ascii="宋体" w:hAnsi="宋体" w:eastAsia="宋体" w:cs="宋体"/>
          <w:sz w:val="24"/>
          <w:szCs w:val="24"/>
        </w:rPr>
      </w:pPr>
      <w:r>
        <w:rPr>
          <w:rFonts w:ascii="宋体" w:hAnsi="宋体" w:eastAsia="宋体" w:cs="宋体"/>
          <w:spacing w:val="7"/>
          <w:sz w:val="24"/>
          <w:szCs w:val="24"/>
        </w:rPr>
        <w:t>7.5.2矿石结构、构造</w:t>
      </w:r>
    </w:p>
    <w:p w14:paraId="3C80D09B">
      <w:pPr>
        <w:spacing w:before="216" w:line="379" w:lineRule="auto"/>
        <w:ind w:left="94" w:right="219" w:firstLine="470"/>
        <w:rPr>
          <w:rFonts w:ascii="宋体" w:hAnsi="宋体" w:eastAsia="宋体" w:cs="宋体"/>
          <w:sz w:val="24"/>
          <w:szCs w:val="24"/>
        </w:rPr>
      </w:pPr>
      <w:r>
        <w:rPr>
          <w:rFonts w:ascii="宋体" w:hAnsi="宋体" w:eastAsia="宋体" w:cs="宋体"/>
          <w:spacing w:val="-1"/>
          <w:sz w:val="24"/>
          <w:szCs w:val="24"/>
        </w:rPr>
        <w:t>矿石结构为自形～它形不等粒结构，斑状压碎结构、交代结构，边缘结构。</w:t>
      </w:r>
      <w:r>
        <w:rPr>
          <w:rFonts w:ascii="宋体" w:hAnsi="宋体" w:eastAsia="宋体" w:cs="宋体"/>
          <w:spacing w:val="11"/>
          <w:sz w:val="24"/>
          <w:szCs w:val="24"/>
        </w:rPr>
        <w:t xml:space="preserve"> </w:t>
      </w:r>
      <w:r>
        <w:rPr>
          <w:rFonts w:ascii="宋体" w:hAnsi="宋体" w:eastAsia="宋体" w:cs="宋体"/>
          <w:sz w:val="24"/>
          <w:szCs w:val="24"/>
        </w:rPr>
        <w:t>矿石构造主要为浸染状构造、块状构造、网脉状构造、</w:t>
      </w:r>
      <w:r>
        <w:rPr>
          <w:rFonts w:ascii="宋体" w:hAnsi="宋体" w:eastAsia="宋体" w:cs="宋体"/>
          <w:spacing w:val="-1"/>
          <w:sz w:val="24"/>
          <w:szCs w:val="24"/>
        </w:rPr>
        <w:t>环状构造、角砾状构造、</w:t>
      </w:r>
      <w:r>
        <w:rPr>
          <w:rFonts w:ascii="宋体" w:hAnsi="宋体" w:eastAsia="宋体" w:cs="宋体"/>
          <w:sz w:val="24"/>
          <w:szCs w:val="24"/>
        </w:rPr>
        <w:t xml:space="preserve"> </w:t>
      </w:r>
      <w:r>
        <w:rPr>
          <w:rFonts w:ascii="宋体" w:hAnsi="宋体" w:eastAsia="宋体" w:cs="宋体"/>
          <w:spacing w:val="-1"/>
          <w:sz w:val="24"/>
          <w:szCs w:val="24"/>
        </w:rPr>
        <w:t>皮壳、粉末状、多孔状构造。</w:t>
      </w:r>
    </w:p>
    <w:p w14:paraId="0C598384">
      <w:pPr>
        <w:spacing w:before="1" w:line="219" w:lineRule="auto"/>
        <w:ind w:left="565"/>
        <w:rPr>
          <w:rFonts w:ascii="宋体" w:hAnsi="宋体" w:eastAsia="宋体" w:cs="宋体"/>
          <w:sz w:val="24"/>
          <w:szCs w:val="24"/>
        </w:rPr>
      </w:pPr>
      <w:r>
        <w:rPr>
          <w:rFonts w:ascii="宋体" w:hAnsi="宋体" w:eastAsia="宋体" w:cs="宋体"/>
          <w:spacing w:val="8"/>
          <w:sz w:val="24"/>
          <w:szCs w:val="24"/>
        </w:rPr>
        <w:t>7.5.3矿石化学成分</w:t>
      </w:r>
    </w:p>
    <w:p w14:paraId="085733FF">
      <w:pPr>
        <w:spacing w:before="215" w:line="219" w:lineRule="auto"/>
        <w:ind w:left="714"/>
        <w:rPr>
          <w:rFonts w:ascii="宋体" w:hAnsi="宋体" w:eastAsia="宋体" w:cs="宋体"/>
          <w:sz w:val="24"/>
          <w:szCs w:val="24"/>
        </w:rPr>
      </w:pPr>
      <w:r>
        <w:rPr>
          <w:rFonts w:ascii="宋体" w:hAnsi="宋体" w:eastAsia="宋体" w:cs="宋体"/>
          <w:spacing w:val="20"/>
          <w:sz w:val="24"/>
          <w:szCs w:val="24"/>
        </w:rPr>
        <w:t>(1)主金属矿物</w:t>
      </w:r>
    </w:p>
    <w:p w14:paraId="787F0777">
      <w:pPr>
        <w:spacing w:before="211" w:line="357" w:lineRule="auto"/>
        <w:ind w:left="94" w:right="109" w:firstLine="470"/>
        <w:rPr>
          <w:rFonts w:ascii="宋体" w:hAnsi="宋体" w:eastAsia="宋体" w:cs="宋体"/>
          <w:sz w:val="23"/>
          <w:szCs w:val="23"/>
        </w:rPr>
      </w:pPr>
      <w:r>
        <w:rPr>
          <w:rFonts w:ascii="宋体" w:hAnsi="宋体" w:eastAsia="宋体" w:cs="宋体"/>
          <w:spacing w:val="-7"/>
          <w:sz w:val="26"/>
          <w:szCs w:val="26"/>
        </w:rPr>
        <w:t>矿石主金属元素为铅、锌，以锌为主。铅锌比为</w:t>
      </w:r>
      <w:r>
        <w:rPr>
          <w:rFonts w:ascii="宋体" w:hAnsi="宋体" w:eastAsia="宋体" w:cs="宋体"/>
          <w:spacing w:val="-8"/>
          <w:sz w:val="26"/>
          <w:szCs w:val="26"/>
        </w:rPr>
        <w:t>1:10～1:15,锌含量1.31~</w:t>
      </w:r>
      <w:r>
        <w:rPr>
          <w:rFonts w:ascii="宋体" w:hAnsi="宋体" w:eastAsia="宋体" w:cs="宋体"/>
          <w:sz w:val="26"/>
          <w:szCs w:val="26"/>
        </w:rPr>
        <w:t xml:space="preserve"> </w:t>
      </w:r>
      <w:r>
        <w:rPr>
          <w:rFonts w:ascii="宋体" w:hAnsi="宋体" w:eastAsia="宋体" w:cs="宋体"/>
          <w:spacing w:val="12"/>
          <w:sz w:val="23"/>
          <w:szCs w:val="23"/>
        </w:rPr>
        <w:t>21.30%,平均品位</w:t>
      </w:r>
      <w:r>
        <w:rPr>
          <w:rFonts w:ascii="Times New Roman" w:hAnsi="Times New Roman" w:eastAsia="Times New Roman" w:cs="Times New Roman"/>
          <w:sz w:val="23"/>
          <w:szCs w:val="23"/>
        </w:rPr>
        <w:t>Zn</w:t>
      </w:r>
      <w:r>
        <w:rPr>
          <w:rFonts w:ascii="Times New Roman" w:hAnsi="Times New Roman" w:eastAsia="Times New Roman" w:cs="Times New Roman"/>
          <w:spacing w:val="12"/>
          <w:sz w:val="23"/>
          <w:szCs w:val="23"/>
        </w:rPr>
        <w:t>3.41%,</w:t>
      </w:r>
      <w:r>
        <w:rPr>
          <w:rFonts w:ascii="Times New Roman" w:hAnsi="Times New Roman" w:eastAsia="Times New Roman" w:cs="Times New Roman"/>
          <w:spacing w:val="21"/>
          <w:w w:val="101"/>
          <w:sz w:val="23"/>
          <w:szCs w:val="23"/>
        </w:rPr>
        <w:t xml:space="preserve">  </w:t>
      </w:r>
      <w:r>
        <w:rPr>
          <w:rFonts w:ascii="宋体" w:hAnsi="宋体" w:eastAsia="宋体" w:cs="宋体"/>
          <w:spacing w:val="12"/>
          <w:sz w:val="23"/>
          <w:szCs w:val="23"/>
        </w:rPr>
        <w:t>铅含量平均0.5%。</w:t>
      </w:r>
    </w:p>
    <w:p w14:paraId="29E20841">
      <w:pPr>
        <w:spacing w:before="67" w:line="219" w:lineRule="auto"/>
        <w:ind w:left="724"/>
        <w:rPr>
          <w:rFonts w:ascii="宋体" w:hAnsi="宋体" w:eastAsia="宋体" w:cs="宋体"/>
          <w:sz w:val="24"/>
          <w:szCs w:val="24"/>
        </w:rPr>
      </w:pPr>
      <w:r>
        <w:rPr>
          <w:rFonts w:ascii="宋体" w:hAnsi="宋体" w:eastAsia="宋体" w:cs="宋体"/>
          <w:spacing w:val="20"/>
          <w:sz w:val="24"/>
          <w:szCs w:val="24"/>
        </w:rPr>
        <w:t>(2)伴生组分</w:t>
      </w:r>
    </w:p>
    <w:p w14:paraId="2B7830F8">
      <w:pPr>
        <w:spacing w:before="211" w:line="387" w:lineRule="auto"/>
        <w:ind w:left="94" w:right="86" w:firstLine="470"/>
        <w:rPr>
          <w:rFonts w:ascii="宋体" w:hAnsi="宋体" w:eastAsia="宋体" w:cs="宋体"/>
          <w:sz w:val="24"/>
          <w:szCs w:val="24"/>
        </w:rPr>
      </w:pPr>
      <w:r>
        <w:rPr>
          <w:rFonts w:ascii="宋体" w:hAnsi="宋体" w:eastAsia="宋体" w:cs="宋体"/>
          <w:spacing w:val="3"/>
          <w:sz w:val="24"/>
          <w:szCs w:val="24"/>
        </w:rPr>
        <w:t>主要伴生组分有镉、锗、镓、铟等，其中镉含量0.087～0.167%,平均0.13%,</w:t>
      </w:r>
      <w:r>
        <w:rPr>
          <w:rFonts w:ascii="宋体" w:hAnsi="宋体" w:eastAsia="宋体" w:cs="宋体"/>
          <w:spacing w:val="6"/>
          <w:sz w:val="24"/>
          <w:szCs w:val="24"/>
        </w:rPr>
        <w:t xml:space="preserve"> </w:t>
      </w:r>
      <w:r>
        <w:rPr>
          <w:rFonts w:ascii="宋体" w:hAnsi="宋体" w:eastAsia="宋体" w:cs="宋体"/>
          <w:spacing w:val="3"/>
          <w:sz w:val="24"/>
          <w:szCs w:val="24"/>
        </w:rPr>
        <w:t>具有工业价值。由于原勘探报告经核实复审后，锗、镓、铟化验样品数量少，分</w:t>
      </w:r>
      <w:r>
        <w:rPr>
          <w:rFonts w:ascii="宋体" w:hAnsi="宋体" w:eastAsia="宋体" w:cs="宋体"/>
          <w:spacing w:val="4"/>
          <w:sz w:val="24"/>
          <w:szCs w:val="24"/>
        </w:rPr>
        <w:t xml:space="preserve"> </w:t>
      </w:r>
      <w:r>
        <w:rPr>
          <w:rFonts w:ascii="宋体" w:hAnsi="宋体" w:eastAsia="宋体" w:cs="宋体"/>
          <w:sz w:val="24"/>
          <w:szCs w:val="24"/>
        </w:rPr>
        <w:t>析外检超差较大，暂不批准储量。因此本次只对镉进行了资源量统计。</w:t>
      </w:r>
    </w:p>
    <w:p w14:paraId="63C3B405">
      <w:pPr>
        <w:spacing w:before="5" w:line="219" w:lineRule="auto"/>
        <w:ind w:left="565"/>
        <w:rPr>
          <w:rFonts w:ascii="宋体" w:hAnsi="宋体" w:eastAsia="宋体" w:cs="宋体"/>
          <w:sz w:val="24"/>
          <w:szCs w:val="24"/>
        </w:rPr>
      </w:pPr>
      <w:r>
        <w:rPr>
          <w:rFonts w:ascii="宋体" w:hAnsi="宋体" w:eastAsia="宋体" w:cs="宋体"/>
          <w:spacing w:val="13"/>
          <w:sz w:val="24"/>
          <w:szCs w:val="24"/>
        </w:rPr>
        <w:t>7.5.4矿石类型</w:t>
      </w:r>
    </w:p>
    <w:p w14:paraId="75CD6156">
      <w:pPr>
        <w:spacing w:before="224" w:line="386" w:lineRule="auto"/>
        <w:ind w:left="94" w:right="9" w:firstLine="470"/>
        <w:rPr>
          <w:rFonts w:ascii="宋体" w:hAnsi="宋体" w:eastAsia="宋体" w:cs="宋体"/>
          <w:sz w:val="24"/>
          <w:szCs w:val="24"/>
        </w:rPr>
      </w:pPr>
      <w:r>
        <w:rPr>
          <w:rFonts w:ascii="宋体" w:hAnsi="宋体" w:eastAsia="宋体" w:cs="宋体"/>
          <w:spacing w:val="-1"/>
          <w:sz w:val="24"/>
          <w:szCs w:val="24"/>
        </w:rPr>
        <w:t>铅矿石中硫化铅71.71～75.07%;碳酸铅24.93～19.08%左右；铅矾5.27%左右；</w:t>
      </w:r>
      <w:r>
        <w:rPr>
          <w:rFonts w:ascii="宋体" w:hAnsi="宋体" w:eastAsia="宋体" w:cs="宋体"/>
          <w:spacing w:val="17"/>
          <w:sz w:val="24"/>
          <w:szCs w:val="24"/>
        </w:rPr>
        <w:t xml:space="preserve"> </w:t>
      </w:r>
      <w:r>
        <w:rPr>
          <w:rFonts w:ascii="宋体" w:hAnsi="宋体" w:eastAsia="宋体" w:cs="宋体"/>
          <w:spacing w:val="8"/>
          <w:sz w:val="24"/>
          <w:szCs w:val="24"/>
        </w:rPr>
        <w:t>锌矾1.97%左右；磷氯砷铅石1.97%左右。锌矿中硫化锌68.77～76.79%;氧化锌</w:t>
      </w:r>
    </w:p>
    <w:p w14:paraId="5FD9B829">
      <w:pPr>
        <w:spacing w:line="386" w:lineRule="auto"/>
        <w:rPr>
          <w:rFonts w:ascii="宋体" w:hAnsi="宋体" w:eastAsia="宋体" w:cs="宋体"/>
          <w:sz w:val="24"/>
          <w:szCs w:val="24"/>
        </w:rPr>
        <w:sectPr>
          <w:headerReference r:id="rId54" w:type="default"/>
          <w:footerReference r:id="rId55" w:type="default"/>
          <w:pgSz w:w="11900" w:h="16830"/>
          <w:pgMar w:top="1186" w:right="1410" w:bottom="1269" w:left="1785" w:header="910" w:footer="918" w:gutter="0"/>
          <w:cols w:space="720" w:num="1"/>
        </w:sectPr>
      </w:pPr>
    </w:p>
    <w:p w14:paraId="70D4BAAA">
      <w:pPr>
        <w:pStyle w:val="2"/>
        <w:spacing w:line="413" w:lineRule="auto"/>
      </w:pPr>
    </w:p>
    <w:p w14:paraId="04840679">
      <w:pPr>
        <w:spacing w:before="78" w:line="220" w:lineRule="auto"/>
        <w:ind w:left="94"/>
        <w:rPr>
          <w:rFonts w:ascii="宋体" w:hAnsi="宋体" w:eastAsia="宋体" w:cs="宋体"/>
          <w:sz w:val="24"/>
          <w:szCs w:val="24"/>
        </w:rPr>
      </w:pPr>
      <w:bookmarkStart w:id="23" w:name="bookmark54"/>
      <w:bookmarkEnd w:id="23"/>
      <w:r>
        <w:rPr>
          <w:rFonts w:ascii="宋体" w:hAnsi="宋体" w:eastAsia="宋体" w:cs="宋体"/>
          <w:spacing w:val="3"/>
          <w:sz w:val="24"/>
          <w:szCs w:val="24"/>
        </w:rPr>
        <w:t>31.23～22.87%;硫酸锌1%左右。</w:t>
      </w:r>
    </w:p>
    <w:p w14:paraId="3310A3AB">
      <w:pPr>
        <w:spacing w:before="213" w:line="378" w:lineRule="auto"/>
        <w:ind w:left="94" w:right="993" w:firstLine="510"/>
        <w:rPr>
          <w:rFonts w:ascii="宋体" w:hAnsi="宋体" w:eastAsia="宋体" w:cs="宋体"/>
          <w:sz w:val="24"/>
          <w:szCs w:val="24"/>
        </w:rPr>
      </w:pPr>
      <w:r>
        <w:rPr>
          <w:rFonts w:ascii="宋体" w:hAnsi="宋体" w:eastAsia="宋体" w:cs="宋体"/>
          <w:sz w:val="24"/>
          <w:szCs w:val="24"/>
        </w:rPr>
        <w:t>矿石自然类型为硫化铅锌矿石，矿石结构为自形、</w:t>
      </w:r>
      <w:r>
        <w:rPr>
          <w:rFonts w:ascii="宋体" w:hAnsi="宋体" w:eastAsia="宋体" w:cs="宋体"/>
          <w:spacing w:val="-1"/>
          <w:sz w:val="24"/>
          <w:szCs w:val="24"/>
        </w:rPr>
        <w:t>半自形、他形晶粒状结</w:t>
      </w:r>
      <w:r>
        <w:rPr>
          <w:rFonts w:ascii="宋体" w:hAnsi="宋体" w:eastAsia="宋体" w:cs="宋体"/>
          <w:sz w:val="24"/>
          <w:szCs w:val="24"/>
        </w:rPr>
        <w:t xml:space="preserve"> </w:t>
      </w:r>
      <w:r>
        <w:rPr>
          <w:rFonts w:ascii="宋体" w:hAnsi="宋体" w:eastAsia="宋体" w:cs="宋体"/>
          <w:spacing w:val="-2"/>
          <w:sz w:val="24"/>
          <w:szCs w:val="24"/>
        </w:rPr>
        <w:t>构，主要构造为浸染状、块状、角砾状构造及土状构造等。</w:t>
      </w:r>
    </w:p>
    <w:p w14:paraId="75954B3F">
      <w:pPr>
        <w:spacing w:before="7" w:line="219" w:lineRule="auto"/>
        <w:ind w:left="604"/>
        <w:outlineLvl w:val="1"/>
        <w:rPr>
          <w:rFonts w:ascii="宋体" w:hAnsi="宋体" w:eastAsia="宋体" w:cs="宋体"/>
          <w:sz w:val="24"/>
          <w:szCs w:val="24"/>
        </w:rPr>
      </w:pPr>
      <w:bookmarkStart w:id="24" w:name="bookmark15"/>
      <w:bookmarkEnd w:id="24"/>
      <w:r>
        <w:rPr>
          <w:rFonts w:ascii="宋体" w:hAnsi="宋体" w:eastAsia="宋体" w:cs="宋体"/>
          <w:spacing w:val="7"/>
          <w:sz w:val="24"/>
          <w:szCs w:val="24"/>
        </w:rPr>
        <w:t>7.6矿床工业品级</w:t>
      </w:r>
    </w:p>
    <w:p w14:paraId="31C6D063">
      <w:pPr>
        <w:spacing w:before="222" w:line="218" w:lineRule="auto"/>
        <w:ind w:left="604"/>
        <w:rPr>
          <w:rFonts w:ascii="宋体" w:hAnsi="宋体" w:eastAsia="宋体" w:cs="宋体"/>
          <w:sz w:val="24"/>
          <w:szCs w:val="24"/>
        </w:rPr>
      </w:pPr>
      <w:r>
        <w:rPr>
          <w:rFonts w:ascii="宋体" w:hAnsi="宋体" w:eastAsia="宋体" w:cs="宋体"/>
          <w:sz w:val="24"/>
          <w:szCs w:val="24"/>
        </w:rPr>
        <w:t>铅锌矿矿石均为硫化矿无低品位锌矿石。因此，本</w:t>
      </w:r>
      <w:r>
        <w:rPr>
          <w:rFonts w:ascii="宋体" w:hAnsi="宋体" w:eastAsia="宋体" w:cs="宋体"/>
          <w:spacing w:val="-1"/>
          <w:sz w:val="24"/>
          <w:szCs w:val="24"/>
        </w:rPr>
        <w:t>核实报告锌矿匀为工业矿</w:t>
      </w:r>
    </w:p>
    <w:p w14:paraId="75E78DDC">
      <w:pPr>
        <w:spacing w:before="218" w:line="219" w:lineRule="auto"/>
        <w:ind w:left="94"/>
        <w:rPr>
          <w:rFonts w:ascii="宋体" w:hAnsi="宋体" w:eastAsia="宋体" w:cs="宋体"/>
          <w:sz w:val="24"/>
          <w:szCs w:val="24"/>
        </w:rPr>
      </w:pPr>
      <w:r>
        <w:rPr>
          <w:rFonts w:ascii="宋体" w:hAnsi="宋体" w:eastAsia="宋体" w:cs="宋体"/>
          <w:spacing w:val="-3"/>
          <w:sz w:val="24"/>
          <w:szCs w:val="24"/>
        </w:rPr>
        <w:t>一个品级。按矿石类型，划分矿石工业品级见表。</w:t>
      </w:r>
    </w:p>
    <w:p w14:paraId="2C45701B">
      <w:pPr>
        <w:spacing w:before="45" w:line="212" w:lineRule="auto"/>
        <w:ind w:left="3274"/>
        <w:rPr>
          <w:rFonts w:ascii="宋体" w:hAnsi="宋体" w:eastAsia="宋体" w:cs="宋体"/>
          <w:sz w:val="24"/>
          <w:szCs w:val="24"/>
        </w:rPr>
      </w:pPr>
      <w:r>
        <w:rPr>
          <w:rFonts w:ascii="宋体" w:hAnsi="宋体" w:eastAsia="宋体" w:cs="宋体"/>
          <w:spacing w:val="-1"/>
          <w:sz w:val="24"/>
          <w:szCs w:val="24"/>
        </w:rPr>
        <w:t>矿石工业品级划分表</w:t>
      </w:r>
    </w:p>
    <w:tbl>
      <w:tblPr>
        <w:tblStyle w:val="5"/>
        <w:tblW w:w="9229"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3"/>
        <w:gridCol w:w="1388"/>
        <w:gridCol w:w="3316"/>
        <w:gridCol w:w="3082"/>
      </w:tblGrid>
      <w:tr w14:paraId="6A6A4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443" w:type="dxa"/>
            <w:vAlign w:val="top"/>
          </w:tcPr>
          <w:p w14:paraId="2B5526B2">
            <w:pPr>
              <w:pStyle w:val="6"/>
              <w:spacing w:before="74" w:line="219" w:lineRule="auto"/>
              <w:ind w:left="255"/>
              <w:rPr>
                <w:sz w:val="23"/>
                <w:szCs w:val="23"/>
              </w:rPr>
            </w:pPr>
            <w:r>
              <w:rPr>
                <w:spacing w:val="3"/>
                <w:sz w:val="23"/>
                <w:szCs w:val="23"/>
              </w:rPr>
              <w:t>矿石类型</w:t>
            </w:r>
          </w:p>
        </w:tc>
        <w:tc>
          <w:tcPr>
            <w:tcW w:w="1388" w:type="dxa"/>
            <w:vAlign w:val="top"/>
          </w:tcPr>
          <w:p w14:paraId="1266BE36">
            <w:pPr>
              <w:pStyle w:val="6"/>
              <w:spacing w:before="77" w:line="219" w:lineRule="auto"/>
              <w:ind w:left="452"/>
              <w:rPr>
                <w:sz w:val="23"/>
                <w:szCs w:val="23"/>
              </w:rPr>
            </w:pPr>
            <w:r>
              <w:rPr>
                <w:spacing w:val="7"/>
                <w:sz w:val="23"/>
                <w:szCs w:val="23"/>
              </w:rPr>
              <w:t>品级</w:t>
            </w:r>
          </w:p>
        </w:tc>
        <w:tc>
          <w:tcPr>
            <w:tcW w:w="3316" w:type="dxa"/>
            <w:vAlign w:val="top"/>
          </w:tcPr>
          <w:p w14:paraId="75A28AAA">
            <w:pPr>
              <w:pStyle w:val="6"/>
              <w:spacing w:before="73" w:line="219" w:lineRule="auto"/>
              <w:ind w:left="1014"/>
              <w:rPr>
                <w:sz w:val="23"/>
                <w:szCs w:val="23"/>
              </w:rPr>
            </w:pPr>
            <w:r>
              <w:rPr>
                <w:sz w:val="23"/>
                <w:szCs w:val="23"/>
              </w:rPr>
              <w:t>Zn</w:t>
            </w:r>
            <w:r>
              <w:rPr>
                <w:spacing w:val="9"/>
                <w:sz w:val="23"/>
                <w:szCs w:val="23"/>
              </w:rPr>
              <w:t>氧化率(%)</w:t>
            </w:r>
          </w:p>
        </w:tc>
        <w:tc>
          <w:tcPr>
            <w:tcW w:w="3082" w:type="dxa"/>
            <w:vAlign w:val="top"/>
          </w:tcPr>
          <w:p w14:paraId="6EC4E907">
            <w:pPr>
              <w:pStyle w:val="6"/>
              <w:spacing w:before="74" w:line="219" w:lineRule="auto"/>
              <w:ind w:left="558"/>
              <w:rPr>
                <w:sz w:val="23"/>
                <w:szCs w:val="23"/>
              </w:rPr>
            </w:pPr>
            <w:r>
              <w:rPr>
                <w:spacing w:val="5"/>
                <w:sz w:val="23"/>
                <w:szCs w:val="23"/>
              </w:rPr>
              <w:t>矿床平均品位</w:t>
            </w:r>
            <w:r>
              <w:rPr>
                <w:sz w:val="23"/>
                <w:szCs w:val="23"/>
              </w:rPr>
              <w:t>Zn</w:t>
            </w:r>
            <w:r>
              <w:rPr>
                <w:spacing w:val="5"/>
                <w:sz w:val="23"/>
                <w:szCs w:val="23"/>
              </w:rPr>
              <w:t>(%)</w:t>
            </w:r>
          </w:p>
        </w:tc>
      </w:tr>
      <w:tr w14:paraId="57810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443" w:type="dxa"/>
            <w:vAlign w:val="top"/>
          </w:tcPr>
          <w:p w14:paraId="1C1F827D">
            <w:pPr>
              <w:pStyle w:val="6"/>
              <w:spacing w:before="74" w:line="219" w:lineRule="auto"/>
              <w:ind w:left="255"/>
              <w:rPr>
                <w:sz w:val="23"/>
                <w:szCs w:val="23"/>
              </w:rPr>
            </w:pPr>
            <w:r>
              <w:rPr>
                <w:spacing w:val="-2"/>
                <w:sz w:val="23"/>
                <w:szCs w:val="23"/>
              </w:rPr>
              <w:t>硫化矿石</w:t>
            </w:r>
          </w:p>
        </w:tc>
        <w:tc>
          <w:tcPr>
            <w:tcW w:w="1388" w:type="dxa"/>
            <w:vAlign w:val="top"/>
          </w:tcPr>
          <w:p w14:paraId="03660058">
            <w:pPr>
              <w:pStyle w:val="6"/>
              <w:spacing w:before="114" w:line="195" w:lineRule="auto"/>
              <w:ind w:left="341"/>
              <w:rPr>
                <w:sz w:val="23"/>
                <w:szCs w:val="23"/>
              </w:rPr>
            </w:pPr>
            <w:r>
              <w:rPr>
                <w:spacing w:val="3"/>
                <w:sz w:val="23"/>
                <w:szCs w:val="23"/>
              </w:rPr>
              <w:t>工业矿</w:t>
            </w:r>
          </w:p>
        </w:tc>
        <w:tc>
          <w:tcPr>
            <w:tcW w:w="3316" w:type="dxa"/>
            <w:vAlign w:val="top"/>
          </w:tcPr>
          <w:p w14:paraId="36416BCD">
            <w:pPr>
              <w:pStyle w:val="6"/>
              <w:spacing w:before="135" w:line="178" w:lineRule="auto"/>
              <w:ind w:left="1423"/>
              <w:rPr>
                <w:sz w:val="23"/>
                <w:szCs w:val="23"/>
              </w:rPr>
            </w:pPr>
            <w:r>
              <w:rPr>
                <w:spacing w:val="-7"/>
                <w:sz w:val="23"/>
                <w:szCs w:val="23"/>
              </w:rPr>
              <w:t>≤10</w:t>
            </w:r>
          </w:p>
        </w:tc>
        <w:tc>
          <w:tcPr>
            <w:tcW w:w="3082" w:type="dxa"/>
            <w:vAlign w:val="top"/>
          </w:tcPr>
          <w:p w14:paraId="5CB82A4D">
            <w:pPr>
              <w:pStyle w:val="6"/>
              <w:spacing w:before="147" w:line="168" w:lineRule="auto"/>
              <w:ind w:left="1248"/>
              <w:rPr>
                <w:sz w:val="23"/>
                <w:szCs w:val="23"/>
              </w:rPr>
            </w:pPr>
            <w:r>
              <w:rPr>
                <w:spacing w:val="-4"/>
                <w:sz w:val="23"/>
                <w:szCs w:val="23"/>
              </w:rPr>
              <w:t>&gt;4.61</w:t>
            </w:r>
          </w:p>
        </w:tc>
      </w:tr>
    </w:tbl>
    <w:p w14:paraId="0F77DC18">
      <w:pPr>
        <w:spacing w:before="188" w:line="219" w:lineRule="auto"/>
        <w:ind w:left="604"/>
        <w:outlineLvl w:val="1"/>
        <w:rPr>
          <w:rFonts w:ascii="宋体" w:hAnsi="宋体" w:eastAsia="宋体" w:cs="宋体"/>
          <w:sz w:val="24"/>
          <w:szCs w:val="24"/>
        </w:rPr>
      </w:pPr>
      <w:bookmarkStart w:id="25" w:name="bookmark16"/>
      <w:bookmarkEnd w:id="25"/>
      <w:r>
        <w:rPr>
          <w:rFonts w:ascii="宋体" w:hAnsi="宋体" w:eastAsia="宋体" w:cs="宋体"/>
          <w:spacing w:val="5"/>
          <w:sz w:val="24"/>
          <w:szCs w:val="24"/>
        </w:rPr>
        <w:t>7.7矿体围岩及夹石</w:t>
      </w:r>
    </w:p>
    <w:p w14:paraId="257E6A9C">
      <w:pPr>
        <w:spacing w:before="222" w:line="379" w:lineRule="auto"/>
        <w:ind w:left="94" w:right="753" w:firstLine="510"/>
        <w:jc w:val="both"/>
        <w:rPr>
          <w:rFonts w:ascii="宋体" w:hAnsi="宋体" w:eastAsia="宋体" w:cs="宋体"/>
          <w:sz w:val="24"/>
          <w:szCs w:val="24"/>
        </w:rPr>
      </w:pPr>
      <w:r>
        <w:rPr>
          <w:rFonts w:ascii="宋体" w:hAnsi="宋体" w:eastAsia="宋体" w:cs="宋体"/>
          <w:sz w:val="24"/>
          <w:szCs w:val="24"/>
        </w:rPr>
        <w:t>矿区矿体赋存于二叠系阳新组灰岩中部，矿体顶板为</w:t>
      </w:r>
      <w:r>
        <w:rPr>
          <w:rFonts w:ascii="宋体" w:hAnsi="宋体" w:eastAsia="宋体" w:cs="宋体"/>
          <w:spacing w:val="-1"/>
          <w:sz w:val="24"/>
          <w:szCs w:val="24"/>
        </w:rPr>
        <w:t>灰、浅灰色块状构造硅</w:t>
      </w:r>
      <w:r>
        <w:rPr>
          <w:rFonts w:ascii="宋体" w:hAnsi="宋体" w:eastAsia="宋体" w:cs="宋体"/>
          <w:sz w:val="24"/>
          <w:szCs w:val="24"/>
        </w:rPr>
        <w:t xml:space="preserve"> 化灰岩，由于围岩硅化较强，岩石质地坚硬，节理裂</w:t>
      </w:r>
      <w:r>
        <w:rPr>
          <w:rFonts w:ascii="宋体" w:hAnsi="宋体" w:eastAsia="宋体" w:cs="宋体"/>
          <w:spacing w:val="-1"/>
          <w:sz w:val="24"/>
          <w:szCs w:val="24"/>
        </w:rPr>
        <w:t>隙不发育，地貌上常形成陡</w:t>
      </w:r>
      <w:r>
        <w:rPr>
          <w:rFonts w:ascii="宋体" w:hAnsi="宋体" w:eastAsia="宋体" w:cs="宋体"/>
          <w:sz w:val="24"/>
          <w:szCs w:val="24"/>
        </w:rPr>
        <w:t xml:space="preserve"> 崖。矿体底板为灰、深灰色中层块状白云石灰岩，岩石破碎后可见硫化物充填其</w:t>
      </w:r>
      <w:r>
        <w:rPr>
          <w:rFonts w:ascii="宋体" w:hAnsi="宋体" w:eastAsia="宋体" w:cs="宋体"/>
          <w:spacing w:val="9"/>
          <w:sz w:val="24"/>
          <w:szCs w:val="24"/>
        </w:rPr>
        <w:t xml:space="preserve"> </w:t>
      </w:r>
      <w:r>
        <w:rPr>
          <w:rFonts w:ascii="宋体" w:hAnsi="宋体" w:eastAsia="宋体" w:cs="宋体"/>
          <w:spacing w:val="-16"/>
          <w:sz w:val="24"/>
          <w:szCs w:val="24"/>
        </w:rPr>
        <w:t>中。</w:t>
      </w:r>
    </w:p>
    <w:p w14:paraId="6708E804">
      <w:pPr>
        <w:spacing w:before="32" w:line="379" w:lineRule="auto"/>
        <w:ind w:left="94" w:right="654" w:firstLine="510"/>
        <w:jc w:val="both"/>
        <w:rPr>
          <w:rFonts w:ascii="宋体" w:hAnsi="宋体" w:eastAsia="宋体" w:cs="宋体"/>
          <w:sz w:val="24"/>
          <w:szCs w:val="24"/>
        </w:rPr>
      </w:pPr>
      <w:r>
        <w:rPr>
          <w:rFonts w:ascii="宋体" w:hAnsi="宋体" w:eastAsia="宋体" w:cs="宋体"/>
          <w:spacing w:val="3"/>
          <w:sz w:val="24"/>
          <w:szCs w:val="24"/>
        </w:rPr>
        <w:t>根据巷道揭露矿体看，矿体与围岩界线清晰，矿体内</w:t>
      </w:r>
      <w:r>
        <w:rPr>
          <w:rFonts w:ascii="宋体" w:hAnsi="宋体" w:eastAsia="宋体" w:cs="宋体"/>
          <w:spacing w:val="2"/>
          <w:sz w:val="24"/>
          <w:szCs w:val="24"/>
        </w:rPr>
        <w:t>基本没有发现夹石，矿</w:t>
      </w:r>
      <w:r>
        <w:rPr>
          <w:rFonts w:ascii="宋体" w:hAnsi="宋体" w:eastAsia="宋体" w:cs="宋体"/>
          <w:sz w:val="24"/>
          <w:szCs w:val="24"/>
        </w:rPr>
        <w:t xml:space="preserve"> </w:t>
      </w:r>
      <w:r>
        <w:rPr>
          <w:rFonts w:ascii="宋体" w:hAnsi="宋体" w:eastAsia="宋体" w:cs="宋体"/>
          <w:spacing w:val="3"/>
          <w:sz w:val="24"/>
          <w:szCs w:val="24"/>
        </w:rPr>
        <w:t>体较完整连续。结晶灰岩、白云质灰岩、白云岩及其硅化灰岩为本</w:t>
      </w:r>
      <w:r>
        <w:rPr>
          <w:rFonts w:ascii="宋体" w:hAnsi="宋体" w:eastAsia="宋体" w:cs="宋体"/>
          <w:spacing w:val="2"/>
          <w:sz w:val="24"/>
          <w:szCs w:val="24"/>
        </w:rPr>
        <w:t>区赋矿及矿化</w:t>
      </w:r>
      <w:r>
        <w:rPr>
          <w:rFonts w:ascii="宋体" w:hAnsi="宋体" w:eastAsia="宋体" w:cs="宋体"/>
          <w:sz w:val="24"/>
          <w:szCs w:val="24"/>
        </w:rPr>
        <w:t xml:space="preserve"> </w:t>
      </w:r>
      <w:r>
        <w:rPr>
          <w:rFonts w:ascii="宋体" w:hAnsi="宋体" w:eastAsia="宋体" w:cs="宋体"/>
          <w:spacing w:val="-9"/>
          <w:sz w:val="24"/>
          <w:szCs w:val="24"/>
        </w:rPr>
        <w:t>围岩。</w:t>
      </w:r>
    </w:p>
    <w:p w14:paraId="6D40A4A2">
      <w:pPr>
        <w:spacing w:before="12" w:line="219" w:lineRule="auto"/>
        <w:ind w:left="604"/>
        <w:outlineLvl w:val="1"/>
        <w:rPr>
          <w:rFonts w:ascii="宋体" w:hAnsi="宋体" w:eastAsia="宋体" w:cs="宋体"/>
          <w:sz w:val="24"/>
          <w:szCs w:val="24"/>
        </w:rPr>
      </w:pPr>
      <w:bookmarkStart w:id="26" w:name="bookmark17"/>
      <w:bookmarkEnd w:id="26"/>
      <w:r>
        <w:rPr>
          <w:rFonts w:ascii="宋体" w:hAnsi="宋体" w:eastAsia="宋体" w:cs="宋体"/>
          <w:spacing w:val="26"/>
          <w:sz w:val="24"/>
          <w:szCs w:val="24"/>
        </w:rPr>
        <w:t>7.8矿床共(伴)生矿产</w:t>
      </w:r>
    </w:p>
    <w:p w14:paraId="0855E551">
      <w:pPr>
        <w:spacing w:before="201" w:line="386" w:lineRule="auto"/>
        <w:ind w:left="94" w:right="653" w:firstLine="510"/>
        <w:rPr>
          <w:rFonts w:ascii="宋体" w:hAnsi="宋体" w:eastAsia="宋体" w:cs="宋体"/>
          <w:sz w:val="24"/>
          <w:szCs w:val="24"/>
        </w:rPr>
      </w:pPr>
      <w:r>
        <w:rPr>
          <w:rFonts w:ascii="宋体" w:hAnsi="宋体" w:eastAsia="宋体" w:cs="宋体"/>
          <w:spacing w:val="3"/>
          <w:sz w:val="24"/>
          <w:szCs w:val="24"/>
        </w:rPr>
        <w:t>矿区共圈定了19个铅锌矿体，通过矿山调查及原</w:t>
      </w:r>
      <w:r>
        <w:rPr>
          <w:rFonts w:ascii="宋体" w:hAnsi="宋体" w:eastAsia="宋体" w:cs="宋体"/>
          <w:spacing w:val="2"/>
          <w:sz w:val="24"/>
          <w:szCs w:val="24"/>
        </w:rPr>
        <w:t>勘探储量报告，矿床内伴生</w:t>
      </w:r>
      <w:r>
        <w:rPr>
          <w:rFonts w:ascii="宋体" w:hAnsi="宋体" w:eastAsia="宋体" w:cs="宋体"/>
          <w:sz w:val="24"/>
          <w:szCs w:val="24"/>
        </w:rPr>
        <w:t xml:space="preserve"> </w:t>
      </w:r>
      <w:r>
        <w:rPr>
          <w:rFonts w:ascii="宋体" w:hAnsi="宋体" w:eastAsia="宋体" w:cs="宋体"/>
          <w:spacing w:val="2"/>
          <w:sz w:val="24"/>
          <w:szCs w:val="24"/>
        </w:rPr>
        <w:t>有益组分主要为镉、锗、镓、铟等，参照《矿产地质勘查规范铜、铅、锌、银、</w:t>
      </w:r>
      <w:r>
        <w:rPr>
          <w:rFonts w:ascii="宋体" w:hAnsi="宋体" w:eastAsia="宋体" w:cs="宋体"/>
          <w:spacing w:val="9"/>
          <w:sz w:val="24"/>
          <w:szCs w:val="24"/>
        </w:rPr>
        <w:t xml:space="preserve"> </w:t>
      </w:r>
      <w:r>
        <w:rPr>
          <w:rFonts w:ascii="宋体" w:hAnsi="宋体" w:eastAsia="宋体" w:cs="宋体"/>
          <w:spacing w:val="-1"/>
          <w:sz w:val="24"/>
          <w:szCs w:val="24"/>
        </w:rPr>
        <w:t>镍、钼》(</w:t>
      </w:r>
      <w:r>
        <w:rPr>
          <w:rFonts w:ascii="Times New Roman" w:hAnsi="Times New Roman" w:eastAsia="Times New Roman" w:cs="Times New Roman"/>
          <w:spacing w:val="-1"/>
          <w:sz w:val="24"/>
          <w:szCs w:val="24"/>
        </w:rPr>
        <w:t>DZ/T0214—2020)</w:t>
      </w:r>
      <w:r>
        <w:rPr>
          <w:rFonts w:ascii="宋体" w:hAnsi="宋体" w:eastAsia="宋体" w:cs="宋体"/>
          <w:spacing w:val="-1"/>
          <w:sz w:val="24"/>
          <w:szCs w:val="24"/>
        </w:rPr>
        <w:t>中关于“铅锌矿床伴生有用组分评价表”,除镉达到伴</w:t>
      </w:r>
      <w:r>
        <w:rPr>
          <w:rFonts w:ascii="宋体" w:hAnsi="宋体" w:eastAsia="宋体" w:cs="宋体"/>
          <w:spacing w:val="16"/>
          <w:sz w:val="24"/>
          <w:szCs w:val="24"/>
        </w:rPr>
        <w:t xml:space="preserve"> </w:t>
      </w:r>
      <w:r>
        <w:rPr>
          <w:rFonts w:ascii="宋体" w:hAnsi="宋体" w:eastAsia="宋体" w:cs="宋体"/>
          <w:spacing w:val="-1"/>
          <w:sz w:val="24"/>
          <w:szCs w:val="24"/>
        </w:rPr>
        <w:t>生矿产的综合利用价值外，其它无经济意义。</w:t>
      </w:r>
    </w:p>
    <w:p w14:paraId="27A3E48E">
      <w:pPr>
        <w:spacing w:before="7" w:line="219" w:lineRule="auto"/>
        <w:ind w:left="604"/>
        <w:outlineLvl w:val="1"/>
        <w:rPr>
          <w:rFonts w:ascii="宋体" w:hAnsi="宋体" w:eastAsia="宋体" w:cs="宋体"/>
          <w:sz w:val="24"/>
          <w:szCs w:val="24"/>
        </w:rPr>
      </w:pPr>
      <w:bookmarkStart w:id="27" w:name="bookmark18"/>
      <w:bookmarkEnd w:id="27"/>
      <w:r>
        <w:rPr>
          <w:rFonts w:ascii="宋体" w:hAnsi="宋体" w:eastAsia="宋体" w:cs="宋体"/>
          <w:spacing w:val="6"/>
          <w:sz w:val="24"/>
          <w:szCs w:val="24"/>
        </w:rPr>
        <w:t>7.9矿石加工技术性能</w:t>
      </w:r>
    </w:p>
    <w:p w14:paraId="70C2974F">
      <w:pPr>
        <w:spacing w:before="225" w:line="378" w:lineRule="auto"/>
        <w:ind w:left="94" w:right="756" w:firstLine="510"/>
        <w:jc w:val="both"/>
        <w:rPr>
          <w:rFonts w:ascii="宋体" w:hAnsi="宋体" w:eastAsia="宋体" w:cs="宋体"/>
          <w:sz w:val="24"/>
          <w:szCs w:val="24"/>
        </w:rPr>
      </w:pPr>
      <w:r>
        <w:rPr>
          <w:rFonts w:ascii="宋体" w:hAnsi="宋体" w:eastAsia="宋体" w:cs="宋体"/>
          <w:sz w:val="24"/>
          <w:szCs w:val="24"/>
        </w:rPr>
        <w:t>罗平锌电股份有限公司富乐铅锌矿选矿厂采用</w:t>
      </w:r>
      <w:r>
        <w:rPr>
          <w:rFonts w:ascii="宋体" w:hAnsi="宋体" w:eastAsia="宋体" w:cs="宋体"/>
          <w:spacing w:val="-1"/>
          <w:sz w:val="24"/>
          <w:szCs w:val="24"/>
        </w:rPr>
        <w:t>优先浮选铅一粗二精，锌采用</w:t>
      </w:r>
      <w:r>
        <w:rPr>
          <w:rFonts w:ascii="宋体" w:hAnsi="宋体" w:eastAsia="宋体" w:cs="宋体"/>
          <w:sz w:val="24"/>
          <w:szCs w:val="24"/>
        </w:rPr>
        <w:t xml:space="preserve"> 一粗一扫二精，锌采用二段脱水作业，产品中含杂质较低，符合行业标准，并且</w:t>
      </w:r>
      <w:r>
        <w:rPr>
          <w:rFonts w:ascii="宋体" w:hAnsi="宋体" w:eastAsia="宋体" w:cs="宋体"/>
          <w:spacing w:val="10"/>
          <w:sz w:val="24"/>
          <w:szCs w:val="24"/>
        </w:rPr>
        <w:t xml:space="preserve"> </w:t>
      </w:r>
      <w:r>
        <w:rPr>
          <w:rFonts w:ascii="宋体" w:hAnsi="宋体" w:eastAsia="宋体" w:cs="宋体"/>
          <w:spacing w:val="-1"/>
          <w:sz w:val="24"/>
          <w:szCs w:val="24"/>
        </w:rPr>
        <w:t>还可以从精矿中综合回收镉、铟、锗等。</w:t>
      </w:r>
    </w:p>
    <w:p w14:paraId="4F65678F">
      <w:pPr>
        <w:spacing w:line="378" w:lineRule="auto"/>
        <w:rPr>
          <w:rFonts w:ascii="宋体" w:hAnsi="宋体" w:eastAsia="宋体" w:cs="宋体"/>
          <w:sz w:val="24"/>
          <w:szCs w:val="24"/>
        </w:rPr>
        <w:sectPr>
          <w:headerReference r:id="rId56" w:type="default"/>
          <w:footerReference r:id="rId57" w:type="default"/>
          <w:pgSz w:w="11900" w:h="16830"/>
          <w:pgMar w:top="1186" w:right="845" w:bottom="1269" w:left="1785" w:header="910" w:footer="928" w:gutter="0"/>
          <w:cols w:space="720" w:num="1"/>
        </w:sectPr>
      </w:pPr>
    </w:p>
    <w:p w14:paraId="219B207F">
      <w:pPr>
        <w:pStyle w:val="2"/>
        <w:spacing w:line="274" w:lineRule="auto"/>
      </w:pPr>
    </w:p>
    <w:p w14:paraId="21A711AD">
      <w:pPr>
        <w:pStyle w:val="2"/>
        <w:spacing w:line="274" w:lineRule="auto"/>
      </w:pPr>
    </w:p>
    <w:p w14:paraId="7388086A">
      <w:pPr>
        <w:pStyle w:val="2"/>
        <w:spacing w:line="274" w:lineRule="auto"/>
      </w:pPr>
    </w:p>
    <w:p w14:paraId="7486BD09">
      <w:pPr>
        <w:pStyle w:val="2"/>
        <w:spacing w:line="274" w:lineRule="auto"/>
      </w:pPr>
    </w:p>
    <w:p w14:paraId="37306062">
      <w:pPr>
        <w:pStyle w:val="2"/>
        <w:spacing w:line="10060" w:lineRule="exact"/>
        <w:ind w:firstLine="2164"/>
      </w:pPr>
      <w:r>
        <w:rPr>
          <w:position w:val="-201"/>
        </w:rPr>
        <w:pict>
          <v:group id="_x0000_s1089" o:spid="_x0000_s1089" o:spt="203" style="height:503pt;width:302.05pt;" coordsize="6040,10060">
            <o:lock v:ext="edit"/>
            <v:shape id="_x0000_s1090" o:spid="_x0000_s1090" o:spt="75" type="#_x0000_t75" style="position:absolute;left:0;top:0;height:10060;width:6040;" filled="f" stroked="f" coordsize="21600,21600">
              <v:path/>
              <v:fill on="f" focussize="0,0"/>
              <v:stroke on="f"/>
              <v:imagedata r:id="rId148" o:title=""/>
              <o:lock v:ext="edit" aspectratio="t"/>
            </v:shape>
            <v:shape id="_x0000_s1091" o:spid="_x0000_s1091" o:spt="202" type="#_x0000_t202" style="position:absolute;left:612;top:74;height:9907;width:4952;" filled="f" stroked="f" coordsize="21600,21600">
              <v:path/>
              <v:fill on="f" focussize="0,0"/>
              <v:stroke on="f"/>
              <v:imagedata o:title=""/>
              <o:lock v:ext="edit" aspectratio="f"/>
              <v:textbox inset="0mm,0mm,0mm,0mm">
                <w:txbxContent>
                  <w:p w14:paraId="3241189F">
                    <w:pPr>
                      <w:spacing w:before="19" w:line="227" w:lineRule="auto"/>
                      <w:ind w:left="700"/>
                      <w:rPr>
                        <w:rFonts w:ascii="楷体" w:hAnsi="楷体" w:eastAsia="楷体" w:cs="楷体"/>
                        <w:sz w:val="18"/>
                        <w:szCs w:val="18"/>
                      </w:rPr>
                    </w:pPr>
                    <w:bookmarkStart w:id="64" w:name="bookmark55"/>
                    <w:bookmarkEnd w:id="64"/>
                    <w:r>
                      <w:rPr>
                        <w:rFonts w:ascii="楷体" w:hAnsi="楷体" w:eastAsia="楷体" w:cs="楷体"/>
                        <w:b/>
                        <w:bCs/>
                        <w:spacing w:val="-13"/>
                        <w:w w:val="94"/>
                        <w:sz w:val="18"/>
                        <w:szCs w:val="18"/>
                      </w:rPr>
                      <w:t>原矿</w:t>
                    </w:r>
                  </w:p>
                  <w:p w14:paraId="1C74197A">
                    <w:pPr>
                      <w:spacing w:line="316" w:lineRule="auto"/>
                      <w:rPr>
                        <w:rFonts w:ascii="Arial"/>
                        <w:sz w:val="21"/>
                      </w:rPr>
                    </w:pPr>
                  </w:p>
                  <w:p w14:paraId="317EF932">
                    <w:pPr>
                      <w:spacing w:line="317" w:lineRule="auto"/>
                      <w:rPr>
                        <w:rFonts w:ascii="Arial"/>
                        <w:sz w:val="21"/>
                      </w:rPr>
                    </w:pPr>
                  </w:p>
                  <w:p w14:paraId="39557F3F">
                    <w:pPr>
                      <w:spacing w:before="65" w:line="330" w:lineRule="exact"/>
                      <w:ind w:left="697"/>
                      <w:rPr>
                        <w:rFonts w:ascii="Times New Roman" w:hAnsi="Times New Roman" w:eastAsia="Times New Roman" w:cs="Times New Roman"/>
                        <w:sz w:val="13"/>
                        <w:szCs w:val="13"/>
                      </w:rPr>
                    </w:pPr>
                    <w:r>
                      <w:rPr>
                        <w:rFonts w:ascii="华文行楷" w:hAnsi="华文行楷" w:eastAsia="华文行楷" w:cs="华文行楷"/>
                        <w:spacing w:val="-15"/>
                        <w:position w:val="2"/>
                        <w:sz w:val="18"/>
                        <w:szCs w:val="18"/>
                      </w:rPr>
                      <w:t xml:space="preserve">磨矿         </w:t>
                    </w:r>
                    <w:r>
                      <w:rPr>
                        <w:rFonts w:ascii="楷体" w:hAnsi="楷体" w:eastAsia="楷体" w:cs="楷体"/>
                        <w:spacing w:val="-15"/>
                        <w:position w:val="6"/>
                        <w:sz w:val="20"/>
                        <w:szCs w:val="20"/>
                      </w:rPr>
                      <w:t>石灰</w:t>
                    </w:r>
                    <w:r>
                      <w:rPr>
                        <w:rFonts w:ascii="楷体" w:hAnsi="楷体" w:eastAsia="楷体" w:cs="楷体"/>
                        <w:spacing w:val="-21"/>
                        <w:position w:val="6"/>
                        <w:sz w:val="20"/>
                        <w:szCs w:val="20"/>
                      </w:rPr>
                      <w:t xml:space="preserve"> </w:t>
                    </w:r>
                    <w:r>
                      <w:rPr>
                        <w:rFonts w:ascii="Times New Roman" w:hAnsi="Times New Roman" w:eastAsia="Times New Roman" w:cs="Times New Roman"/>
                        <w:spacing w:val="-15"/>
                        <w:position w:val="7"/>
                        <w:sz w:val="13"/>
                        <w:szCs w:val="13"/>
                      </w:rPr>
                      <w:t>3009T</w:t>
                    </w:r>
                  </w:p>
                  <w:p w14:paraId="3390AB1E">
                    <w:pPr>
                      <w:spacing w:line="476" w:lineRule="auto"/>
                      <w:rPr>
                        <w:rFonts w:ascii="Arial"/>
                        <w:sz w:val="21"/>
                      </w:rPr>
                    </w:pPr>
                  </w:p>
                  <w:p w14:paraId="333B351D">
                    <w:pPr>
                      <w:spacing w:before="46" w:line="217" w:lineRule="auto"/>
                      <w:ind w:left="1838" w:right="1918" w:firstLine="59"/>
                      <w:rPr>
                        <w:rFonts w:ascii="Times New Roman" w:hAnsi="Times New Roman" w:eastAsia="Times New Roman" w:cs="Times New Roman"/>
                        <w:sz w:val="11"/>
                        <w:szCs w:val="11"/>
                      </w:rPr>
                    </w:pPr>
                    <w:r>
                      <w:rPr>
                        <w:rFonts w:ascii="Times New Roman" w:hAnsi="Times New Roman" w:eastAsia="Times New Roman" w:cs="Times New Roman"/>
                        <w:spacing w:val="-2"/>
                        <w:position w:val="2"/>
                        <w:sz w:val="14"/>
                        <w:szCs w:val="14"/>
                      </w:rPr>
                      <w:t xml:space="preserve">Cu     S0:     </w:t>
                    </w:r>
                    <w:r>
                      <w:rPr>
                        <w:rFonts w:ascii="Times New Roman" w:hAnsi="Times New Roman" w:eastAsia="Times New Roman" w:cs="Times New Roman"/>
                        <w:spacing w:val="-2"/>
                        <w:position w:val="-1"/>
                        <w:sz w:val="16"/>
                        <w:szCs w:val="16"/>
                      </w:rPr>
                      <w:t>3509/T</w:t>
                    </w:r>
                    <w:r>
                      <w:rPr>
                        <w:rFonts w:ascii="Times New Roman" w:hAnsi="Times New Roman" w:eastAsia="Times New Roman" w:cs="Times New Roman"/>
                        <w:spacing w:val="14"/>
                        <w:position w:val="-1"/>
                        <w:sz w:val="16"/>
                        <w:szCs w:val="16"/>
                      </w:rPr>
                      <w:t xml:space="preserve"> </w:t>
                    </w:r>
                    <w:r>
                      <w:rPr>
                        <w:rFonts w:ascii="楷体" w:hAnsi="楷体" w:eastAsia="楷体" w:cs="楷体"/>
                        <w:spacing w:val="-18"/>
                        <w:w w:val="89"/>
                        <w:sz w:val="18"/>
                        <w:szCs w:val="18"/>
                      </w:rPr>
                      <w:t>乙基黄药</w:t>
                    </w:r>
                    <w:r>
                      <w:rPr>
                        <w:rFonts w:ascii="楷体" w:hAnsi="楷体" w:eastAsia="楷体" w:cs="楷体"/>
                        <w:spacing w:val="30"/>
                        <w:sz w:val="18"/>
                        <w:szCs w:val="18"/>
                      </w:rPr>
                      <w:t xml:space="preserve">  </w:t>
                    </w:r>
                    <w:r>
                      <w:rPr>
                        <w:rFonts w:ascii="Times New Roman" w:hAnsi="Times New Roman" w:eastAsia="Times New Roman" w:cs="Times New Roman"/>
                        <w:spacing w:val="-2"/>
                        <w:position w:val="-1"/>
                        <w:sz w:val="11"/>
                        <w:szCs w:val="11"/>
                      </w:rPr>
                      <w:t>109/T</w:t>
                    </w:r>
                  </w:p>
                  <w:p w14:paraId="089E30EE">
                    <w:pPr>
                      <w:spacing w:before="115" w:line="198" w:lineRule="auto"/>
                      <w:ind w:left="2627"/>
                      <w:rPr>
                        <w:rFonts w:ascii="Arial" w:hAnsi="Arial" w:eastAsia="Arial" w:cs="Arial"/>
                        <w:sz w:val="11"/>
                        <w:szCs w:val="11"/>
                      </w:rPr>
                    </w:pPr>
                    <w:r>
                      <w:rPr>
                        <w:rFonts w:ascii="Arial" w:hAnsi="Arial" w:eastAsia="Arial" w:cs="Arial"/>
                        <w:spacing w:val="-2"/>
                        <w:sz w:val="11"/>
                        <w:szCs w:val="11"/>
                      </w:rPr>
                      <w:t>189/T</w:t>
                    </w:r>
                  </w:p>
                  <w:p w14:paraId="295E53EE">
                    <w:pPr>
                      <w:spacing w:line="275" w:lineRule="auto"/>
                      <w:rPr>
                        <w:rFonts w:ascii="Arial"/>
                        <w:sz w:val="21"/>
                      </w:rPr>
                    </w:pPr>
                  </w:p>
                  <w:p w14:paraId="0276F8B9">
                    <w:pPr>
                      <w:spacing w:before="56" w:line="219" w:lineRule="auto"/>
                      <w:ind w:left="2489"/>
                      <w:rPr>
                        <w:rFonts w:ascii="宋体" w:hAnsi="宋体" w:eastAsia="宋体" w:cs="宋体"/>
                        <w:sz w:val="17"/>
                        <w:szCs w:val="17"/>
                      </w:rPr>
                    </w:pPr>
                    <w:r>
                      <w:rPr>
                        <w:rFonts w:ascii="宋体" w:hAnsi="宋体" w:eastAsia="宋体" w:cs="宋体"/>
                        <w:b/>
                        <w:bCs/>
                        <w:spacing w:val="-14"/>
                        <w:w w:val="92"/>
                        <w:sz w:val="17"/>
                        <w:szCs w:val="17"/>
                      </w:rPr>
                      <w:t>乙基黄药</w:t>
                    </w:r>
                  </w:p>
                  <w:p w14:paraId="779226D4">
                    <w:pPr>
                      <w:spacing w:before="22" w:line="222" w:lineRule="auto"/>
                      <w:ind w:left="2517"/>
                      <w:rPr>
                        <w:rFonts w:ascii="宋体" w:hAnsi="宋体" w:eastAsia="宋体" w:cs="宋体"/>
                        <w:sz w:val="17"/>
                        <w:szCs w:val="17"/>
                      </w:rPr>
                    </w:pPr>
                    <w:r>
                      <w:rPr>
                        <w:rFonts w:ascii="华文行楷" w:hAnsi="华文行楷" w:eastAsia="华文行楷" w:cs="华文行楷"/>
                        <w:spacing w:val="-24"/>
                        <w:w w:val="97"/>
                        <w:sz w:val="17"/>
                        <w:szCs w:val="17"/>
                      </w:rPr>
                      <w:t>松</w:t>
                    </w:r>
                    <w:r>
                      <w:rPr>
                        <w:rFonts w:ascii="华文行楷" w:hAnsi="华文行楷" w:eastAsia="华文行楷" w:cs="华文行楷"/>
                        <w:spacing w:val="1"/>
                        <w:sz w:val="17"/>
                        <w:szCs w:val="17"/>
                      </w:rPr>
                      <w:t xml:space="preserve">     </w:t>
                    </w:r>
                    <w:r>
                      <w:rPr>
                        <w:rFonts w:ascii="宋体" w:hAnsi="宋体" w:eastAsia="宋体" w:cs="宋体"/>
                        <w:spacing w:val="-24"/>
                        <w:w w:val="97"/>
                        <w:sz w:val="17"/>
                        <w:szCs w:val="17"/>
                      </w:rPr>
                      <w:t>油</w:t>
                    </w:r>
                  </w:p>
                  <w:p w14:paraId="555AFE8B">
                    <w:pPr>
                      <w:spacing w:before="198" w:line="238" w:lineRule="auto"/>
                      <w:ind w:left="697"/>
                      <w:rPr>
                        <w:rFonts w:ascii="宋体" w:hAnsi="宋体" w:eastAsia="宋体" w:cs="宋体"/>
                        <w:sz w:val="17"/>
                        <w:szCs w:val="17"/>
                      </w:rPr>
                    </w:pPr>
                    <w:r>
                      <w:rPr>
                        <w:rFonts w:ascii="华文行楷" w:hAnsi="华文行楷" w:eastAsia="华文行楷" w:cs="华文行楷"/>
                        <w:spacing w:val="-16"/>
                        <w:w w:val="96"/>
                        <w:position w:val="1"/>
                        <w:sz w:val="18"/>
                        <w:szCs w:val="18"/>
                      </w:rPr>
                      <w:t>精选</w:t>
                    </w:r>
                    <w:r>
                      <w:rPr>
                        <w:rFonts w:ascii="华文行楷" w:hAnsi="华文行楷" w:eastAsia="华文行楷" w:cs="华文行楷"/>
                        <w:spacing w:val="1"/>
                        <w:position w:val="1"/>
                        <w:sz w:val="18"/>
                        <w:szCs w:val="18"/>
                      </w:rPr>
                      <w:t xml:space="preserve">                     </w:t>
                    </w:r>
                    <w:r>
                      <w:rPr>
                        <w:rFonts w:ascii="华文行楷" w:hAnsi="华文行楷" w:eastAsia="华文行楷" w:cs="华文行楷"/>
                        <w:position w:val="1"/>
                        <w:sz w:val="18"/>
                        <w:szCs w:val="18"/>
                      </w:rPr>
                      <w:t xml:space="preserve">    </w:t>
                    </w:r>
                    <w:r>
                      <w:rPr>
                        <w:rFonts w:ascii="宋体" w:hAnsi="宋体" w:eastAsia="宋体" w:cs="宋体"/>
                        <w:b/>
                        <w:bCs/>
                        <w:spacing w:val="-16"/>
                        <w:w w:val="96"/>
                        <w:position w:val="-2"/>
                        <w:sz w:val="17"/>
                        <w:szCs w:val="17"/>
                      </w:rPr>
                      <w:t>扫选</w:t>
                    </w:r>
                  </w:p>
                  <w:p w14:paraId="79BD2A58">
                    <w:pPr>
                      <w:spacing w:before="284" w:line="207" w:lineRule="auto"/>
                      <w:ind w:left="3628" w:right="878" w:firstLine="159"/>
                      <w:jc w:val="both"/>
                      <w:rPr>
                        <w:rFonts w:ascii="宋体" w:hAnsi="宋体" w:eastAsia="宋体" w:cs="宋体"/>
                        <w:sz w:val="18"/>
                        <w:szCs w:val="18"/>
                      </w:rPr>
                    </w:pPr>
                    <w:r>
                      <w:rPr>
                        <w:rFonts w:ascii="楷体" w:hAnsi="楷体" w:eastAsia="楷体" w:cs="楷体"/>
                        <w:spacing w:val="-6"/>
                        <w:w w:val="73"/>
                        <w:sz w:val="19"/>
                        <w:szCs w:val="19"/>
                      </w:rPr>
                      <w:t>石</w:t>
                    </w:r>
                    <w:r>
                      <w:rPr>
                        <w:rFonts w:ascii="楷体" w:hAnsi="楷体" w:eastAsia="楷体" w:cs="楷体"/>
                        <w:b/>
                        <w:bCs/>
                        <w:spacing w:val="-6"/>
                        <w:w w:val="73"/>
                        <w:sz w:val="19"/>
                        <w:szCs w:val="19"/>
                      </w:rPr>
                      <w:t>灰</w:t>
                    </w:r>
                    <w:r>
                      <w:rPr>
                        <w:rFonts w:ascii="楷体" w:hAnsi="楷体" w:eastAsia="楷体" w:cs="楷体"/>
                        <w:spacing w:val="2"/>
                        <w:sz w:val="19"/>
                        <w:szCs w:val="19"/>
                      </w:rPr>
                      <w:t xml:space="preserve"> </w:t>
                    </w:r>
                    <w:r>
                      <w:rPr>
                        <w:rFonts w:ascii="仿宋" w:hAnsi="仿宋" w:eastAsia="仿宋" w:cs="仿宋"/>
                        <w:b/>
                        <w:bCs/>
                        <w:spacing w:val="-20"/>
                        <w:w w:val="96"/>
                        <w:sz w:val="17"/>
                        <w:szCs w:val="17"/>
                      </w:rPr>
                      <w:t>柠檬酸</w:t>
                    </w:r>
                    <w:r>
                      <w:rPr>
                        <w:rFonts w:ascii="仿宋" w:hAnsi="仿宋" w:eastAsia="仿宋" w:cs="仿宋"/>
                        <w:spacing w:val="1"/>
                        <w:sz w:val="17"/>
                        <w:szCs w:val="17"/>
                      </w:rPr>
                      <w:t xml:space="preserve"> </w:t>
                    </w:r>
                    <w:r>
                      <w:rPr>
                        <w:rFonts w:ascii="华文行楷" w:hAnsi="华文行楷" w:eastAsia="华文行楷" w:cs="华文行楷"/>
                        <w:spacing w:val="-17"/>
                        <w:w w:val="90"/>
                        <w:sz w:val="18"/>
                        <w:szCs w:val="18"/>
                      </w:rPr>
                      <w:t>疏</w:t>
                    </w:r>
                    <w:r>
                      <w:rPr>
                        <w:rFonts w:ascii="仿宋" w:hAnsi="仿宋" w:eastAsia="仿宋" w:cs="仿宋"/>
                        <w:b/>
                        <w:bCs/>
                        <w:spacing w:val="-17"/>
                        <w:w w:val="90"/>
                        <w:sz w:val="18"/>
                        <w:szCs w:val="18"/>
                      </w:rPr>
                      <w:t>化胺</w:t>
                    </w:r>
                    <w:r>
                      <w:rPr>
                        <w:rFonts w:ascii="仿宋" w:hAnsi="仿宋" w:eastAsia="仿宋" w:cs="仿宋"/>
                        <w:sz w:val="18"/>
                        <w:szCs w:val="18"/>
                      </w:rPr>
                      <w:t xml:space="preserve"> </w:t>
                    </w:r>
                    <w:r>
                      <w:rPr>
                        <w:rFonts w:ascii="宋体" w:hAnsi="宋体" w:eastAsia="宋体" w:cs="宋体"/>
                        <w:b/>
                        <w:bCs/>
                        <w:spacing w:val="-20"/>
                        <w:w w:val="88"/>
                        <w:sz w:val="18"/>
                        <w:szCs w:val="18"/>
                      </w:rPr>
                      <w:t>伯</w:t>
                    </w:r>
                    <w:r>
                      <w:rPr>
                        <w:rFonts w:ascii="宋体" w:hAnsi="宋体" w:eastAsia="宋体" w:cs="宋体"/>
                        <w:spacing w:val="76"/>
                        <w:sz w:val="18"/>
                        <w:szCs w:val="18"/>
                      </w:rPr>
                      <w:t xml:space="preserve"> </w:t>
                    </w:r>
                    <w:r>
                      <w:rPr>
                        <w:rFonts w:ascii="华文行楷" w:hAnsi="华文行楷" w:eastAsia="华文行楷" w:cs="华文行楷"/>
                        <w:spacing w:val="-20"/>
                        <w:w w:val="88"/>
                        <w:sz w:val="18"/>
                        <w:szCs w:val="18"/>
                      </w:rPr>
                      <w:t>胺</w:t>
                    </w:r>
                    <w:r>
                      <w:rPr>
                        <w:rFonts w:ascii="华文行楷" w:hAnsi="华文行楷" w:eastAsia="华文行楷" w:cs="华文行楷"/>
                        <w:sz w:val="18"/>
                        <w:szCs w:val="18"/>
                      </w:rPr>
                      <w:t xml:space="preserve"> </w:t>
                    </w:r>
                    <w:r>
                      <w:rPr>
                        <w:rFonts w:ascii="华文行楷" w:hAnsi="华文行楷" w:eastAsia="华文行楷" w:cs="华文行楷"/>
                        <w:spacing w:val="-23"/>
                        <w:sz w:val="18"/>
                        <w:szCs w:val="18"/>
                      </w:rPr>
                      <w:t xml:space="preserve">松      </w:t>
                    </w:r>
                    <w:r>
                      <w:rPr>
                        <w:rFonts w:ascii="宋体" w:hAnsi="宋体" w:eastAsia="宋体" w:cs="宋体"/>
                        <w:b/>
                        <w:bCs/>
                        <w:spacing w:val="-23"/>
                        <w:sz w:val="18"/>
                        <w:szCs w:val="18"/>
                      </w:rPr>
                      <w:t>油</w:t>
                    </w:r>
                  </w:p>
                  <w:p w14:paraId="7A3E92BC">
                    <w:pPr>
                      <w:spacing w:before="20" w:line="219" w:lineRule="auto"/>
                      <w:ind w:left="2850"/>
                      <w:rPr>
                        <w:rFonts w:ascii="宋体" w:hAnsi="宋体" w:eastAsia="宋体" w:cs="宋体"/>
                        <w:sz w:val="17"/>
                        <w:szCs w:val="17"/>
                      </w:rPr>
                    </w:pPr>
                    <w:r>
                      <w:rPr>
                        <w:rFonts w:ascii="宋体" w:hAnsi="宋体" w:eastAsia="宋体" w:cs="宋体"/>
                        <w:b/>
                        <w:bCs/>
                        <w:spacing w:val="-12"/>
                        <w:w w:val="96"/>
                        <w:sz w:val="17"/>
                        <w:szCs w:val="17"/>
                      </w:rPr>
                      <w:t>氧化物粒选</w:t>
                    </w:r>
                  </w:p>
                  <w:p w14:paraId="6889DB82">
                    <w:pPr>
                      <w:spacing w:line="305" w:lineRule="auto"/>
                      <w:rPr>
                        <w:rFonts w:ascii="Arial"/>
                        <w:sz w:val="21"/>
                      </w:rPr>
                    </w:pPr>
                  </w:p>
                  <w:p w14:paraId="38CF40A1">
                    <w:pPr>
                      <w:spacing w:line="306" w:lineRule="auto"/>
                      <w:rPr>
                        <w:rFonts w:ascii="Arial"/>
                        <w:sz w:val="21"/>
                      </w:rPr>
                    </w:pPr>
                  </w:p>
                  <w:p w14:paraId="69F6A536">
                    <w:pPr>
                      <w:spacing w:before="56" w:line="189" w:lineRule="auto"/>
                      <w:ind w:left="2357"/>
                      <w:rPr>
                        <w:rFonts w:ascii="仿宋" w:hAnsi="仿宋" w:eastAsia="仿宋" w:cs="仿宋"/>
                        <w:sz w:val="17"/>
                        <w:szCs w:val="17"/>
                      </w:rPr>
                    </w:pPr>
                    <w:r>
                      <w:rPr>
                        <w:rFonts w:ascii="仿宋" w:hAnsi="仿宋" w:eastAsia="仿宋" w:cs="仿宋"/>
                        <w:spacing w:val="-13"/>
                        <w:sz w:val="17"/>
                        <w:szCs w:val="17"/>
                      </w:rPr>
                      <w:t>精选</w:t>
                    </w:r>
                  </w:p>
                  <w:p w14:paraId="1EA516E7">
                    <w:pPr>
                      <w:spacing w:line="262" w:lineRule="auto"/>
                      <w:rPr>
                        <w:rFonts w:ascii="Arial"/>
                        <w:sz w:val="21"/>
                      </w:rPr>
                    </w:pPr>
                  </w:p>
                  <w:p w14:paraId="1D5A4FB0">
                    <w:pPr>
                      <w:spacing w:line="262" w:lineRule="auto"/>
                      <w:rPr>
                        <w:rFonts w:ascii="Arial"/>
                        <w:sz w:val="21"/>
                      </w:rPr>
                    </w:pPr>
                  </w:p>
                  <w:p w14:paraId="17D9C21C">
                    <w:pPr>
                      <w:spacing w:line="263" w:lineRule="auto"/>
                      <w:rPr>
                        <w:rFonts w:ascii="Arial"/>
                        <w:sz w:val="21"/>
                      </w:rPr>
                    </w:pPr>
                  </w:p>
                  <w:p w14:paraId="30AB2E75">
                    <w:pPr>
                      <w:spacing w:before="55" w:line="241" w:lineRule="auto"/>
                      <w:ind w:left="1627"/>
                      <w:rPr>
                        <w:rFonts w:ascii="华文行楷" w:hAnsi="华文行楷" w:eastAsia="华文行楷" w:cs="华文行楷"/>
                        <w:sz w:val="16"/>
                        <w:szCs w:val="16"/>
                      </w:rPr>
                    </w:pPr>
                    <w:r>
                      <w:rPr>
                        <w:rFonts w:ascii="华文行楷" w:hAnsi="华文行楷" w:eastAsia="华文行楷" w:cs="华文行楷"/>
                        <w:spacing w:val="-2"/>
                        <w:sz w:val="16"/>
                        <w:szCs w:val="16"/>
                      </w:rPr>
                      <w:t>精选</w:t>
                    </w:r>
                  </w:p>
                  <w:p w14:paraId="40D42EF6">
                    <w:pPr>
                      <w:spacing w:line="441" w:lineRule="auto"/>
                      <w:rPr>
                        <w:rFonts w:ascii="Arial"/>
                        <w:sz w:val="21"/>
                      </w:rPr>
                    </w:pPr>
                  </w:p>
                  <w:p w14:paraId="0EA02279">
                    <w:pPr>
                      <w:spacing w:before="55" w:line="219" w:lineRule="auto"/>
                      <w:jc w:val="right"/>
                      <w:rPr>
                        <w:rFonts w:ascii="宋体" w:hAnsi="宋体" w:eastAsia="宋体" w:cs="宋体"/>
                        <w:sz w:val="17"/>
                        <w:szCs w:val="17"/>
                      </w:rPr>
                    </w:pPr>
                    <w:r>
                      <w:rPr>
                        <w:rFonts w:ascii="宋体" w:hAnsi="宋体" w:eastAsia="宋体" w:cs="宋体"/>
                        <w:b/>
                        <w:bCs/>
                        <w:spacing w:val="-14"/>
                        <w:w w:val="90"/>
                        <w:sz w:val="17"/>
                        <w:szCs w:val="17"/>
                      </w:rPr>
                      <w:t>废</w:t>
                    </w:r>
                    <w:r>
                      <w:rPr>
                        <w:rFonts w:ascii="宋体" w:hAnsi="宋体" w:eastAsia="宋体" w:cs="宋体"/>
                        <w:b/>
                        <w:bCs/>
                        <w:spacing w:val="-13"/>
                        <w:w w:val="90"/>
                        <w:sz w:val="17"/>
                        <w:szCs w:val="17"/>
                      </w:rPr>
                      <w:t>弃足</w:t>
                    </w:r>
                    <w:r>
                      <w:rPr>
                        <w:rFonts w:ascii="宋体" w:hAnsi="宋体" w:eastAsia="宋体" w:cs="宋体"/>
                        <w:b/>
                        <w:bCs/>
                        <w:spacing w:val="-8"/>
                        <w:w w:val="90"/>
                        <w:sz w:val="17"/>
                        <w:szCs w:val="17"/>
                      </w:rPr>
                      <w:t>矿</w:t>
                    </w:r>
                  </w:p>
                  <w:p w14:paraId="1EC6AE27">
                    <w:pPr>
                      <w:spacing w:line="339" w:lineRule="auto"/>
                      <w:rPr>
                        <w:rFonts w:ascii="Arial"/>
                        <w:sz w:val="21"/>
                      </w:rPr>
                    </w:pPr>
                  </w:p>
                  <w:p w14:paraId="1986F86E">
                    <w:pPr>
                      <w:spacing w:before="56" w:line="222" w:lineRule="auto"/>
                      <w:ind w:left="950"/>
                      <w:rPr>
                        <w:rFonts w:ascii="仿宋" w:hAnsi="仿宋" w:eastAsia="仿宋" w:cs="仿宋"/>
                        <w:sz w:val="17"/>
                        <w:szCs w:val="17"/>
                      </w:rPr>
                    </w:pPr>
                    <w:r>
                      <w:rPr>
                        <w:rFonts w:ascii="仿宋" w:hAnsi="仿宋" w:eastAsia="仿宋" w:cs="仿宋"/>
                        <w:b/>
                        <w:bCs/>
                        <w:spacing w:val="-13"/>
                        <w:sz w:val="17"/>
                        <w:szCs w:val="17"/>
                      </w:rPr>
                      <w:t>精选</w:t>
                    </w:r>
                  </w:p>
                  <w:p w14:paraId="4D7A5246">
                    <w:pPr>
                      <w:spacing w:line="295" w:lineRule="auto"/>
                      <w:rPr>
                        <w:rFonts w:ascii="Arial"/>
                        <w:sz w:val="21"/>
                      </w:rPr>
                    </w:pPr>
                  </w:p>
                  <w:p w14:paraId="2CEA14EB">
                    <w:pPr>
                      <w:spacing w:line="295" w:lineRule="auto"/>
                      <w:rPr>
                        <w:rFonts w:ascii="Arial"/>
                        <w:sz w:val="21"/>
                      </w:rPr>
                    </w:pPr>
                  </w:p>
                  <w:p w14:paraId="324D83A5">
                    <w:pPr>
                      <w:spacing w:line="296" w:lineRule="auto"/>
                      <w:rPr>
                        <w:rFonts w:ascii="Arial"/>
                        <w:sz w:val="21"/>
                      </w:rPr>
                    </w:pPr>
                  </w:p>
                  <w:p w14:paraId="4FE624FD">
                    <w:pPr>
                      <w:spacing w:line="296" w:lineRule="auto"/>
                      <w:rPr>
                        <w:rFonts w:ascii="Arial"/>
                        <w:sz w:val="21"/>
                      </w:rPr>
                    </w:pPr>
                  </w:p>
                  <w:p w14:paraId="53411B0A">
                    <w:pPr>
                      <w:spacing w:before="59" w:line="236" w:lineRule="auto"/>
                      <w:ind w:left="20"/>
                      <w:rPr>
                        <w:rFonts w:ascii="华文行楷" w:hAnsi="华文行楷" w:eastAsia="华文行楷" w:cs="华文行楷"/>
                        <w:sz w:val="17"/>
                        <w:szCs w:val="17"/>
                      </w:rPr>
                    </w:pPr>
                    <w:r>
                      <w:rPr>
                        <w:rFonts w:ascii="宋体" w:hAnsi="宋体" w:eastAsia="宋体" w:cs="宋体"/>
                        <w:b/>
                        <w:bCs/>
                        <w:spacing w:val="-15"/>
                        <w:w w:val="97"/>
                        <w:sz w:val="17"/>
                        <w:szCs w:val="17"/>
                      </w:rPr>
                      <w:t>氧化物</w:t>
                    </w:r>
                    <w:r>
                      <w:rPr>
                        <w:rFonts w:ascii="华文行楷" w:hAnsi="华文行楷" w:eastAsia="华文行楷" w:cs="华文行楷"/>
                        <w:spacing w:val="-15"/>
                        <w:w w:val="97"/>
                        <w:sz w:val="17"/>
                        <w:szCs w:val="17"/>
                      </w:rPr>
                      <w:t>精矿</w:t>
                    </w:r>
                  </w:p>
                </w:txbxContent>
              </v:textbox>
            </v:shape>
            <v:shape id="_x0000_s1092" o:spid="_x0000_s1092" o:spt="202" type="#_x0000_t202" style="position:absolute;left:4769;top:4001;height:820;width:624;" filled="f" stroked="f" coordsize="21600,21600">
              <v:path/>
              <v:fill on="f" focussize="0,0"/>
              <v:stroke on="f"/>
              <v:imagedata o:title=""/>
              <o:lock v:ext="edit" aspectratio="f"/>
              <v:textbox inset="0mm,0mm,0mm,0mm">
                <w:txbxContent>
                  <w:p w14:paraId="11E7CB2E">
                    <w:pPr>
                      <w:spacing w:before="19" w:line="306" w:lineRule="auto"/>
                      <w:ind w:left="70" w:right="20"/>
                      <w:rPr>
                        <w:rFonts w:ascii="Arial" w:hAnsi="Arial" w:eastAsia="Arial" w:cs="Arial"/>
                        <w:sz w:val="14"/>
                        <w:szCs w:val="14"/>
                      </w:rPr>
                    </w:pPr>
                    <w:r>
                      <w:rPr>
                        <w:rFonts w:ascii="Times New Roman" w:hAnsi="Times New Roman" w:eastAsia="Times New Roman" w:cs="Times New Roman"/>
                        <w:spacing w:val="-11"/>
                        <w:sz w:val="18"/>
                        <w:szCs w:val="18"/>
                      </w:rPr>
                      <w:t>10009/T</w:t>
                    </w:r>
                    <w:r>
                      <w:rPr>
                        <w:rFonts w:ascii="Times New Roman" w:hAnsi="Times New Roman" w:eastAsia="Times New Roman" w:cs="Times New Roman"/>
                        <w:sz w:val="18"/>
                        <w:szCs w:val="18"/>
                      </w:rPr>
                      <w:t xml:space="preserve"> </w:t>
                    </w:r>
                    <w:r>
                      <w:rPr>
                        <w:rFonts w:ascii="Arial" w:hAnsi="Arial" w:eastAsia="Arial" w:cs="Arial"/>
                        <w:spacing w:val="-1"/>
                        <w:sz w:val="14"/>
                        <w:szCs w:val="14"/>
                      </w:rPr>
                      <w:t>6009/T</w:t>
                    </w:r>
                  </w:p>
                  <w:p w14:paraId="5E8D360E">
                    <w:pPr>
                      <w:spacing w:line="267" w:lineRule="auto"/>
                      <w:ind w:left="70" w:right="124" w:hanging="50"/>
                      <w:rPr>
                        <w:rFonts w:ascii="Arial" w:hAnsi="Arial" w:eastAsia="Arial" w:cs="Arial"/>
                        <w:sz w:val="14"/>
                        <w:szCs w:val="14"/>
                      </w:rPr>
                    </w:pPr>
                    <w:r>
                      <w:rPr>
                        <w:rFonts w:ascii="Times New Roman" w:hAnsi="Times New Roman" w:eastAsia="Times New Roman" w:cs="Times New Roman"/>
                        <w:spacing w:val="-1"/>
                        <w:sz w:val="14"/>
                        <w:szCs w:val="14"/>
                      </w:rPr>
                      <w:t>30009/T</w:t>
                    </w:r>
                    <w:r>
                      <w:rPr>
                        <w:rFonts w:ascii="Times New Roman" w:hAnsi="Times New Roman" w:eastAsia="Times New Roman" w:cs="Times New Roman"/>
                        <w:sz w:val="14"/>
                        <w:szCs w:val="14"/>
                      </w:rPr>
                      <w:t xml:space="preserve"> </w:t>
                    </w:r>
                    <w:r>
                      <w:rPr>
                        <w:rFonts w:ascii="Arial" w:hAnsi="Arial" w:eastAsia="Arial" w:cs="Arial"/>
                        <w:spacing w:val="-2"/>
                        <w:sz w:val="14"/>
                        <w:szCs w:val="14"/>
                      </w:rPr>
                      <w:t>3009/T</w:t>
                    </w:r>
                  </w:p>
                </w:txbxContent>
              </v:textbox>
            </v:shape>
            <v:shape id="_x0000_s1093" o:spid="_x0000_s1093" o:spt="202" type="#_x0000_t202" style="position:absolute;left:220;top:4776;height:237;width:763;" filled="f" stroked="f" coordsize="21600,21600">
              <v:path/>
              <v:fill on="f" focussize="0,0"/>
              <v:stroke on="f"/>
              <v:imagedata o:title=""/>
              <o:lock v:ext="edit" aspectratio="f"/>
              <v:textbox inset="0mm,0mm,0mm,0mm">
                <w:txbxContent>
                  <w:p w14:paraId="21A91B4A">
                    <w:pPr>
                      <w:spacing w:before="20" w:line="241" w:lineRule="auto"/>
                      <w:jc w:val="right"/>
                      <w:rPr>
                        <w:rFonts w:ascii="华文行楷" w:hAnsi="华文行楷" w:eastAsia="华文行楷" w:cs="华文行楷"/>
                        <w:sz w:val="18"/>
                        <w:szCs w:val="18"/>
                      </w:rPr>
                    </w:pPr>
                    <w:r>
                      <w:rPr>
                        <w:rFonts w:ascii="华文行楷" w:hAnsi="华文行楷" w:eastAsia="华文行楷" w:cs="华文行楷"/>
                        <w:spacing w:val="-28"/>
                        <w:w w:val="94"/>
                        <w:sz w:val="18"/>
                        <w:szCs w:val="18"/>
                      </w:rPr>
                      <w:t>硫</w:t>
                    </w:r>
                    <w:r>
                      <w:rPr>
                        <w:rFonts w:ascii="华文行楷" w:hAnsi="华文行楷" w:eastAsia="华文行楷" w:cs="华文行楷"/>
                        <w:spacing w:val="-27"/>
                        <w:w w:val="94"/>
                        <w:sz w:val="18"/>
                        <w:szCs w:val="18"/>
                      </w:rPr>
                      <w:t>化物精</w:t>
                    </w:r>
                    <w:r>
                      <w:rPr>
                        <w:rFonts w:ascii="华文行楷" w:hAnsi="华文行楷" w:eastAsia="华文行楷" w:cs="华文行楷"/>
                        <w:spacing w:val="-16"/>
                        <w:w w:val="94"/>
                        <w:sz w:val="18"/>
                        <w:szCs w:val="18"/>
                      </w:rPr>
                      <w:t>矿</w:t>
                    </w:r>
                  </w:p>
                </w:txbxContent>
              </v:textbox>
            </v:shape>
            <v:shape id="_x0000_s1094" o:spid="_x0000_s1094" o:spt="202" type="#_x0000_t202" style="position:absolute;left:3760;top:2889;height:320;width:452;" filled="f" stroked="f" coordsize="21600,21600">
              <v:path/>
              <v:fill on="f" focussize="0,0"/>
              <v:stroke on="f"/>
              <v:imagedata o:title=""/>
              <o:lock v:ext="edit" aspectratio="f"/>
              <v:textbox inset="0mm,0mm,0mm,0mm">
                <w:txbxContent>
                  <w:p w14:paraId="296056ED">
                    <w:pPr>
                      <w:spacing w:before="19" w:line="261" w:lineRule="auto"/>
                      <w:ind w:left="20" w:right="20" w:firstLine="59"/>
                      <w:rPr>
                        <w:rFonts w:ascii="Times New Roman" w:hAnsi="Times New Roman" w:eastAsia="Times New Roman" w:cs="Times New Roman"/>
                        <w:sz w:val="12"/>
                        <w:szCs w:val="12"/>
                      </w:rPr>
                    </w:pPr>
                    <w:r>
                      <w:rPr>
                        <w:rFonts w:ascii="Times New Roman" w:hAnsi="Times New Roman" w:eastAsia="Times New Roman" w:cs="Times New Roman"/>
                        <w:spacing w:val="-3"/>
                        <w:sz w:val="14"/>
                        <w:szCs w:val="14"/>
                      </w:rPr>
                      <w:t>109/T.</w:t>
                    </w:r>
                    <w:r>
                      <w:rPr>
                        <w:rFonts w:ascii="Times New Roman" w:hAnsi="Times New Roman" w:eastAsia="Times New Roman" w:cs="Times New Roman"/>
                        <w:sz w:val="14"/>
                        <w:szCs w:val="14"/>
                      </w:rPr>
                      <w:t xml:space="preserve"> </w:t>
                    </w:r>
                    <w:r>
                      <w:rPr>
                        <w:rFonts w:ascii="Times New Roman" w:hAnsi="Times New Roman" w:eastAsia="Times New Roman" w:cs="Times New Roman"/>
                        <w:spacing w:val="-3"/>
                        <w:sz w:val="12"/>
                        <w:szCs w:val="12"/>
                      </w:rPr>
                      <w:t>129/T</w:t>
                    </w:r>
                  </w:p>
                </w:txbxContent>
              </v:textbox>
            </v:shape>
            <v:shape id="_x0000_s1095" o:spid="_x0000_s1095" o:spt="202" type="#_x0000_t202" style="position:absolute;left:4382;top:6056;height:210;width:318;" filled="f" stroked="f" coordsize="21600,21600">
              <v:path/>
              <v:fill on="f" focussize="0,0"/>
              <v:stroke on="f"/>
              <v:imagedata o:title=""/>
              <o:lock v:ext="edit" aspectratio="f"/>
              <v:textbox inset="0mm,0mm,0mm,0mm">
                <w:txbxContent>
                  <w:p w14:paraId="0D011070">
                    <w:pPr>
                      <w:spacing w:before="20" w:line="222" w:lineRule="auto"/>
                      <w:jc w:val="right"/>
                      <w:rPr>
                        <w:rFonts w:ascii="华文行楷" w:hAnsi="华文行楷" w:eastAsia="华文行楷" w:cs="华文行楷"/>
                        <w:sz w:val="17"/>
                        <w:szCs w:val="17"/>
                      </w:rPr>
                    </w:pPr>
                    <w:r>
                      <w:rPr>
                        <w:rFonts w:ascii="宋体" w:hAnsi="宋体" w:eastAsia="宋体" w:cs="宋体"/>
                        <w:b/>
                        <w:bCs/>
                        <w:spacing w:val="-28"/>
                        <w:w w:val="93"/>
                        <w:sz w:val="17"/>
                        <w:szCs w:val="17"/>
                      </w:rPr>
                      <w:t>知</w:t>
                    </w:r>
                    <w:r>
                      <w:rPr>
                        <w:rFonts w:ascii="华文行楷" w:hAnsi="华文行楷" w:eastAsia="华文行楷" w:cs="华文行楷"/>
                        <w:spacing w:val="-14"/>
                        <w:w w:val="93"/>
                        <w:sz w:val="17"/>
                        <w:szCs w:val="17"/>
                      </w:rPr>
                      <w:t>选</w:t>
                    </w:r>
                  </w:p>
                </w:txbxContent>
              </v:textbox>
            </v:shape>
            <w10:wrap type="none"/>
            <w10:anchorlock/>
          </v:group>
        </w:pict>
      </w:r>
    </w:p>
    <w:p w14:paraId="75418466">
      <w:pPr>
        <w:pStyle w:val="2"/>
        <w:spacing w:line="270" w:lineRule="auto"/>
      </w:pPr>
    </w:p>
    <w:p w14:paraId="551EE889">
      <w:pPr>
        <w:spacing w:before="78" w:line="219" w:lineRule="auto"/>
        <w:ind w:left="4435"/>
        <w:rPr>
          <w:rFonts w:ascii="宋体" w:hAnsi="宋体" w:eastAsia="宋体" w:cs="宋体"/>
          <w:sz w:val="24"/>
          <w:szCs w:val="24"/>
        </w:rPr>
      </w:pPr>
      <w:r>
        <w:rPr>
          <w:rFonts w:ascii="宋体" w:hAnsi="宋体" w:eastAsia="宋体" w:cs="宋体"/>
          <w:spacing w:val="-2"/>
          <w:sz w:val="24"/>
          <w:szCs w:val="24"/>
        </w:rPr>
        <w:t>选矿流程图</w:t>
      </w:r>
    </w:p>
    <w:p w14:paraId="44D58AAF">
      <w:pPr>
        <w:pStyle w:val="2"/>
        <w:spacing w:line="305" w:lineRule="auto"/>
      </w:pPr>
    </w:p>
    <w:p w14:paraId="17B40082">
      <w:pPr>
        <w:pStyle w:val="2"/>
        <w:spacing w:line="306" w:lineRule="auto"/>
      </w:pPr>
    </w:p>
    <w:p w14:paraId="2FF7B70F">
      <w:pPr>
        <w:spacing w:before="78" w:line="219" w:lineRule="auto"/>
        <w:ind w:left="594"/>
        <w:outlineLvl w:val="1"/>
        <w:rPr>
          <w:rFonts w:ascii="宋体" w:hAnsi="宋体" w:eastAsia="宋体" w:cs="宋体"/>
          <w:sz w:val="24"/>
          <w:szCs w:val="24"/>
        </w:rPr>
      </w:pPr>
      <w:bookmarkStart w:id="28" w:name="bookmark19"/>
      <w:bookmarkEnd w:id="28"/>
      <w:r>
        <w:rPr>
          <w:rFonts w:ascii="宋体" w:hAnsi="宋体" w:eastAsia="宋体" w:cs="宋体"/>
          <w:spacing w:val="6"/>
          <w:sz w:val="24"/>
          <w:szCs w:val="24"/>
        </w:rPr>
        <w:t>7.10矿床开采技术条件</w:t>
      </w:r>
    </w:p>
    <w:p w14:paraId="0784DCD4">
      <w:pPr>
        <w:spacing w:before="216" w:line="219" w:lineRule="auto"/>
        <w:ind w:left="594"/>
        <w:rPr>
          <w:rFonts w:ascii="宋体" w:hAnsi="宋体" w:eastAsia="宋体" w:cs="宋体"/>
          <w:sz w:val="24"/>
          <w:szCs w:val="24"/>
        </w:rPr>
      </w:pPr>
      <w:r>
        <w:rPr>
          <w:rFonts w:ascii="宋体" w:hAnsi="宋体" w:eastAsia="宋体" w:cs="宋体"/>
          <w:spacing w:val="7"/>
          <w:sz w:val="24"/>
          <w:szCs w:val="24"/>
        </w:rPr>
        <w:t>7.10.1水文地质条件</w:t>
      </w:r>
    </w:p>
    <w:p w14:paraId="5B23290D">
      <w:pPr>
        <w:spacing w:before="215" w:line="219" w:lineRule="auto"/>
        <w:ind w:left="595"/>
        <w:rPr>
          <w:rFonts w:ascii="宋体" w:hAnsi="宋体" w:eastAsia="宋体" w:cs="宋体"/>
          <w:sz w:val="24"/>
          <w:szCs w:val="24"/>
        </w:rPr>
      </w:pPr>
      <w:r>
        <w:rPr>
          <w:rFonts w:ascii="宋体" w:hAnsi="宋体" w:eastAsia="宋体" w:cs="宋体"/>
          <w:sz w:val="24"/>
          <w:szCs w:val="24"/>
        </w:rPr>
        <w:t>矿区矿体多位于最低侵蚀基准面1480</w:t>
      </w:r>
      <w:r>
        <w:rPr>
          <w:rFonts w:ascii="Times New Roman" w:hAnsi="Times New Roman" w:eastAsia="Times New Roman" w:cs="Times New Roman"/>
          <w:sz w:val="24"/>
          <w:szCs w:val="24"/>
        </w:rPr>
        <w:t xml:space="preserve">m </w:t>
      </w:r>
      <w:r>
        <w:rPr>
          <w:rFonts w:ascii="宋体" w:hAnsi="宋体" w:eastAsia="宋体" w:cs="宋体"/>
          <w:sz w:val="24"/>
          <w:szCs w:val="24"/>
        </w:rPr>
        <w:t>以上，主要控矿层位富水性较好，对</w:t>
      </w:r>
    </w:p>
    <w:p w14:paraId="1B286E0F">
      <w:pPr>
        <w:spacing w:line="219" w:lineRule="auto"/>
        <w:rPr>
          <w:rFonts w:ascii="宋体" w:hAnsi="宋体" w:eastAsia="宋体" w:cs="宋体"/>
          <w:sz w:val="24"/>
          <w:szCs w:val="24"/>
        </w:rPr>
        <w:sectPr>
          <w:headerReference r:id="rId58" w:type="default"/>
          <w:footerReference r:id="rId59" w:type="default"/>
          <w:pgSz w:w="11900" w:h="16830"/>
          <w:pgMar w:top="1177" w:right="1410" w:bottom="1260" w:left="1785" w:header="900" w:footer="928" w:gutter="0"/>
          <w:cols w:space="720" w:num="1"/>
        </w:sectPr>
      </w:pPr>
    </w:p>
    <w:p w14:paraId="4C8867F4">
      <w:pPr>
        <w:pStyle w:val="2"/>
        <w:spacing w:line="413" w:lineRule="auto"/>
      </w:pPr>
    </w:p>
    <w:p w14:paraId="3683D503">
      <w:pPr>
        <w:spacing w:before="78" w:line="378" w:lineRule="auto"/>
        <w:ind w:left="74" w:right="179"/>
        <w:jc w:val="both"/>
        <w:rPr>
          <w:rFonts w:ascii="宋体" w:hAnsi="宋体" w:eastAsia="宋体" w:cs="宋体"/>
          <w:sz w:val="24"/>
          <w:szCs w:val="24"/>
        </w:rPr>
      </w:pPr>
      <w:bookmarkStart w:id="29" w:name="bookmark56"/>
      <w:bookmarkEnd w:id="29"/>
      <w:r>
        <w:rPr>
          <w:rFonts w:ascii="宋体" w:hAnsi="宋体" w:eastAsia="宋体" w:cs="宋体"/>
          <w:sz w:val="24"/>
          <w:szCs w:val="24"/>
        </w:rPr>
        <w:t>矿坑充水有影响。含水层主要由细晶灰岩，内碎屑灰岩夹</w:t>
      </w:r>
      <w:r>
        <w:rPr>
          <w:rFonts w:ascii="宋体" w:hAnsi="宋体" w:eastAsia="宋体" w:cs="宋体"/>
          <w:spacing w:val="-1"/>
          <w:sz w:val="24"/>
          <w:szCs w:val="24"/>
        </w:rPr>
        <w:t>生物碎屑灰岩、白云质</w:t>
      </w:r>
      <w:r>
        <w:rPr>
          <w:rFonts w:ascii="宋体" w:hAnsi="宋体" w:eastAsia="宋体" w:cs="宋体"/>
          <w:sz w:val="24"/>
          <w:szCs w:val="24"/>
        </w:rPr>
        <w:t xml:space="preserve"> </w:t>
      </w:r>
      <w:r>
        <w:rPr>
          <w:rFonts w:ascii="宋体" w:hAnsi="宋体" w:eastAsia="宋体" w:cs="宋体"/>
          <w:spacing w:val="-6"/>
          <w:sz w:val="24"/>
          <w:szCs w:val="24"/>
        </w:rPr>
        <w:t>灰岩及白云岩组成，含较多燧石结核条带。垂直分布的岩溶裂隙发育，透水性强，</w:t>
      </w:r>
      <w:r>
        <w:rPr>
          <w:rFonts w:ascii="宋体" w:hAnsi="宋体" w:eastAsia="宋体" w:cs="宋体"/>
          <w:spacing w:val="5"/>
          <w:sz w:val="24"/>
          <w:szCs w:val="24"/>
        </w:rPr>
        <w:t xml:space="preserve"> </w:t>
      </w:r>
      <w:r>
        <w:rPr>
          <w:rFonts w:ascii="宋体" w:hAnsi="宋体" w:eastAsia="宋体" w:cs="宋体"/>
          <w:spacing w:val="-2"/>
          <w:sz w:val="24"/>
          <w:szCs w:val="24"/>
        </w:rPr>
        <w:t>有垂直下渗的裂隙水。区内各含水层之间正常情况下，无水力联系。</w:t>
      </w:r>
    </w:p>
    <w:p w14:paraId="2581E899">
      <w:pPr>
        <w:spacing w:before="17" w:line="384" w:lineRule="auto"/>
        <w:ind w:left="74" w:right="199" w:firstLine="490"/>
        <w:jc w:val="both"/>
        <w:rPr>
          <w:rFonts w:ascii="宋体" w:hAnsi="宋体" w:eastAsia="宋体" w:cs="宋体"/>
          <w:sz w:val="24"/>
          <w:szCs w:val="24"/>
        </w:rPr>
      </w:pPr>
      <w:r>
        <w:rPr>
          <w:rFonts w:ascii="宋体" w:hAnsi="宋体" w:eastAsia="宋体" w:cs="宋体"/>
          <w:sz w:val="24"/>
          <w:szCs w:val="24"/>
        </w:rPr>
        <w:t xml:space="preserve">区内断层发育虽断层的富水性及导水性均较弱但对矿坑充水的影响较大。区 </w:t>
      </w:r>
      <w:r>
        <w:rPr>
          <w:rFonts w:ascii="宋体" w:hAnsi="宋体" w:eastAsia="宋体" w:cs="宋体"/>
          <w:spacing w:val="-1"/>
          <w:sz w:val="24"/>
          <w:szCs w:val="24"/>
        </w:rPr>
        <w:t>内无大的地表水体，唯一的块泽河自北向南流经矿区东缘，但部分河</w:t>
      </w:r>
      <w:r>
        <w:rPr>
          <w:rFonts w:ascii="宋体" w:hAnsi="宋体" w:eastAsia="宋体" w:cs="宋体"/>
          <w:spacing w:val="-2"/>
          <w:sz w:val="24"/>
          <w:szCs w:val="24"/>
        </w:rPr>
        <w:t>段贴近矿区</w:t>
      </w:r>
      <w:r>
        <w:rPr>
          <w:rFonts w:ascii="宋体" w:hAnsi="宋体" w:eastAsia="宋体" w:cs="宋体"/>
          <w:sz w:val="24"/>
          <w:szCs w:val="24"/>
        </w:rPr>
        <w:t xml:space="preserve"> </w:t>
      </w:r>
      <w:r>
        <w:rPr>
          <w:rFonts w:ascii="宋体" w:hAnsi="宋体" w:eastAsia="宋体" w:cs="宋体"/>
          <w:spacing w:val="-1"/>
          <w:sz w:val="24"/>
          <w:szCs w:val="24"/>
        </w:rPr>
        <w:t>浅部，通过侧向补给，对矿床充水有一定的影响。矿区内发育卷槽沟、后</w:t>
      </w:r>
      <w:r>
        <w:rPr>
          <w:rFonts w:ascii="宋体" w:hAnsi="宋体" w:eastAsia="宋体" w:cs="宋体"/>
          <w:spacing w:val="-2"/>
          <w:sz w:val="24"/>
          <w:szCs w:val="24"/>
        </w:rPr>
        <w:t>洞沟及</w:t>
      </w:r>
      <w:r>
        <w:rPr>
          <w:rFonts w:ascii="宋体" w:hAnsi="宋体" w:eastAsia="宋体" w:cs="宋体"/>
          <w:sz w:val="24"/>
          <w:szCs w:val="24"/>
        </w:rPr>
        <w:t xml:space="preserve"> </w:t>
      </w:r>
      <w:r>
        <w:rPr>
          <w:rFonts w:ascii="宋体" w:hAnsi="宋体" w:eastAsia="宋体" w:cs="宋体"/>
          <w:spacing w:val="4"/>
          <w:sz w:val="24"/>
          <w:szCs w:val="24"/>
        </w:rPr>
        <w:t>铁厂沟3条季节性溪沟，对矿床充水有一定影响。</w:t>
      </w:r>
    </w:p>
    <w:p w14:paraId="20C2B1FF">
      <w:pPr>
        <w:spacing w:before="3" w:line="384" w:lineRule="auto"/>
        <w:ind w:left="74" w:right="206" w:firstLine="450"/>
        <w:jc w:val="both"/>
        <w:rPr>
          <w:rFonts w:ascii="宋体" w:hAnsi="宋体" w:eastAsia="宋体" w:cs="宋体"/>
          <w:sz w:val="24"/>
          <w:szCs w:val="24"/>
        </w:rPr>
      </w:pPr>
      <w:r>
        <w:rPr>
          <w:rFonts w:ascii="宋体" w:hAnsi="宋体" w:eastAsia="宋体" w:cs="宋体"/>
          <w:spacing w:val="1"/>
          <w:sz w:val="24"/>
          <w:szCs w:val="24"/>
        </w:rPr>
        <w:t>矿区铅锌矿开采历史久远，分布有多个老窑、废窑，这些老窑主要开采浅部</w:t>
      </w:r>
      <w:r>
        <w:rPr>
          <w:rFonts w:ascii="宋体" w:hAnsi="宋体" w:eastAsia="宋体" w:cs="宋体"/>
          <w:sz w:val="24"/>
          <w:szCs w:val="24"/>
        </w:rPr>
        <w:t xml:space="preserve"> </w:t>
      </w:r>
      <w:r>
        <w:rPr>
          <w:rFonts w:ascii="宋体" w:hAnsi="宋体" w:eastAsia="宋体" w:cs="宋体"/>
          <w:spacing w:val="-1"/>
          <w:sz w:val="24"/>
          <w:szCs w:val="24"/>
        </w:rPr>
        <w:t>矿层，大部分小窑硐口均已被炸封或自然垮塌，难以具体了解积水情况，</w:t>
      </w:r>
      <w:r>
        <w:rPr>
          <w:rFonts w:ascii="宋体" w:hAnsi="宋体" w:eastAsia="宋体" w:cs="宋体"/>
          <w:spacing w:val="-2"/>
          <w:sz w:val="24"/>
          <w:szCs w:val="24"/>
        </w:rPr>
        <w:t>矿坑在</w:t>
      </w:r>
      <w:r>
        <w:rPr>
          <w:rFonts w:ascii="宋体" w:hAnsi="宋体" w:eastAsia="宋体" w:cs="宋体"/>
          <w:sz w:val="24"/>
          <w:szCs w:val="24"/>
        </w:rPr>
        <w:t xml:space="preserve"> </w:t>
      </w:r>
      <w:r>
        <w:rPr>
          <w:rFonts w:ascii="宋体" w:hAnsi="宋体" w:eastAsia="宋体" w:cs="宋体"/>
          <w:spacing w:val="-1"/>
          <w:sz w:val="24"/>
          <w:szCs w:val="24"/>
        </w:rPr>
        <w:t>今后的开采过程中，应采取措施，预防因大面积采动，导致采空冒落带导</w:t>
      </w:r>
      <w:r>
        <w:rPr>
          <w:rFonts w:ascii="宋体" w:hAnsi="宋体" w:eastAsia="宋体" w:cs="宋体"/>
          <w:spacing w:val="-2"/>
          <w:sz w:val="24"/>
          <w:szCs w:val="24"/>
        </w:rPr>
        <w:t>通浅部</w:t>
      </w:r>
      <w:r>
        <w:rPr>
          <w:rFonts w:ascii="宋体" w:hAnsi="宋体" w:eastAsia="宋体" w:cs="宋体"/>
          <w:sz w:val="24"/>
          <w:szCs w:val="24"/>
        </w:rPr>
        <w:t xml:space="preserve"> </w:t>
      </w:r>
      <w:r>
        <w:rPr>
          <w:rFonts w:ascii="宋体" w:hAnsi="宋体" w:eastAsia="宋体" w:cs="宋体"/>
          <w:spacing w:val="-2"/>
          <w:sz w:val="24"/>
          <w:szCs w:val="24"/>
        </w:rPr>
        <w:t>老窑水溃入矿坑而发生水害事故。</w:t>
      </w:r>
    </w:p>
    <w:p w14:paraId="78939732">
      <w:pPr>
        <w:spacing w:line="219" w:lineRule="auto"/>
        <w:ind w:left="565"/>
        <w:rPr>
          <w:rFonts w:ascii="宋体" w:hAnsi="宋体" w:eastAsia="宋体" w:cs="宋体"/>
          <w:sz w:val="24"/>
          <w:szCs w:val="24"/>
        </w:rPr>
      </w:pPr>
      <w:r>
        <w:rPr>
          <w:rFonts w:ascii="宋体" w:hAnsi="宋体" w:eastAsia="宋体" w:cs="宋体"/>
          <w:spacing w:val="-1"/>
          <w:sz w:val="24"/>
          <w:szCs w:val="24"/>
        </w:rPr>
        <w:t>综上所述，矿区水文地质条件类型属以弱岩</w:t>
      </w:r>
      <w:r>
        <w:rPr>
          <w:rFonts w:ascii="宋体" w:hAnsi="宋体" w:eastAsia="宋体" w:cs="宋体"/>
          <w:spacing w:val="-2"/>
          <w:sz w:val="24"/>
          <w:szCs w:val="24"/>
        </w:rPr>
        <w:t>溶含水层充水为主的中等类型。</w:t>
      </w:r>
    </w:p>
    <w:p w14:paraId="2AC3C16B">
      <w:pPr>
        <w:spacing w:before="225" w:line="219" w:lineRule="auto"/>
        <w:ind w:left="565"/>
        <w:rPr>
          <w:rFonts w:ascii="宋体" w:hAnsi="宋体" w:eastAsia="宋体" w:cs="宋体"/>
          <w:sz w:val="24"/>
          <w:szCs w:val="24"/>
        </w:rPr>
      </w:pPr>
      <w:r>
        <w:rPr>
          <w:rFonts w:ascii="宋体" w:hAnsi="宋体" w:eastAsia="宋体" w:cs="宋体"/>
          <w:spacing w:val="1"/>
          <w:sz w:val="24"/>
          <w:szCs w:val="24"/>
        </w:rPr>
        <w:t>7.10.2工程地质条件</w:t>
      </w:r>
    </w:p>
    <w:p w14:paraId="3C058801">
      <w:pPr>
        <w:spacing w:before="202" w:line="385" w:lineRule="auto"/>
        <w:ind w:left="74" w:right="107" w:firstLine="490"/>
        <w:rPr>
          <w:rFonts w:ascii="宋体" w:hAnsi="宋体" w:eastAsia="宋体" w:cs="宋体"/>
          <w:sz w:val="24"/>
          <w:szCs w:val="24"/>
        </w:rPr>
      </w:pPr>
      <w:r>
        <w:rPr>
          <w:rFonts w:ascii="宋体" w:hAnsi="宋体" w:eastAsia="宋体" w:cs="宋体"/>
          <w:spacing w:val="3"/>
          <w:sz w:val="24"/>
          <w:szCs w:val="24"/>
        </w:rPr>
        <w:t>矿区内铅锌矿体层产于二叠系阳新组灰岩中，其顶底</w:t>
      </w:r>
      <w:r>
        <w:rPr>
          <w:rFonts w:ascii="宋体" w:hAnsi="宋体" w:eastAsia="宋体" w:cs="宋体"/>
          <w:spacing w:val="2"/>
          <w:sz w:val="24"/>
          <w:szCs w:val="24"/>
        </w:rPr>
        <w:t>板岩性大致相同，矿体</w:t>
      </w:r>
      <w:r>
        <w:rPr>
          <w:rFonts w:ascii="宋体" w:hAnsi="宋体" w:eastAsia="宋体" w:cs="宋体"/>
          <w:sz w:val="24"/>
          <w:szCs w:val="24"/>
        </w:rPr>
        <w:t xml:space="preserve"> </w:t>
      </w:r>
      <w:r>
        <w:rPr>
          <w:rFonts w:ascii="宋体" w:hAnsi="宋体" w:eastAsia="宋体" w:cs="宋体"/>
          <w:spacing w:val="3"/>
          <w:sz w:val="24"/>
          <w:szCs w:val="24"/>
        </w:rPr>
        <w:t>层顶板主要为主要为灰色、深灰色中厚层状灰岩与白云岩互层，上部夹</w:t>
      </w:r>
      <w:r>
        <w:rPr>
          <w:rFonts w:ascii="宋体" w:hAnsi="宋体" w:eastAsia="宋体" w:cs="宋体"/>
          <w:spacing w:val="2"/>
          <w:sz w:val="24"/>
          <w:szCs w:val="24"/>
        </w:rPr>
        <w:t>燧石条带</w:t>
      </w:r>
      <w:r>
        <w:rPr>
          <w:rFonts w:ascii="宋体" w:hAnsi="宋体" w:eastAsia="宋体" w:cs="宋体"/>
          <w:sz w:val="24"/>
          <w:szCs w:val="24"/>
        </w:rPr>
        <w:t xml:space="preserve"> </w:t>
      </w:r>
      <w:r>
        <w:rPr>
          <w:rFonts w:ascii="宋体" w:hAnsi="宋体" w:eastAsia="宋体" w:cs="宋体"/>
          <w:spacing w:val="2"/>
          <w:sz w:val="24"/>
          <w:szCs w:val="24"/>
        </w:rPr>
        <w:t>和结核，含大量生物化石、溶蚀空洞、方解石、白云石团块；底板主要为浅灰色</w:t>
      </w:r>
      <w:r>
        <w:rPr>
          <w:rFonts w:ascii="宋体" w:hAnsi="宋体" w:eastAsia="宋体" w:cs="宋体"/>
          <w:spacing w:val="9"/>
          <w:sz w:val="24"/>
          <w:szCs w:val="24"/>
        </w:rPr>
        <w:t xml:space="preserve"> </w:t>
      </w:r>
      <w:r>
        <w:rPr>
          <w:rFonts w:ascii="宋体" w:hAnsi="宋体" w:eastAsia="宋体" w:cs="宋体"/>
          <w:spacing w:val="-2"/>
          <w:sz w:val="24"/>
          <w:szCs w:val="24"/>
        </w:rPr>
        <w:t>中一厚层状灰岩夹白云质灰岩。</w:t>
      </w:r>
    </w:p>
    <w:p w14:paraId="3BF40846">
      <w:pPr>
        <w:spacing w:line="375" w:lineRule="auto"/>
        <w:ind w:left="74" w:firstLine="490"/>
        <w:jc w:val="both"/>
        <w:rPr>
          <w:rFonts w:ascii="宋体" w:hAnsi="宋体" w:eastAsia="宋体" w:cs="宋体"/>
          <w:sz w:val="24"/>
          <w:szCs w:val="24"/>
        </w:rPr>
      </w:pPr>
      <w:r>
        <w:rPr>
          <w:rFonts w:ascii="宋体" w:hAnsi="宋体" w:eastAsia="宋体" w:cs="宋体"/>
          <w:spacing w:val="3"/>
          <w:sz w:val="24"/>
          <w:szCs w:val="24"/>
        </w:rPr>
        <w:t>岩石近地表风化强。风化带的深浅与地形地貌</w:t>
      </w:r>
      <w:r>
        <w:rPr>
          <w:rFonts w:ascii="宋体" w:hAnsi="宋体" w:eastAsia="宋体" w:cs="宋体"/>
          <w:spacing w:val="2"/>
          <w:sz w:val="24"/>
          <w:szCs w:val="24"/>
        </w:rPr>
        <w:t>关系密切，随地形起伏及地质</w:t>
      </w:r>
      <w:r>
        <w:rPr>
          <w:rFonts w:ascii="宋体" w:hAnsi="宋体" w:eastAsia="宋体" w:cs="宋体"/>
          <w:sz w:val="24"/>
          <w:szCs w:val="24"/>
        </w:rPr>
        <w:t xml:space="preserve">  </w:t>
      </w:r>
      <w:r>
        <w:rPr>
          <w:rFonts w:ascii="宋体" w:hAnsi="宋体" w:eastAsia="宋体" w:cs="宋体"/>
          <w:spacing w:val="3"/>
          <w:sz w:val="24"/>
          <w:szCs w:val="24"/>
        </w:rPr>
        <w:t>构造的发育程度而显示不同的风化程度；随着深度增加风化程度减</w:t>
      </w:r>
      <w:r>
        <w:rPr>
          <w:rFonts w:ascii="宋体" w:hAnsi="宋体" w:eastAsia="宋体" w:cs="宋体"/>
          <w:spacing w:val="2"/>
          <w:sz w:val="24"/>
          <w:szCs w:val="24"/>
        </w:rPr>
        <w:t>弱，风化带埋</w:t>
      </w:r>
      <w:r>
        <w:rPr>
          <w:rFonts w:ascii="宋体" w:hAnsi="宋体" w:eastAsia="宋体" w:cs="宋体"/>
          <w:sz w:val="24"/>
          <w:szCs w:val="24"/>
        </w:rPr>
        <w:t xml:space="preserve">  </w:t>
      </w:r>
      <w:r>
        <w:rPr>
          <w:rFonts w:ascii="宋体" w:hAnsi="宋体" w:eastAsia="宋体" w:cs="宋体"/>
          <w:spacing w:val="2"/>
          <w:sz w:val="24"/>
          <w:szCs w:val="24"/>
        </w:rPr>
        <w:t>深0～30</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4"/>
          <w:sz w:val="24"/>
          <w:szCs w:val="24"/>
        </w:rPr>
        <w:t xml:space="preserve"> </w:t>
      </w:r>
      <w:r>
        <w:rPr>
          <w:rFonts w:ascii="宋体" w:hAnsi="宋体" w:eastAsia="宋体" w:cs="宋体"/>
          <w:spacing w:val="2"/>
          <w:sz w:val="24"/>
          <w:szCs w:val="24"/>
        </w:rPr>
        <w:t>平均5～10</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近地表岩石稳固性差</w:t>
      </w:r>
      <w:r>
        <w:rPr>
          <w:rFonts w:ascii="宋体" w:hAnsi="宋体" w:eastAsia="宋体" w:cs="宋体"/>
          <w:spacing w:val="1"/>
          <w:sz w:val="24"/>
          <w:szCs w:val="24"/>
        </w:rPr>
        <w:t>，深部稳固性较好；影响范围不大。</w:t>
      </w:r>
    </w:p>
    <w:p w14:paraId="63E1EC32">
      <w:pPr>
        <w:spacing w:before="38" w:line="387" w:lineRule="auto"/>
        <w:ind w:left="74" w:right="118" w:firstLine="490"/>
        <w:rPr>
          <w:rFonts w:ascii="宋体" w:hAnsi="宋体" w:eastAsia="宋体" w:cs="宋体"/>
          <w:sz w:val="24"/>
          <w:szCs w:val="24"/>
        </w:rPr>
      </w:pPr>
      <w:r>
        <w:rPr>
          <w:rFonts w:ascii="宋体" w:hAnsi="宋体" w:eastAsia="宋体" w:cs="宋体"/>
          <w:spacing w:val="1"/>
          <w:sz w:val="24"/>
          <w:szCs w:val="24"/>
        </w:rPr>
        <w:t>综上所述，依据《矿区水文地质工程地质勘探规范》</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1271</w:t>
      </w:r>
      <w:r>
        <w:rPr>
          <w:rFonts w:ascii="Times New Roman" w:hAnsi="Times New Roman" w:eastAsia="Times New Roman" w:cs="Times New Roman"/>
          <w:sz w:val="24"/>
          <w:szCs w:val="24"/>
        </w:rPr>
        <w:t>9-91</w:t>
      </w:r>
      <w:r>
        <w:rPr>
          <w:rFonts w:ascii="宋体" w:hAnsi="宋体" w:eastAsia="宋体" w:cs="宋体"/>
          <w:sz w:val="24"/>
          <w:szCs w:val="24"/>
        </w:rPr>
        <w:t>划分矿床工 程地质类型标准，矿区工程地质条件属以坚硬层状碳酸盐岩为主的中等类</w:t>
      </w:r>
      <w:r>
        <w:rPr>
          <w:rFonts w:ascii="宋体" w:hAnsi="宋体" w:eastAsia="宋体" w:cs="宋体"/>
          <w:spacing w:val="-1"/>
          <w:sz w:val="24"/>
          <w:szCs w:val="24"/>
        </w:rPr>
        <w:t>型。</w:t>
      </w:r>
    </w:p>
    <w:p w14:paraId="5AB90711">
      <w:pPr>
        <w:spacing w:before="5" w:line="220" w:lineRule="auto"/>
        <w:ind w:left="565"/>
        <w:rPr>
          <w:rFonts w:ascii="宋体" w:hAnsi="宋体" w:eastAsia="宋体" w:cs="宋体"/>
          <w:sz w:val="24"/>
          <w:szCs w:val="24"/>
        </w:rPr>
      </w:pPr>
      <w:r>
        <w:rPr>
          <w:rFonts w:ascii="宋体" w:hAnsi="宋体" w:eastAsia="宋体" w:cs="宋体"/>
          <w:spacing w:val="8"/>
          <w:sz w:val="24"/>
          <w:szCs w:val="24"/>
        </w:rPr>
        <w:t>7.10.3环境地质</w:t>
      </w:r>
    </w:p>
    <w:p w14:paraId="77FA8D1E">
      <w:pPr>
        <w:spacing w:before="175" w:line="396" w:lineRule="auto"/>
        <w:ind w:left="74" w:right="102" w:firstLine="490"/>
        <w:rPr>
          <w:rFonts w:ascii="宋体" w:hAnsi="宋体" w:eastAsia="宋体" w:cs="宋体"/>
          <w:sz w:val="24"/>
          <w:szCs w:val="24"/>
        </w:rPr>
      </w:pPr>
      <w:r>
        <w:rPr>
          <w:rFonts w:ascii="宋体" w:hAnsi="宋体" w:eastAsia="宋体" w:cs="宋体"/>
          <w:spacing w:val="3"/>
          <w:sz w:val="24"/>
          <w:szCs w:val="24"/>
        </w:rPr>
        <w:t>矿区地处地抗震设防烈度7度区，设计基本地震加强度</w:t>
      </w:r>
      <w:r>
        <w:rPr>
          <w:rFonts w:ascii="宋体" w:hAnsi="宋体" w:eastAsia="宋体" w:cs="宋体"/>
          <w:spacing w:val="2"/>
          <w:sz w:val="24"/>
          <w:szCs w:val="24"/>
        </w:rPr>
        <w:t>值为0.10</w:t>
      </w:r>
      <w:r>
        <w:rPr>
          <w:rFonts w:ascii="Times New Roman" w:hAnsi="Times New Roman" w:eastAsia="Times New Roman" w:cs="Times New Roman"/>
          <w:spacing w:val="2"/>
          <w:sz w:val="24"/>
          <w:szCs w:val="24"/>
        </w:rPr>
        <w:t>g</w:t>
      </w:r>
      <w:r>
        <w:rPr>
          <w:rFonts w:ascii="宋体" w:hAnsi="宋体" w:eastAsia="宋体" w:cs="宋体"/>
          <w:spacing w:val="2"/>
          <w:sz w:val="24"/>
          <w:szCs w:val="24"/>
        </w:rPr>
        <w:t>历史上从未</w:t>
      </w:r>
      <w:r>
        <w:rPr>
          <w:rFonts w:ascii="宋体" w:hAnsi="宋体" w:eastAsia="宋体" w:cs="宋体"/>
          <w:sz w:val="24"/>
          <w:szCs w:val="24"/>
        </w:rPr>
        <w:t xml:space="preserve"> </w:t>
      </w:r>
      <w:r>
        <w:rPr>
          <w:rFonts w:ascii="宋体" w:hAnsi="宋体" w:eastAsia="宋体" w:cs="宋体"/>
          <w:spacing w:val="1"/>
          <w:sz w:val="24"/>
          <w:szCs w:val="24"/>
        </w:rPr>
        <w:t>发生过大的破坏性地震，属较稳定区域。</w:t>
      </w:r>
    </w:p>
    <w:p w14:paraId="43635F5D">
      <w:pPr>
        <w:spacing w:before="6" w:line="367" w:lineRule="auto"/>
        <w:ind w:left="74" w:right="90" w:firstLine="490"/>
        <w:rPr>
          <w:rFonts w:ascii="仿宋" w:hAnsi="仿宋" w:eastAsia="仿宋" w:cs="仿宋"/>
          <w:sz w:val="24"/>
          <w:szCs w:val="24"/>
        </w:rPr>
      </w:pPr>
      <w:r>
        <w:rPr>
          <w:rFonts w:ascii="宋体" w:hAnsi="宋体" w:eastAsia="宋体" w:cs="宋体"/>
          <w:spacing w:val="3"/>
          <w:sz w:val="24"/>
          <w:szCs w:val="24"/>
        </w:rPr>
        <w:t>矿区内未发现崩塌、滑坡、泥石流、地面下沉、塌陷、地裂缝等地质灾害现</w:t>
      </w:r>
      <w:r>
        <w:rPr>
          <w:rFonts w:ascii="宋体" w:hAnsi="宋体" w:eastAsia="宋体" w:cs="宋体"/>
          <w:spacing w:val="9"/>
          <w:sz w:val="24"/>
          <w:szCs w:val="24"/>
        </w:rPr>
        <w:t xml:space="preserve"> </w:t>
      </w:r>
      <w:r>
        <w:rPr>
          <w:rFonts w:ascii="仿宋" w:hAnsi="仿宋" w:eastAsia="仿宋" w:cs="仿宋"/>
          <w:spacing w:val="-11"/>
          <w:sz w:val="24"/>
          <w:szCs w:val="24"/>
        </w:rPr>
        <w:t>象。</w:t>
      </w:r>
    </w:p>
    <w:p w14:paraId="3FD90EB3">
      <w:pPr>
        <w:spacing w:line="367" w:lineRule="auto"/>
        <w:rPr>
          <w:rFonts w:ascii="仿宋" w:hAnsi="仿宋" w:eastAsia="仿宋" w:cs="仿宋"/>
          <w:sz w:val="24"/>
          <w:szCs w:val="24"/>
        </w:rPr>
        <w:sectPr>
          <w:headerReference r:id="rId60" w:type="default"/>
          <w:footerReference r:id="rId61" w:type="default"/>
          <w:pgSz w:w="11900" w:h="16830"/>
          <w:pgMar w:top="1186" w:right="1430" w:bottom="1269" w:left="1785" w:header="910" w:footer="928" w:gutter="0"/>
          <w:cols w:space="720" w:num="1"/>
        </w:sectPr>
      </w:pPr>
    </w:p>
    <w:p w14:paraId="562A648B">
      <w:pPr>
        <w:pStyle w:val="2"/>
        <w:spacing w:line="408" w:lineRule="auto"/>
      </w:pPr>
    </w:p>
    <w:p w14:paraId="55BAC8B1">
      <w:pPr>
        <w:spacing w:before="78" w:line="376" w:lineRule="auto"/>
        <w:ind w:left="54" w:right="89" w:firstLine="500"/>
        <w:jc w:val="both"/>
        <w:rPr>
          <w:rFonts w:ascii="宋体" w:hAnsi="宋体" w:eastAsia="宋体" w:cs="宋体"/>
          <w:sz w:val="24"/>
          <w:szCs w:val="24"/>
        </w:rPr>
      </w:pPr>
      <w:bookmarkStart w:id="30" w:name="bookmark57"/>
      <w:bookmarkEnd w:id="30"/>
      <w:r>
        <w:rPr>
          <w:rFonts w:ascii="宋体" w:hAnsi="宋体" w:eastAsia="宋体" w:cs="宋体"/>
          <w:spacing w:val="2"/>
          <w:sz w:val="24"/>
          <w:szCs w:val="24"/>
        </w:rPr>
        <w:t>矿山开采产生的废石大部分用于建材和堆存于坑内，矿坑水</w:t>
      </w:r>
      <w:r>
        <w:rPr>
          <w:rFonts w:ascii="宋体" w:hAnsi="宋体" w:eastAsia="宋体" w:cs="宋体"/>
          <w:spacing w:val="1"/>
          <w:sz w:val="24"/>
          <w:szCs w:val="24"/>
        </w:rPr>
        <w:t>均经沉淀去硫处</w:t>
      </w:r>
      <w:r>
        <w:rPr>
          <w:rFonts w:ascii="宋体" w:hAnsi="宋体" w:eastAsia="宋体" w:cs="宋体"/>
          <w:sz w:val="24"/>
          <w:szCs w:val="24"/>
        </w:rPr>
        <w:t xml:space="preserve"> </w:t>
      </w:r>
      <w:r>
        <w:rPr>
          <w:rFonts w:ascii="宋体" w:hAnsi="宋体" w:eastAsia="宋体" w:cs="宋体"/>
          <w:spacing w:val="1"/>
          <w:sz w:val="24"/>
          <w:szCs w:val="24"/>
        </w:rPr>
        <w:t>理后重复使用，粉尘经喷水处理后含量较低，矿山选厂的选矿废水，经矿山多年</w:t>
      </w:r>
      <w:r>
        <w:rPr>
          <w:rFonts w:ascii="宋体" w:hAnsi="宋体" w:eastAsia="宋体" w:cs="宋体"/>
          <w:spacing w:val="2"/>
          <w:sz w:val="24"/>
          <w:szCs w:val="24"/>
        </w:rPr>
        <w:t xml:space="preserve">  </w:t>
      </w:r>
      <w:r>
        <w:rPr>
          <w:rFonts w:ascii="宋体" w:hAnsi="宋体" w:eastAsia="宋体" w:cs="宋体"/>
          <w:spacing w:val="-10"/>
          <w:sz w:val="24"/>
          <w:szCs w:val="24"/>
        </w:rPr>
        <w:t>选矿废水处理实践，外排废水水质已能满足《污水综合排放标准》(</w:t>
      </w:r>
      <w:r>
        <w:rPr>
          <w:rFonts w:ascii="宋体" w:hAnsi="宋体" w:eastAsia="宋体" w:cs="宋体"/>
          <w:spacing w:val="-69"/>
          <w:sz w:val="24"/>
          <w:szCs w:val="24"/>
        </w:rPr>
        <w:t xml:space="preserve"> </w:t>
      </w:r>
      <w:r>
        <w:rPr>
          <w:rFonts w:ascii="Times New Roman" w:hAnsi="Times New Roman" w:eastAsia="Times New Roman" w:cs="Times New Roman"/>
          <w:spacing w:val="-10"/>
          <w:sz w:val="24"/>
          <w:szCs w:val="24"/>
        </w:rPr>
        <w:t>GB8978—</w:t>
      </w:r>
      <w:r>
        <w:rPr>
          <w:rFonts w:ascii="Times New Roman" w:hAnsi="Times New Roman" w:eastAsia="Times New Roman" w:cs="Times New Roman"/>
          <w:spacing w:val="-11"/>
          <w:sz w:val="24"/>
          <w:szCs w:val="24"/>
        </w:rPr>
        <w:t>1996)</w:t>
      </w:r>
      <w:r>
        <w:rPr>
          <w:rFonts w:ascii="宋体" w:hAnsi="宋体" w:eastAsia="宋体" w:cs="宋体"/>
          <w:spacing w:val="-11"/>
          <w:sz w:val="24"/>
          <w:szCs w:val="24"/>
        </w:rPr>
        <w:t>。</w:t>
      </w:r>
      <w:r>
        <w:rPr>
          <w:rFonts w:ascii="宋体" w:hAnsi="宋体" w:eastAsia="宋体" w:cs="宋体"/>
          <w:sz w:val="24"/>
          <w:szCs w:val="24"/>
        </w:rPr>
        <w:t xml:space="preserve"> </w:t>
      </w:r>
      <w:r>
        <w:rPr>
          <w:rFonts w:ascii="宋体" w:hAnsi="宋体" w:eastAsia="宋体" w:cs="宋体"/>
          <w:spacing w:val="-4"/>
          <w:sz w:val="24"/>
          <w:szCs w:val="24"/>
        </w:rPr>
        <w:t>因此，矿山采选对地质环境的影响较小。</w:t>
      </w:r>
    </w:p>
    <w:p w14:paraId="51B9F4F8">
      <w:pPr>
        <w:spacing w:before="38" w:line="219" w:lineRule="auto"/>
        <w:ind w:left="555"/>
        <w:rPr>
          <w:rFonts w:ascii="宋体" w:hAnsi="宋体" w:eastAsia="宋体" w:cs="宋体"/>
          <w:sz w:val="24"/>
          <w:szCs w:val="24"/>
        </w:rPr>
      </w:pPr>
      <w:r>
        <w:rPr>
          <w:rFonts w:ascii="宋体" w:hAnsi="宋体" w:eastAsia="宋体" w:cs="宋体"/>
          <w:spacing w:val="-2"/>
          <w:sz w:val="24"/>
          <w:szCs w:val="24"/>
        </w:rPr>
        <w:t>综上所述，矿区地质环境条件复杂程度及环境质量为中等。</w:t>
      </w:r>
    </w:p>
    <w:p w14:paraId="79F88298">
      <w:pPr>
        <w:spacing w:before="235" w:line="219" w:lineRule="auto"/>
        <w:ind w:left="555"/>
        <w:outlineLvl w:val="1"/>
        <w:rPr>
          <w:rFonts w:ascii="宋体" w:hAnsi="宋体" w:eastAsia="宋体" w:cs="宋体"/>
          <w:sz w:val="24"/>
          <w:szCs w:val="24"/>
        </w:rPr>
      </w:pPr>
      <w:bookmarkStart w:id="31" w:name="bookmark20"/>
      <w:bookmarkEnd w:id="31"/>
      <w:r>
        <w:rPr>
          <w:rFonts w:ascii="宋体" w:hAnsi="宋体" w:eastAsia="宋体" w:cs="宋体"/>
          <w:spacing w:val="4"/>
          <w:sz w:val="24"/>
          <w:szCs w:val="24"/>
        </w:rPr>
        <w:t>7.11矿区开发利用现状</w:t>
      </w:r>
    </w:p>
    <w:p w14:paraId="2AFDD40D">
      <w:pPr>
        <w:spacing w:before="206" w:line="379" w:lineRule="auto"/>
        <w:ind w:left="54" w:right="156" w:firstLine="500"/>
        <w:jc w:val="both"/>
        <w:rPr>
          <w:rFonts w:ascii="宋体" w:hAnsi="宋体" w:eastAsia="宋体" w:cs="宋体"/>
          <w:sz w:val="24"/>
          <w:szCs w:val="24"/>
        </w:rPr>
      </w:pPr>
      <w:r>
        <w:rPr>
          <w:rFonts w:ascii="宋体" w:hAnsi="宋体" w:eastAsia="宋体" w:cs="宋体"/>
          <w:spacing w:val="2"/>
          <w:sz w:val="24"/>
          <w:szCs w:val="24"/>
        </w:rPr>
        <w:t>矿山开采方式为地下开采，主平硐—辅助斜井一溜井一地表台车斜</w:t>
      </w:r>
      <w:r>
        <w:rPr>
          <w:rFonts w:ascii="宋体" w:hAnsi="宋体" w:eastAsia="宋体" w:cs="宋体"/>
          <w:spacing w:val="1"/>
          <w:sz w:val="24"/>
          <w:szCs w:val="24"/>
        </w:rPr>
        <w:t>坡道开拓</w:t>
      </w:r>
      <w:r>
        <w:rPr>
          <w:rFonts w:ascii="宋体" w:hAnsi="宋体" w:eastAsia="宋体" w:cs="宋体"/>
          <w:sz w:val="24"/>
          <w:szCs w:val="24"/>
        </w:rPr>
        <w:t xml:space="preserve"> </w:t>
      </w:r>
      <w:r>
        <w:rPr>
          <w:rFonts w:ascii="仿宋" w:hAnsi="仿宋" w:eastAsia="仿宋" w:cs="仿宋"/>
          <w:spacing w:val="-3"/>
          <w:sz w:val="24"/>
          <w:szCs w:val="24"/>
        </w:rPr>
        <w:t>系统。</w:t>
      </w:r>
      <w:r>
        <w:rPr>
          <w:rFonts w:ascii="宋体" w:hAnsi="宋体" w:eastAsia="宋体" w:cs="宋体"/>
          <w:spacing w:val="-3"/>
          <w:sz w:val="24"/>
          <w:szCs w:val="24"/>
        </w:rPr>
        <w:t>主平硐硐口标高1573.439</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46"/>
          <w:sz w:val="24"/>
          <w:szCs w:val="24"/>
        </w:rPr>
        <w:t xml:space="preserve"> </w:t>
      </w:r>
      <w:r>
        <w:rPr>
          <w:rFonts w:ascii="宋体" w:hAnsi="宋体" w:eastAsia="宋体" w:cs="宋体"/>
          <w:spacing w:val="-3"/>
          <w:sz w:val="24"/>
          <w:szCs w:val="24"/>
        </w:rPr>
        <w:t>生产中段有1630</w:t>
      </w:r>
      <w:r>
        <w:rPr>
          <w:rFonts w:ascii="Times New Roman" w:hAnsi="Times New Roman" w:eastAsia="Times New Roman" w:cs="Times New Roman"/>
          <w:spacing w:val="-3"/>
          <w:sz w:val="24"/>
          <w:szCs w:val="24"/>
        </w:rPr>
        <w:t>m</w:t>
      </w:r>
      <w:r>
        <w:rPr>
          <w:rFonts w:ascii="宋体" w:hAnsi="宋体" w:eastAsia="宋体" w:cs="宋体"/>
          <w:spacing w:val="-3"/>
          <w:sz w:val="24"/>
          <w:szCs w:val="24"/>
        </w:rPr>
        <w:t>中段</w:t>
      </w:r>
      <w:r>
        <w:rPr>
          <w:rFonts w:ascii="宋体" w:hAnsi="宋体" w:eastAsia="宋体" w:cs="宋体"/>
          <w:spacing w:val="-4"/>
          <w:sz w:val="24"/>
          <w:szCs w:val="24"/>
        </w:rPr>
        <w:t>、1576</w:t>
      </w:r>
      <w:r>
        <w:rPr>
          <w:rFonts w:ascii="Times New Roman" w:hAnsi="Times New Roman" w:eastAsia="Times New Roman" w:cs="Times New Roman"/>
          <w:spacing w:val="-4"/>
          <w:sz w:val="24"/>
          <w:szCs w:val="24"/>
        </w:rPr>
        <w:t>m</w:t>
      </w:r>
      <w:r>
        <w:rPr>
          <w:rFonts w:ascii="宋体" w:hAnsi="宋体" w:eastAsia="宋体" w:cs="宋体"/>
          <w:spacing w:val="-4"/>
          <w:sz w:val="24"/>
          <w:szCs w:val="24"/>
        </w:rPr>
        <w:t>中段、1510</w:t>
      </w:r>
      <w:r>
        <w:rPr>
          <w:rFonts w:ascii="Times New Roman" w:hAnsi="Times New Roman" w:eastAsia="Times New Roman" w:cs="Times New Roman"/>
          <w:spacing w:val="-4"/>
          <w:sz w:val="24"/>
          <w:szCs w:val="24"/>
        </w:rPr>
        <w:t>m</w:t>
      </w:r>
      <w:r>
        <w:rPr>
          <w:rFonts w:ascii="宋体" w:hAnsi="宋体" w:eastAsia="宋体" w:cs="宋体"/>
          <w:spacing w:val="-4"/>
          <w:sz w:val="24"/>
          <w:szCs w:val="24"/>
        </w:rPr>
        <w:t>中</w:t>
      </w:r>
      <w:r>
        <w:rPr>
          <w:rFonts w:ascii="宋体" w:hAnsi="宋体" w:eastAsia="宋体" w:cs="宋体"/>
          <w:sz w:val="24"/>
          <w:szCs w:val="24"/>
        </w:rPr>
        <w:t xml:space="preserve"> </w:t>
      </w:r>
      <w:r>
        <w:rPr>
          <w:rFonts w:ascii="黑体" w:hAnsi="黑体" w:eastAsia="黑体" w:cs="黑体"/>
          <w:spacing w:val="-1"/>
          <w:sz w:val="24"/>
          <w:szCs w:val="24"/>
        </w:rPr>
        <w:t>段。</w:t>
      </w:r>
      <w:r>
        <w:rPr>
          <w:rFonts w:ascii="宋体" w:hAnsi="宋体" w:eastAsia="宋体" w:cs="宋体"/>
          <w:spacing w:val="-1"/>
          <w:sz w:val="24"/>
          <w:szCs w:val="24"/>
        </w:rPr>
        <w:t>坑内开采工艺为全面采矿法，通风方式为局</w:t>
      </w:r>
      <w:r>
        <w:rPr>
          <w:rFonts w:ascii="宋体" w:hAnsi="宋体" w:eastAsia="宋体" w:cs="宋体"/>
          <w:spacing w:val="-2"/>
          <w:sz w:val="24"/>
          <w:szCs w:val="24"/>
        </w:rPr>
        <w:t>扇+自然通风。选矿工艺流程为优</w:t>
      </w:r>
      <w:r>
        <w:rPr>
          <w:rFonts w:ascii="宋体" w:hAnsi="宋体" w:eastAsia="宋体" w:cs="宋体"/>
          <w:sz w:val="24"/>
          <w:szCs w:val="24"/>
        </w:rPr>
        <w:t xml:space="preserve"> </w:t>
      </w:r>
      <w:r>
        <w:rPr>
          <w:rFonts w:ascii="宋体" w:hAnsi="宋体" w:eastAsia="宋体" w:cs="宋体"/>
          <w:spacing w:val="-4"/>
          <w:sz w:val="24"/>
          <w:szCs w:val="24"/>
        </w:rPr>
        <w:t>先浮选，先锌后铅的方案。</w:t>
      </w:r>
    </w:p>
    <w:p w14:paraId="6FF94738">
      <w:pPr>
        <w:spacing w:before="26" w:line="382" w:lineRule="auto"/>
        <w:ind w:left="54" w:right="137" w:firstLine="500"/>
        <w:jc w:val="both"/>
        <w:rPr>
          <w:rFonts w:ascii="宋体" w:hAnsi="宋体" w:eastAsia="宋体" w:cs="宋体"/>
          <w:sz w:val="24"/>
          <w:szCs w:val="24"/>
        </w:rPr>
      </w:pPr>
      <w:r>
        <w:rPr>
          <w:rFonts w:ascii="宋体" w:hAnsi="宋体" w:eastAsia="宋体" w:cs="宋体"/>
          <w:spacing w:val="-4"/>
          <w:sz w:val="24"/>
          <w:szCs w:val="24"/>
        </w:rPr>
        <w:t>根据矿业权人介绍，近三年开采情况：矿山2019年采出矿石量5.14万吨，2020</w:t>
      </w:r>
      <w:r>
        <w:rPr>
          <w:rFonts w:ascii="宋体" w:hAnsi="宋体" w:eastAsia="宋体" w:cs="宋体"/>
          <w:spacing w:val="1"/>
          <w:sz w:val="24"/>
          <w:szCs w:val="24"/>
        </w:rPr>
        <w:t xml:space="preserve"> </w:t>
      </w:r>
      <w:r>
        <w:rPr>
          <w:rFonts w:ascii="宋体" w:hAnsi="宋体" w:eastAsia="宋体" w:cs="宋体"/>
          <w:spacing w:val="5"/>
          <w:sz w:val="24"/>
          <w:szCs w:val="24"/>
        </w:rPr>
        <w:t>年采出矿石量4.11万吨，2021年采出矿石</w:t>
      </w:r>
      <w:r>
        <w:rPr>
          <w:rFonts w:ascii="宋体" w:hAnsi="宋体" w:eastAsia="宋体" w:cs="宋体"/>
          <w:spacing w:val="4"/>
          <w:sz w:val="24"/>
          <w:szCs w:val="24"/>
        </w:rPr>
        <w:t>量4.56万吨，2022年1-4月采出矿石量</w:t>
      </w:r>
      <w:r>
        <w:rPr>
          <w:rFonts w:ascii="宋体" w:hAnsi="宋体" w:eastAsia="宋体" w:cs="宋体"/>
          <w:sz w:val="24"/>
          <w:szCs w:val="24"/>
        </w:rPr>
        <w:t xml:space="preserve"> </w:t>
      </w:r>
      <w:r>
        <w:rPr>
          <w:rFonts w:ascii="宋体" w:hAnsi="宋体" w:eastAsia="宋体" w:cs="宋体"/>
          <w:spacing w:val="-2"/>
          <w:sz w:val="24"/>
          <w:szCs w:val="24"/>
        </w:rPr>
        <w:t>1.16万吨。</w:t>
      </w:r>
    </w:p>
    <w:p w14:paraId="070F62CC">
      <w:pPr>
        <w:spacing w:before="1" w:line="217" w:lineRule="auto"/>
        <w:ind w:left="54"/>
        <w:outlineLvl w:val="0"/>
        <w:rPr>
          <w:rFonts w:ascii="宋体" w:hAnsi="宋体" w:eastAsia="宋体" w:cs="宋体"/>
          <w:sz w:val="24"/>
          <w:szCs w:val="24"/>
        </w:rPr>
      </w:pPr>
      <w:bookmarkStart w:id="32" w:name="bookmark21"/>
      <w:bookmarkEnd w:id="32"/>
      <w:r>
        <w:rPr>
          <w:rFonts w:ascii="Times New Roman" w:hAnsi="Times New Roman" w:eastAsia="Times New Roman" w:cs="Times New Roman"/>
          <w:spacing w:val="5"/>
          <w:sz w:val="24"/>
          <w:szCs w:val="24"/>
        </w:rPr>
        <w:t>8.</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评估实施过程</w:t>
      </w:r>
    </w:p>
    <w:p w14:paraId="1881259A">
      <w:pPr>
        <w:spacing w:before="230" w:line="221" w:lineRule="auto"/>
        <w:ind w:left="555"/>
        <w:rPr>
          <w:rFonts w:ascii="宋体" w:hAnsi="宋体" w:eastAsia="宋体" w:cs="宋体"/>
          <w:sz w:val="24"/>
          <w:szCs w:val="24"/>
        </w:rPr>
      </w:pPr>
      <w:r>
        <w:rPr>
          <w:rFonts w:ascii="宋体" w:hAnsi="宋体" w:eastAsia="宋体" w:cs="宋体"/>
          <w:spacing w:val="9"/>
          <w:sz w:val="24"/>
          <w:szCs w:val="24"/>
        </w:rPr>
        <w:t>8.1接受委托阶段</w:t>
      </w:r>
    </w:p>
    <w:p w14:paraId="310E4B93">
      <w:pPr>
        <w:spacing w:before="210" w:line="382" w:lineRule="auto"/>
        <w:ind w:left="54" w:right="203" w:firstLine="500"/>
        <w:rPr>
          <w:rFonts w:ascii="宋体" w:hAnsi="宋体" w:eastAsia="宋体" w:cs="宋体"/>
          <w:sz w:val="24"/>
          <w:szCs w:val="24"/>
        </w:rPr>
      </w:pPr>
      <w:r>
        <w:rPr>
          <w:rFonts w:ascii="宋体" w:hAnsi="宋体" w:eastAsia="宋体" w:cs="宋体"/>
          <w:spacing w:val="11"/>
          <w:sz w:val="24"/>
          <w:szCs w:val="24"/>
        </w:rPr>
        <w:t>2022年9月30日，接受曲靖市自然资源和规划局委</w:t>
      </w:r>
      <w:r>
        <w:rPr>
          <w:rFonts w:ascii="宋体" w:hAnsi="宋体" w:eastAsia="宋体" w:cs="宋体"/>
          <w:spacing w:val="10"/>
          <w:sz w:val="24"/>
          <w:szCs w:val="24"/>
        </w:rPr>
        <w:t>托，了解本次评估的目</w:t>
      </w:r>
      <w:r>
        <w:rPr>
          <w:rFonts w:ascii="宋体" w:hAnsi="宋体" w:eastAsia="宋体" w:cs="宋体"/>
          <w:sz w:val="24"/>
          <w:szCs w:val="24"/>
        </w:rPr>
        <w:t xml:space="preserve"> </w:t>
      </w:r>
      <w:r>
        <w:rPr>
          <w:rFonts w:ascii="宋体" w:hAnsi="宋体" w:eastAsia="宋体" w:cs="宋体"/>
          <w:spacing w:val="-3"/>
          <w:sz w:val="24"/>
          <w:szCs w:val="24"/>
        </w:rPr>
        <w:t>的、对象和范围。</w:t>
      </w:r>
    </w:p>
    <w:p w14:paraId="6AB99514">
      <w:pPr>
        <w:spacing w:before="1" w:line="220" w:lineRule="auto"/>
        <w:ind w:left="555"/>
        <w:rPr>
          <w:rFonts w:ascii="宋体" w:hAnsi="宋体" w:eastAsia="宋体" w:cs="宋体"/>
          <w:sz w:val="24"/>
          <w:szCs w:val="24"/>
        </w:rPr>
      </w:pPr>
      <w:r>
        <w:rPr>
          <w:rFonts w:ascii="宋体" w:hAnsi="宋体" w:eastAsia="宋体" w:cs="宋体"/>
          <w:spacing w:val="9"/>
          <w:sz w:val="24"/>
          <w:szCs w:val="24"/>
        </w:rPr>
        <w:t>8.2尽职调查阶段</w:t>
      </w:r>
    </w:p>
    <w:p w14:paraId="615FD033">
      <w:pPr>
        <w:spacing w:before="216" w:line="379" w:lineRule="auto"/>
        <w:ind w:left="54" w:right="219" w:firstLine="460"/>
        <w:rPr>
          <w:rFonts w:ascii="宋体" w:hAnsi="宋体" w:eastAsia="宋体" w:cs="宋体"/>
          <w:sz w:val="24"/>
          <w:szCs w:val="24"/>
        </w:rPr>
      </w:pPr>
      <w:r>
        <w:rPr>
          <w:rFonts w:ascii="宋体" w:hAnsi="宋体" w:eastAsia="宋体" w:cs="宋体"/>
          <w:spacing w:val="16"/>
          <w:sz w:val="24"/>
          <w:szCs w:val="24"/>
        </w:rPr>
        <w:t>2022年10月1日—2022年10月20日，由本公司有关人员组成评估小组，</w:t>
      </w:r>
      <w:r>
        <w:rPr>
          <w:rFonts w:ascii="宋体" w:hAnsi="宋体" w:eastAsia="宋体" w:cs="宋体"/>
          <w:sz w:val="24"/>
          <w:szCs w:val="24"/>
        </w:rPr>
        <w:t xml:space="preserve"> 根据评估有关原则和规定，评估人员首先听取矿业权人对矿权的基本情况介</w:t>
      </w:r>
      <w:r>
        <w:rPr>
          <w:rFonts w:ascii="宋体" w:hAnsi="宋体" w:eastAsia="宋体" w:cs="宋体"/>
          <w:spacing w:val="-1"/>
          <w:sz w:val="24"/>
          <w:szCs w:val="24"/>
        </w:rPr>
        <w:t>绍，</w:t>
      </w:r>
      <w:r>
        <w:rPr>
          <w:rFonts w:ascii="宋体" w:hAnsi="宋体" w:eastAsia="宋体" w:cs="宋体"/>
          <w:sz w:val="24"/>
          <w:szCs w:val="24"/>
        </w:rPr>
        <w:t xml:space="preserve"> 了解评估对象权属状况；地形地貌等自然地理条件；交通、供电、供水等基础设 施条件及区域经济发展状况；勘查、开发历史及现状；评估对象既往评估和交易</w:t>
      </w:r>
      <w:r>
        <w:rPr>
          <w:rFonts w:ascii="宋体" w:hAnsi="宋体" w:eastAsia="宋体" w:cs="宋体"/>
          <w:spacing w:val="14"/>
          <w:sz w:val="24"/>
          <w:szCs w:val="24"/>
        </w:rPr>
        <w:t xml:space="preserve"> </w:t>
      </w:r>
      <w:r>
        <w:rPr>
          <w:rFonts w:ascii="宋体" w:hAnsi="宋体" w:eastAsia="宋体" w:cs="宋体"/>
          <w:spacing w:val="1"/>
          <w:sz w:val="24"/>
          <w:szCs w:val="24"/>
        </w:rPr>
        <w:t>情况；查阅了与评估有关的地质资料，征询</w:t>
      </w:r>
      <w:r>
        <w:rPr>
          <w:rFonts w:ascii="宋体" w:hAnsi="宋体" w:eastAsia="宋体" w:cs="宋体"/>
          <w:sz w:val="24"/>
          <w:szCs w:val="24"/>
        </w:rPr>
        <w:t>、了解、核实矿床地质勘查、矿山开 发等基本情况，现场收集、核实与评估对象有关的权属</w:t>
      </w:r>
      <w:r>
        <w:rPr>
          <w:rFonts w:ascii="宋体" w:hAnsi="宋体" w:eastAsia="宋体" w:cs="宋体"/>
          <w:spacing w:val="-1"/>
          <w:sz w:val="24"/>
          <w:szCs w:val="24"/>
        </w:rPr>
        <w:t>资料、地质勘查类资料、</w:t>
      </w:r>
      <w:r>
        <w:rPr>
          <w:rFonts w:ascii="宋体" w:hAnsi="宋体" w:eastAsia="宋体" w:cs="宋体"/>
          <w:sz w:val="24"/>
          <w:szCs w:val="24"/>
        </w:rPr>
        <w:t xml:space="preserve"> 设计资料、法律法规及规范性文件、行业信息及其他资料等，并在矿业权人陪同</w:t>
      </w:r>
      <w:r>
        <w:rPr>
          <w:rFonts w:ascii="宋体" w:hAnsi="宋体" w:eastAsia="宋体" w:cs="宋体"/>
          <w:spacing w:val="10"/>
          <w:sz w:val="24"/>
          <w:szCs w:val="24"/>
        </w:rPr>
        <w:t xml:space="preserve"> </w:t>
      </w:r>
      <w:r>
        <w:rPr>
          <w:rFonts w:ascii="宋体" w:hAnsi="宋体" w:eastAsia="宋体" w:cs="宋体"/>
          <w:sz w:val="24"/>
          <w:szCs w:val="24"/>
        </w:rPr>
        <w:t>下进行了实地查勘，对矿区范围内有无矿业权纠纷进行了核实。</w:t>
      </w:r>
    </w:p>
    <w:p w14:paraId="4AFBCA76">
      <w:pPr>
        <w:spacing w:line="379" w:lineRule="auto"/>
        <w:rPr>
          <w:rFonts w:ascii="宋体" w:hAnsi="宋体" w:eastAsia="宋体" w:cs="宋体"/>
          <w:sz w:val="24"/>
          <w:szCs w:val="24"/>
        </w:rPr>
        <w:sectPr>
          <w:headerReference r:id="rId62" w:type="default"/>
          <w:footerReference r:id="rId63" w:type="default"/>
          <w:pgSz w:w="11900" w:h="16830"/>
          <w:pgMar w:top="1157" w:right="1420" w:bottom="1299" w:left="1785" w:header="880" w:footer="958" w:gutter="0"/>
          <w:cols w:space="720" w:num="1"/>
        </w:sectPr>
      </w:pPr>
    </w:p>
    <w:p w14:paraId="7A911E98">
      <w:pPr>
        <w:pStyle w:val="2"/>
        <w:spacing w:before="213" w:line="6550" w:lineRule="exact"/>
      </w:pPr>
      <w:r>
        <w:rPr>
          <w:position w:val="-130"/>
        </w:rPr>
        <w:pict>
          <v:group id="_x0000_s1096" o:spid="_x0000_s1096" o:spt="203" style="height:327.5pt;width:433pt;" coordsize="8660,6550">
            <o:lock v:ext="edit"/>
            <v:shape id="_x0000_s1097" o:spid="_x0000_s1097" o:spt="75" type="#_x0000_t75" style="position:absolute;left:0;top:0;height:6550;width:8660;" filled="f" stroked="f" coordsize="21600,21600">
              <v:path/>
              <v:fill on="f" focussize="0,0"/>
              <v:stroke on="f"/>
              <v:imagedata r:id="rId149" o:title=""/>
              <o:lock v:ext="edit" aspectratio="t"/>
            </v:shape>
            <v:shape id="_x0000_s1098" o:spid="_x0000_s1098" o:spt="202" type="#_x0000_t202" style="position:absolute;left:-20;top:-20;height:6590;width:8700;" filled="f" stroked="f" coordsize="21600,21600">
              <v:path/>
              <v:fill on="f" focussize="0,0"/>
              <v:stroke on="f"/>
              <v:imagedata o:title=""/>
              <o:lock v:ext="edit" aspectratio="f"/>
              <v:textbox inset="0mm,0mm,0mm,0mm">
                <w:txbxContent>
                  <w:p w14:paraId="5F75A086">
                    <w:pPr>
                      <w:rPr>
                        <w:rFonts w:ascii="Arial"/>
                        <w:sz w:val="21"/>
                      </w:rPr>
                    </w:pPr>
                  </w:p>
                  <w:p w14:paraId="7B8892BE">
                    <w:pPr>
                      <w:spacing w:line="241" w:lineRule="auto"/>
                      <w:rPr>
                        <w:rFonts w:ascii="Arial"/>
                        <w:sz w:val="21"/>
                      </w:rPr>
                    </w:pPr>
                  </w:p>
                  <w:p w14:paraId="684A4914">
                    <w:pPr>
                      <w:spacing w:line="241" w:lineRule="auto"/>
                      <w:rPr>
                        <w:rFonts w:ascii="Arial"/>
                        <w:sz w:val="21"/>
                      </w:rPr>
                    </w:pPr>
                  </w:p>
                  <w:p w14:paraId="5728D44C">
                    <w:pPr>
                      <w:spacing w:line="241" w:lineRule="auto"/>
                      <w:rPr>
                        <w:rFonts w:ascii="Arial"/>
                        <w:sz w:val="21"/>
                      </w:rPr>
                    </w:pPr>
                  </w:p>
                  <w:p w14:paraId="5FDD4FB0">
                    <w:pPr>
                      <w:spacing w:line="241" w:lineRule="auto"/>
                      <w:rPr>
                        <w:rFonts w:ascii="Arial"/>
                        <w:sz w:val="21"/>
                      </w:rPr>
                    </w:pPr>
                  </w:p>
                  <w:p w14:paraId="7A4BCE90">
                    <w:pPr>
                      <w:spacing w:line="241" w:lineRule="auto"/>
                      <w:rPr>
                        <w:rFonts w:ascii="Arial"/>
                        <w:sz w:val="21"/>
                      </w:rPr>
                    </w:pPr>
                  </w:p>
                  <w:p w14:paraId="00B68B0F">
                    <w:pPr>
                      <w:spacing w:line="241" w:lineRule="auto"/>
                      <w:rPr>
                        <w:rFonts w:ascii="Arial"/>
                        <w:sz w:val="21"/>
                      </w:rPr>
                    </w:pPr>
                  </w:p>
                  <w:p w14:paraId="1CAB22B8">
                    <w:pPr>
                      <w:spacing w:line="241" w:lineRule="auto"/>
                      <w:rPr>
                        <w:rFonts w:ascii="Arial"/>
                        <w:sz w:val="21"/>
                      </w:rPr>
                    </w:pPr>
                  </w:p>
                  <w:p w14:paraId="3EC2DEB7">
                    <w:pPr>
                      <w:spacing w:before="136" w:line="164" w:lineRule="auto"/>
                      <w:ind w:left="2139" w:right="5865" w:firstLine="9"/>
                      <w:rPr>
                        <w:rFonts w:ascii="隶书" w:hAnsi="隶书" w:eastAsia="隶书" w:cs="隶书"/>
                        <w:sz w:val="42"/>
                        <w:szCs w:val="42"/>
                      </w:rPr>
                    </w:pPr>
                    <w:r>
                      <w:rPr>
                        <w:rFonts w:ascii="隶书" w:hAnsi="隶书" w:eastAsia="隶书" w:cs="隶书"/>
                        <w:color w:val="A0B0C0"/>
                        <w:spacing w:val="-16"/>
                        <w:w w:val="85"/>
                        <w:sz w:val="42"/>
                        <w:szCs w:val="42"/>
                      </w:rPr>
                      <w:t>有</w:t>
                    </w:r>
                    <w:r>
                      <w:rPr>
                        <w:rFonts w:ascii="隶书" w:hAnsi="隶书" w:eastAsia="隶书" w:cs="隶书"/>
                        <w:color w:val="B0E0C0"/>
                        <w:spacing w:val="-16"/>
                        <w:w w:val="85"/>
                        <w:sz w:val="42"/>
                        <w:szCs w:val="42"/>
                      </w:rPr>
                      <w:t>多</w:t>
                    </w:r>
                    <w:r>
                      <w:rPr>
                        <w:rFonts w:ascii="隶书" w:hAnsi="隶书" w:eastAsia="隶书" w:cs="隶书"/>
                        <w:color w:val="B0E0C0"/>
                        <w:spacing w:val="1"/>
                        <w:sz w:val="42"/>
                        <w:szCs w:val="42"/>
                      </w:rPr>
                      <w:t xml:space="preserve"> </w:t>
                    </w:r>
                    <w:r>
                      <w:rPr>
                        <w:rFonts w:ascii="隶书" w:hAnsi="隶书" w:eastAsia="隶书" w:cs="隶书"/>
                        <w:color w:val="A0B0C0"/>
                        <w:spacing w:val="-13"/>
                        <w:w w:val="85"/>
                        <w:sz w:val="42"/>
                        <w:szCs w:val="42"/>
                      </w:rPr>
                      <w:t>限平</w:t>
                    </w:r>
                  </w:p>
                  <w:p w14:paraId="2F545F6B">
                    <w:pPr>
                      <w:spacing w:before="351" w:line="175" w:lineRule="auto"/>
                      <w:ind w:left="2080"/>
                      <w:rPr>
                        <w:rFonts w:ascii="隶书" w:hAnsi="隶书" w:eastAsia="隶书" w:cs="隶书"/>
                        <w:sz w:val="48"/>
                        <w:szCs w:val="48"/>
                      </w:rPr>
                    </w:pPr>
                    <w:bookmarkStart w:id="65" w:name="bookmark58"/>
                    <w:bookmarkEnd w:id="65"/>
                    <w:r>
                      <w:rPr>
                        <w:rFonts w:ascii="隶书" w:hAnsi="隶书" w:eastAsia="隶书" w:cs="隶书"/>
                        <w:color w:val="506060"/>
                        <w:spacing w:val="-20"/>
                        <w:w w:val="94"/>
                        <w:sz w:val="48"/>
                        <w:szCs w:val="48"/>
                      </w:rPr>
                      <w:t>司</w:t>
                    </w:r>
                    <w:r>
                      <w:rPr>
                        <w:rFonts w:ascii="隶书" w:hAnsi="隶书" w:eastAsia="隶书" w:cs="隶书"/>
                        <w:color w:val="A0B0C0"/>
                        <w:spacing w:val="-20"/>
                        <w:w w:val="94"/>
                        <w:sz w:val="48"/>
                        <w:szCs w:val="48"/>
                      </w:rPr>
                      <w:t>电</w:t>
                    </w:r>
                  </w:p>
                </w:txbxContent>
              </v:textbox>
            </v:shape>
            <w10:wrap type="none"/>
            <w10:anchorlock/>
          </v:group>
        </w:pict>
      </w:r>
    </w:p>
    <w:p w14:paraId="3981C767">
      <w:pPr>
        <w:spacing w:before="177" w:line="218" w:lineRule="auto"/>
        <w:ind w:left="609"/>
        <w:rPr>
          <w:rFonts w:ascii="宋体" w:hAnsi="宋体" w:eastAsia="宋体" w:cs="宋体"/>
          <w:sz w:val="24"/>
          <w:szCs w:val="24"/>
        </w:rPr>
      </w:pPr>
      <w:r>
        <w:rPr>
          <w:rFonts w:ascii="宋体" w:hAnsi="宋体" w:eastAsia="宋体" w:cs="宋体"/>
          <w:spacing w:val="12"/>
          <w:sz w:val="24"/>
          <w:szCs w:val="24"/>
        </w:rPr>
        <w:t>8.3评定估算阶段</w:t>
      </w:r>
    </w:p>
    <w:p w14:paraId="45B449CF">
      <w:pPr>
        <w:spacing w:before="197" w:line="385" w:lineRule="auto"/>
        <w:ind w:left="169" w:right="191" w:firstLine="490"/>
        <w:rPr>
          <w:rFonts w:ascii="宋体" w:hAnsi="宋体" w:eastAsia="宋体" w:cs="宋体"/>
          <w:sz w:val="24"/>
          <w:szCs w:val="24"/>
        </w:rPr>
      </w:pPr>
      <w:r>
        <w:rPr>
          <w:rFonts w:ascii="宋体" w:hAnsi="宋体" w:eastAsia="宋体" w:cs="宋体"/>
          <w:spacing w:val="11"/>
          <w:sz w:val="24"/>
          <w:szCs w:val="24"/>
        </w:rPr>
        <w:t>2022年10月21日</w:t>
      </w:r>
      <w:r>
        <w:rPr>
          <w:rFonts w:ascii="宋体" w:hAnsi="宋体" w:eastAsia="宋体" w:cs="宋体"/>
          <w:spacing w:val="-83"/>
          <w:sz w:val="24"/>
          <w:szCs w:val="24"/>
        </w:rPr>
        <w:t xml:space="preserve"> </w:t>
      </w:r>
      <w:r>
        <w:rPr>
          <w:rFonts w:ascii="宋体" w:hAnsi="宋体" w:eastAsia="宋体" w:cs="宋体"/>
          <w:spacing w:val="11"/>
          <w:sz w:val="24"/>
          <w:szCs w:val="24"/>
        </w:rPr>
        <w:t>—</w:t>
      </w:r>
      <w:r>
        <w:rPr>
          <w:rFonts w:ascii="宋体" w:hAnsi="宋体" w:eastAsia="宋体" w:cs="宋体"/>
          <w:spacing w:val="-78"/>
          <w:sz w:val="24"/>
          <w:szCs w:val="24"/>
        </w:rPr>
        <w:t xml:space="preserve"> </w:t>
      </w:r>
      <w:r>
        <w:rPr>
          <w:rFonts w:ascii="宋体" w:hAnsi="宋体" w:eastAsia="宋体" w:cs="宋体"/>
          <w:spacing w:val="11"/>
          <w:sz w:val="24"/>
          <w:szCs w:val="24"/>
        </w:rPr>
        <w:t>2022年10月31日，依据收集的评估资料，进行归纳整</w:t>
      </w:r>
      <w:r>
        <w:rPr>
          <w:rFonts w:ascii="宋体" w:hAnsi="宋体" w:eastAsia="宋体" w:cs="宋体"/>
          <w:sz w:val="24"/>
          <w:szCs w:val="24"/>
        </w:rPr>
        <w:t xml:space="preserve"> 理，确定评估方法，完成评定估算，具体步骤如下：对</w:t>
      </w:r>
      <w:r>
        <w:rPr>
          <w:rFonts w:ascii="宋体" w:hAnsi="宋体" w:eastAsia="宋体" w:cs="宋体"/>
          <w:spacing w:val="-1"/>
          <w:sz w:val="24"/>
          <w:szCs w:val="24"/>
        </w:rPr>
        <w:t>所收集的资料进行归纳、</w:t>
      </w:r>
      <w:r>
        <w:rPr>
          <w:rFonts w:ascii="宋体" w:hAnsi="宋体" w:eastAsia="宋体" w:cs="宋体"/>
          <w:sz w:val="24"/>
          <w:szCs w:val="24"/>
        </w:rPr>
        <w:t xml:space="preserve"> 整理，查阅有关法律、法规，调查铅锌矿销售市场，分析待评估采矿权的特</w:t>
      </w:r>
      <w:r>
        <w:rPr>
          <w:rFonts w:ascii="宋体" w:hAnsi="宋体" w:eastAsia="宋体" w:cs="宋体"/>
          <w:spacing w:val="-1"/>
          <w:sz w:val="24"/>
          <w:szCs w:val="24"/>
        </w:rPr>
        <w:t>点，</w:t>
      </w:r>
      <w:r>
        <w:rPr>
          <w:rFonts w:ascii="宋体" w:hAnsi="宋体" w:eastAsia="宋体" w:cs="宋体"/>
          <w:sz w:val="24"/>
          <w:szCs w:val="24"/>
        </w:rPr>
        <w:t xml:space="preserve"> 确定评估方法，选取合理的评估参数，对委托评估的采矿权价值进行评定估</w:t>
      </w:r>
      <w:r>
        <w:rPr>
          <w:rFonts w:ascii="宋体" w:hAnsi="宋体" w:eastAsia="宋体" w:cs="宋体"/>
          <w:spacing w:val="-1"/>
          <w:sz w:val="24"/>
          <w:szCs w:val="24"/>
        </w:rPr>
        <w:t>算，</w:t>
      </w:r>
      <w:r>
        <w:rPr>
          <w:rFonts w:ascii="宋体" w:hAnsi="宋体" w:eastAsia="宋体" w:cs="宋体"/>
          <w:sz w:val="24"/>
          <w:szCs w:val="24"/>
        </w:rPr>
        <w:t xml:space="preserve"> 完成评估报告初稿。</w:t>
      </w:r>
    </w:p>
    <w:p w14:paraId="06EA8270">
      <w:pPr>
        <w:spacing w:before="16" w:line="218" w:lineRule="auto"/>
        <w:ind w:left="659"/>
        <w:rPr>
          <w:rFonts w:ascii="宋体" w:hAnsi="宋体" w:eastAsia="宋体" w:cs="宋体"/>
          <w:sz w:val="24"/>
          <w:szCs w:val="24"/>
        </w:rPr>
      </w:pPr>
      <w:r>
        <w:rPr>
          <w:rFonts w:ascii="宋体" w:hAnsi="宋体" w:eastAsia="宋体" w:cs="宋体"/>
          <w:spacing w:val="13"/>
          <w:sz w:val="24"/>
          <w:szCs w:val="24"/>
        </w:rPr>
        <w:t>8.4提交报告阶段</w:t>
      </w:r>
    </w:p>
    <w:p w14:paraId="4A83F8AE">
      <w:pPr>
        <w:spacing w:before="204" w:line="386" w:lineRule="auto"/>
        <w:ind w:left="169" w:right="186" w:firstLine="490"/>
        <w:rPr>
          <w:rFonts w:ascii="宋体" w:hAnsi="宋体" w:eastAsia="宋体" w:cs="宋体"/>
          <w:sz w:val="24"/>
          <w:szCs w:val="24"/>
        </w:rPr>
      </w:pPr>
      <w:r>
        <w:rPr>
          <w:rFonts w:ascii="宋体" w:hAnsi="宋体" w:eastAsia="宋体" w:cs="宋体"/>
          <w:spacing w:val="20"/>
          <w:sz w:val="24"/>
          <w:szCs w:val="24"/>
        </w:rPr>
        <w:t>2022年11月1日至2022年11月7日，对评估报告初稿进行评估机构的内</w:t>
      </w:r>
      <w:r>
        <w:rPr>
          <w:rFonts w:ascii="宋体" w:hAnsi="宋体" w:eastAsia="宋体" w:cs="宋体"/>
          <w:spacing w:val="12"/>
          <w:sz w:val="24"/>
          <w:szCs w:val="24"/>
        </w:rPr>
        <w:t xml:space="preserve"> </w:t>
      </w:r>
      <w:r>
        <w:rPr>
          <w:rFonts w:ascii="宋体" w:hAnsi="宋体" w:eastAsia="宋体" w:cs="宋体"/>
          <w:spacing w:val="11"/>
          <w:sz w:val="24"/>
          <w:szCs w:val="24"/>
        </w:rPr>
        <w:t>部审核、修改，整理工作底稿。于2022年</w:t>
      </w:r>
      <w:r>
        <w:rPr>
          <w:rFonts w:ascii="宋体" w:hAnsi="宋体" w:eastAsia="宋体" w:cs="宋体"/>
          <w:spacing w:val="10"/>
          <w:sz w:val="24"/>
          <w:szCs w:val="24"/>
        </w:rPr>
        <w:t>11月8日向曲靖市自然资源和规划局</w:t>
      </w:r>
      <w:r>
        <w:rPr>
          <w:rFonts w:ascii="宋体" w:hAnsi="宋体" w:eastAsia="宋体" w:cs="宋体"/>
          <w:sz w:val="24"/>
          <w:szCs w:val="24"/>
        </w:rPr>
        <w:t xml:space="preserve"> </w:t>
      </w:r>
      <w:r>
        <w:rPr>
          <w:rFonts w:ascii="宋体" w:hAnsi="宋体" w:eastAsia="宋体" w:cs="宋体"/>
          <w:spacing w:val="1"/>
          <w:sz w:val="24"/>
          <w:szCs w:val="24"/>
        </w:rPr>
        <w:t>提交评估报告进行公示。</w:t>
      </w:r>
    </w:p>
    <w:p w14:paraId="2BD4F029">
      <w:pPr>
        <w:spacing w:before="17" w:line="218" w:lineRule="auto"/>
        <w:ind w:left="169"/>
        <w:outlineLvl w:val="0"/>
        <w:rPr>
          <w:rFonts w:ascii="宋体" w:hAnsi="宋体" w:eastAsia="宋体" w:cs="宋体"/>
          <w:sz w:val="24"/>
          <w:szCs w:val="24"/>
        </w:rPr>
      </w:pPr>
      <w:bookmarkStart w:id="33" w:name="bookmark22"/>
      <w:bookmarkEnd w:id="33"/>
      <w:r>
        <w:rPr>
          <w:rFonts w:ascii="Times New Roman" w:hAnsi="Times New Roman" w:eastAsia="Times New Roman" w:cs="Times New Roman"/>
          <w:spacing w:val="8"/>
          <w:sz w:val="24"/>
          <w:szCs w:val="24"/>
        </w:rPr>
        <w:t xml:space="preserve">9. </w:t>
      </w:r>
      <w:r>
        <w:rPr>
          <w:rFonts w:ascii="宋体" w:hAnsi="宋体" w:eastAsia="宋体" w:cs="宋体"/>
          <w:spacing w:val="8"/>
          <w:sz w:val="24"/>
          <w:szCs w:val="24"/>
        </w:rPr>
        <w:t>评估方法</w:t>
      </w:r>
    </w:p>
    <w:p w14:paraId="3E382D95">
      <w:pPr>
        <w:spacing w:before="246" w:line="386" w:lineRule="auto"/>
        <w:ind w:left="169" w:right="190" w:firstLine="490"/>
        <w:jc w:val="both"/>
        <w:rPr>
          <w:rFonts w:ascii="宋体" w:hAnsi="宋体" w:eastAsia="宋体" w:cs="宋体"/>
          <w:sz w:val="24"/>
          <w:szCs w:val="24"/>
        </w:rPr>
      </w:pPr>
      <w:r>
        <w:rPr>
          <w:rFonts w:ascii="宋体" w:hAnsi="宋体" w:eastAsia="宋体" w:cs="宋体"/>
          <w:spacing w:val="4"/>
          <w:sz w:val="24"/>
          <w:szCs w:val="24"/>
        </w:rPr>
        <w:t>根据《矿业权出让收益评估应用指南(试行)》,适用于采矿权出让收益的评</w:t>
      </w:r>
      <w:r>
        <w:rPr>
          <w:rFonts w:ascii="宋体" w:hAnsi="宋体" w:eastAsia="宋体" w:cs="宋体"/>
          <w:spacing w:val="12"/>
          <w:sz w:val="24"/>
          <w:szCs w:val="24"/>
        </w:rPr>
        <w:t xml:space="preserve"> </w:t>
      </w:r>
      <w:r>
        <w:rPr>
          <w:rFonts w:ascii="宋体" w:hAnsi="宋体" w:eastAsia="宋体" w:cs="宋体"/>
          <w:sz w:val="24"/>
          <w:szCs w:val="24"/>
        </w:rPr>
        <w:t>估方法有基准价因素调整法、交易案例比较调整法、收入权益法、折现现金流量</w:t>
      </w:r>
      <w:r>
        <w:rPr>
          <w:rFonts w:ascii="宋体" w:hAnsi="宋体" w:eastAsia="宋体" w:cs="宋体"/>
          <w:spacing w:val="18"/>
          <w:sz w:val="24"/>
          <w:szCs w:val="24"/>
        </w:rPr>
        <w:t xml:space="preserve"> </w:t>
      </w:r>
      <w:r>
        <w:rPr>
          <w:rFonts w:ascii="宋体" w:hAnsi="宋体" w:eastAsia="宋体" w:cs="宋体"/>
          <w:spacing w:val="1"/>
          <w:sz w:val="24"/>
          <w:szCs w:val="24"/>
        </w:rPr>
        <w:t>法。对于具备评估资料条件且适合采用不同</w:t>
      </w:r>
      <w:r>
        <w:rPr>
          <w:rFonts w:ascii="宋体" w:hAnsi="宋体" w:eastAsia="宋体" w:cs="宋体"/>
          <w:sz w:val="24"/>
          <w:szCs w:val="24"/>
        </w:rPr>
        <w:t>方法进行评估的，应当采用两种以上</w:t>
      </w:r>
    </w:p>
    <w:p w14:paraId="15F5CD2B">
      <w:pPr>
        <w:spacing w:line="386" w:lineRule="auto"/>
        <w:rPr>
          <w:rFonts w:ascii="宋体" w:hAnsi="宋体" w:eastAsia="宋体" w:cs="宋体"/>
          <w:sz w:val="24"/>
          <w:szCs w:val="24"/>
        </w:rPr>
        <w:sectPr>
          <w:headerReference r:id="rId64" w:type="default"/>
          <w:footerReference r:id="rId65" w:type="default"/>
          <w:pgSz w:w="11900" w:h="16830"/>
          <w:pgMar w:top="1166" w:right="1390" w:bottom="1299" w:left="1710" w:header="890" w:footer="958" w:gutter="0"/>
          <w:cols w:space="720" w:num="1"/>
        </w:sectPr>
      </w:pPr>
    </w:p>
    <w:p w14:paraId="0974401D">
      <w:pPr>
        <w:pStyle w:val="2"/>
        <w:spacing w:line="392" w:lineRule="auto"/>
      </w:pPr>
    </w:p>
    <w:p w14:paraId="0F643758">
      <w:pPr>
        <w:spacing w:before="78" w:line="385" w:lineRule="auto"/>
        <w:ind w:left="114" w:right="218"/>
        <w:jc w:val="both"/>
        <w:rPr>
          <w:rFonts w:ascii="宋体" w:hAnsi="宋体" w:eastAsia="宋体" w:cs="宋体"/>
          <w:sz w:val="24"/>
          <w:szCs w:val="24"/>
        </w:rPr>
      </w:pPr>
      <w:bookmarkStart w:id="34" w:name="bookmark59"/>
      <w:bookmarkEnd w:id="34"/>
      <w:r>
        <w:rPr>
          <w:rFonts w:ascii="宋体" w:hAnsi="宋体" w:eastAsia="宋体" w:cs="宋体"/>
          <w:sz w:val="24"/>
          <w:szCs w:val="24"/>
        </w:rPr>
        <w:t>评估方法进行评估，通过比较分析合理形成评估结论。因</w:t>
      </w:r>
      <w:r>
        <w:rPr>
          <w:rFonts w:ascii="宋体" w:hAnsi="宋体" w:eastAsia="宋体" w:cs="宋体"/>
          <w:spacing w:val="-1"/>
          <w:sz w:val="24"/>
          <w:szCs w:val="24"/>
        </w:rPr>
        <w:t>方法的适用性、操作限</w:t>
      </w:r>
      <w:r>
        <w:rPr>
          <w:rFonts w:ascii="宋体" w:hAnsi="宋体" w:eastAsia="宋体" w:cs="宋体"/>
          <w:sz w:val="24"/>
          <w:szCs w:val="24"/>
        </w:rPr>
        <w:t xml:space="preserve"> 制等无法采用两种以上评估方法进行评估的，可以采</w:t>
      </w:r>
      <w:r>
        <w:rPr>
          <w:rFonts w:ascii="宋体" w:hAnsi="宋体" w:eastAsia="宋体" w:cs="宋体"/>
          <w:spacing w:val="-1"/>
          <w:sz w:val="24"/>
          <w:szCs w:val="24"/>
        </w:rPr>
        <w:t>用一种方法进行评估，并在</w:t>
      </w:r>
      <w:r>
        <w:rPr>
          <w:rFonts w:ascii="宋体" w:hAnsi="宋体" w:eastAsia="宋体" w:cs="宋体"/>
          <w:sz w:val="24"/>
          <w:szCs w:val="24"/>
        </w:rPr>
        <w:t xml:space="preserve"> </w:t>
      </w:r>
      <w:r>
        <w:rPr>
          <w:rFonts w:ascii="宋体" w:hAnsi="宋体" w:eastAsia="宋体" w:cs="宋体"/>
          <w:spacing w:val="-3"/>
          <w:sz w:val="24"/>
          <w:szCs w:val="24"/>
        </w:rPr>
        <w:t>评估报告中披露只能采用一种方法的理由。</w:t>
      </w:r>
    </w:p>
    <w:p w14:paraId="28F2E77E">
      <w:pPr>
        <w:spacing w:before="8" w:line="378" w:lineRule="auto"/>
        <w:ind w:left="114" w:right="238" w:firstLine="490"/>
        <w:jc w:val="both"/>
        <w:rPr>
          <w:rFonts w:ascii="宋体" w:hAnsi="宋体" w:eastAsia="宋体" w:cs="宋体"/>
          <w:sz w:val="24"/>
          <w:szCs w:val="24"/>
        </w:rPr>
      </w:pPr>
      <w:r>
        <w:rPr>
          <w:rFonts w:ascii="宋体" w:hAnsi="宋体" w:eastAsia="宋体" w:cs="宋体"/>
          <w:spacing w:val="-2"/>
          <w:sz w:val="24"/>
          <w:szCs w:val="24"/>
        </w:rPr>
        <w:t>目前，云南省国土资源厅已发布《云南省主要矿种采矿权出让收益市场基准</w:t>
      </w:r>
      <w:r>
        <w:rPr>
          <w:rFonts w:ascii="宋体" w:hAnsi="宋体" w:eastAsia="宋体" w:cs="宋体"/>
          <w:spacing w:val="9"/>
          <w:sz w:val="24"/>
          <w:szCs w:val="24"/>
        </w:rPr>
        <w:t xml:space="preserve"> </w:t>
      </w:r>
      <w:r>
        <w:rPr>
          <w:rFonts w:ascii="宋体" w:hAnsi="宋体" w:eastAsia="宋体" w:cs="宋体"/>
          <w:spacing w:val="5"/>
          <w:sz w:val="24"/>
          <w:szCs w:val="24"/>
        </w:rPr>
        <w:t>价》(云国土资公告[2018]1号),但由于中国矿业权评估师协会尚未出台基准价</w:t>
      </w:r>
      <w:r>
        <w:rPr>
          <w:rFonts w:ascii="宋体" w:hAnsi="宋体" w:eastAsia="宋体" w:cs="宋体"/>
          <w:spacing w:val="14"/>
          <w:sz w:val="24"/>
          <w:szCs w:val="24"/>
        </w:rPr>
        <w:t xml:space="preserve"> </w:t>
      </w:r>
      <w:r>
        <w:rPr>
          <w:rFonts w:ascii="宋体" w:hAnsi="宋体" w:eastAsia="宋体" w:cs="宋体"/>
          <w:spacing w:val="-1"/>
          <w:sz w:val="24"/>
          <w:szCs w:val="24"/>
        </w:rPr>
        <w:t>因数调整法及交易案例比较调整法的相关准则、规范，无法采用基准价因数调整</w:t>
      </w:r>
      <w:r>
        <w:rPr>
          <w:rFonts w:ascii="宋体" w:hAnsi="宋体" w:eastAsia="宋体" w:cs="宋体"/>
          <w:spacing w:val="5"/>
          <w:sz w:val="24"/>
          <w:szCs w:val="24"/>
        </w:rPr>
        <w:t xml:space="preserve"> </w:t>
      </w:r>
      <w:r>
        <w:rPr>
          <w:rFonts w:ascii="宋体" w:hAnsi="宋体" w:eastAsia="宋体" w:cs="宋体"/>
          <w:spacing w:val="-3"/>
          <w:sz w:val="24"/>
          <w:szCs w:val="24"/>
        </w:rPr>
        <w:t>法及交易案例比较调整法进行评估。</w:t>
      </w:r>
    </w:p>
    <w:p w14:paraId="4F62E377">
      <w:pPr>
        <w:spacing w:before="1" w:line="222" w:lineRule="auto"/>
        <w:ind w:left="604"/>
        <w:rPr>
          <w:rFonts w:ascii="宋体" w:hAnsi="宋体" w:eastAsia="宋体" w:cs="宋体"/>
          <w:sz w:val="26"/>
          <w:szCs w:val="26"/>
        </w:rPr>
      </w:pPr>
      <w:r>
        <w:rPr>
          <w:rFonts w:ascii="宋体" w:hAnsi="宋体" w:eastAsia="宋体" w:cs="宋体"/>
          <w:spacing w:val="-17"/>
          <w:sz w:val="26"/>
          <w:szCs w:val="26"/>
        </w:rPr>
        <w:t>鉴于：</w:t>
      </w:r>
    </w:p>
    <w:p w14:paraId="128CBDD9">
      <w:pPr>
        <w:spacing w:before="231" w:line="350" w:lineRule="auto"/>
        <w:ind w:left="105" w:right="175" w:firstLine="599"/>
        <w:rPr>
          <w:rFonts w:ascii="宋体" w:hAnsi="宋体" w:eastAsia="宋体" w:cs="宋体"/>
          <w:sz w:val="24"/>
          <w:szCs w:val="24"/>
        </w:rPr>
      </w:pPr>
      <w:r>
        <w:rPr>
          <w:rFonts w:ascii="宋体" w:hAnsi="宋体" w:eastAsia="宋体" w:cs="宋体"/>
          <w:spacing w:val="6"/>
          <w:sz w:val="24"/>
          <w:szCs w:val="24"/>
        </w:rPr>
        <w:t>(1)2021年11月云南省地质工程勘察有限公司编制了《云南省罗平县富乐</w:t>
      </w:r>
      <w:r>
        <w:rPr>
          <w:rFonts w:ascii="宋体" w:hAnsi="宋体" w:eastAsia="宋体" w:cs="宋体"/>
          <w:spacing w:val="10"/>
          <w:sz w:val="24"/>
          <w:szCs w:val="24"/>
        </w:rPr>
        <w:t xml:space="preserve"> </w:t>
      </w:r>
      <w:r>
        <w:rPr>
          <w:rFonts w:ascii="宋体" w:hAnsi="宋体" w:eastAsia="宋体" w:cs="宋体"/>
          <w:sz w:val="24"/>
          <w:szCs w:val="24"/>
        </w:rPr>
        <w:t xml:space="preserve">铅锌矿资源储量核实报告(2021》(以下简称“储量核实报告”),该“储量核实报 </w:t>
      </w:r>
      <w:r>
        <w:rPr>
          <w:rFonts w:ascii="宋体" w:hAnsi="宋体" w:eastAsia="宋体" w:cs="宋体"/>
          <w:spacing w:val="-4"/>
          <w:sz w:val="24"/>
          <w:szCs w:val="24"/>
        </w:rPr>
        <w:t>告”由云南省地质矿产勘查开发局第一地质大队评审通过，并取得了《&lt;云南省罗</w:t>
      </w:r>
      <w:r>
        <w:rPr>
          <w:rFonts w:ascii="宋体" w:hAnsi="宋体" w:eastAsia="宋体" w:cs="宋体"/>
          <w:spacing w:val="18"/>
          <w:sz w:val="24"/>
          <w:szCs w:val="24"/>
        </w:rPr>
        <w:t xml:space="preserve"> </w:t>
      </w:r>
      <w:r>
        <w:rPr>
          <w:rFonts w:ascii="宋体" w:hAnsi="宋体" w:eastAsia="宋体" w:cs="宋体"/>
          <w:spacing w:val="1"/>
          <w:sz w:val="24"/>
          <w:szCs w:val="24"/>
        </w:rPr>
        <w:t>平县铅锌矿资源储量核实报告&gt;评审意见书》(云地一大队矿评储字[2022]2 号),</w:t>
      </w:r>
      <w:r>
        <w:rPr>
          <w:rFonts w:ascii="宋体" w:hAnsi="宋体" w:eastAsia="宋体" w:cs="宋体"/>
          <w:spacing w:val="2"/>
          <w:sz w:val="24"/>
          <w:szCs w:val="24"/>
        </w:rPr>
        <w:t xml:space="preserve"> </w:t>
      </w:r>
      <w:r>
        <w:rPr>
          <w:rFonts w:ascii="宋体" w:hAnsi="宋体" w:eastAsia="宋体" w:cs="宋体"/>
          <w:sz w:val="24"/>
          <w:szCs w:val="24"/>
        </w:rPr>
        <w:t>“储量核实报告”对矿区资源储量估算方法客观合理，资源储量可靠性高，可作</w:t>
      </w:r>
      <w:r>
        <w:rPr>
          <w:rFonts w:ascii="宋体" w:hAnsi="宋体" w:eastAsia="宋体" w:cs="宋体"/>
          <w:spacing w:val="6"/>
          <w:sz w:val="24"/>
          <w:szCs w:val="24"/>
        </w:rPr>
        <w:t xml:space="preserve"> </w:t>
      </w:r>
      <w:r>
        <w:rPr>
          <w:rFonts w:ascii="宋体" w:hAnsi="宋体" w:eastAsia="宋体" w:cs="宋体"/>
          <w:spacing w:val="-3"/>
          <w:sz w:val="24"/>
          <w:szCs w:val="24"/>
        </w:rPr>
        <w:t>为本次评估储量参考依据。</w:t>
      </w:r>
    </w:p>
    <w:p w14:paraId="0ECA9630">
      <w:pPr>
        <w:spacing w:before="250" w:line="351" w:lineRule="auto"/>
        <w:ind w:left="114" w:right="195" w:firstLine="590"/>
        <w:rPr>
          <w:rFonts w:ascii="宋体" w:hAnsi="宋体" w:eastAsia="宋体" w:cs="宋体"/>
          <w:sz w:val="24"/>
          <w:szCs w:val="24"/>
        </w:rPr>
      </w:pPr>
      <w:r>
        <w:rPr>
          <w:rFonts w:ascii="宋体" w:hAnsi="宋体" w:eastAsia="宋体" w:cs="宋体"/>
          <w:spacing w:val="10"/>
          <w:sz w:val="24"/>
          <w:szCs w:val="24"/>
        </w:rPr>
        <w:t>(2)2022年4月云南罗平锌电股份有限公司编制了《云南罗平锌电股份有</w:t>
      </w:r>
      <w:r>
        <w:rPr>
          <w:rFonts w:ascii="宋体" w:hAnsi="宋体" w:eastAsia="宋体" w:cs="宋体"/>
          <w:spacing w:val="11"/>
          <w:sz w:val="24"/>
          <w:szCs w:val="24"/>
        </w:rPr>
        <w:t xml:space="preserve"> </w:t>
      </w:r>
      <w:r>
        <w:rPr>
          <w:rFonts w:ascii="宋体" w:hAnsi="宋体" w:eastAsia="宋体" w:cs="宋体"/>
          <w:spacing w:val="-3"/>
          <w:sz w:val="24"/>
          <w:szCs w:val="24"/>
        </w:rPr>
        <w:t>限公司富乐铅锌矿矿产资源开发利用方案》(以下简称“开发利用方案”),该“开</w:t>
      </w:r>
      <w:r>
        <w:rPr>
          <w:rFonts w:ascii="宋体" w:hAnsi="宋体" w:eastAsia="宋体" w:cs="宋体"/>
          <w:sz w:val="24"/>
          <w:szCs w:val="24"/>
        </w:rPr>
        <w:t xml:space="preserve"> </w:t>
      </w:r>
      <w:r>
        <w:rPr>
          <w:rFonts w:ascii="宋体" w:hAnsi="宋体" w:eastAsia="宋体" w:cs="宋体"/>
          <w:spacing w:val="-6"/>
          <w:sz w:val="24"/>
          <w:szCs w:val="24"/>
        </w:rPr>
        <w:t>发利用方案”由云南华联矿产勘探有限责任公司</w:t>
      </w:r>
      <w:r>
        <w:rPr>
          <w:rFonts w:ascii="宋体" w:hAnsi="宋体" w:eastAsia="宋体" w:cs="宋体"/>
          <w:spacing w:val="-7"/>
          <w:sz w:val="24"/>
          <w:szCs w:val="24"/>
        </w:rPr>
        <w:t>组织专家评审通过，并取得了《矿</w:t>
      </w:r>
      <w:r>
        <w:rPr>
          <w:rFonts w:ascii="宋体" w:hAnsi="宋体" w:eastAsia="宋体" w:cs="宋体"/>
          <w:sz w:val="24"/>
          <w:szCs w:val="24"/>
        </w:rPr>
        <w:t xml:space="preserve"> </w:t>
      </w:r>
      <w:r>
        <w:rPr>
          <w:rFonts w:ascii="宋体" w:hAnsi="宋体" w:eastAsia="宋体" w:cs="宋体"/>
          <w:spacing w:val="3"/>
          <w:sz w:val="24"/>
          <w:szCs w:val="24"/>
        </w:rPr>
        <w:t>产资源开发利用方案评审意见表》(华联矿开评字[2022]003号)及《曲靖市矿产</w:t>
      </w:r>
      <w:r>
        <w:rPr>
          <w:rFonts w:ascii="宋体" w:hAnsi="宋体" w:eastAsia="宋体" w:cs="宋体"/>
          <w:spacing w:val="13"/>
          <w:sz w:val="24"/>
          <w:szCs w:val="24"/>
        </w:rPr>
        <w:t xml:space="preserve"> </w:t>
      </w:r>
      <w:r>
        <w:rPr>
          <w:rFonts w:ascii="宋体" w:hAnsi="宋体" w:eastAsia="宋体" w:cs="宋体"/>
          <w:spacing w:val="-10"/>
          <w:sz w:val="24"/>
          <w:szCs w:val="24"/>
        </w:rPr>
        <w:t>资源开发利用方案评审意见书》。</w:t>
      </w:r>
    </w:p>
    <w:p w14:paraId="299129C5">
      <w:pPr>
        <w:spacing w:before="236" w:line="378" w:lineRule="auto"/>
        <w:ind w:left="114" w:right="89" w:firstLine="490"/>
        <w:jc w:val="both"/>
        <w:rPr>
          <w:rFonts w:ascii="宋体" w:hAnsi="宋体" w:eastAsia="宋体" w:cs="宋体"/>
          <w:sz w:val="24"/>
          <w:szCs w:val="24"/>
        </w:rPr>
      </w:pPr>
      <w:r>
        <w:rPr>
          <w:rFonts w:ascii="宋体" w:hAnsi="宋体" w:eastAsia="宋体" w:cs="宋体"/>
          <w:spacing w:val="-4"/>
          <w:sz w:val="24"/>
          <w:szCs w:val="24"/>
        </w:rPr>
        <w:t>因“开发利用方案”中设计参数部分未考虑，如设计损失量中关于镉的描述、</w:t>
      </w:r>
      <w:r>
        <w:rPr>
          <w:rFonts w:ascii="宋体" w:hAnsi="宋体" w:eastAsia="宋体" w:cs="宋体"/>
          <w:spacing w:val="5"/>
          <w:sz w:val="24"/>
          <w:szCs w:val="24"/>
        </w:rPr>
        <w:t xml:space="preserve"> </w:t>
      </w:r>
      <w:r>
        <w:rPr>
          <w:rFonts w:ascii="宋体" w:hAnsi="宋体" w:eastAsia="宋体" w:cs="宋体"/>
          <w:sz w:val="24"/>
          <w:szCs w:val="24"/>
        </w:rPr>
        <w:t>利用原有资产未考虑井巷工程、选矿环节、后续增加尾矿库投资的描述，为补充</w:t>
      </w:r>
      <w:r>
        <w:rPr>
          <w:rFonts w:ascii="宋体" w:hAnsi="宋体" w:eastAsia="宋体" w:cs="宋体"/>
          <w:spacing w:val="6"/>
          <w:sz w:val="24"/>
          <w:szCs w:val="24"/>
        </w:rPr>
        <w:t xml:space="preserve">  </w:t>
      </w:r>
      <w:r>
        <w:rPr>
          <w:rFonts w:ascii="宋体" w:hAnsi="宋体" w:eastAsia="宋体" w:cs="宋体"/>
          <w:spacing w:val="10"/>
          <w:sz w:val="24"/>
          <w:szCs w:val="24"/>
        </w:rPr>
        <w:t>相关参数，于2022年9月10日编制了《云南罗平锌电股份有限公司富乐铅锌矿</w:t>
      </w:r>
      <w:r>
        <w:rPr>
          <w:rFonts w:ascii="宋体" w:hAnsi="宋体" w:eastAsia="宋体" w:cs="宋体"/>
          <w:sz w:val="24"/>
          <w:szCs w:val="24"/>
        </w:rPr>
        <w:t xml:space="preserve">  </w:t>
      </w:r>
      <w:r>
        <w:rPr>
          <w:rFonts w:ascii="宋体" w:hAnsi="宋体" w:eastAsia="宋体" w:cs="宋体"/>
          <w:spacing w:val="-6"/>
          <w:sz w:val="24"/>
          <w:szCs w:val="24"/>
        </w:rPr>
        <w:t>矿产资源开发利用方案修编》(以下简称“开发利用方案修编</w:t>
      </w:r>
      <w:r>
        <w:rPr>
          <w:rFonts w:ascii="宋体" w:hAnsi="宋体" w:eastAsia="宋体" w:cs="宋体"/>
          <w:spacing w:val="-7"/>
          <w:sz w:val="24"/>
          <w:szCs w:val="24"/>
        </w:rPr>
        <w:t>”)。该“开发利用方</w:t>
      </w:r>
      <w:r>
        <w:rPr>
          <w:rFonts w:ascii="宋体" w:hAnsi="宋体" w:eastAsia="宋体" w:cs="宋体"/>
          <w:sz w:val="24"/>
          <w:szCs w:val="24"/>
        </w:rPr>
        <w:t xml:space="preserve">  案修编”由“开发利用方案”评审机构云南省地质矿产勘查开发局第一地质大队</w:t>
      </w:r>
      <w:r>
        <w:rPr>
          <w:rFonts w:ascii="宋体" w:hAnsi="宋体" w:eastAsia="宋体" w:cs="宋体"/>
          <w:spacing w:val="6"/>
          <w:sz w:val="24"/>
          <w:szCs w:val="24"/>
        </w:rPr>
        <w:t xml:space="preserve">  </w:t>
      </w:r>
      <w:r>
        <w:rPr>
          <w:rFonts w:ascii="宋体" w:hAnsi="宋体" w:eastAsia="宋体" w:cs="宋体"/>
          <w:spacing w:val="1"/>
          <w:sz w:val="24"/>
          <w:szCs w:val="24"/>
        </w:rPr>
        <w:t>相关专家确认。</w:t>
      </w:r>
    </w:p>
    <w:p w14:paraId="3D18F9AC">
      <w:pPr>
        <w:spacing w:before="41" w:line="386" w:lineRule="auto"/>
        <w:ind w:left="114" w:right="159" w:firstLine="470"/>
        <w:rPr>
          <w:rFonts w:ascii="宋体" w:hAnsi="宋体" w:eastAsia="宋体" w:cs="宋体"/>
          <w:sz w:val="24"/>
          <w:szCs w:val="24"/>
        </w:rPr>
      </w:pPr>
      <w:r>
        <w:rPr>
          <w:rFonts w:ascii="宋体" w:hAnsi="宋体" w:eastAsia="宋体" w:cs="宋体"/>
          <w:spacing w:val="-5"/>
          <w:sz w:val="24"/>
          <w:szCs w:val="24"/>
        </w:rPr>
        <w:t>“开发利用方案”、“开发利用方案修编”对矿山资</w:t>
      </w:r>
      <w:r>
        <w:rPr>
          <w:rFonts w:ascii="宋体" w:hAnsi="宋体" w:eastAsia="宋体" w:cs="宋体"/>
          <w:spacing w:val="-6"/>
          <w:sz w:val="24"/>
          <w:szCs w:val="24"/>
        </w:rPr>
        <w:t>源的开发利用进行了论证</w:t>
      </w:r>
      <w:r>
        <w:rPr>
          <w:rFonts w:ascii="宋体" w:hAnsi="宋体" w:eastAsia="宋体" w:cs="宋体"/>
          <w:sz w:val="24"/>
          <w:szCs w:val="24"/>
        </w:rPr>
        <w:t xml:space="preserve"> 和设计，其编制符合矿山设计规范及国家矿山安全规程等相关规范。矿山开采储</w:t>
      </w:r>
    </w:p>
    <w:p w14:paraId="19D21306">
      <w:pPr>
        <w:spacing w:line="386" w:lineRule="auto"/>
        <w:rPr>
          <w:rFonts w:ascii="宋体" w:hAnsi="宋体" w:eastAsia="宋体" w:cs="宋体"/>
          <w:sz w:val="24"/>
          <w:szCs w:val="24"/>
        </w:rPr>
        <w:sectPr>
          <w:headerReference r:id="rId66" w:type="default"/>
          <w:footerReference r:id="rId67" w:type="default"/>
          <w:pgSz w:w="11900" w:h="16830"/>
          <w:pgMar w:top="1177" w:right="1390" w:bottom="1279" w:left="1785" w:header="900" w:footer="935" w:gutter="0"/>
          <w:cols w:space="720" w:num="1"/>
        </w:sectPr>
      </w:pPr>
    </w:p>
    <w:p w14:paraId="2B583BBC">
      <w:pPr>
        <w:pStyle w:val="2"/>
        <w:spacing w:line="332" w:lineRule="auto"/>
      </w:pPr>
    </w:p>
    <w:p w14:paraId="6B75BE3F">
      <w:pPr>
        <w:spacing w:before="78" w:line="387" w:lineRule="auto"/>
        <w:ind w:left="84" w:right="280" w:firstLine="9"/>
        <w:rPr>
          <w:rFonts w:ascii="宋体" w:hAnsi="宋体" w:eastAsia="宋体" w:cs="宋体"/>
          <w:sz w:val="24"/>
          <w:szCs w:val="24"/>
        </w:rPr>
      </w:pPr>
      <w:r>
        <w:rPr>
          <w:rFonts w:ascii="宋体" w:hAnsi="宋体" w:eastAsia="宋体" w:cs="宋体"/>
          <w:spacing w:val="-1"/>
          <w:sz w:val="24"/>
          <w:szCs w:val="24"/>
        </w:rPr>
        <w:t>量的确定合理，矿山设计开采方式符合矿山特点、采选技术确定</w:t>
      </w:r>
      <w:r>
        <w:rPr>
          <w:rFonts w:ascii="宋体" w:hAnsi="宋体" w:eastAsia="宋体" w:cs="宋体"/>
          <w:spacing w:val="-2"/>
          <w:sz w:val="24"/>
          <w:szCs w:val="24"/>
        </w:rPr>
        <w:t>合理，可供参考</w:t>
      </w:r>
      <w:r>
        <w:rPr>
          <w:rFonts w:ascii="宋体" w:hAnsi="宋体" w:eastAsia="宋体" w:cs="宋体"/>
          <w:sz w:val="24"/>
          <w:szCs w:val="24"/>
        </w:rPr>
        <w:t xml:space="preserve"> </w:t>
      </w:r>
      <w:r>
        <w:rPr>
          <w:rFonts w:ascii="宋体" w:hAnsi="宋体" w:eastAsia="宋体" w:cs="宋体"/>
          <w:spacing w:val="-11"/>
          <w:sz w:val="24"/>
          <w:szCs w:val="24"/>
        </w:rPr>
        <w:t>使用。</w:t>
      </w:r>
    </w:p>
    <w:p w14:paraId="078DA239">
      <w:pPr>
        <w:spacing w:before="13" w:line="402" w:lineRule="auto"/>
        <w:ind w:left="94" w:right="251" w:firstLine="480"/>
        <w:jc w:val="both"/>
        <w:rPr>
          <w:rFonts w:ascii="宋体" w:hAnsi="宋体" w:eastAsia="宋体" w:cs="宋体"/>
          <w:sz w:val="24"/>
          <w:szCs w:val="24"/>
        </w:rPr>
      </w:pPr>
      <w:r>
        <w:rPr>
          <w:rFonts w:ascii="宋体" w:hAnsi="宋体" w:eastAsia="宋体" w:cs="宋体"/>
          <w:spacing w:val="-1"/>
          <w:sz w:val="24"/>
          <w:szCs w:val="24"/>
        </w:rPr>
        <w:t>综上所述，矿山具有一定规模，具有独立的获利能力，其未</w:t>
      </w:r>
      <w:r>
        <w:rPr>
          <w:rFonts w:ascii="宋体" w:hAnsi="宋体" w:eastAsia="宋体" w:cs="宋体"/>
          <w:spacing w:val="-2"/>
          <w:sz w:val="24"/>
          <w:szCs w:val="24"/>
        </w:rPr>
        <w:t>来的收益及承担</w:t>
      </w:r>
      <w:r>
        <w:rPr>
          <w:rFonts w:ascii="宋体" w:hAnsi="宋体" w:eastAsia="宋体" w:cs="宋体"/>
          <w:sz w:val="24"/>
          <w:szCs w:val="24"/>
        </w:rPr>
        <w:t xml:space="preserve"> </w:t>
      </w:r>
      <w:r>
        <w:rPr>
          <w:rFonts w:ascii="宋体" w:hAnsi="宋体" w:eastAsia="宋体" w:cs="宋体"/>
          <w:spacing w:val="-8"/>
          <w:sz w:val="24"/>
          <w:szCs w:val="24"/>
        </w:rPr>
        <w:t>的风险能用货币计量，满足折现现金流量法使用的前提条件和适用范围，根据《中</w:t>
      </w:r>
      <w:r>
        <w:rPr>
          <w:rFonts w:ascii="宋体" w:hAnsi="宋体" w:eastAsia="宋体" w:cs="宋体"/>
          <w:spacing w:val="2"/>
          <w:sz w:val="24"/>
          <w:szCs w:val="24"/>
        </w:rPr>
        <w:t xml:space="preserve"> </w:t>
      </w:r>
      <w:r>
        <w:rPr>
          <w:rFonts w:ascii="宋体" w:hAnsi="宋体" w:eastAsia="宋体" w:cs="宋体"/>
          <w:spacing w:val="-12"/>
          <w:sz w:val="24"/>
          <w:szCs w:val="24"/>
        </w:rPr>
        <w:t>国矿业权评估准则》、《收益途径评估方法规范(CMV</w:t>
      </w:r>
      <w:r>
        <w:rPr>
          <w:rFonts w:ascii="宋体" w:hAnsi="宋体" w:eastAsia="宋体" w:cs="宋体"/>
          <w:spacing w:val="-13"/>
          <w:sz w:val="24"/>
          <w:szCs w:val="24"/>
        </w:rPr>
        <w:t>S12100-2008)》</w:t>
      </w:r>
      <w:r>
        <w:rPr>
          <w:rFonts w:ascii="Times New Roman" w:hAnsi="Times New Roman" w:eastAsia="Times New Roman" w:cs="Times New Roman"/>
          <w:spacing w:val="-13"/>
          <w:sz w:val="24"/>
          <w:szCs w:val="24"/>
        </w:rPr>
        <w:t>(</w:t>
      </w:r>
      <w:r>
        <w:rPr>
          <w:rFonts w:ascii="宋体" w:hAnsi="宋体" w:eastAsia="宋体" w:cs="宋体"/>
          <w:spacing w:val="-13"/>
          <w:sz w:val="24"/>
          <w:szCs w:val="24"/>
        </w:rPr>
        <w:t>以下简称“《收</w:t>
      </w:r>
      <w:r>
        <w:rPr>
          <w:rFonts w:ascii="宋体" w:hAnsi="宋体" w:eastAsia="宋体" w:cs="宋体"/>
          <w:sz w:val="24"/>
          <w:szCs w:val="24"/>
        </w:rPr>
        <w:t xml:space="preserve"> </w:t>
      </w:r>
      <w:r>
        <w:rPr>
          <w:rFonts w:ascii="宋体" w:hAnsi="宋体" w:eastAsia="宋体" w:cs="宋体"/>
          <w:spacing w:val="-2"/>
          <w:sz w:val="24"/>
          <w:szCs w:val="24"/>
        </w:rPr>
        <w:t>益途径评估方法规范》”),确定本次评估采用折现现金流量法。其计算公式为：</w:t>
      </w:r>
    </w:p>
    <w:p w14:paraId="3E37FA0A">
      <w:pPr>
        <w:spacing w:line="639" w:lineRule="exact"/>
        <w:ind w:firstLine="1224"/>
      </w:pPr>
      <w:r>
        <w:rPr>
          <w:position w:val="-12"/>
        </w:rPr>
        <w:drawing>
          <wp:inline distT="0" distB="0" distL="0" distR="0">
            <wp:extent cx="1835150" cy="40576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50"/>
                    <a:stretch>
                      <a:fillRect/>
                    </a:stretch>
                  </pic:blipFill>
                  <pic:spPr>
                    <a:xfrm>
                      <a:off x="0" y="0"/>
                      <a:ext cx="1835172" cy="406321"/>
                    </a:xfrm>
                    <a:prstGeom prst="rect">
                      <a:avLst/>
                    </a:prstGeom>
                  </pic:spPr>
                </pic:pic>
              </a:graphicData>
            </a:graphic>
          </wp:inline>
        </w:drawing>
      </w:r>
    </w:p>
    <w:p w14:paraId="10126A9C">
      <w:pPr>
        <w:spacing w:before="238" w:line="218" w:lineRule="auto"/>
        <w:ind w:left="595"/>
        <w:rPr>
          <w:rFonts w:ascii="宋体" w:hAnsi="宋体" w:eastAsia="宋体" w:cs="宋体"/>
          <w:sz w:val="24"/>
          <w:szCs w:val="24"/>
        </w:rPr>
      </w:pPr>
      <w:r>
        <w:rPr>
          <w:rFonts w:ascii="宋体" w:hAnsi="宋体" w:eastAsia="宋体" w:cs="宋体"/>
          <w:spacing w:val="-14"/>
          <w:sz w:val="24"/>
          <w:szCs w:val="24"/>
        </w:rPr>
        <w:t>其中：</w:t>
      </w:r>
      <w:r>
        <w:rPr>
          <w:rFonts w:ascii="Times New Roman" w:hAnsi="Times New Roman" w:eastAsia="Times New Roman" w:cs="Times New Roman"/>
          <w:spacing w:val="-14"/>
          <w:sz w:val="24"/>
          <w:szCs w:val="24"/>
        </w:rPr>
        <w:t>P--</w:t>
      </w:r>
      <w:r>
        <w:rPr>
          <w:rFonts w:ascii="Times New Roman" w:hAnsi="Times New Roman" w:eastAsia="Times New Roman" w:cs="Times New Roman"/>
          <w:spacing w:val="45"/>
          <w:sz w:val="24"/>
          <w:szCs w:val="24"/>
        </w:rPr>
        <w:t xml:space="preserve"> </w:t>
      </w:r>
      <w:r>
        <w:rPr>
          <w:rFonts w:ascii="宋体" w:hAnsi="宋体" w:eastAsia="宋体" w:cs="宋体"/>
          <w:spacing w:val="-14"/>
          <w:sz w:val="24"/>
          <w:szCs w:val="24"/>
        </w:rPr>
        <w:t>矿业权评估价值；</w:t>
      </w:r>
    </w:p>
    <w:p w14:paraId="068DDFF5">
      <w:pPr>
        <w:spacing w:before="259" w:line="219" w:lineRule="auto"/>
        <w:ind w:left="1355"/>
        <w:rPr>
          <w:rFonts w:ascii="宋体" w:hAnsi="宋体" w:eastAsia="宋体" w:cs="宋体"/>
          <w:sz w:val="24"/>
          <w:szCs w:val="24"/>
        </w:rPr>
      </w:pPr>
      <w:r>
        <w:rPr>
          <w:rFonts w:ascii="Times New Roman" w:hAnsi="Times New Roman" w:eastAsia="Times New Roman" w:cs="Times New Roman"/>
          <w:spacing w:val="-5"/>
          <w:sz w:val="24"/>
          <w:szCs w:val="24"/>
        </w:rPr>
        <w:t xml:space="preserve">CI-- </w:t>
      </w:r>
      <w:r>
        <w:rPr>
          <w:rFonts w:ascii="宋体" w:hAnsi="宋体" w:eastAsia="宋体" w:cs="宋体"/>
          <w:spacing w:val="-5"/>
          <w:sz w:val="24"/>
          <w:szCs w:val="24"/>
        </w:rPr>
        <w:t>年现金流入量；</w:t>
      </w:r>
    </w:p>
    <w:p w14:paraId="55EDEF28">
      <w:pPr>
        <w:spacing w:before="255" w:line="219" w:lineRule="auto"/>
        <w:ind w:left="1355"/>
        <w:rPr>
          <w:rFonts w:ascii="宋体" w:hAnsi="宋体" w:eastAsia="宋体" w:cs="宋体"/>
          <w:sz w:val="24"/>
          <w:szCs w:val="24"/>
        </w:rPr>
      </w:pPr>
      <w:r>
        <w:rPr>
          <w:rFonts w:ascii="Times New Roman" w:hAnsi="Times New Roman" w:eastAsia="Times New Roman" w:cs="Times New Roman"/>
          <w:spacing w:val="-8"/>
          <w:sz w:val="24"/>
          <w:szCs w:val="24"/>
        </w:rPr>
        <w:t>CO--</w:t>
      </w:r>
      <w:r>
        <w:rPr>
          <w:rFonts w:ascii="宋体" w:hAnsi="宋体" w:eastAsia="宋体" w:cs="宋体"/>
          <w:spacing w:val="-8"/>
          <w:sz w:val="24"/>
          <w:szCs w:val="24"/>
        </w:rPr>
        <w:t>年现金流出量；</w:t>
      </w:r>
    </w:p>
    <w:p w14:paraId="5EB0D872">
      <w:pPr>
        <w:spacing w:before="238" w:line="212" w:lineRule="auto"/>
        <w:ind w:left="1385"/>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CI-CO)-</w:t>
      </w:r>
      <w:r>
        <w:rPr>
          <w:rFonts w:ascii="宋体" w:hAnsi="宋体" w:eastAsia="宋体" w:cs="宋体"/>
          <w:spacing w:val="-8"/>
          <w:sz w:val="24"/>
          <w:szCs w:val="24"/>
        </w:rPr>
        <w:t>一年净现金流量；</w:t>
      </w:r>
    </w:p>
    <w:p w14:paraId="2A84256F">
      <w:pPr>
        <w:spacing w:before="281" w:line="219" w:lineRule="auto"/>
        <w:ind w:left="1355"/>
        <w:rPr>
          <w:rFonts w:ascii="宋体" w:hAnsi="宋体" w:eastAsia="宋体" w:cs="宋体"/>
          <w:sz w:val="24"/>
          <w:szCs w:val="24"/>
        </w:rPr>
      </w:pPr>
      <w:r>
        <w:rPr>
          <w:rFonts w:ascii="Times New Roman" w:hAnsi="Times New Roman" w:eastAsia="Times New Roman" w:cs="Times New Roman"/>
          <w:spacing w:val="-7"/>
          <w:sz w:val="24"/>
          <w:szCs w:val="24"/>
        </w:rPr>
        <w:t xml:space="preserve">i--  </w:t>
      </w:r>
      <w:r>
        <w:rPr>
          <w:rFonts w:ascii="宋体" w:hAnsi="宋体" w:eastAsia="宋体" w:cs="宋体"/>
          <w:spacing w:val="-7"/>
          <w:sz w:val="24"/>
          <w:szCs w:val="24"/>
        </w:rPr>
        <w:t>折现率；</w:t>
      </w:r>
    </w:p>
    <w:p w14:paraId="594C27D6">
      <w:pPr>
        <w:spacing w:before="229" w:line="212" w:lineRule="auto"/>
        <w:ind w:left="136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 xml:space="preserve">t--  </w:t>
      </w:r>
      <w:r>
        <w:rPr>
          <w:rFonts w:ascii="宋体" w:hAnsi="宋体" w:eastAsia="宋体" w:cs="宋体"/>
          <w:spacing w:val="-1"/>
          <w:sz w:val="24"/>
          <w:szCs w:val="24"/>
        </w:rPr>
        <w:t>年序号(</w:t>
      </w:r>
      <w:r>
        <w:rPr>
          <w:rFonts w:ascii="Times New Roman" w:hAnsi="Times New Roman" w:eastAsia="Times New Roman" w:cs="Times New Roman"/>
          <w:spacing w:val="-1"/>
          <w:sz w:val="24"/>
          <w:szCs w:val="24"/>
        </w:rPr>
        <w:t>t=1,2,3,……n);</w:t>
      </w:r>
    </w:p>
    <w:p w14:paraId="40983E25">
      <w:pPr>
        <w:spacing w:before="299" w:line="218" w:lineRule="auto"/>
        <w:ind w:left="1355"/>
        <w:rPr>
          <w:rFonts w:ascii="宋体" w:hAnsi="宋体" w:eastAsia="宋体" w:cs="宋体"/>
          <w:sz w:val="24"/>
          <w:szCs w:val="24"/>
        </w:rPr>
      </w:pPr>
      <w:r>
        <w:rPr>
          <w:rFonts w:ascii="Times New Roman" w:hAnsi="Times New Roman" w:eastAsia="Times New Roman" w:cs="Times New Roman"/>
          <w:spacing w:val="-3"/>
          <w:sz w:val="24"/>
          <w:szCs w:val="24"/>
        </w:rPr>
        <w:t xml:space="preserve">n-- </w:t>
      </w:r>
      <w:r>
        <w:rPr>
          <w:rFonts w:ascii="宋体" w:hAnsi="宋体" w:eastAsia="宋体" w:cs="宋体"/>
          <w:spacing w:val="-3"/>
          <w:sz w:val="24"/>
          <w:szCs w:val="24"/>
        </w:rPr>
        <w:t>评估计算年限。</w:t>
      </w:r>
    </w:p>
    <w:p w14:paraId="3E883822">
      <w:pPr>
        <w:spacing w:before="247" w:line="218" w:lineRule="auto"/>
        <w:ind w:left="144"/>
        <w:outlineLvl w:val="0"/>
        <w:rPr>
          <w:rFonts w:ascii="宋体" w:hAnsi="宋体" w:eastAsia="宋体" w:cs="宋体"/>
          <w:sz w:val="24"/>
          <w:szCs w:val="24"/>
        </w:rPr>
      </w:pPr>
      <w:bookmarkStart w:id="35" w:name="bookmark23"/>
      <w:bookmarkEnd w:id="35"/>
      <w:r>
        <w:rPr>
          <w:rFonts w:ascii="宋体" w:hAnsi="宋体" w:eastAsia="宋体" w:cs="宋体"/>
          <w:spacing w:val="1"/>
          <w:sz w:val="24"/>
          <w:szCs w:val="24"/>
        </w:rPr>
        <w:t>10.评估技术经济指标参数的确定</w:t>
      </w:r>
    </w:p>
    <w:p w14:paraId="113F94FF">
      <w:pPr>
        <w:spacing w:before="265" w:line="394" w:lineRule="auto"/>
        <w:ind w:left="144" w:right="190" w:firstLine="490"/>
        <w:rPr>
          <w:rFonts w:ascii="宋体" w:hAnsi="宋体" w:eastAsia="宋体" w:cs="宋体"/>
          <w:sz w:val="24"/>
          <w:szCs w:val="24"/>
        </w:rPr>
      </w:pPr>
      <w:r>
        <w:rPr>
          <w:rFonts w:ascii="宋体" w:hAnsi="宋体" w:eastAsia="宋体" w:cs="宋体"/>
          <w:sz w:val="24"/>
          <w:szCs w:val="24"/>
        </w:rPr>
        <w:t>利用折现现金流量法进行采矿权评估的主要技术</w:t>
      </w:r>
      <w:r>
        <w:rPr>
          <w:rFonts w:ascii="宋体" w:hAnsi="宋体" w:eastAsia="宋体" w:cs="宋体"/>
          <w:spacing w:val="-1"/>
          <w:sz w:val="24"/>
          <w:szCs w:val="24"/>
        </w:rPr>
        <w:t>参数有：保有资源储量、评</w:t>
      </w:r>
      <w:r>
        <w:rPr>
          <w:rFonts w:ascii="宋体" w:hAnsi="宋体" w:eastAsia="宋体" w:cs="宋体"/>
          <w:sz w:val="24"/>
          <w:szCs w:val="24"/>
        </w:rPr>
        <w:t xml:space="preserve"> </w:t>
      </w:r>
      <w:r>
        <w:rPr>
          <w:rFonts w:ascii="宋体" w:hAnsi="宋体" w:eastAsia="宋体" w:cs="宋体"/>
          <w:spacing w:val="-1"/>
          <w:sz w:val="24"/>
          <w:szCs w:val="24"/>
        </w:rPr>
        <w:t>估利用资源储量、可采储量、采矿指标、生产能力和服务年</w:t>
      </w:r>
      <w:r>
        <w:rPr>
          <w:rFonts w:ascii="宋体" w:hAnsi="宋体" w:eastAsia="宋体" w:cs="宋体"/>
          <w:spacing w:val="-2"/>
          <w:sz w:val="24"/>
          <w:szCs w:val="24"/>
        </w:rPr>
        <w:t>限、投资、成本等。</w:t>
      </w:r>
    </w:p>
    <w:p w14:paraId="77B9204C">
      <w:pPr>
        <w:spacing w:before="57" w:line="219" w:lineRule="auto"/>
        <w:ind w:left="765"/>
        <w:rPr>
          <w:rFonts w:ascii="宋体" w:hAnsi="宋体" w:eastAsia="宋体" w:cs="宋体"/>
          <w:sz w:val="24"/>
          <w:szCs w:val="24"/>
        </w:rPr>
      </w:pPr>
      <w:r>
        <w:rPr>
          <w:rFonts w:ascii="宋体" w:hAnsi="宋体" w:eastAsia="宋体" w:cs="宋体"/>
          <w:spacing w:val="7"/>
          <w:sz w:val="24"/>
          <w:szCs w:val="24"/>
        </w:rPr>
        <w:t>(1)资源储量参数依据及评述</w:t>
      </w:r>
    </w:p>
    <w:p w14:paraId="4336DDA2">
      <w:pPr>
        <w:spacing w:before="197" w:line="389" w:lineRule="auto"/>
        <w:ind w:left="144" w:right="185" w:firstLine="480"/>
        <w:rPr>
          <w:rFonts w:ascii="宋体" w:hAnsi="宋体" w:eastAsia="宋体" w:cs="宋体"/>
          <w:sz w:val="24"/>
          <w:szCs w:val="24"/>
        </w:rPr>
      </w:pPr>
      <w:r>
        <w:rPr>
          <w:rFonts w:ascii="宋体" w:hAnsi="宋体" w:eastAsia="宋体" w:cs="宋体"/>
          <w:spacing w:val="7"/>
          <w:sz w:val="24"/>
          <w:szCs w:val="24"/>
        </w:rPr>
        <w:t>2021年11月云南省地质工程勘察有限公司编制的“储量核实报告</w:t>
      </w:r>
      <w:r>
        <w:rPr>
          <w:rFonts w:ascii="宋体" w:hAnsi="宋体" w:eastAsia="宋体" w:cs="宋体"/>
          <w:spacing w:val="6"/>
          <w:sz w:val="24"/>
          <w:szCs w:val="24"/>
        </w:rPr>
        <w:t>”由云南</w:t>
      </w:r>
      <w:r>
        <w:rPr>
          <w:rFonts w:ascii="宋体" w:hAnsi="宋体" w:eastAsia="宋体" w:cs="宋体"/>
          <w:sz w:val="24"/>
          <w:szCs w:val="24"/>
        </w:rPr>
        <w:t xml:space="preserve"> </w:t>
      </w:r>
      <w:r>
        <w:rPr>
          <w:rFonts w:ascii="宋体" w:hAnsi="宋体" w:eastAsia="宋体" w:cs="宋体"/>
          <w:spacing w:val="-3"/>
          <w:sz w:val="24"/>
          <w:szCs w:val="24"/>
        </w:rPr>
        <w:t>省地质矿产勘查开发局第一地质大队评审通过，并取</w:t>
      </w:r>
      <w:r>
        <w:rPr>
          <w:rFonts w:ascii="宋体" w:hAnsi="宋体" w:eastAsia="宋体" w:cs="宋体"/>
          <w:spacing w:val="-4"/>
          <w:sz w:val="24"/>
          <w:szCs w:val="24"/>
        </w:rPr>
        <w:t>得了《&lt;云南省罗平县铅锌矿</w:t>
      </w:r>
      <w:r>
        <w:rPr>
          <w:rFonts w:ascii="宋体" w:hAnsi="宋体" w:eastAsia="宋体" w:cs="宋体"/>
          <w:sz w:val="24"/>
          <w:szCs w:val="24"/>
        </w:rPr>
        <w:t xml:space="preserve"> 资源储量核实报告&gt;评审意见书》(云地一大队矿评储字[2022]2 号),“储量核实</w:t>
      </w:r>
      <w:r>
        <w:rPr>
          <w:rFonts w:ascii="宋体" w:hAnsi="宋体" w:eastAsia="宋体" w:cs="宋体"/>
          <w:spacing w:val="3"/>
          <w:sz w:val="24"/>
          <w:szCs w:val="24"/>
        </w:rPr>
        <w:t xml:space="preserve"> </w:t>
      </w:r>
      <w:r>
        <w:rPr>
          <w:rFonts w:ascii="宋体" w:hAnsi="宋体" w:eastAsia="宋体" w:cs="宋体"/>
          <w:sz w:val="24"/>
          <w:szCs w:val="24"/>
        </w:rPr>
        <w:t>报告”对矿区资源储量估算方法客观合理，资源储量可靠性</w:t>
      </w:r>
      <w:r>
        <w:rPr>
          <w:rFonts w:ascii="宋体" w:hAnsi="宋体" w:eastAsia="宋体" w:cs="宋体"/>
          <w:spacing w:val="-1"/>
          <w:sz w:val="24"/>
          <w:szCs w:val="24"/>
        </w:rPr>
        <w:t>高，可作为本次评估</w:t>
      </w:r>
      <w:r>
        <w:rPr>
          <w:rFonts w:ascii="宋体" w:hAnsi="宋体" w:eastAsia="宋体" w:cs="宋体"/>
          <w:sz w:val="24"/>
          <w:szCs w:val="24"/>
        </w:rPr>
        <w:t xml:space="preserve"> </w:t>
      </w:r>
      <w:r>
        <w:rPr>
          <w:rFonts w:ascii="宋体" w:hAnsi="宋体" w:eastAsia="宋体" w:cs="宋体"/>
          <w:spacing w:val="1"/>
          <w:sz w:val="24"/>
          <w:szCs w:val="24"/>
        </w:rPr>
        <w:t>储量参考依据。</w:t>
      </w:r>
    </w:p>
    <w:p w14:paraId="2A96D6F7">
      <w:pPr>
        <w:spacing w:before="30" w:line="219" w:lineRule="auto"/>
        <w:ind w:left="785"/>
        <w:rPr>
          <w:rFonts w:ascii="宋体" w:hAnsi="宋体" w:eastAsia="宋体" w:cs="宋体"/>
          <w:sz w:val="24"/>
          <w:szCs w:val="24"/>
        </w:rPr>
      </w:pPr>
      <w:r>
        <w:rPr>
          <w:rFonts w:ascii="宋体" w:hAnsi="宋体" w:eastAsia="宋体" w:cs="宋体"/>
          <w:spacing w:val="9"/>
          <w:sz w:val="24"/>
          <w:szCs w:val="24"/>
        </w:rPr>
        <w:t>(2)技术经济参数依据及评述</w:t>
      </w:r>
    </w:p>
    <w:p w14:paraId="2F62DD8E">
      <w:pPr>
        <w:spacing w:before="206" w:line="358" w:lineRule="auto"/>
        <w:ind w:left="165" w:right="150" w:firstLine="479"/>
        <w:rPr>
          <w:rFonts w:ascii="宋体" w:hAnsi="宋体" w:eastAsia="宋体" w:cs="宋体"/>
          <w:sz w:val="24"/>
          <w:szCs w:val="24"/>
        </w:rPr>
      </w:pPr>
      <w:r>
        <w:rPr>
          <w:rFonts w:ascii="宋体" w:hAnsi="宋体" w:eastAsia="宋体" w:cs="宋体"/>
          <w:spacing w:val="4"/>
          <w:sz w:val="24"/>
          <w:szCs w:val="24"/>
        </w:rPr>
        <w:t>2022年4月云南罗平锌电股份有限公司编制的“开发利用方案”由云南</w:t>
      </w:r>
      <w:r>
        <w:rPr>
          <w:rFonts w:ascii="宋体" w:hAnsi="宋体" w:eastAsia="宋体" w:cs="宋体"/>
          <w:spacing w:val="3"/>
          <w:sz w:val="24"/>
          <w:szCs w:val="24"/>
        </w:rPr>
        <w:t>华联</w:t>
      </w:r>
      <w:r>
        <w:rPr>
          <w:rFonts w:ascii="宋体" w:hAnsi="宋体" w:eastAsia="宋体" w:cs="宋体"/>
          <w:sz w:val="24"/>
          <w:szCs w:val="24"/>
        </w:rPr>
        <w:t xml:space="preserve"> 矿产勘探有限责任公司组织专家评审通过，并取得了《矿</w:t>
      </w:r>
      <w:r>
        <w:rPr>
          <w:rFonts w:ascii="宋体" w:hAnsi="宋体" w:eastAsia="宋体" w:cs="宋体"/>
          <w:spacing w:val="-1"/>
          <w:sz w:val="24"/>
          <w:szCs w:val="24"/>
        </w:rPr>
        <w:t>产资源开发利用方案评</w:t>
      </w:r>
    </w:p>
    <w:p w14:paraId="5F9FE3FE">
      <w:pPr>
        <w:spacing w:line="358" w:lineRule="auto"/>
        <w:rPr>
          <w:rFonts w:ascii="宋体" w:hAnsi="宋体" w:eastAsia="宋体" w:cs="宋体"/>
          <w:sz w:val="24"/>
          <w:szCs w:val="24"/>
        </w:rPr>
        <w:sectPr>
          <w:headerReference r:id="rId68" w:type="default"/>
          <w:footerReference r:id="rId69" w:type="default"/>
          <w:pgSz w:w="11900" w:h="16830"/>
          <w:pgMar w:top="1256" w:right="1380" w:bottom="1290" w:left="1785" w:header="980" w:footer="948" w:gutter="0"/>
          <w:cols w:space="720" w:num="1"/>
        </w:sectPr>
      </w:pPr>
    </w:p>
    <w:p w14:paraId="493619D6">
      <w:pPr>
        <w:pStyle w:val="2"/>
        <w:spacing w:line="341" w:lineRule="auto"/>
      </w:pPr>
    </w:p>
    <w:p w14:paraId="713E0624">
      <w:pPr>
        <w:spacing w:before="78" w:line="381" w:lineRule="auto"/>
        <w:ind w:left="34" w:right="339"/>
        <w:rPr>
          <w:rFonts w:ascii="宋体" w:hAnsi="宋体" w:eastAsia="宋体" w:cs="宋体"/>
          <w:sz w:val="24"/>
          <w:szCs w:val="24"/>
        </w:rPr>
      </w:pPr>
      <w:r>
        <w:rPr>
          <w:rFonts w:ascii="宋体" w:hAnsi="宋体" w:eastAsia="宋体" w:cs="宋体"/>
          <w:spacing w:val="2"/>
          <w:sz w:val="24"/>
          <w:szCs w:val="24"/>
        </w:rPr>
        <w:t>审意见表》(华联矿开评字[2022]003号)及《曲靖市矿</w:t>
      </w:r>
      <w:r>
        <w:rPr>
          <w:rFonts w:ascii="宋体" w:hAnsi="宋体" w:eastAsia="宋体" w:cs="宋体"/>
          <w:spacing w:val="1"/>
          <w:sz w:val="24"/>
          <w:szCs w:val="24"/>
        </w:rPr>
        <w:t>产资源开发利用方案评审</w:t>
      </w:r>
      <w:r>
        <w:rPr>
          <w:rFonts w:ascii="宋体" w:hAnsi="宋体" w:eastAsia="宋体" w:cs="宋体"/>
          <w:sz w:val="24"/>
          <w:szCs w:val="24"/>
        </w:rPr>
        <w:t xml:space="preserve"> </w:t>
      </w:r>
      <w:r>
        <w:rPr>
          <w:rFonts w:ascii="宋体" w:hAnsi="宋体" w:eastAsia="宋体" w:cs="宋体"/>
          <w:spacing w:val="-21"/>
          <w:sz w:val="24"/>
          <w:szCs w:val="24"/>
        </w:rPr>
        <w:t>意见书》。</w:t>
      </w:r>
    </w:p>
    <w:p w14:paraId="27CF3029">
      <w:pPr>
        <w:spacing w:before="5" w:line="384" w:lineRule="auto"/>
        <w:ind w:left="34" w:right="190" w:firstLine="520"/>
        <w:jc w:val="both"/>
        <w:rPr>
          <w:rFonts w:ascii="宋体" w:hAnsi="宋体" w:eastAsia="宋体" w:cs="宋体"/>
          <w:sz w:val="24"/>
          <w:szCs w:val="24"/>
        </w:rPr>
      </w:pPr>
      <w:r>
        <w:rPr>
          <w:rFonts w:ascii="宋体" w:hAnsi="宋体" w:eastAsia="宋体" w:cs="宋体"/>
          <w:spacing w:val="-5"/>
          <w:sz w:val="24"/>
          <w:szCs w:val="24"/>
        </w:rPr>
        <w:t>因“开发利用方案”中设计参数部分未考虑，如设</w:t>
      </w:r>
      <w:r>
        <w:rPr>
          <w:rFonts w:ascii="宋体" w:hAnsi="宋体" w:eastAsia="宋体" w:cs="宋体"/>
          <w:spacing w:val="-6"/>
          <w:sz w:val="24"/>
          <w:szCs w:val="24"/>
        </w:rPr>
        <w:t>计损失量中关于镉的描述、</w:t>
      </w:r>
      <w:r>
        <w:rPr>
          <w:rFonts w:ascii="宋体" w:hAnsi="宋体" w:eastAsia="宋体" w:cs="宋体"/>
          <w:sz w:val="24"/>
          <w:szCs w:val="24"/>
        </w:rPr>
        <w:t xml:space="preserve"> 利用原有资产未考虑井巷工程、选矿环节、后续增加</w:t>
      </w:r>
      <w:r>
        <w:rPr>
          <w:rFonts w:ascii="宋体" w:hAnsi="宋体" w:eastAsia="宋体" w:cs="宋体"/>
          <w:spacing w:val="-1"/>
          <w:sz w:val="24"/>
          <w:szCs w:val="24"/>
        </w:rPr>
        <w:t>尾矿库投资的描述，为补充</w:t>
      </w:r>
      <w:r>
        <w:rPr>
          <w:rFonts w:ascii="宋体" w:hAnsi="宋体" w:eastAsia="宋体" w:cs="宋体"/>
          <w:sz w:val="24"/>
          <w:szCs w:val="24"/>
        </w:rPr>
        <w:t xml:space="preserve">  </w:t>
      </w:r>
      <w:r>
        <w:rPr>
          <w:rFonts w:ascii="宋体" w:hAnsi="宋体" w:eastAsia="宋体" w:cs="宋体"/>
          <w:spacing w:val="9"/>
          <w:sz w:val="24"/>
          <w:szCs w:val="24"/>
        </w:rPr>
        <w:t>相关参数，于2022年9月10日编制了《云南罗平锌电股份有限公司富</w:t>
      </w:r>
      <w:r>
        <w:rPr>
          <w:rFonts w:ascii="宋体" w:hAnsi="宋体" w:eastAsia="宋体" w:cs="宋体"/>
          <w:spacing w:val="8"/>
          <w:sz w:val="24"/>
          <w:szCs w:val="24"/>
        </w:rPr>
        <w:t>乐铅锌矿</w:t>
      </w:r>
      <w:r>
        <w:rPr>
          <w:rFonts w:ascii="宋体" w:hAnsi="宋体" w:eastAsia="宋体" w:cs="宋体"/>
          <w:sz w:val="24"/>
          <w:szCs w:val="24"/>
        </w:rPr>
        <w:t xml:space="preserve">  </w:t>
      </w:r>
      <w:r>
        <w:rPr>
          <w:rFonts w:ascii="宋体" w:hAnsi="宋体" w:eastAsia="宋体" w:cs="宋体"/>
          <w:spacing w:val="-7"/>
          <w:sz w:val="24"/>
          <w:szCs w:val="24"/>
        </w:rPr>
        <w:t>矿产资源开发利用方案修编》(以下简称“开发利用方案修编”)。该“开发利用方</w:t>
      </w:r>
      <w:r>
        <w:rPr>
          <w:rFonts w:ascii="宋体" w:hAnsi="宋体" w:eastAsia="宋体" w:cs="宋体"/>
          <w:spacing w:val="3"/>
          <w:sz w:val="24"/>
          <w:szCs w:val="24"/>
        </w:rPr>
        <w:t xml:space="preserve">  </w:t>
      </w:r>
      <w:r>
        <w:rPr>
          <w:rFonts w:ascii="宋体" w:hAnsi="宋体" w:eastAsia="宋体" w:cs="宋体"/>
          <w:sz w:val="24"/>
          <w:szCs w:val="24"/>
        </w:rPr>
        <w:t>案修编”由“开发利用方案”评审机构云南省地质</w:t>
      </w:r>
      <w:r>
        <w:rPr>
          <w:rFonts w:ascii="宋体" w:hAnsi="宋体" w:eastAsia="宋体" w:cs="宋体"/>
          <w:spacing w:val="-1"/>
          <w:sz w:val="24"/>
          <w:szCs w:val="24"/>
        </w:rPr>
        <w:t>矿产勘查开发局第一地质大队</w:t>
      </w:r>
      <w:r>
        <w:rPr>
          <w:rFonts w:ascii="宋体" w:hAnsi="宋体" w:eastAsia="宋体" w:cs="宋体"/>
          <w:sz w:val="24"/>
          <w:szCs w:val="24"/>
        </w:rPr>
        <w:t xml:space="preserve">  </w:t>
      </w:r>
      <w:r>
        <w:rPr>
          <w:rFonts w:ascii="宋体" w:hAnsi="宋体" w:eastAsia="宋体" w:cs="宋体"/>
          <w:spacing w:val="-3"/>
          <w:sz w:val="24"/>
          <w:szCs w:val="24"/>
        </w:rPr>
        <w:t>相关专家确认。</w:t>
      </w:r>
    </w:p>
    <w:p w14:paraId="160ABA4F">
      <w:pPr>
        <w:spacing w:before="3" w:line="385" w:lineRule="auto"/>
        <w:ind w:left="34" w:right="269" w:firstLine="509"/>
        <w:jc w:val="both"/>
        <w:rPr>
          <w:rFonts w:ascii="宋体" w:hAnsi="宋体" w:eastAsia="宋体" w:cs="宋体"/>
          <w:sz w:val="24"/>
          <w:szCs w:val="24"/>
        </w:rPr>
      </w:pPr>
      <w:r>
        <w:rPr>
          <w:rFonts w:ascii="宋体" w:hAnsi="宋体" w:eastAsia="宋体" w:cs="宋体"/>
          <w:spacing w:val="-7"/>
          <w:sz w:val="24"/>
          <w:szCs w:val="24"/>
        </w:rPr>
        <w:t>“开发利用方案”、“开发利用方案修编”对矿</w:t>
      </w:r>
      <w:r>
        <w:rPr>
          <w:rFonts w:ascii="宋体" w:hAnsi="宋体" w:eastAsia="宋体" w:cs="宋体"/>
          <w:spacing w:val="-8"/>
          <w:sz w:val="24"/>
          <w:szCs w:val="24"/>
        </w:rPr>
        <w:t>山资源的开发利用进行了论证</w:t>
      </w:r>
      <w:r>
        <w:rPr>
          <w:rFonts w:ascii="宋体" w:hAnsi="宋体" w:eastAsia="宋体" w:cs="宋体"/>
          <w:sz w:val="24"/>
          <w:szCs w:val="24"/>
        </w:rPr>
        <w:t xml:space="preserve"> 和设计，其编制符合矿山设计规范及国家矿山安全规</w:t>
      </w:r>
      <w:r>
        <w:rPr>
          <w:rFonts w:ascii="宋体" w:hAnsi="宋体" w:eastAsia="宋体" w:cs="宋体"/>
          <w:spacing w:val="-1"/>
          <w:sz w:val="24"/>
          <w:szCs w:val="24"/>
        </w:rPr>
        <w:t>程等相关规范。矿山开采储</w:t>
      </w:r>
      <w:r>
        <w:rPr>
          <w:rFonts w:ascii="宋体" w:hAnsi="宋体" w:eastAsia="宋体" w:cs="宋体"/>
          <w:sz w:val="24"/>
          <w:szCs w:val="24"/>
        </w:rPr>
        <w:t xml:space="preserve"> 量的确定合理，矿山设计开采方式符合矿山特点、采选</w:t>
      </w:r>
      <w:r>
        <w:rPr>
          <w:rFonts w:ascii="宋体" w:hAnsi="宋体" w:eastAsia="宋体" w:cs="宋体"/>
          <w:spacing w:val="-1"/>
          <w:sz w:val="24"/>
          <w:szCs w:val="24"/>
        </w:rPr>
        <w:t>技术确定合理，可供参考</w:t>
      </w:r>
      <w:r>
        <w:rPr>
          <w:rFonts w:ascii="宋体" w:hAnsi="宋体" w:eastAsia="宋体" w:cs="宋体"/>
          <w:sz w:val="24"/>
          <w:szCs w:val="24"/>
        </w:rPr>
        <w:t xml:space="preserve"> </w:t>
      </w:r>
      <w:r>
        <w:rPr>
          <w:rFonts w:ascii="宋体" w:hAnsi="宋体" w:eastAsia="宋体" w:cs="宋体"/>
          <w:spacing w:val="-11"/>
          <w:sz w:val="24"/>
          <w:szCs w:val="24"/>
        </w:rPr>
        <w:t>使用。</w:t>
      </w:r>
    </w:p>
    <w:p w14:paraId="73B71638">
      <w:pPr>
        <w:spacing w:before="20" w:line="410" w:lineRule="auto"/>
        <w:ind w:left="34" w:right="251" w:firstLine="550"/>
        <w:jc w:val="both"/>
        <w:rPr>
          <w:rFonts w:ascii="宋体" w:hAnsi="宋体" w:eastAsia="宋体" w:cs="宋体"/>
          <w:sz w:val="24"/>
          <w:szCs w:val="24"/>
        </w:rPr>
      </w:pPr>
      <w:r>
        <w:rPr>
          <w:rFonts w:ascii="宋体" w:hAnsi="宋体" w:eastAsia="宋体" w:cs="宋体"/>
          <w:spacing w:val="-8"/>
          <w:sz w:val="24"/>
          <w:szCs w:val="24"/>
        </w:rPr>
        <w:t>其他主要技术经济指标参数的选取参考《中国矿业权评估准则》、《矿业权出</w:t>
      </w:r>
      <w:r>
        <w:rPr>
          <w:rFonts w:ascii="宋体" w:hAnsi="宋体" w:eastAsia="宋体" w:cs="宋体"/>
          <w:sz w:val="24"/>
          <w:szCs w:val="24"/>
        </w:rPr>
        <w:t xml:space="preserve"> </w:t>
      </w:r>
      <w:r>
        <w:rPr>
          <w:rFonts w:ascii="宋体" w:hAnsi="宋体" w:eastAsia="宋体" w:cs="宋体"/>
          <w:spacing w:val="-13"/>
          <w:sz w:val="24"/>
          <w:szCs w:val="24"/>
        </w:rPr>
        <w:t>让收益评估应用指南(试行)》、《矿业权评估参数确定指导意见》、《固体矿产资源</w:t>
      </w:r>
      <w:r>
        <w:rPr>
          <w:rFonts w:ascii="宋体" w:hAnsi="宋体" w:eastAsia="宋体" w:cs="宋体"/>
          <w:spacing w:val="2"/>
          <w:sz w:val="24"/>
          <w:szCs w:val="24"/>
        </w:rPr>
        <w:t xml:space="preserve"> </w:t>
      </w:r>
      <w:r>
        <w:rPr>
          <w:rFonts w:ascii="宋体" w:hAnsi="宋体" w:eastAsia="宋体" w:cs="宋体"/>
          <w:spacing w:val="-7"/>
          <w:sz w:val="24"/>
          <w:szCs w:val="24"/>
        </w:rPr>
        <w:t>储量类型的确定》、其他有关政策法规、技术经济规范和评估人员掌握的其他资料</w:t>
      </w:r>
      <w:r>
        <w:rPr>
          <w:rFonts w:ascii="宋体" w:hAnsi="宋体" w:eastAsia="宋体" w:cs="宋体"/>
          <w:sz w:val="24"/>
          <w:szCs w:val="24"/>
        </w:rPr>
        <w:t xml:space="preserve"> </w:t>
      </w:r>
      <w:r>
        <w:rPr>
          <w:rFonts w:ascii="宋体" w:hAnsi="宋体" w:eastAsia="宋体" w:cs="宋体"/>
          <w:spacing w:val="-10"/>
          <w:sz w:val="24"/>
          <w:szCs w:val="24"/>
        </w:rPr>
        <w:t>确定。</w:t>
      </w:r>
    </w:p>
    <w:p w14:paraId="47090435">
      <w:pPr>
        <w:spacing w:before="38" w:line="409" w:lineRule="auto"/>
        <w:ind w:left="34" w:right="227" w:firstLine="550"/>
        <w:jc w:val="both"/>
        <w:rPr>
          <w:rFonts w:ascii="宋体" w:hAnsi="宋体" w:eastAsia="宋体" w:cs="宋体"/>
          <w:sz w:val="24"/>
          <w:szCs w:val="24"/>
        </w:rPr>
      </w:pPr>
      <w:r>
        <w:rPr>
          <w:rFonts w:ascii="宋体" w:hAnsi="宋体" w:eastAsia="宋体" w:cs="宋体"/>
          <w:spacing w:val="-14"/>
          <w:sz w:val="24"/>
          <w:szCs w:val="24"/>
        </w:rPr>
        <w:t>评估人员在对“储量核实报告”、“开发利用方案”、“开发利用方案修编”及</w:t>
      </w:r>
      <w:r>
        <w:rPr>
          <w:rFonts w:ascii="宋体" w:hAnsi="宋体" w:eastAsia="宋体" w:cs="宋体"/>
          <w:spacing w:val="1"/>
          <w:sz w:val="24"/>
          <w:szCs w:val="24"/>
        </w:rPr>
        <w:t xml:space="preserve"> </w:t>
      </w:r>
      <w:r>
        <w:rPr>
          <w:rFonts w:ascii="宋体" w:hAnsi="宋体" w:eastAsia="宋体" w:cs="宋体"/>
          <w:sz w:val="24"/>
          <w:szCs w:val="24"/>
        </w:rPr>
        <w:t>评估人员收集的其它资料进行认真分析的基础上，根据现</w:t>
      </w:r>
      <w:r>
        <w:rPr>
          <w:rFonts w:ascii="宋体" w:hAnsi="宋体" w:eastAsia="宋体" w:cs="宋体"/>
          <w:spacing w:val="-1"/>
          <w:sz w:val="24"/>
          <w:szCs w:val="24"/>
        </w:rPr>
        <w:t>行有关技术规范、标准</w:t>
      </w:r>
      <w:r>
        <w:rPr>
          <w:rFonts w:ascii="宋体" w:hAnsi="宋体" w:eastAsia="宋体" w:cs="宋体"/>
          <w:sz w:val="24"/>
          <w:szCs w:val="24"/>
        </w:rPr>
        <w:t xml:space="preserve"> </w:t>
      </w:r>
      <w:r>
        <w:rPr>
          <w:rFonts w:ascii="宋体" w:hAnsi="宋体" w:eastAsia="宋体" w:cs="宋体"/>
          <w:spacing w:val="-2"/>
          <w:sz w:val="24"/>
          <w:szCs w:val="24"/>
        </w:rPr>
        <w:t>以及矿业权评估有关要求合理选取评估参数。各参数的取值说明如下：</w:t>
      </w:r>
    </w:p>
    <w:p w14:paraId="20E2A2CE">
      <w:pPr>
        <w:spacing w:before="19" w:line="220" w:lineRule="auto"/>
        <w:ind w:left="585"/>
        <w:outlineLvl w:val="1"/>
        <w:rPr>
          <w:rFonts w:ascii="宋体" w:hAnsi="宋体" w:eastAsia="宋体" w:cs="宋体"/>
          <w:sz w:val="24"/>
          <w:szCs w:val="24"/>
        </w:rPr>
      </w:pPr>
      <w:bookmarkStart w:id="36" w:name="bookmark24"/>
      <w:bookmarkEnd w:id="36"/>
      <w:r>
        <w:rPr>
          <w:rFonts w:ascii="宋体" w:hAnsi="宋体" w:eastAsia="宋体" w:cs="宋体"/>
          <w:spacing w:val="6"/>
          <w:sz w:val="24"/>
          <w:szCs w:val="24"/>
        </w:rPr>
        <w:t>10.1保有资源储量</w:t>
      </w:r>
    </w:p>
    <w:p w14:paraId="0AE56C87">
      <w:pPr>
        <w:spacing w:before="224" w:line="220" w:lineRule="auto"/>
        <w:ind w:left="585"/>
        <w:rPr>
          <w:rFonts w:ascii="宋体" w:hAnsi="宋体" w:eastAsia="宋体" w:cs="宋体"/>
          <w:sz w:val="24"/>
          <w:szCs w:val="24"/>
        </w:rPr>
      </w:pPr>
      <w:r>
        <w:rPr>
          <w:rFonts w:ascii="宋体" w:hAnsi="宋体" w:eastAsia="宋体" w:cs="宋体"/>
          <w:spacing w:val="4"/>
          <w:sz w:val="24"/>
          <w:szCs w:val="24"/>
        </w:rPr>
        <w:t>10.1.1储量核实基准日保有资源储量</w:t>
      </w:r>
    </w:p>
    <w:p w14:paraId="6FD37860">
      <w:pPr>
        <w:spacing w:before="243" w:line="412" w:lineRule="auto"/>
        <w:ind w:left="34" w:right="191" w:firstLine="550"/>
        <w:rPr>
          <w:rFonts w:ascii="宋体" w:hAnsi="宋体" w:eastAsia="宋体" w:cs="宋体"/>
          <w:sz w:val="24"/>
          <w:szCs w:val="24"/>
        </w:rPr>
      </w:pPr>
      <w:r>
        <w:rPr>
          <w:rFonts w:ascii="宋体" w:hAnsi="宋体" w:eastAsia="宋体" w:cs="宋体"/>
          <w:spacing w:val="11"/>
          <w:sz w:val="24"/>
          <w:szCs w:val="24"/>
        </w:rPr>
        <w:t>根据“储量核实报告”及其评审意见书，截止储量核实基准日2021年9月</w:t>
      </w:r>
      <w:r>
        <w:rPr>
          <w:rFonts w:ascii="宋体" w:hAnsi="宋体" w:eastAsia="宋体" w:cs="宋体"/>
          <w:spacing w:val="13"/>
          <w:sz w:val="24"/>
          <w:szCs w:val="24"/>
        </w:rPr>
        <w:t xml:space="preserve"> </w:t>
      </w:r>
      <w:r>
        <w:rPr>
          <w:rFonts w:ascii="宋体" w:hAnsi="宋体" w:eastAsia="宋体" w:cs="宋体"/>
          <w:spacing w:val="8"/>
          <w:sz w:val="24"/>
          <w:szCs w:val="24"/>
        </w:rPr>
        <w:t>30日，采矿权范围内保有</w:t>
      </w:r>
      <w:r>
        <w:rPr>
          <w:rFonts w:ascii="Times New Roman" w:hAnsi="Times New Roman" w:eastAsia="Times New Roman" w:cs="Times New Roman"/>
          <w:sz w:val="24"/>
          <w:szCs w:val="24"/>
        </w:rPr>
        <w:t>TM</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TD</w:t>
      </w:r>
      <w:r>
        <w:rPr>
          <w:rFonts w:ascii="宋体" w:hAnsi="宋体" w:eastAsia="宋体" w:cs="宋体"/>
          <w:spacing w:val="8"/>
          <w:sz w:val="24"/>
          <w:szCs w:val="24"/>
        </w:rPr>
        <w:t>类锌矿石量140.31万吨，锌金属量60957</w:t>
      </w:r>
      <w:r>
        <w:rPr>
          <w:rFonts w:ascii="宋体" w:hAnsi="宋体" w:eastAsia="宋体" w:cs="宋体"/>
          <w:spacing w:val="16"/>
          <w:sz w:val="24"/>
          <w:szCs w:val="24"/>
        </w:rPr>
        <w:t xml:space="preserve"> </w:t>
      </w:r>
      <w:r>
        <w:rPr>
          <w:rFonts w:ascii="宋体" w:hAnsi="宋体" w:eastAsia="宋体" w:cs="宋体"/>
          <w:spacing w:val="9"/>
          <w:sz w:val="24"/>
          <w:szCs w:val="24"/>
        </w:rPr>
        <w:t>吨，锌平均品位4.34%;保有</w:t>
      </w:r>
      <w:r>
        <w:rPr>
          <w:rFonts w:ascii="Times New Roman" w:hAnsi="Times New Roman" w:eastAsia="Times New Roman" w:cs="Times New Roman"/>
          <w:sz w:val="24"/>
          <w:szCs w:val="24"/>
        </w:rPr>
        <w:t>TM</w:t>
      </w:r>
      <w:r>
        <w:rPr>
          <w:rFonts w:ascii="Times New Roman" w:hAnsi="Times New Roman" w:eastAsia="Times New Roman" w:cs="Times New Roman"/>
          <w:spacing w:val="9"/>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9"/>
          <w:sz w:val="24"/>
          <w:szCs w:val="24"/>
        </w:rPr>
        <w:t>+</w:t>
      </w:r>
      <w:r>
        <w:rPr>
          <w:rFonts w:ascii="Times New Roman" w:hAnsi="Times New Roman" w:eastAsia="Times New Roman" w:cs="Times New Roman"/>
          <w:sz w:val="24"/>
          <w:szCs w:val="24"/>
        </w:rPr>
        <w:t>TD</w:t>
      </w:r>
      <w:r>
        <w:rPr>
          <w:rFonts w:ascii="宋体" w:hAnsi="宋体" w:eastAsia="宋体" w:cs="宋体"/>
          <w:spacing w:val="9"/>
          <w:sz w:val="24"/>
          <w:szCs w:val="24"/>
        </w:rPr>
        <w:t>类伴</w:t>
      </w:r>
      <w:r>
        <w:rPr>
          <w:rFonts w:ascii="宋体" w:hAnsi="宋体" w:eastAsia="宋体" w:cs="宋体"/>
          <w:spacing w:val="8"/>
          <w:sz w:val="24"/>
          <w:szCs w:val="24"/>
        </w:rPr>
        <w:t>生铅矿石量76.11万吨，铅金属量</w:t>
      </w:r>
      <w:r>
        <w:rPr>
          <w:rFonts w:ascii="宋体" w:hAnsi="宋体" w:eastAsia="宋体" w:cs="宋体"/>
          <w:sz w:val="24"/>
          <w:szCs w:val="24"/>
        </w:rPr>
        <w:t xml:space="preserve"> </w:t>
      </w:r>
      <w:r>
        <w:rPr>
          <w:rFonts w:ascii="宋体" w:hAnsi="宋体" w:eastAsia="宋体" w:cs="宋体"/>
          <w:spacing w:val="11"/>
          <w:sz w:val="24"/>
          <w:szCs w:val="24"/>
        </w:rPr>
        <w:t>6015吨，铅平均品位0.79%;保有</w:t>
      </w:r>
      <w:r>
        <w:rPr>
          <w:rFonts w:ascii="Times New Roman" w:hAnsi="Times New Roman" w:eastAsia="Times New Roman" w:cs="Times New Roman"/>
          <w:sz w:val="24"/>
          <w:szCs w:val="24"/>
        </w:rPr>
        <w:t>TM</w:t>
      </w:r>
      <w:r>
        <w:rPr>
          <w:rFonts w:ascii="Times New Roman" w:hAnsi="Times New Roman" w:eastAsia="Times New Roman" w:cs="Times New Roman"/>
          <w:spacing w:val="11"/>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1"/>
          <w:sz w:val="24"/>
          <w:szCs w:val="24"/>
        </w:rPr>
        <w:t>+</w:t>
      </w:r>
      <w:r>
        <w:rPr>
          <w:rFonts w:ascii="Times New Roman" w:hAnsi="Times New Roman" w:eastAsia="Times New Roman" w:cs="Times New Roman"/>
          <w:sz w:val="24"/>
          <w:szCs w:val="24"/>
        </w:rPr>
        <w:t>TD</w:t>
      </w:r>
      <w:r>
        <w:rPr>
          <w:rFonts w:ascii="宋体" w:hAnsi="宋体" w:eastAsia="宋体" w:cs="宋体"/>
          <w:spacing w:val="11"/>
          <w:sz w:val="24"/>
          <w:szCs w:val="24"/>
        </w:rPr>
        <w:t>类伴生镉矿石量140.31万吨，镉</w:t>
      </w:r>
      <w:r>
        <w:rPr>
          <w:rFonts w:ascii="宋体" w:hAnsi="宋体" w:eastAsia="宋体" w:cs="宋体"/>
          <w:spacing w:val="15"/>
          <w:sz w:val="24"/>
          <w:szCs w:val="24"/>
        </w:rPr>
        <w:t xml:space="preserve"> </w:t>
      </w:r>
      <w:r>
        <w:rPr>
          <w:rFonts w:ascii="宋体" w:hAnsi="宋体" w:eastAsia="宋体" w:cs="宋体"/>
          <w:spacing w:val="8"/>
          <w:sz w:val="24"/>
          <w:szCs w:val="24"/>
        </w:rPr>
        <w:t>金属量1888吨，镉平均品位0.135%(详见附件七：</w:t>
      </w:r>
      <w:r>
        <w:rPr>
          <w:rFonts w:ascii="宋体" w:hAnsi="宋体" w:eastAsia="宋体" w:cs="宋体"/>
          <w:spacing w:val="-53"/>
          <w:sz w:val="24"/>
          <w:szCs w:val="24"/>
        </w:rPr>
        <w:t xml:space="preserve"> </w:t>
      </w:r>
      <w:r>
        <w:rPr>
          <w:rFonts w:ascii="Times New Roman" w:hAnsi="Times New Roman" w:eastAsia="Times New Roman" w:cs="Times New Roman"/>
          <w:spacing w:val="7"/>
          <w:sz w:val="24"/>
          <w:szCs w:val="24"/>
        </w:rPr>
        <w:t>P28)</w:t>
      </w:r>
      <w:r>
        <w:rPr>
          <w:rFonts w:ascii="Times New Roman" w:hAnsi="Times New Roman" w:eastAsia="Times New Roman" w:cs="Times New Roman"/>
          <w:spacing w:val="-27"/>
          <w:sz w:val="24"/>
          <w:szCs w:val="24"/>
        </w:rPr>
        <w:t xml:space="preserve"> </w:t>
      </w:r>
      <w:r>
        <w:rPr>
          <w:rFonts w:ascii="宋体" w:hAnsi="宋体" w:eastAsia="宋体" w:cs="宋体"/>
          <w:spacing w:val="7"/>
          <w:sz w:val="24"/>
          <w:szCs w:val="24"/>
        </w:rPr>
        <w:t>。详见下表10-1:</w:t>
      </w:r>
    </w:p>
    <w:p w14:paraId="7347EE2C">
      <w:pPr>
        <w:spacing w:line="412" w:lineRule="auto"/>
        <w:rPr>
          <w:rFonts w:ascii="宋体" w:hAnsi="宋体" w:eastAsia="宋体" w:cs="宋体"/>
          <w:sz w:val="24"/>
          <w:szCs w:val="24"/>
        </w:rPr>
        <w:sectPr>
          <w:headerReference r:id="rId70" w:type="default"/>
          <w:footerReference r:id="rId71" w:type="default"/>
          <w:pgSz w:w="11900" w:h="16830"/>
          <w:pgMar w:top="1247" w:right="1390" w:bottom="1290" w:left="1785" w:header="970" w:footer="948" w:gutter="0"/>
          <w:cols w:space="720" w:num="1"/>
        </w:sectPr>
      </w:pPr>
    </w:p>
    <w:p w14:paraId="1834C88E">
      <w:pPr>
        <w:pStyle w:val="2"/>
        <w:spacing w:line="426" w:lineRule="auto"/>
      </w:pPr>
    </w:p>
    <w:p w14:paraId="71B2BCC3">
      <w:pPr>
        <w:spacing w:before="85" w:line="219" w:lineRule="auto"/>
        <w:ind w:left="1624"/>
        <w:rPr>
          <w:rFonts w:ascii="宋体" w:hAnsi="宋体" w:eastAsia="宋体" w:cs="宋体"/>
          <w:sz w:val="26"/>
          <w:szCs w:val="26"/>
        </w:rPr>
      </w:pPr>
      <w:bookmarkStart w:id="37" w:name="bookmark60"/>
      <w:bookmarkEnd w:id="37"/>
      <w:r>
        <w:rPr>
          <w:rFonts w:ascii="宋体" w:hAnsi="宋体" w:eastAsia="宋体" w:cs="宋体"/>
          <w:spacing w:val="-1"/>
          <w:sz w:val="26"/>
          <w:szCs w:val="26"/>
        </w:rPr>
        <w:t>表10-1储量核实基准日2021年9月30日保有资源储量</w:t>
      </w:r>
    </w:p>
    <w:p w14:paraId="5EF9700C">
      <w:pPr>
        <w:spacing w:line="59" w:lineRule="auto"/>
        <w:rPr>
          <w:rFonts w:ascii="Arial"/>
          <w:sz w:val="2"/>
        </w:rPr>
      </w:pPr>
    </w:p>
    <w:tbl>
      <w:tblPr>
        <w:tblStyle w:val="5"/>
        <w:tblW w:w="8679"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3"/>
        <w:gridCol w:w="1628"/>
        <w:gridCol w:w="1668"/>
        <w:gridCol w:w="1678"/>
        <w:gridCol w:w="2242"/>
      </w:tblGrid>
      <w:tr w14:paraId="2FAA0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63" w:type="dxa"/>
            <w:vMerge w:val="restart"/>
            <w:tcBorders>
              <w:bottom w:val="nil"/>
            </w:tcBorders>
            <w:vAlign w:val="top"/>
          </w:tcPr>
          <w:p w14:paraId="0F40A3CA">
            <w:pPr>
              <w:pStyle w:val="6"/>
              <w:spacing w:before="214" w:line="219" w:lineRule="auto"/>
              <w:ind w:left="285"/>
              <w:rPr>
                <w:sz w:val="22"/>
                <w:szCs w:val="22"/>
              </w:rPr>
            </w:pPr>
            <w:r>
              <w:rPr>
                <w:spacing w:val="3"/>
                <w:sz w:val="22"/>
                <w:szCs w:val="22"/>
              </w:rPr>
              <w:t>矿石类型</w:t>
            </w:r>
          </w:p>
        </w:tc>
        <w:tc>
          <w:tcPr>
            <w:tcW w:w="1628" w:type="dxa"/>
            <w:vMerge w:val="restart"/>
            <w:tcBorders>
              <w:bottom w:val="nil"/>
            </w:tcBorders>
            <w:vAlign w:val="top"/>
          </w:tcPr>
          <w:p w14:paraId="1108A825">
            <w:pPr>
              <w:pStyle w:val="6"/>
              <w:spacing w:before="84" w:line="230" w:lineRule="auto"/>
              <w:ind w:left="581" w:right="146" w:hanging="439"/>
              <w:rPr>
                <w:sz w:val="22"/>
                <w:szCs w:val="22"/>
              </w:rPr>
            </w:pPr>
            <w:r>
              <w:rPr>
                <w:spacing w:val="1"/>
                <w:sz w:val="22"/>
                <w:szCs w:val="22"/>
              </w:rPr>
              <w:t>资源储量分类</w:t>
            </w:r>
            <w:r>
              <w:rPr>
                <w:spacing w:val="2"/>
                <w:sz w:val="22"/>
                <w:szCs w:val="22"/>
              </w:rPr>
              <w:t xml:space="preserve"> </w:t>
            </w:r>
            <w:r>
              <w:rPr>
                <w:spacing w:val="5"/>
                <w:sz w:val="22"/>
                <w:szCs w:val="22"/>
              </w:rPr>
              <w:t>编码</w:t>
            </w:r>
          </w:p>
        </w:tc>
        <w:tc>
          <w:tcPr>
            <w:tcW w:w="5588" w:type="dxa"/>
            <w:gridSpan w:val="3"/>
            <w:vAlign w:val="top"/>
          </w:tcPr>
          <w:p w14:paraId="01CB24F9">
            <w:pPr>
              <w:pStyle w:val="6"/>
              <w:spacing w:before="53" w:line="210" w:lineRule="auto"/>
              <w:ind w:left="583"/>
              <w:rPr>
                <w:sz w:val="22"/>
                <w:szCs w:val="22"/>
              </w:rPr>
            </w:pPr>
            <w:r>
              <w:rPr>
                <w:spacing w:val="-1"/>
                <w:sz w:val="22"/>
                <w:szCs w:val="22"/>
              </w:rPr>
              <w:t>储量核实基准日2021年9月30日保有资源储量</w:t>
            </w:r>
          </w:p>
        </w:tc>
      </w:tr>
      <w:tr w14:paraId="440E7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63" w:type="dxa"/>
            <w:vMerge w:val="continue"/>
            <w:tcBorders>
              <w:top w:val="nil"/>
            </w:tcBorders>
            <w:vAlign w:val="top"/>
          </w:tcPr>
          <w:p w14:paraId="56D41094">
            <w:pPr>
              <w:rPr>
                <w:rFonts w:ascii="Arial"/>
                <w:sz w:val="21"/>
              </w:rPr>
            </w:pPr>
          </w:p>
        </w:tc>
        <w:tc>
          <w:tcPr>
            <w:tcW w:w="1628" w:type="dxa"/>
            <w:vMerge w:val="continue"/>
            <w:tcBorders>
              <w:top w:val="nil"/>
            </w:tcBorders>
            <w:vAlign w:val="top"/>
          </w:tcPr>
          <w:p w14:paraId="08BB3976">
            <w:pPr>
              <w:rPr>
                <w:rFonts w:ascii="Arial"/>
                <w:sz w:val="21"/>
              </w:rPr>
            </w:pPr>
          </w:p>
        </w:tc>
        <w:tc>
          <w:tcPr>
            <w:tcW w:w="1668" w:type="dxa"/>
            <w:vAlign w:val="top"/>
          </w:tcPr>
          <w:p w14:paraId="36853D5F">
            <w:pPr>
              <w:pStyle w:val="6"/>
              <w:spacing w:before="50" w:line="217" w:lineRule="auto"/>
              <w:ind w:left="164"/>
              <w:rPr>
                <w:sz w:val="22"/>
                <w:szCs w:val="22"/>
              </w:rPr>
            </w:pPr>
            <w:r>
              <w:rPr>
                <w:spacing w:val="6"/>
                <w:sz w:val="22"/>
                <w:szCs w:val="22"/>
              </w:rPr>
              <w:t>矿石量(万吨)</w:t>
            </w:r>
          </w:p>
        </w:tc>
        <w:tc>
          <w:tcPr>
            <w:tcW w:w="1678" w:type="dxa"/>
            <w:vAlign w:val="top"/>
          </w:tcPr>
          <w:p w14:paraId="7F27D03B">
            <w:pPr>
              <w:pStyle w:val="6"/>
              <w:spacing w:before="50" w:line="217" w:lineRule="auto"/>
              <w:ind w:left="226"/>
              <w:rPr>
                <w:sz w:val="22"/>
                <w:szCs w:val="22"/>
              </w:rPr>
            </w:pPr>
            <w:r>
              <w:rPr>
                <w:spacing w:val="6"/>
                <w:sz w:val="22"/>
                <w:szCs w:val="22"/>
              </w:rPr>
              <w:t>平均品位(%)</w:t>
            </w:r>
          </w:p>
        </w:tc>
        <w:tc>
          <w:tcPr>
            <w:tcW w:w="2242" w:type="dxa"/>
            <w:vAlign w:val="top"/>
          </w:tcPr>
          <w:p w14:paraId="7BCAB10D">
            <w:pPr>
              <w:pStyle w:val="6"/>
              <w:spacing w:before="51" w:line="216" w:lineRule="auto"/>
              <w:ind w:left="568"/>
              <w:rPr>
                <w:sz w:val="22"/>
                <w:szCs w:val="22"/>
              </w:rPr>
            </w:pPr>
            <w:r>
              <w:rPr>
                <w:spacing w:val="8"/>
                <w:sz w:val="22"/>
                <w:szCs w:val="22"/>
              </w:rPr>
              <w:t>金属量(吨)</w:t>
            </w:r>
          </w:p>
        </w:tc>
      </w:tr>
      <w:tr w14:paraId="5FE27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63" w:type="dxa"/>
            <w:vMerge w:val="restart"/>
            <w:tcBorders>
              <w:bottom w:val="nil"/>
            </w:tcBorders>
            <w:vAlign w:val="top"/>
          </w:tcPr>
          <w:p w14:paraId="6A1A6974">
            <w:pPr>
              <w:spacing w:line="457" w:lineRule="auto"/>
              <w:rPr>
                <w:rFonts w:ascii="Arial"/>
                <w:sz w:val="21"/>
              </w:rPr>
            </w:pPr>
          </w:p>
          <w:p w14:paraId="6EC58A82">
            <w:pPr>
              <w:pStyle w:val="6"/>
              <w:spacing w:before="71" w:line="220" w:lineRule="auto"/>
              <w:ind w:left="394"/>
              <w:rPr>
                <w:sz w:val="22"/>
                <w:szCs w:val="22"/>
              </w:rPr>
            </w:pPr>
            <w:r>
              <w:rPr>
                <w:spacing w:val="16"/>
                <w:sz w:val="22"/>
                <w:szCs w:val="22"/>
              </w:rPr>
              <w:t>锌(</w:t>
            </w:r>
            <w:r>
              <w:rPr>
                <w:sz w:val="22"/>
                <w:szCs w:val="22"/>
              </w:rPr>
              <w:t>Zn</w:t>
            </w:r>
            <w:r>
              <w:rPr>
                <w:spacing w:val="16"/>
                <w:sz w:val="22"/>
                <w:szCs w:val="22"/>
              </w:rPr>
              <w:t>)</w:t>
            </w:r>
          </w:p>
        </w:tc>
        <w:tc>
          <w:tcPr>
            <w:tcW w:w="1628" w:type="dxa"/>
            <w:vAlign w:val="top"/>
          </w:tcPr>
          <w:p w14:paraId="3650F0D5">
            <w:pPr>
              <w:pStyle w:val="6"/>
              <w:spacing w:before="99" w:line="159" w:lineRule="auto"/>
              <w:ind w:left="691"/>
              <w:rPr>
                <w:sz w:val="22"/>
                <w:szCs w:val="22"/>
              </w:rPr>
            </w:pPr>
            <w:r>
              <w:rPr>
                <w:spacing w:val="-2"/>
                <w:sz w:val="22"/>
                <w:szCs w:val="22"/>
              </w:rPr>
              <w:t>TM</w:t>
            </w:r>
          </w:p>
        </w:tc>
        <w:tc>
          <w:tcPr>
            <w:tcW w:w="1668" w:type="dxa"/>
            <w:vAlign w:val="top"/>
          </w:tcPr>
          <w:p w14:paraId="01993CD9">
            <w:pPr>
              <w:pStyle w:val="6"/>
              <w:spacing w:before="62" w:line="190" w:lineRule="auto"/>
              <w:ind w:left="604"/>
              <w:rPr>
                <w:sz w:val="22"/>
                <w:szCs w:val="22"/>
              </w:rPr>
            </w:pPr>
            <w:r>
              <w:rPr>
                <w:spacing w:val="-2"/>
                <w:sz w:val="22"/>
                <w:szCs w:val="22"/>
              </w:rPr>
              <w:t>8.78</w:t>
            </w:r>
          </w:p>
        </w:tc>
        <w:tc>
          <w:tcPr>
            <w:tcW w:w="1678" w:type="dxa"/>
            <w:vAlign w:val="top"/>
          </w:tcPr>
          <w:p w14:paraId="6F4B8861">
            <w:pPr>
              <w:pStyle w:val="6"/>
              <w:spacing w:before="62" w:line="190" w:lineRule="auto"/>
              <w:ind w:left="556"/>
              <w:rPr>
                <w:sz w:val="22"/>
                <w:szCs w:val="22"/>
              </w:rPr>
            </w:pPr>
            <w:r>
              <w:rPr>
                <w:spacing w:val="-1"/>
                <w:sz w:val="22"/>
                <w:szCs w:val="22"/>
              </w:rPr>
              <w:t>4.97%</w:t>
            </w:r>
          </w:p>
        </w:tc>
        <w:tc>
          <w:tcPr>
            <w:tcW w:w="2242" w:type="dxa"/>
            <w:vAlign w:val="top"/>
          </w:tcPr>
          <w:p w14:paraId="29414005">
            <w:pPr>
              <w:pStyle w:val="6"/>
              <w:spacing w:before="62" w:line="190" w:lineRule="auto"/>
              <w:ind w:left="727"/>
              <w:rPr>
                <w:sz w:val="22"/>
                <w:szCs w:val="22"/>
              </w:rPr>
            </w:pPr>
            <w:r>
              <w:rPr>
                <w:spacing w:val="-1"/>
                <w:sz w:val="22"/>
                <w:szCs w:val="22"/>
              </w:rPr>
              <w:t>4360.00</w:t>
            </w:r>
          </w:p>
        </w:tc>
      </w:tr>
      <w:tr w14:paraId="2EE2F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63" w:type="dxa"/>
            <w:vMerge w:val="continue"/>
            <w:tcBorders>
              <w:top w:val="nil"/>
              <w:bottom w:val="nil"/>
            </w:tcBorders>
            <w:vAlign w:val="top"/>
          </w:tcPr>
          <w:p w14:paraId="30FC912B">
            <w:pPr>
              <w:rPr>
                <w:rFonts w:ascii="Arial"/>
                <w:sz w:val="21"/>
              </w:rPr>
            </w:pPr>
          </w:p>
        </w:tc>
        <w:tc>
          <w:tcPr>
            <w:tcW w:w="1628" w:type="dxa"/>
            <w:vAlign w:val="top"/>
          </w:tcPr>
          <w:p w14:paraId="3DCB74A0">
            <w:pPr>
              <w:pStyle w:val="6"/>
              <w:spacing w:before="109" w:line="167" w:lineRule="auto"/>
              <w:ind w:left="691"/>
              <w:rPr>
                <w:sz w:val="22"/>
                <w:szCs w:val="22"/>
              </w:rPr>
            </w:pPr>
            <w:r>
              <w:rPr>
                <w:spacing w:val="-2"/>
                <w:sz w:val="22"/>
                <w:szCs w:val="22"/>
              </w:rPr>
              <w:t>KZ</w:t>
            </w:r>
          </w:p>
        </w:tc>
        <w:tc>
          <w:tcPr>
            <w:tcW w:w="1668" w:type="dxa"/>
            <w:vAlign w:val="top"/>
          </w:tcPr>
          <w:p w14:paraId="39D65BD7">
            <w:pPr>
              <w:pStyle w:val="6"/>
              <w:spacing w:before="74" w:line="197" w:lineRule="auto"/>
              <w:ind w:left="553"/>
              <w:rPr>
                <w:sz w:val="22"/>
                <w:szCs w:val="22"/>
              </w:rPr>
            </w:pPr>
            <w:r>
              <w:rPr>
                <w:spacing w:val="-2"/>
                <w:sz w:val="22"/>
                <w:szCs w:val="22"/>
              </w:rPr>
              <w:t>48.67</w:t>
            </w:r>
          </w:p>
        </w:tc>
        <w:tc>
          <w:tcPr>
            <w:tcW w:w="1678" w:type="dxa"/>
            <w:vAlign w:val="top"/>
          </w:tcPr>
          <w:p w14:paraId="437A92DB">
            <w:pPr>
              <w:pStyle w:val="6"/>
              <w:spacing w:before="74" w:line="197" w:lineRule="auto"/>
              <w:ind w:left="556"/>
              <w:rPr>
                <w:sz w:val="22"/>
                <w:szCs w:val="22"/>
              </w:rPr>
            </w:pPr>
            <w:r>
              <w:rPr>
                <w:spacing w:val="-1"/>
                <w:sz w:val="22"/>
                <w:szCs w:val="22"/>
              </w:rPr>
              <w:t>4.77%</w:t>
            </w:r>
          </w:p>
        </w:tc>
        <w:tc>
          <w:tcPr>
            <w:tcW w:w="2242" w:type="dxa"/>
            <w:vAlign w:val="top"/>
          </w:tcPr>
          <w:p w14:paraId="01743504">
            <w:pPr>
              <w:pStyle w:val="6"/>
              <w:spacing w:before="74" w:line="197" w:lineRule="auto"/>
              <w:ind w:left="678"/>
              <w:rPr>
                <w:sz w:val="22"/>
                <w:szCs w:val="22"/>
              </w:rPr>
            </w:pPr>
            <w:r>
              <w:rPr>
                <w:spacing w:val="-2"/>
                <w:sz w:val="22"/>
                <w:szCs w:val="22"/>
              </w:rPr>
              <w:t>23193.00</w:t>
            </w:r>
          </w:p>
        </w:tc>
      </w:tr>
      <w:tr w14:paraId="7C3F2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63" w:type="dxa"/>
            <w:vMerge w:val="continue"/>
            <w:tcBorders>
              <w:top w:val="nil"/>
              <w:bottom w:val="nil"/>
            </w:tcBorders>
            <w:vAlign w:val="top"/>
          </w:tcPr>
          <w:p w14:paraId="457549F9">
            <w:pPr>
              <w:rPr>
                <w:rFonts w:ascii="Arial"/>
                <w:sz w:val="21"/>
              </w:rPr>
            </w:pPr>
          </w:p>
        </w:tc>
        <w:tc>
          <w:tcPr>
            <w:tcW w:w="1628" w:type="dxa"/>
            <w:vAlign w:val="top"/>
          </w:tcPr>
          <w:p w14:paraId="495A2966">
            <w:pPr>
              <w:pStyle w:val="6"/>
              <w:spacing w:before="110" w:line="158" w:lineRule="auto"/>
              <w:ind w:left="691"/>
              <w:rPr>
                <w:sz w:val="22"/>
                <w:szCs w:val="22"/>
              </w:rPr>
            </w:pPr>
            <w:r>
              <w:rPr>
                <w:spacing w:val="-2"/>
                <w:sz w:val="22"/>
                <w:szCs w:val="22"/>
              </w:rPr>
              <w:t>TD</w:t>
            </w:r>
          </w:p>
        </w:tc>
        <w:tc>
          <w:tcPr>
            <w:tcW w:w="1668" w:type="dxa"/>
            <w:vAlign w:val="top"/>
          </w:tcPr>
          <w:p w14:paraId="3424808A">
            <w:pPr>
              <w:pStyle w:val="6"/>
              <w:spacing w:before="74" w:line="188" w:lineRule="auto"/>
              <w:ind w:left="553"/>
              <w:rPr>
                <w:sz w:val="22"/>
                <w:szCs w:val="22"/>
              </w:rPr>
            </w:pPr>
            <w:r>
              <w:rPr>
                <w:spacing w:val="-2"/>
                <w:sz w:val="22"/>
                <w:szCs w:val="22"/>
              </w:rPr>
              <w:t>82.86</w:t>
            </w:r>
          </w:p>
        </w:tc>
        <w:tc>
          <w:tcPr>
            <w:tcW w:w="1678" w:type="dxa"/>
            <w:vAlign w:val="top"/>
          </w:tcPr>
          <w:p w14:paraId="199D01C4">
            <w:pPr>
              <w:pStyle w:val="6"/>
              <w:spacing w:before="74" w:line="188" w:lineRule="auto"/>
              <w:ind w:left="556"/>
              <w:rPr>
                <w:sz w:val="22"/>
                <w:szCs w:val="22"/>
              </w:rPr>
            </w:pPr>
            <w:r>
              <w:rPr>
                <w:spacing w:val="-1"/>
                <w:sz w:val="22"/>
                <w:szCs w:val="22"/>
              </w:rPr>
              <w:t>4.03%</w:t>
            </w:r>
          </w:p>
        </w:tc>
        <w:tc>
          <w:tcPr>
            <w:tcW w:w="2242" w:type="dxa"/>
            <w:vAlign w:val="top"/>
          </w:tcPr>
          <w:p w14:paraId="5C4EAA3A">
            <w:pPr>
              <w:pStyle w:val="6"/>
              <w:spacing w:before="74" w:line="188" w:lineRule="auto"/>
              <w:ind w:left="678"/>
              <w:rPr>
                <w:sz w:val="22"/>
                <w:szCs w:val="22"/>
              </w:rPr>
            </w:pPr>
            <w:r>
              <w:rPr>
                <w:spacing w:val="-2"/>
                <w:sz w:val="22"/>
                <w:szCs w:val="22"/>
              </w:rPr>
              <w:t>33404.00</w:t>
            </w:r>
          </w:p>
        </w:tc>
      </w:tr>
      <w:tr w14:paraId="4A50A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63" w:type="dxa"/>
            <w:vMerge w:val="continue"/>
            <w:tcBorders>
              <w:top w:val="nil"/>
            </w:tcBorders>
            <w:vAlign w:val="top"/>
          </w:tcPr>
          <w:p w14:paraId="29FF5D87">
            <w:pPr>
              <w:rPr>
                <w:rFonts w:ascii="Arial"/>
                <w:sz w:val="21"/>
              </w:rPr>
            </w:pPr>
          </w:p>
        </w:tc>
        <w:tc>
          <w:tcPr>
            <w:tcW w:w="1628" w:type="dxa"/>
            <w:vAlign w:val="top"/>
          </w:tcPr>
          <w:p w14:paraId="6DC75F2E">
            <w:pPr>
              <w:pStyle w:val="6"/>
              <w:spacing w:before="55" w:line="205" w:lineRule="auto"/>
              <w:ind w:left="582"/>
              <w:rPr>
                <w:sz w:val="22"/>
                <w:szCs w:val="22"/>
              </w:rPr>
            </w:pPr>
            <w:r>
              <w:rPr>
                <w:spacing w:val="4"/>
                <w:sz w:val="22"/>
                <w:szCs w:val="22"/>
              </w:rPr>
              <w:t>小计</w:t>
            </w:r>
          </w:p>
        </w:tc>
        <w:tc>
          <w:tcPr>
            <w:tcW w:w="1668" w:type="dxa"/>
            <w:vAlign w:val="top"/>
          </w:tcPr>
          <w:p w14:paraId="1CDBBB00">
            <w:pPr>
              <w:pStyle w:val="6"/>
              <w:spacing w:before="75" w:line="188" w:lineRule="auto"/>
              <w:ind w:left="493"/>
              <w:rPr>
                <w:sz w:val="22"/>
                <w:szCs w:val="22"/>
              </w:rPr>
            </w:pPr>
            <w:r>
              <w:rPr>
                <w:spacing w:val="-4"/>
                <w:sz w:val="22"/>
                <w:szCs w:val="22"/>
              </w:rPr>
              <w:t>140.31</w:t>
            </w:r>
          </w:p>
        </w:tc>
        <w:tc>
          <w:tcPr>
            <w:tcW w:w="1678" w:type="dxa"/>
            <w:vAlign w:val="top"/>
          </w:tcPr>
          <w:p w14:paraId="7DDF1F06">
            <w:pPr>
              <w:pStyle w:val="6"/>
              <w:spacing w:before="75" w:line="188" w:lineRule="auto"/>
              <w:ind w:left="556"/>
              <w:rPr>
                <w:sz w:val="22"/>
                <w:szCs w:val="22"/>
              </w:rPr>
            </w:pPr>
            <w:r>
              <w:rPr>
                <w:spacing w:val="-1"/>
                <w:sz w:val="22"/>
                <w:szCs w:val="22"/>
              </w:rPr>
              <w:t>4.34%</w:t>
            </w:r>
          </w:p>
        </w:tc>
        <w:tc>
          <w:tcPr>
            <w:tcW w:w="2242" w:type="dxa"/>
            <w:vAlign w:val="top"/>
          </w:tcPr>
          <w:p w14:paraId="317BF09C">
            <w:pPr>
              <w:pStyle w:val="6"/>
              <w:spacing w:before="75" w:line="188" w:lineRule="auto"/>
              <w:ind w:left="678"/>
              <w:rPr>
                <w:sz w:val="22"/>
                <w:szCs w:val="22"/>
              </w:rPr>
            </w:pPr>
            <w:r>
              <w:rPr>
                <w:spacing w:val="-2"/>
                <w:sz w:val="22"/>
                <w:szCs w:val="22"/>
              </w:rPr>
              <w:t>60957.00</w:t>
            </w:r>
          </w:p>
        </w:tc>
      </w:tr>
      <w:tr w14:paraId="3163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63" w:type="dxa"/>
            <w:vMerge w:val="restart"/>
            <w:tcBorders>
              <w:bottom w:val="nil"/>
            </w:tcBorders>
            <w:vAlign w:val="top"/>
          </w:tcPr>
          <w:p w14:paraId="2030E6F2">
            <w:pPr>
              <w:spacing w:line="469" w:lineRule="auto"/>
              <w:rPr>
                <w:rFonts w:ascii="Arial"/>
                <w:sz w:val="21"/>
              </w:rPr>
            </w:pPr>
          </w:p>
          <w:p w14:paraId="28D0839F">
            <w:pPr>
              <w:pStyle w:val="6"/>
              <w:spacing w:before="72" w:line="219" w:lineRule="auto"/>
              <w:ind w:left="175"/>
              <w:rPr>
                <w:sz w:val="22"/>
                <w:szCs w:val="22"/>
              </w:rPr>
            </w:pPr>
            <w:r>
              <w:rPr>
                <w:spacing w:val="9"/>
                <w:sz w:val="22"/>
                <w:szCs w:val="22"/>
              </w:rPr>
              <w:t>伴生铅(</w:t>
            </w:r>
            <w:r>
              <w:rPr>
                <w:sz w:val="22"/>
                <w:szCs w:val="22"/>
              </w:rPr>
              <w:t>Pb</w:t>
            </w:r>
            <w:r>
              <w:rPr>
                <w:spacing w:val="9"/>
                <w:sz w:val="22"/>
                <w:szCs w:val="22"/>
              </w:rPr>
              <w:t>)</w:t>
            </w:r>
          </w:p>
        </w:tc>
        <w:tc>
          <w:tcPr>
            <w:tcW w:w="1628" w:type="dxa"/>
            <w:vAlign w:val="top"/>
          </w:tcPr>
          <w:p w14:paraId="2CF5E6BF">
            <w:pPr>
              <w:pStyle w:val="6"/>
              <w:spacing w:before="112" w:line="165" w:lineRule="auto"/>
              <w:ind w:left="691"/>
              <w:rPr>
                <w:sz w:val="22"/>
                <w:szCs w:val="22"/>
              </w:rPr>
            </w:pPr>
            <w:r>
              <w:rPr>
                <w:spacing w:val="-2"/>
                <w:sz w:val="22"/>
                <w:szCs w:val="22"/>
              </w:rPr>
              <w:t>TM</w:t>
            </w:r>
          </w:p>
        </w:tc>
        <w:tc>
          <w:tcPr>
            <w:tcW w:w="1668" w:type="dxa"/>
            <w:vAlign w:val="top"/>
          </w:tcPr>
          <w:p w14:paraId="53C8099B">
            <w:pPr>
              <w:pStyle w:val="6"/>
              <w:spacing w:before="76" w:line="195" w:lineRule="auto"/>
              <w:ind w:left="604"/>
              <w:rPr>
                <w:sz w:val="22"/>
                <w:szCs w:val="22"/>
              </w:rPr>
            </w:pPr>
            <w:r>
              <w:rPr>
                <w:spacing w:val="-3"/>
                <w:sz w:val="22"/>
                <w:szCs w:val="22"/>
              </w:rPr>
              <w:t>5.39</w:t>
            </w:r>
          </w:p>
        </w:tc>
        <w:tc>
          <w:tcPr>
            <w:tcW w:w="1678" w:type="dxa"/>
            <w:vAlign w:val="top"/>
          </w:tcPr>
          <w:p w14:paraId="7954C3CD">
            <w:pPr>
              <w:pStyle w:val="6"/>
              <w:spacing w:before="76" w:line="195" w:lineRule="auto"/>
              <w:ind w:left="556"/>
              <w:rPr>
                <w:sz w:val="22"/>
                <w:szCs w:val="22"/>
              </w:rPr>
            </w:pPr>
            <w:r>
              <w:rPr>
                <w:spacing w:val="-2"/>
                <w:sz w:val="22"/>
                <w:szCs w:val="22"/>
              </w:rPr>
              <w:t>0.55%</w:t>
            </w:r>
          </w:p>
        </w:tc>
        <w:tc>
          <w:tcPr>
            <w:tcW w:w="2242" w:type="dxa"/>
            <w:vAlign w:val="top"/>
          </w:tcPr>
          <w:p w14:paraId="27E4CBA8">
            <w:pPr>
              <w:pStyle w:val="6"/>
              <w:spacing w:before="76" w:line="195" w:lineRule="auto"/>
              <w:ind w:left="787"/>
              <w:rPr>
                <w:sz w:val="22"/>
                <w:szCs w:val="22"/>
              </w:rPr>
            </w:pPr>
            <w:r>
              <w:rPr>
                <w:spacing w:val="-2"/>
                <w:sz w:val="22"/>
                <w:szCs w:val="22"/>
              </w:rPr>
              <w:t>295.00</w:t>
            </w:r>
          </w:p>
        </w:tc>
      </w:tr>
      <w:tr w14:paraId="6C1A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63" w:type="dxa"/>
            <w:vMerge w:val="continue"/>
            <w:tcBorders>
              <w:top w:val="nil"/>
              <w:bottom w:val="nil"/>
            </w:tcBorders>
            <w:vAlign w:val="top"/>
          </w:tcPr>
          <w:p w14:paraId="7677C3D9">
            <w:pPr>
              <w:rPr>
                <w:rFonts w:ascii="Arial"/>
                <w:sz w:val="21"/>
              </w:rPr>
            </w:pPr>
          </w:p>
        </w:tc>
        <w:tc>
          <w:tcPr>
            <w:tcW w:w="1628" w:type="dxa"/>
            <w:vAlign w:val="top"/>
          </w:tcPr>
          <w:p w14:paraId="31745F90">
            <w:pPr>
              <w:pStyle w:val="6"/>
              <w:spacing w:before="112" w:line="157" w:lineRule="auto"/>
              <w:ind w:left="691"/>
              <w:rPr>
                <w:sz w:val="22"/>
                <w:szCs w:val="22"/>
              </w:rPr>
            </w:pPr>
            <w:r>
              <w:rPr>
                <w:spacing w:val="-2"/>
                <w:sz w:val="22"/>
                <w:szCs w:val="22"/>
              </w:rPr>
              <w:t>KZ</w:t>
            </w:r>
          </w:p>
        </w:tc>
        <w:tc>
          <w:tcPr>
            <w:tcW w:w="1668" w:type="dxa"/>
            <w:vAlign w:val="top"/>
          </w:tcPr>
          <w:p w14:paraId="6AEA2BD4">
            <w:pPr>
              <w:pStyle w:val="6"/>
              <w:spacing w:before="77" w:line="187" w:lineRule="auto"/>
              <w:ind w:left="553"/>
              <w:rPr>
                <w:sz w:val="22"/>
                <w:szCs w:val="22"/>
              </w:rPr>
            </w:pPr>
            <w:r>
              <w:rPr>
                <w:spacing w:val="-2"/>
                <w:sz w:val="22"/>
                <w:szCs w:val="22"/>
              </w:rPr>
              <w:t>29.30</w:t>
            </w:r>
          </w:p>
        </w:tc>
        <w:tc>
          <w:tcPr>
            <w:tcW w:w="1678" w:type="dxa"/>
            <w:vAlign w:val="top"/>
          </w:tcPr>
          <w:p w14:paraId="72D7D783">
            <w:pPr>
              <w:pStyle w:val="6"/>
              <w:spacing w:before="77" w:line="187" w:lineRule="auto"/>
              <w:ind w:left="556"/>
              <w:rPr>
                <w:sz w:val="22"/>
                <w:szCs w:val="22"/>
              </w:rPr>
            </w:pPr>
            <w:r>
              <w:rPr>
                <w:spacing w:val="-2"/>
                <w:sz w:val="22"/>
                <w:szCs w:val="22"/>
              </w:rPr>
              <w:t>0.71%</w:t>
            </w:r>
          </w:p>
        </w:tc>
        <w:tc>
          <w:tcPr>
            <w:tcW w:w="2242" w:type="dxa"/>
            <w:vAlign w:val="top"/>
          </w:tcPr>
          <w:p w14:paraId="53A42697">
            <w:pPr>
              <w:pStyle w:val="6"/>
              <w:spacing w:before="77" w:line="187" w:lineRule="auto"/>
              <w:ind w:left="727"/>
              <w:rPr>
                <w:sz w:val="22"/>
                <w:szCs w:val="22"/>
              </w:rPr>
            </w:pPr>
            <w:r>
              <w:rPr>
                <w:spacing w:val="-2"/>
                <w:sz w:val="22"/>
                <w:szCs w:val="22"/>
              </w:rPr>
              <w:t>2093.00</w:t>
            </w:r>
          </w:p>
        </w:tc>
      </w:tr>
      <w:tr w14:paraId="23832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63" w:type="dxa"/>
            <w:vMerge w:val="continue"/>
            <w:tcBorders>
              <w:top w:val="nil"/>
              <w:bottom w:val="nil"/>
            </w:tcBorders>
            <w:vAlign w:val="top"/>
          </w:tcPr>
          <w:p w14:paraId="0F5A10A5">
            <w:pPr>
              <w:rPr>
                <w:rFonts w:ascii="Arial"/>
                <w:sz w:val="21"/>
              </w:rPr>
            </w:pPr>
          </w:p>
        </w:tc>
        <w:tc>
          <w:tcPr>
            <w:tcW w:w="1628" w:type="dxa"/>
            <w:vAlign w:val="top"/>
          </w:tcPr>
          <w:p w14:paraId="315BAC44">
            <w:pPr>
              <w:pStyle w:val="6"/>
              <w:spacing w:before="113" w:line="186" w:lineRule="exact"/>
              <w:ind w:left="691"/>
              <w:rPr>
                <w:sz w:val="22"/>
                <w:szCs w:val="22"/>
              </w:rPr>
            </w:pPr>
            <w:r>
              <w:rPr>
                <w:spacing w:val="-2"/>
                <w:position w:val="-2"/>
                <w:sz w:val="22"/>
                <w:szCs w:val="22"/>
              </w:rPr>
              <w:t>TD</w:t>
            </w:r>
          </w:p>
        </w:tc>
        <w:tc>
          <w:tcPr>
            <w:tcW w:w="1668" w:type="dxa"/>
            <w:vAlign w:val="top"/>
          </w:tcPr>
          <w:p w14:paraId="4CBDFA6F">
            <w:pPr>
              <w:pStyle w:val="6"/>
              <w:spacing w:before="77" w:line="186" w:lineRule="auto"/>
              <w:ind w:left="553"/>
              <w:rPr>
                <w:sz w:val="22"/>
                <w:szCs w:val="22"/>
              </w:rPr>
            </w:pPr>
            <w:r>
              <w:rPr>
                <w:spacing w:val="-2"/>
                <w:sz w:val="22"/>
                <w:szCs w:val="22"/>
              </w:rPr>
              <w:t>41.42</w:t>
            </w:r>
          </w:p>
        </w:tc>
        <w:tc>
          <w:tcPr>
            <w:tcW w:w="1678" w:type="dxa"/>
            <w:vAlign w:val="top"/>
          </w:tcPr>
          <w:p w14:paraId="3EB2EE9A">
            <w:pPr>
              <w:pStyle w:val="6"/>
              <w:spacing w:before="77" w:line="186" w:lineRule="auto"/>
              <w:ind w:left="556"/>
              <w:rPr>
                <w:sz w:val="22"/>
                <w:szCs w:val="22"/>
              </w:rPr>
            </w:pPr>
            <w:r>
              <w:rPr>
                <w:spacing w:val="-2"/>
                <w:sz w:val="22"/>
                <w:szCs w:val="22"/>
              </w:rPr>
              <w:t>0.88%</w:t>
            </w:r>
          </w:p>
        </w:tc>
        <w:tc>
          <w:tcPr>
            <w:tcW w:w="2242" w:type="dxa"/>
            <w:vAlign w:val="top"/>
          </w:tcPr>
          <w:p w14:paraId="3AE0C943">
            <w:pPr>
              <w:pStyle w:val="6"/>
              <w:spacing w:before="77" w:line="186" w:lineRule="auto"/>
              <w:ind w:left="727"/>
              <w:rPr>
                <w:sz w:val="22"/>
                <w:szCs w:val="22"/>
              </w:rPr>
            </w:pPr>
            <w:r>
              <w:rPr>
                <w:spacing w:val="-2"/>
                <w:sz w:val="22"/>
                <w:szCs w:val="22"/>
              </w:rPr>
              <w:t>3627.00</w:t>
            </w:r>
          </w:p>
        </w:tc>
      </w:tr>
      <w:tr w14:paraId="007A4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63" w:type="dxa"/>
            <w:vMerge w:val="continue"/>
            <w:tcBorders>
              <w:top w:val="nil"/>
            </w:tcBorders>
            <w:vAlign w:val="top"/>
          </w:tcPr>
          <w:p w14:paraId="1221C29E">
            <w:pPr>
              <w:rPr>
                <w:rFonts w:ascii="Arial"/>
                <w:sz w:val="21"/>
              </w:rPr>
            </w:pPr>
          </w:p>
        </w:tc>
        <w:tc>
          <w:tcPr>
            <w:tcW w:w="1628" w:type="dxa"/>
            <w:vAlign w:val="top"/>
          </w:tcPr>
          <w:p w14:paraId="4115BE9B">
            <w:pPr>
              <w:pStyle w:val="6"/>
              <w:spacing w:before="57" w:line="211" w:lineRule="auto"/>
              <w:ind w:left="582"/>
              <w:rPr>
                <w:sz w:val="22"/>
                <w:szCs w:val="22"/>
              </w:rPr>
            </w:pPr>
            <w:r>
              <w:rPr>
                <w:spacing w:val="4"/>
                <w:sz w:val="22"/>
                <w:szCs w:val="22"/>
              </w:rPr>
              <w:t>小计</w:t>
            </w:r>
          </w:p>
        </w:tc>
        <w:tc>
          <w:tcPr>
            <w:tcW w:w="1668" w:type="dxa"/>
            <w:vAlign w:val="top"/>
          </w:tcPr>
          <w:p w14:paraId="54EC7726">
            <w:pPr>
              <w:pStyle w:val="6"/>
              <w:spacing w:before="77" w:line="194" w:lineRule="auto"/>
              <w:ind w:left="553"/>
              <w:rPr>
                <w:sz w:val="22"/>
                <w:szCs w:val="22"/>
              </w:rPr>
            </w:pPr>
            <w:r>
              <w:rPr>
                <w:spacing w:val="-3"/>
                <w:sz w:val="22"/>
                <w:szCs w:val="22"/>
              </w:rPr>
              <w:t>76.11</w:t>
            </w:r>
          </w:p>
        </w:tc>
        <w:tc>
          <w:tcPr>
            <w:tcW w:w="1678" w:type="dxa"/>
            <w:vAlign w:val="top"/>
          </w:tcPr>
          <w:p w14:paraId="001813E6">
            <w:pPr>
              <w:pStyle w:val="6"/>
              <w:spacing w:before="77" w:line="194" w:lineRule="auto"/>
              <w:ind w:left="556"/>
              <w:rPr>
                <w:sz w:val="22"/>
                <w:szCs w:val="22"/>
              </w:rPr>
            </w:pPr>
            <w:r>
              <w:rPr>
                <w:spacing w:val="-2"/>
                <w:sz w:val="22"/>
                <w:szCs w:val="22"/>
              </w:rPr>
              <w:t>0.79%</w:t>
            </w:r>
          </w:p>
        </w:tc>
        <w:tc>
          <w:tcPr>
            <w:tcW w:w="2242" w:type="dxa"/>
            <w:vAlign w:val="top"/>
          </w:tcPr>
          <w:p w14:paraId="38C6D9E8">
            <w:pPr>
              <w:pStyle w:val="6"/>
              <w:spacing w:before="77" w:line="194" w:lineRule="auto"/>
              <w:ind w:left="727"/>
              <w:rPr>
                <w:sz w:val="22"/>
                <w:szCs w:val="22"/>
              </w:rPr>
            </w:pPr>
            <w:r>
              <w:rPr>
                <w:spacing w:val="-2"/>
                <w:sz w:val="22"/>
                <w:szCs w:val="22"/>
              </w:rPr>
              <w:t>6015.00</w:t>
            </w:r>
          </w:p>
        </w:tc>
      </w:tr>
      <w:tr w14:paraId="34326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63" w:type="dxa"/>
            <w:vMerge w:val="restart"/>
            <w:tcBorders>
              <w:bottom w:val="nil"/>
            </w:tcBorders>
            <w:vAlign w:val="top"/>
          </w:tcPr>
          <w:p w14:paraId="67E82A48">
            <w:pPr>
              <w:spacing w:line="462" w:lineRule="auto"/>
              <w:rPr>
                <w:rFonts w:ascii="Arial"/>
                <w:sz w:val="21"/>
              </w:rPr>
            </w:pPr>
          </w:p>
          <w:p w14:paraId="3082F674">
            <w:pPr>
              <w:pStyle w:val="6"/>
              <w:spacing w:before="72" w:line="219" w:lineRule="auto"/>
              <w:ind w:left="175"/>
              <w:rPr>
                <w:sz w:val="22"/>
                <w:szCs w:val="22"/>
              </w:rPr>
            </w:pPr>
            <w:r>
              <w:rPr>
                <w:spacing w:val="9"/>
                <w:sz w:val="22"/>
                <w:szCs w:val="22"/>
              </w:rPr>
              <w:t>伴生镉(</w:t>
            </w:r>
            <w:r>
              <w:rPr>
                <w:sz w:val="22"/>
                <w:szCs w:val="22"/>
              </w:rPr>
              <w:t>Cd</w:t>
            </w:r>
            <w:r>
              <w:rPr>
                <w:spacing w:val="9"/>
                <w:sz w:val="22"/>
                <w:szCs w:val="22"/>
              </w:rPr>
              <w:t>)</w:t>
            </w:r>
          </w:p>
        </w:tc>
        <w:tc>
          <w:tcPr>
            <w:tcW w:w="1628" w:type="dxa"/>
            <w:vAlign w:val="top"/>
          </w:tcPr>
          <w:p w14:paraId="302557EB">
            <w:pPr>
              <w:pStyle w:val="6"/>
              <w:spacing w:before="105" w:line="185" w:lineRule="exact"/>
              <w:ind w:left="691"/>
              <w:rPr>
                <w:sz w:val="22"/>
                <w:szCs w:val="22"/>
              </w:rPr>
            </w:pPr>
            <w:r>
              <w:rPr>
                <w:spacing w:val="-2"/>
                <w:position w:val="-2"/>
                <w:sz w:val="22"/>
                <w:szCs w:val="22"/>
              </w:rPr>
              <w:t>TM</w:t>
            </w:r>
          </w:p>
        </w:tc>
        <w:tc>
          <w:tcPr>
            <w:tcW w:w="1668" w:type="dxa"/>
            <w:vAlign w:val="top"/>
          </w:tcPr>
          <w:p w14:paraId="3D24CF29">
            <w:pPr>
              <w:pStyle w:val="6"/>
              <w:spacing w:before="69" w:line="185" w:lineRule="auto"/>
              <w:ind w:left="604"/>
              <w:rPr>
                <w:sz w:val="22"/>
                <w:szCs w:val="22"/>
              </w:rPr>
            </w:pPr>
            <w:r>
              <w:rPr>
                <w:spacing w:val="-2"/>
                <w:sz w:val="22"/>
                <w:szCs w:val="22"/>
              </w:rPr>
              <w:t>8.78</w:t>
            </w:r>
          </w:p>
        </w:tc>
        <w:tc>
          <w:tcPr>
            <w:tcW w:w="1678" w:type="dxa"/>
            <w:vAlign w:val="top"/>
          </w:tcPr>
          <w:p w14:paraId="453B9300">
            <w:pPr>
              <w:pStyle w:val="6"/>
              <w:spacing w:before="69" w:line="185" w:lineRule="auto"/>
              <w:ind w:left="506"/>
              <w:rPr>
                <w:sz w:val="22"/>
                <w:szCs w:val="22"/>
              </w:rPr>
            </w:pPr>
            <w:r>
              <w:rPr>
                <w:spacing w:val="-1"/>
                <w:sz w:val="22"/>
                <w:szCs w:val="22"/>
              </w:rPr>
              <w:t>0.107%</w:t>
            </w:r>
          </w:p>
        </w:tc>
        <w:tc>
          <w:tcPr>
            <w:tcW w:w="2242" w:type="dxa"/>
            <w:vAlign w:val="top"/>
          </w:tcPr>
          <w:p w14:paraId="4F6EA1DB">
            <w:pPr>
              <w:pStyle w:val="6"/>
              <w:spacing w:before="69" w:line="185" w:lineRule="auto"/>
              <w:ind w:left="838"/>
              <w:rPr>
                <w:sz w:val="22"/>
                <w:szCs w:val="22"/>
              </w:rPr>
            </w:pPr>
            <w:r>
              <w:rPr>
                <w:spacing w:val="-2"/>
                <w:sz w:val="22"/>
                <w:szCs w:val="22"/>
              </w:rPr>
              <w:t>94.00</w:t>
            </w:r>
          </w:p>
        </w:tc>
      </w:tr>
      <w:tr w14:paraId="77104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63" w:type="dxa"/>
            <w:vMerge w:val="continue"/>
            <w:tcBorders>
              <w:top w:val="nil"/>
              <w:bottom w:val="nil"/>
            </w:tcBorders>
            <w:vAlign w:val="top"/>
          </w:tcPr>
          <w:p w14:paraId="5A81B68A">
            <w:pPr>
              <w:rPr>
                <w:rFonts w:ascii="Arial"/>
                <w:sz w:val="21"/>
              </w:rPr>
            </w:pPr>
          </w:p>
        </w:tc>
        <w:tc>
          <w:tcPr>
            <w:tcW w:w="1628" w:type="dxa"/>
            <w:vAlign w:val="top"/>
          </w:tcPr>
          <w:p w14:paraId="62C9FD96">
            <w:pPr>
              <w:pStyle w:val="6"/>
              <w:spacing w:before="114" w:line="163" w:lineRule="auto"/>
              <w:ind w:left="691"/>
              <w:rPr>
                <w:sz w:val="22"/>
                <w:szCs w:val="22"/>
              </w:rPr>
            </w:pPr>
            <w:r>
              <w:rPr>
                <w:spacing w:val="-2"/>
                <w:sz w:val="22"/>
                <w:szCs w:val="22"/>
              </w:rPr>
              <w:t>KZ</w:t>
            </w:r>
          </w:p>
        </w:tc>
        <w:tc>
          <w:tcPr>
            <w:tcW w:w="1668" w:type="dxa"/>
            <w:vAlign w:val="top"/>
          </w:tcPr>
          <w:p w14:paraId="06443E6D">
            <w:pPr>
              <w:pStyle w:val="6"/>
              <w:spacing w:before="79" w:line="193" w:lineRule="auto"/>
              <w:ind w:left="553"/>
              <w:rPr>
                <w:sz w:val="22"/>
                <w:szCs w:val="22"/>
              </w:rPr>
            </w:pPr>
            <w:r>
              <w:rPr>
                <w:spacing w:val="-2"/>
                <w:sz w:val="22"/>
                <w:szCs w:val="22"/>
              </w:rPr>
              <w:t>48.67</w:t>
            </w:r>
          </w:p>
        </w:tc>
        <w:tc>
          <w:tcPr>
            <w:tcW w:w="1678" w:type="dxa"/>
            <w:vAlign w:val="top"/>
          </w:tcPr>
          <w:p w14:paraId="3F8843C7">
            <w:pPr>
              <w:pStyle w:val="6"/>
              <w:spacing w:before="79" w:line="193" w:lineRule="auto"/>
              <w:ind w:left="506"/>
              <w:rPr>
                <w:sz w:val="22"/>
                <w:szCs w:val="22"/>
              </w:rPr>
            </w:pPr>
            <w:r>
              <w:rPr>
                <w:spacing w:val="-1"/>
                <w:sz w:val="22"/>
                <w:szCs w:val="22"/>
              </w:rPr>
              <w:t>0.102%</w:t>
            </w:r>
          </w:p>
        </w:tc>
        <w:tc>
          <w:tcPr>
            <w:tcW w:w="2242" w:type="dxa"/>
            <w:vAlign w:val="top"/>
          </w:tcPr>
          <w:p w14:paraId="76F9BBF8">
            <w:pPr>
              <w:pStyle w:val="6"/>
              <w:spacing w:before="79" w:line="193" w:lineRule="auto"/>
              <w:ind w:left="787"/>
              <w:rPr>
                <w:sz w:val="22"/>
                <w:szCs w:val="22"/>
              </w:rPr>
            </w:pPr>
            <w:r>
              <w:rPr>
                <w:spacing w:val="-2"/>
                <w:sz w:val="22"/>
                <w:szCs w:val="22"/>
              </w:rPr>
              <w:t>495.00</w:t>
            </w:r>
          </w:p>
        </w:tc>
      </w:tr>
      <w:tr w14:paraId="17421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63" w:type="dxa"/>
            <w:vMerge w:val="continue"/>
            <w:tcBorders>
              <w:top w:val="nil"/>
              <w:bottom w:val="nil"/>
            </w:tcBorders>
            <w:vAlign w:val="top"/>
          </w:tcPr>
          <w:p w14:paraId="7ADC21D5">
            <w:pPr>
              <w:rPr>
                <w:rFonts w:ascii="Arial"/>
                <w:sz w:val="21"/>
              </w:rPr>
            </w:pPr>
          </w:p>
        </w:tc>
        <w:tc>
          <w:tcPr>
            <w:tcW w:w="1628" w:type="dxa"/>
            <w:vAlign w:val="top"/>
          </w:tcPr>
          <w:p w14:paraId="703D2FAF">
            <w:pPr>
              <w:pStyle w:val="6"/>
              <w:spacing w:before="116" w:line="183" w:lineRule="exact"/>
              <w:ind w:left="691"/>
              <w:rPr>
                <w:sz w:val="22"/>
                <w:szCs w:val="22"/>
              </w:rPr>
            </w:pPr>
            <w:r>
              <w:rPr>
                <w:spacing w:val="-2"/>
                <w:position w:val="-2"/>
                <w:sz w:val="22"/>
                <w:szCs w:val="22"/>
              </w:rPr>
              <w:t>TD</w:t>
            </w:r>
          </w:p>
        </w:tc>
        <w:tc>
          <w:tcPr>
            <w:tcW w:w="1668" w:type="dxa"/>
            <w:vAlign w:val="top"/>
          </w:tcPr>
          <w:p w14:paraId="53E40A58">
            <w:pPr>
              <w:pStyle w:val="6"/>
              <w:spacing w:before="79" w:line="184" w:lineRule="auto"/>
              <w:ind w:left="553"/>
              <w:rPr>
                <w:sz w:val="22"/>
                <w:szCs w:val="22"/>
              </w:rPr>
            </w:pPr>
            <w:r>
              <w:rPr>
                <w:spacing w:val="-2"/>
                <w:sz w:val="22"/>
                <w:szCs w:val="22"/>
              </w:rPr>
              <w:t>82.86</w:t>
            </w:r>
          </w:p>
        </w:tc>
        <w:tc>
          <w:tcPr>
            <w:tcW w:w="1678" w:type="dxa"/>
            <w:vAlign w:val="top"/>
          </w:tcPr>
          <w:p w14:paraId="4F6EC29E">
            <w:pPr>
              <w:pStyle w:val="6"/>
              <w:spacing w:before="79" w:line="184" w:lineRule="auto"/>
              <w:ind w:left="506"/>
              <w:rPr>
                <w:sz w:val="22"/>
                <w:szCs w:val="22"/>
              </w:rPr>
            </w:pPr>
            <w:r>
              <w:rPr>
                <w:spacing w:val="-1"/>
                <w:sz w:val="22"/>
                <w:szCs w:val="22"/>
              </w:rPr>
              <w:t>0.157%</w:t>
            </w:r>
          </w:p>
        </w:tc>
        <w:tc>
          <w:tcPr>
            <w:tcW w:w="2242" w:type="dxa"/>
            <w:vAlign w:val="top"/>
          </w:tcPr>
          <w:p w14:paraId="23A9D72D">
            <w:pPr>
              <w:pStyle w:val="6"/>
              <w:spacing w:before="79" w:line="184" w:lineRule="auto"/>
              <w:ind w:left="727"/>
              <w:rPr>
                <w:sz w:val="22"/>
                <w:szCs w:val="22"/>
              </w:rPr>
            </w:pPr>
            <w:r>
              <w:rPr>
                <w:spacing w:val="-4"/>
                <w:sz w:val="22"/>
                <w:szCs w:val="22"/>
              </w:rPr>
              <w:t>1299.00</w:t>
            </w:r>
          </w:p>
        </w:tc>
      </w:tr>
      <w:tr w14:paraId="737D4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63" w:type="dxa"/>
            <w:vMerge w:val="continue"/>
            <w:tcBorders>
              <w:top w:val="nil"/>
            </w:tcBorders>
            <w:vAlign w:val="top"/>
          </w:tcPr>
          <w:p w14:paraId="2F90B525">
            <w:pPr>
              <w:rPr>
                <w:rFonts w:ascii="Arial"/>
                <w:sz w:val="21"/>
              </w:rPr>
            </w:pPr>
          </w:p>
        </w:tc>
        <w:tc>
          <w:tcPr>
            <w:tcW w:w="1628" w:type="dxa"/>
            <w:vAlign w:val="top"/>
          </w:tcPr>
          <w:p w14:paraId="453BEF4A">
            <w:pPr>
              <w:pStyle w:val="6"/>
              <w:spacing w:before="60" w:line="204" w:lineRule="auto"/>
              <w:ind w:left="582"/>
              <w:rPr>
                <w:sz w:val="22"/>
                <w:szCs w:val="22"/>
              </w:rPr>
            </w:pPr>
            <w:r>
              <w:rPr>
                <w:spacing w:val="4"/>
                <w:sz w:val="22"/>
                <w:szCs w:val="22"/>
              </w:rPr>
              <w:t>小计</w:t>
            </w:r>
          </w:p>
        </w:tc>
        <w:tc>
          <w:tcPr>
            <w:tcW w:w="1668" w:type="dxa"/>
            <w:vAlign w:val="top"/>
          </w:tcPr>
          <w:p w14:paraId="1CD4EBFD">
            <w:pPr>
              <w:pStyle w:val="6"/>
              <w:spacing w:before="81" w:line="187" w:lineRule="auto"/>
              <w:ind w:left="493"/>
              <w:rPr>
                <w:sz w:val="22"/>
                <w:szCs w:val="22"/>
              </w:rPr>
            </w:pPr>
            <w:r>
              <w:rPr>
                <w:spacing w:val="-4"/>
                <w:sz w:val="22"/>
                <w:szCs w:val="22"/>
              </w:rPr>
              <w:t>140.31</w:t>
            </w:r>
          </w:p>
        </w:tc>
        <w:tc>
          <w:tcPr>
            <w:tcW w:w="1678" w:type="dxa"/>
            <w:vAlign w:val="top"/>
          </w:tcPr>
          <w:p w14:paraId="27A91673">
            <w:pPr>
              <w:pStyle w:val="6"/>
              <w:spacing w:before="81" w:line="187" w:lineRule="auto"/>
              <w:ind w:left="506"/>
              <w:rPr>
                <w:sz w:val="22"/>
                <w:szCs w:val="22"/>
              </w:rPr>
            </w:pPr>
            <w:r>
              <w:rPr>
                <w:spacing w:val="-1"/>
                <w:sz w:val="22"/>
                <w:szCs w:val="22"/>
              </w:rPr>
              <w:t>0.135%</w:t>
            </w:r>
          </w:p>
        </w:tc>
        <w:tc>
          <w:tcPr>
            <w:tcW w:w="2242" w:type="dxa"/>
            <w:vAlign w:val="top"/>
          </w:tcPr>
          <w:p w14:paraId="7C7CB808">
            <w:pPr>
              <w:pStyle w:val="6"/>
              <w:spacing w:before="81" w:line="187" w:lineRule="auto"/>
              <w:ind w:left="727"/>
              <w:rPr>
                <w:sz w:val="22"/>
                <w:szCs w:val="22"/>
              </w:rPr>
            </w:pPr>
            <w:r>
              <w:rPr>
                <w:spacing w:val="-4"/>
                <w:sz w:val="22"/>
                <w:szCs w:val="22"/>
              </w:rPr>
              <w:t>1888.00</w:t>
            </w:r>
          </w:p>
        </w:tc>
      </w:tr>
    </w:tbl>
    <w:p w14:paraId="78FF8227">
      <w:pPr>
        <w:spacing w:before="192" w:line="218" w:lineRule="auto"/>
        <w:ind w:left="585"/>
        <w:rPr>
          <w:rFonts w:ascii="宋体" w:hAnsi="宋体" w:eastAsia="宋体" w:cs="宋体"/>
          <w:sz w:val="24"/>
          <w:szCs w:val="24"/>
        </w:rPr>
      </w:pPr>
      <w:r>
        <w:rPr>
          <w:rFonts w:ascii="宋体" w:hAnsi="宋体" w:eastAsia="宋体" w:cs="宋体"/>
          <w:spacing w:val="6"/>
          <w:sz w:val="24"/>
          <w:szCs w:val="24"/>
        </w:rPr>
        <w:t>10.1.2参与评估的保有资源储量(即出让收益评估利用资源储量)</w:t>
      </w:r>
    </w:p>
    <w:p w14:paraId="53C844D0">
      <w:pPr>
        <w:tabs>
          <w:tab w:val="left" w:pos="235"/>
        </w:tabs>
        <w:spacing w:before="214" w:line="378" w:lineRule="auto"/>
        <w:ind w:left="94" w:right="145" w:firstLine="490"/>
        <w:rPr>
          <w:rFonts w:ascii="宋体" w:hAnsi="宋体" w:eastAsia="宋体" w:cs="宋体"/>
          <w:sz w:val="24"/>
          <w:szCs w:val="24"/>
        </w:rPr>
      </w:pPr>
      <w:r>
        <w:rPr>
          <w:rFonts w:ascii="宋体" w:hAnsi="宋体" w:eastAsia="宋体" w:cs="宋体"/>
          <w:spacing w:val="3"/>
          <w:sz w:val="24"/>
          <w:szCs w:val="24"/>
        </w:rPr>
        <w:t>根据《财政部国土部关于印发&lt;矿业权出让收益征收管理暂行办法&gt;的通知》</w:t>
      </w:r>
      <w:r>
        <w:rPr>
          <w:rFonts w:ascii="宋体" w:hAnsi="宋体" w:eastAsia="宋体" w:cs="宋体"/>
          <w:spacing w:val="16"/>
          <w:sz w:val="24"/>
          <w:szCs w:val="24"/>
        </w:rPr>
        <w:t xml:space="preserve"> </w:t>
      </w:r>
      <w:r>
        <w:rPr>
          <w:rFonts w:ascii="宋体" w:hAnsi="宋体" w:eastAsia="宋体" w:cs="宋体"/>
          <w:sz w:val="24"/>
          <w:szCs w:val="24"/>
        </w:rPr>
        <w:tab/>
      </w:r>
      <w:r>
        <w:rPr>
          <w:rFonts w:ascii="宋体" w:hAnsi="宋体" w:eastAsia="宋体" w:cs="宋体"/>
          <w:spacing w:val="6"/>
          <w:sz w:val="24"/>
          <w:szCs w:val="24"/>
        </w:rPr>
        <w:t>(财综[2017]35号)和《矿业权出让收益评估应用指南(试行)》(中国矿业</w:t>
      </w:r>
      <w:r>
        <w:rPr>
          <w:rFonts w:ascii="宋体" w:hAnsi="宋体" w:eastAsia="宋体" w:cs="宋体"/>
          <w:spacing w:val="5"/>
          <w:sz w:val="24"/>
          <w:szCs w:val="24"/>
        </w:rPr>
        <w:t>权评</w:t>
      </w:r>
      <w:r>
        <w:rPr>
          <w:rFonts w:ascii="宋体" w:hAnsi="宋体" w:eastAsia="宋体" w:cs="宋体"/>
          <w:sz w:val="24"/>
          <w:szCs w:val="24"/>
        </w:rPr>
        <w:t xml:space="preserve">  </w:t>
      </w:r>
      <w:r>
        <w:rPr>
          <w:rFonts w:ascii="宋体" w:hAnsi="宋体" w:eastAsia="宋体" w:cs="宋体"/>
          <w:spacing w:val="10"/>
          <w:sz w:val="24"/>
          <w:szCs w:val="24"/>
        </w:rPr>
        <w:t>估师协会公告2017年第3号发布),采矿权出让收益评估，评估利用资源储量估</w:t>
      </w:r>
      <w:r>
        <w:rPr>
          <w:rFonts w:ascii="宋体" w:hAnsi="宋体" w:eastAsia="宋体" w:cs="宋体"/>
          <w:spacing w:val="5"/>
          <w:sz w:val="24"/>
          <w:szCs w:val="24"/>
        </w:rPr>
        <w:t xml:space="preserve">  </w:t>
      </w:r>
      <w:r>
        <w:rPr>
          <w:rFonts w:ascii="宋体" w:hAnsi="宋体" w:eastAsia="宋体" w:cs="宋体"/>
          <w:spacing w:val="9"/>
          <w:sz w:val="24"/>
          <w:szCs w:val="24"/>
        </w:rPr>
        <w:t>算的基准日以2006年9月30日为准。因有偿处置的资源量大于已消</w:t>
      </w:r>
      <w:r>
        <w:rPr>
          <w:rFonts w:ascii="宋体" w:hAnsi="宋体" w:eastAsia="宋体" w:cs="宋体"/>
          <w:spacing w:val="8"/>
          <w:sz w:val="24"/>
          <w:szCs w:val="24"/>
        </w:rPr>
        <w:t>耗资源量，</w:t>
      </w:r>
      <w:r>
        <w:rPr>
          <w:rFonts w:ascii="宋体" w:hAnsi="宋体" w:eastAsia="宋体" w:cs="宋体"/>
          <w:sz w:val="24"/>
          <w:szCs w:val="24"/>
        </w:rPr>
        <w:t xml:space="preserve">  </w:t>
      </w:r>
      <w:r>
        <w:rPr>
          <w:rFonts w:ascii="宋体" w:hAnsi="宋体" w:eastAsia="宋体" w:cs="宋体"/>
          <w:spacing w:val="1"/>
          <w:sz w:val="24"/>
          <w:szCs w:val="24"/>
        </w:rPr>
        <w:t>本次评估视已消耗资源量已经完全处置，本次参与</w:t>
      </w:r>
      <w:r>
        <w:rPr>
          <w:rFonts w:ascii="宋体" w:hAnsi="宋体" w:eastAsia="宋体" w:cs="宋体"/>
          <w:sz w:val="24"/>
          <w:szCs w:val="24"/>
        </w:rPr>
        <w:t xml:space="preserve">出让收益评估保有资源储量不  </w:t>
      </w:r>
      <w:r>
        <w:rPr>
          <w:rFonts w:ascii="宋体" w:hAnsi="宋体" w:eastAsia="宋体" w:cs="宋体"/>
          <w:spacing w:val="12"/>
          <w:sz w:val="24"/>
          <w:szCs w:val="24"/>
        </w:rPr>
        <w:t>回推至2006年9月30日。参与评估的保有资源储量为储量核实基准日2021年9</w:t>
      </w:r>
      <w:r>
        <w:rPr>
          <w:rFonts w:ascii="宋体" w:hAnsi="宋体" w:eastAsia="宋体" w:cs="宋体"/>
          <w:spacing w:val="2"/>
          <w:sz w:val="24"/>
          <w:szCs w:val="24"/>
        </w:rPr>
        <w:t xml:space="preserve">  </w:t>
      </w:r>
      <w:r>
        <w:rPr>
          <w:rFonts w:ascii="宋体" w:hAnsi="宋体" w:eastAsia="宋体" w:cs="宋体"/>
          <w:spacing w:val="9"/>
          <w:sz w:val="24"/>
          <w:szCs w:val="24"/>
        </w:rPr>
        <w:t>月30日保有资源储量，详见表10-1。</w:t>
      </w:r>
    </w:p>
    <w:p w14:paraId="10D28B69">
      <w:pPr>
        <w:spacing w:before="65" w:line="220" w:lineRule="auto"/>
        <w:ind w:left="585"/>
        <w:rPr>
          <w:rFonts w:ascii="宋体" w:hAnsi="宋体" w:eastAsia="宋体" w:cs="宋体"/>
          <w:sz w:val="24"/>
          <w:szCs w:val="24"/>
        </w:rPr>
      </w:pPr>
      <w:r>
        <w:rPr>
          <w:rFonts w:ascii="宋体" w:hAnsi="宋体" w:eastAsia="宋体" w:cs="宋体"/>
          <w:spacing w:val="-2"/>
          <w:sz w:val="24"/>
          <w:szCs w:val="24"/>
        </w:rPr>
        <w:t>10.1.3已进行有偿处置的资源量</w:t>
      </w:r>
    </w:p>
    <w:p w14:paraId="20E9BD49">
      <w:pPr>
        <w:spacing w:before="221" w:line="376" w:lineRule="auto"/>
        <w:ind w:left="94" w:right="54" w:firstLine="490"/>
        <w:rPr>
          <w:rFonts w:ascii="宋体" w:hAnsi="宋体" w:eastAsia="宋体" w:cs="宋体"/>
          <w:sz w:val="24"/>
          <w:szCs w:val="24"/>
        </w:rPr>
      </w:pPr>
      <w:r>
        <w:rPr>
          <w:rFonts w:ascii="宋体" w:hAnsi="宋体" w:eastAsia="宋体" w:cs="宋体"/>
          <w:spacing w:val="-7"/>
          <w:sz w:val="24"/>
          <w:szCs w:val="24"/>
        </w:rPr>
        <w:t>根据《云南罗平锌电股份有限公司富乐铅锌矿采矿权评估报告》(俊成矿评报字</w:t>
      </w:r>
      <w:r>
        <w:rPr>
          <w:rFonts w:ascii="宋体" w:hAnsi="宋体" w:eastAsia="宋体" w:cs="宋体"/>
          <w:spacing w:val="14"/>
          <w:sz w:val="24"/>
          <w:szCs w:val="24"/>
        </w:rPr>
        <w:t xml:space="preserve"> </w:t>
      </w:r>
      <w:r>
        <w:rPr>
          <w:rFonts w:ascii="宋体" w:hAnsi="宋体" w:eastAsia="宋体" w:cs="宋体"/>
          <w:spacing w:val="-1"/>
          <w:sz w:val="24"/>
          <w:szCs w:val="24"/>
        </w:rPr>
        <w:t>[2015]第020号)摘要(详见附件十三：</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P2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P3),  </w:t>
      </w:r>
      <w:r>
        <w:rPr>
          <w:rFonts w:ascii="宋体" w:hAnsi="宋体" w:eastAsia="宋体" w:cs="宋体"/>
          <w:spacing w:val="-1"/>
          <w:sz w:val="24"/>
          <w:szCs w:val="24"/>
        </w:rPr>
        <w:t>已处置价款资源储量(111</w:t>
      </w:r>
      <w:r>
        <w:rPr>
          <w:rFonts w:ascii="Times New Roman" w:hAnsi="Times New Roman" w:eastAsia="Times New Roman" w:cs="Times New Roman"/>
          <w:spacing w:val="-1"/>
          <w:sz w:val="24"/>
          <w:szCs w:val="24"/>
        </w:rPr>
        <w:t>b+122b</w:t>
      </w:r>
      <w:r>
        <w:rPr>
          <w:rFonts w:ascii="Times New Roman" w:hAnsi="Times New Roman" w:eastAsia="Times New Roman" w:cs="Times New Roman"/>
          <w:sz w:val="24"/>
          <w:szCs w:val="24"/>
        </w:rPr>
        <w:t xml:space="preserve">    </w:t>
      </w:r>
      <w:r>
        <w:rPr>
          <w:rFonts w:ascii="宋体" w:hAnsi="宋体" w:eastAsia="宋体" w:cs="宋体"/>
          <w:spacing w:val="8"/>
          <w:sz w:val="24"/>
          <w:szCs w:val="24"/>
        </w:rPr>
        <w:t>+333)锌矿石量196.41万吨，锌金属量86251吨；伴生铅矿石</w:t>
      </w:r>
      <w:r>
        <w:rPr>
          <w:rFonts w:ascii="宋体" w:hAnsi="宋体" w:eastAsia="宋体" w:cs="宋体"/>
          <w:spacing w:val="7"/>
          <w:sz w:val="24"/>
          <w:szCs w:val="24"/>
        </w:rPr>
        <w:t>量114.27万吨，铅</w:t>
      </w:r>
      <w:r>
        <w:rPr>
          <w:rFonts w:ascii="宋体" w:hAnsi="宋体" w:eastAsia="宋体" w:cs="宋体"/>
          <w:sz w:val="24"/>
          <w:szCs w:val="24"/>
        </w:rPr>
        <w:t xml:space="preserve">  金属量9780.07吨；伴生镉矿石量196.41万吨，</w:t>
      </w:r>
      <w:r>
        <w:rPr>
          <w:rFonts w:ascii="宋体" w:hAnsi="宋体" w:eastAsia="宋体" w:cs="宋体"/>
          <w:spacing w:val="-1"/>
          <w:sz w:val="24"/>
          <w:szCs w:val="24"/>
        </w:rPr>
        <w:t>镉金属量2339.56吨。详见表10-2。</w:t>
      </w:r>
    </w:p>
    <w:p w14:paraId="1389C235">
      <w:pPr>
        <w:spacing w:before="55" w:line="218" w:lineRule="auto"/>
        <w:ind w:left="2885"/>
        <w:rPr>
          <w:rFonts w:ascii="宋体" w:hAnsi="宋体" w:eastAsia="宋体" w:cs="宋体"/>
          <w:sz w:val="25"/>
          <w:szCs w:val="25"/>
        </w:rPr>
      </w:pPr>
      <w:r>
        <w:rPr>
          <w:rFonts w:ascii="宋体" w:hAnsi="宋体" w:eastAsia="宋体" w:cs="宋体"/>
          <w:spacing w:val="-1"/>
          <w:sz w:val="25"/>
          <w:szCs w:val="25"/>
        </w:rPr>
        <w:t>表10-2采矿权价款处置资源储量</w:t>
      </w:r>
    </w:p>
    <w:p w14:paraId="12C238BA">
      <w:pPr>
        <w:spacing w:line="18" w:lineRule="auto"/>
        <w:rPr>
          <w:rFonts w:ascii="Arial"/>
          <w:sz w:val="2"/>
        </w:rPr>
      </w:pPr>
    </w:p>
    <w:tbl>
      <w:tblPr>
        <w:tblStyle w:val="5"/>
        <w:tblW w:w="87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71"/>
        <w:gridCol w:w="1918"/>
        <w:gridCol w:w="1668"/>
        <w:gridCol w:w="2402"/>
      </w:tblGrid>
      <w:tr w14:paraId="12D9E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771" w:type="dxa"/>
            <w:vMerge w:val="restart"/>
            <w:tcBorders>
              <w:bottom w:val="nil"/>
            </w:tcBorders>
            <w:vAlign w:val="top"/>
          </w:tcPr>
          <w:p w14:paraId="542F28F8">
            <w:pPr>
              <w:pStyle w:val="6"/>
              <w:spacing w:before="248" w:line="223" w:lineRule="auto"/>
              <w:ind w:left="1155"/>
              <w:rPr>
                <w:sz w:val="22"/>
                <w:szCs w:val="22"/>
              </w:rPr>
            </w:pPr>
            <w:r>
              <w:rPr>
                <w:spacing w:val="19"/>
                <w:sz w:val="22"/>
                <w:szCs w:val="22"/>
              </w:rPr>
              <w:t>品名</w:t>
            </w:r>
          </w:p>
        </w:tc>
        <w:tc>
          <w:tcPr>
            <w:tcW w:w="5988" w:type="dxa"/>
            <w:gridSpan w:val="3"/>
            <w:vAlign w:val="top"/>
          </w:tcPr>
          <w:p w14:paraId="09848692">
            <w:pPr>
              <w:pStyle w:val="6"/>
              <w:spacing w:before="62" w:line="218" w:lineRule="auto"/>
              <w:ind w:left="1844"/>
              <w:rPr>
                <w:sz w:val="22"/>
                <w:szCs w:val="22"/>
              </w:rPr>
            </w:pPr>
            <w:r>
              <w:rPr>
                <w:spacing w:val="-1"/>
                <w:sz w:val="22"/>
                <w:szCs w:val="22"/>
              </w:rPr>
              <w:t>采矿权价款处置资源储量</w:t>
            </w:r>
          </w:p>
        </w:tc>
      </w:tr>
      <w:tr w14:paraId="3E230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2771" w:type="dxa"/>
            <w:vMerge w:val="continue"/>
            <w:tcBorders>
              <w:top w:val="nil"/>
            </w:tcBorders>
            <w:vAlign w:val="top"/>
          </w:tcPr>
          <w:p w14:paraId="7DA2D37B">
            <w:pPr>
              <w:rPr>
                <w:rFonts w:ascii="Arial"/>
                <w:sz w:val="21"/>
              </w:rPr>
            </w:pPr>
          </w:p>
        </w:tc>
        <w:tc>
          <w:tcPr>
            <w:tcW w:w="1918" w:type="dxa"/>
            <w:vAlign w:val="top"/>
          </w:tcPr>
          <w:p w14:paraId="179F70DE">
            <w:pPr>
              <w:pStyle w:val="6"/>
              <w:spacing w:before="61" w:line="219" w:lineRule="auto"/>
              <w:ind w:left="293"/>
              <w:rPr>
                <w:sz w:val="22"/>
                <w:szCs w:val="22"/>
              </w:rPr>
            </w:pPr>
            <w:r>
              <w:rPr>
                <w:spacing w:val="6"/>
                <w:sz w:val="22"/>
                <w:szCs w:val="22"/>
              </w:rPr>
              <w:t>矿石量(万吨)</w:t>
            </w:r>
          </w:p>
        </w:tc>
        <w:tc>
          <w:tcPr>
            <w:tcW w:w="1668" w:type="dxa"/>
            <w:vAlign w:val="top"/>
          </w:tcPr>
          <w:p w14:paraId="63B15B79">
            <w:pPr>
              <w:pStyle w:val="6"/>
              <w:spacing w:before="61" w:line="220" w:lineRule="auto"/>
              <w:ind w:left="226"/>
              <w:rPr>
                <w:sz w:val="22"/>
                <w:szCs w:val="22"/>
              </w:rPr>
            </w:pPr>
            <w:r>
              <w:rPr>
                <w:spacing w:val="6"/>
                <w:sz w:val="22"/>
                <w:szCs w:val="22"/>
              </w:rPr>
              <w:t>平均品位(%)</w:t>
            </w:r>
          </w:p>
        </w:tc>
        <w:tc>
          <w:tcPr>
            <w:tcW w:w="2402" w:type="dxa"/>
            <w:vAlign w:val="top"/>
          </w:tcPr>
          <w:p w14:paraId="4F8F5FED">
            <w:pPr>
              <w:pStyle w:val="6"/>
              <w:spacing w:before="62" w:line="221" w:lineRule="auto"/>
              <w:ind w:left="648"/>
              <w:rPr>
                <w:sz w:val="22"/>
                <w:szCs w:val="22"/>
              </w:rPr>
            </w:pPr>
            <w:r>
              <w:rPr>
                <w:spacing w:val="8"/>
                <w:sz w:val="22"/>
                <w:szCs w:val="22"/>
              </w:rPr>
              <w:t>金属量(吨)</w:t>
            </w:r>
          </w:p>
        </w:tc>
      </w:tr>
      <w:tr w14:paraId="5AFB4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771" w:type="dxa"/>
            <w:vAlign w:val="top"/>
          </w:tcPr>
          <w:p w14:paraId="3151EF83">
            <w:pPr>
              <w:pStyle w:val="6"/>
              <w:spacing w:before="64" w:line="213" w:lineRule="auto"/>
              <w:ind w:left="1045"/>
              <w:rPr>
                <w:sz w:val="22"/>
                <w:szCs w:val="22"/>
              </w:rPr>
            </w:pPr>
            <w:r>
              <w:rPr>
                <w:spacing w:val="16"/>
                <w:sz w:val="22"/>
                <w:szCs w:val="22"/>
              </w:rPr>
              <w:t>锌(</w:t>
            </w:r>
            <w:r>
              <w:rPr>
                <w:sz w:val="22"/>
                <w:szCs w:val="22"/>
              </w:rPr>
              <w:t>Zn</w:t>
            </w:r>
            <w:r>
              <w:rPr>
                <w:spacing w:val="16"/>
                <w:sz w:val="22"/>
                <w:szCs w:val="22"/>
              </w:rPr>
              <w:t>)</w:t>
            </w:r>
          </w:p>
        </w:tc>
        <w:tc>
          <w:tcPr>
            <w:tcW w:w="1918" w:type="dxa"/>
            <w:vAlign w:val="top"/>
          </w:tcPr>
          <w:p w14:paraId="1161987C">
            <w:pPr>
              <w:pStyle w:val="6"/>
              <w:spacing w:before="85" w:line="195" w:lineRule="auto"/>
              <w:ind w:left="623"/>
              <w:rPr>
                <w:sz w:val="22"/>
                <w:szCs w:val="22"/>
              </w:rPr>
            </w:pPr>
            <w:r>
              <w:rPr>
                <w:spacing w:val="-4"/>
                <w:sz w:val="22"/>
                <w:szCs w:val="22"/>
              </w:rPr>
              <w:t>196.41</w:t>
            </w:r>
          </w:p>
        </w:tc>
        <w:tc>
          <w:tcPr>
            <w:tcW w:w="1668" w:type="dxa"/>
            <w:vAlign w:val="top"/>
          </w:tcPr>
          <w:p w14:paraId="7447DB54">
            <w:pPr>
              <w:pStyle w:val="6"/>
              <w:spacing w:before="85" w:line="195" w:lineRule="auto"/>
              <w:ind w:left="556"/>
              <w:rPr>
                <w:sz w:val="22"/>
                <w:szCs w:val="22"/>
              </w:rPr>
            </w:pPr>
            <w:r>
              <w:rPr>
                <w:spacing w:val="-1"/>
                <w:sz w:val="22"/>
                <w:szCs w:val="22"/>
              </w:rPr>
              <w:t>4.39%</w:t>
            </w:r>
          </w:p>
        </w:tc>
        <w:tc>
          <w:tcPr>
            <w:tcW w:w="2402" w:type="dxa"/>
            <w:vAlign w:val="top"/>
          </w:tcPr>
          <w:p w14:paraId="017CE358">
            <w:pPr>
              <w:pStyle w:val="6"/>
              <w:spacing w:before="85" w:line="195" w:lineRule="auto"/>
              <w:ind w:left="758"/>
              <w:rPr>
                <w:sz w:val="22"/>
                <w:szCs w:val="22"/>
              </w:rPr>
            </w:pPr>
            <w:r>
              <w:rPr>
                <w:spacing w:val="-2"/>
                <w:sz w:val="22"/>
                <w:szCs w:val="22"/>
              </w:rPr>
              <w:t>86251.00</w:t>
            </w:r>
          </w:p>
        </w:tc>
      </w:tr>
      <w:tr w14:paraId="7DC88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2771" w:type="dxa"/>
            <w:vAlign w:val="top"/>
          </w:tcPr>
          <w:p w14:paraId="71DE352D">
            <w:pPr>
              <w:pStyle w:val="6"/>
              <w:spacing w:before="65" w:line="219" w:lineRule="auto"/>
              <w:ind w:left="825"/>
              <w:rPr>
                <w:sz w:val="22"/>
                <w:szCs w:val="22"/>
              </w:rPr>
            </w:pPr>
            <w:r>
              <w:rPr>
                <w:spacing w:val="9"/>
                <w:sz w:val="22"/>
                <w:szCs w:val="22"/>
              </w:rPr>
              <w:t>伴生铅(</w:t>
            </w:r>
            <w:r>
              <w:rPr>
                <w:sz w:val="22"/>
                <w:szCs w:val="22"/>
              </w:rPr>
              <w:t>Pb</w:t>
            </w:r>
            <w:r>
              <w:rPr>
                <w:spacing w:val="9"/>
                <w:sz w:val="22"/>
                <w:szCs w:val="22"/>
              </w:rPr>
              <w:t>)</w:t>
            </w:r>
          </w:p>
        </w:tc>
        <w:tc>
          <w:tcPr>
            <w:tcW w:w="1918" w:type="dxa"/>
            <w:vAlign w:val="top"/>
          </w:tcPr>
          <w:p w14:paraId="5A53CE0D">
            <w:pPr>
              <w:pStyle w:val="6"/>
              <w:spacing w:before="87" w:line="202" w:lineRule="auto"/>
              <w:ind w:left="623"/>
              <w:rPr>
                <w:sz w:val="22"/>
                <w:szCs w:val="22"/>
              </w:rPr>
            </w:pPr>
            <w:r>
              <w:rPr>
                <w:spacing w:val="-4"/>
                <w:sz w:val="22"/>
                <w:szCs w:val="22"/>
              </w:rPr>
              <w:t>114.27</w:t>
            </w:r>
          </w:p>
        </w:tc>
        <w:tc>
          <w:tcPr>
            <w:tcW w:w="1668" w:type="dxa"/>
            <w:vAlign w:val="top"/>
          </w:tcPr>
          <w:p w14:paraId="521EB07C">
            <w:pPr>
              <w:pStyle w:val="6"/>
              <w:spacing w:before="87" w:line="202" w:lineRule="auto"/>
              <w:ind w:left="556"/>
              <w:rPr>
                <w:sz w:val="22"/>
                <w:szCs w:val="22"/>
              </w:rPr>
            </w:pPr>
            <w:r>
              <w:rPr>
                <w:spacing w:val="-2"/>
                <w:sz w:val="22"/>
                <w:szCs w:val="22"/>
              </w:rPr>
              <w:t>0.86%</w:t>
            </w:r>
          </w:p>
        </w:tc>
        <w:tc>
          <w:tcPr>
            <w:tcW w:w="2402" w:type="dxa"/>
            <w:vAlign w:val="top"/>
          </w:tcPr>
          <w:p w14:paraId="73138668">
            <w:pPr>
              <w:pStyle w:val="6"/>
              <w:spacing w:before="87" w:line="202" w:lineRule="auto"/>
              <w:ind w:left="807"/>
              <w:rPr>
                <w:sz w:val="22"/>
                <w:szCs w:val="22"/>
              </w:rPr>
            </w:pPr>
            <w:r>
              <w:rPr>
                <w:spacing w:val="-2"/>
                <w:sz w:val="22"/>
                <w:szCs w:val="22"/>
              </w:rPr>
              <w:t>9780.07</w:t>
            </w:r>
          </w:p>
        </w:tc>
      </w:tr>
      <w:tr w14:paraId="20B13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771" w:type="dxa"/>
            <w:vAlign w:val="top"/>
          </w:tcPr>
          <w:p w14:paraId="43B21991">
            <w:pPr>
              <w:pStyle w:val="6"/>
              <w:spacing w:before="67" w:line="219" w:lineRule="auto"/>
              <w:ind w:left="825"/>
              <w:rPr>
                <w:sz w:val="22"/>
                <w:szCs w:val="22"/>
              </w:rPr>
            </w:pPr>
            <w:r>
              <w:rPr>
                <w:spacing w:val="9"/>
                <w:sz w:val="22"/>
                <w:szCs w:val="22"/>
              </w:rPr>
              <w:t>伴生镉(</w:t>
            </w:r>
            <w:r>
              <w:rPr>
                <w:sz w:val="22"/>
                <w:szCs w:val="22"/>
              </w:rPr>
              <w:t>Cd</w:t>
            </w:r>
            <w:r>
              <w:rPr>
                <w:spacing w:val="9"/>
                <w:sz w:val="22"/>
                <w:szCs w:val="22"/>
              </w:rPr>
              <w:t>)</w:t>
            </w:r>
          </w:p>
        </w:tc>
        <w:tc>
          <w:tcPr>
            <w:tcW w:w="1918" w:type="dxa"/>
            <w:vAlign w:val="top"/>
          </w:tcPr>
          <w:p w14:paraId="65DC61AB">
            <w:pPr>
              <w:pStyle w:val="6"/>
              <w:spacing w:before="88" w:line="204" w:lineRule="auto"/>
              <w:ind w:left="623"/>
              <w:rPr>
                <w:sz w:val="22"/>
                <w:szCs w:val="22"/>
              </w:rPr>
            </w:pPr>
            <w:r>
              <w:rPr>
                <w:spacing w:val="-4"/>
                <w:sz w:val="22"/>
                <w:szCs w:val="22"/>
              </w:rPr>
              <w:t>196.41</w:t>
            </w:r>
          </w:p>
        </w:tc>
        <w:tc>
          <w:tcPr>
            <w:tcW w:w="1668" w:type="dxa"/>
            <w:vAlign w:val="top"/>
          </w:tcPr>
          <w:p w14:paraId="22793F5B">
            <w:pPr>
              <w:pStyle w:val="6"/>
              <w:spacing w:before="88" w:line="204" w:lineRule="auto"/>
              <w:ind w:left="495"/>
              <w:rPr>
                <w:sz w:val="22"/>
                <w:szCs w:val="22"/>
              </w:rPr>
            </w:pPr>
            <w:r>
              <w:rPr>
                <w:spacing w:val="-1"/>
                <w:sz w:val="22"/>
                <w:szCs w:val="22"/>
              </w:rPr>
              <w:t>0.119%</w:t>
            </w:r>
          </w:p>
        </w:tc>
        <w:tc>
          <w:tcPr>
            <w:tcW w:w="2402" w:type="dxa"/>
            <w:vAlign w:val="top"/>
          </w:tcPr>
          <w:p w14:paraId="0434E5E4">
            <w:pPr>
              <w:pStyle w:val="6"/>
              <w:spacing w:before="88" w:line="204" w:lineRule="auto"/>
              <w:ind w:left="807"/>
              <w:rPr>
                <w:sz w:val="22"/>
                <w:szCs w:val="22"/>
              </w:rPr>
            </w:pPr>
            <w:r>
              <w:rPr>
                <w:spacing w:val="-2"/>
                <w:sz w:val="22"/>
                <w:szCs w:val="22"/>
              </w:rPr>
              <w:t>2339.56</w:t>
            </w:r>
          </w:p>
        </w:tc>
      </w:tr>
    </w:tbl>
    <w:p w14:paraId="378C0F23">
      <w:pPr>
        <w:pStyle w:val="2"/>
      </w:pPr>
    </w:p>
    <w:p w14:paraId="43F0E130">
      <w:pPr>
        <w:sectPr>
          <w:headerReference r:id="rId72" w:type="default"/>
          <w:footerReference r:id="rId73" w:type="default"/>
          <w:pgSz w:w="11900" w:h="16830"/>
          <w:pgMar w:top="1177" w:right="1345" w:bottom="1269" w:left="1784" w:header="900" w:footer="938" w:gutter="0"/>
          <w:cols w:space="720" w:num="1"/>
        </w:sectPr>
      </w:pPr>
    </w:p>
    <w:p w14:paraId="17C51240">
      <w:pPr>
        <w:pStyle w:val="2"/>
        <w:spacing w:line="320" w:lineRule="auto"/>
      </w:pPr>
    </w:p>
    <w:p w14:paraId="6DBFCB7E">
      <w:pPr>
        <w:spacing w:before="78" w:line="218" w:lineRule="auto"/>
        <w:ind w:left="994"/>
        <w:rPr>
          <w:rFonts w:ascii="宋体" w:hAnsi="宋体" w:eastAsia="宋体" w:cs="宋体"/>
          <w:sz w:val="24"/>
          <w:szCs w:val="24"/>
        </w:rPr>
      </w:pPr>
      <w:r>
        <w:rPr>
          <w:rFonts w:ascii="宋体" w:hAnsi="宋体" w:eastAsia="宋体" w:cs="宋体"/>
          <w:spacing w:val="-5"/>
          <w:sz w:val="24"/>
          <w:szCs w:val="24"/>
        </w:rPr>
        <w:t>10.1.4本次评估需要有偿处置的资源储量</w:t>
      </w:r>
    </w:p>
    <w:p w14:paraId="1CAF2145">
      <w:pPr>
        <w:spacing w:before="266" w:line="408" w:lineRule="auto"/>
        <w:ind w:left="514" w:right="1224" w:firstLine="480"/>
        <w:rPr>
          <w:rFonts w:ascii="宋体" w:hAnsi="宋体" w:eastAsia="宋体" w:cs="宋体"/>
          <w:sz w:val="24"/>
          <w:szCs w:val="24"/>
        </w:rPr>
      </w:pPr>
      <w:r>
        <w:rPr>
          <w:rFonts w:ascii="宋体" w:hAnsi="宋体" w:eastAsia="宋体" w:cs="宋体"/>
          <w:spacing w:val="1"/>
          <w:sz w:val="24"/>
          <w:szCs w:val="24"/>
        </w:rPr>
        <w:t>根据“储量核实报告”评审意见书和“储量核实报告”中富乐铅锌矿动用资</w:t>
      </w:r>
      <w:r>
        <w:rPr>
          <w:rFonts w:ascii="宋体" w:hAnsi="宋体" w:eastAsia="宋体" w:cs="宋体"/>
          <w:spacing w:val="4"/>
          <w:sz w:val="24"/>
          <w:szCs w:val="24"/>
        </w:rPr>
        <w:t xml:space="preserve"> 源量估算结果表(详见附件八：</w:t>
      </w:r>
      <w:r>
        <w:rPr>
          <w:rFonts w:ascii="Times New Roman" w:hAnsi="Times New Roman" w:eastAsia="Times New Roman" w:cs="Times New Roman"/>
          <w:spacing w:val="4"/>
          <w:sz w:val="24"/>
          <w:szCs w:val="24"/>
        </w:rPr>
        <w:t>P11</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P12</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P72</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P73),</w:t>
      </w:r>
      <w:r>
        <w:rPr>
          <w:rFonts w:ascii="Times New Roman" w:hAnsi="Times New Roman" w:eastAsia="Times New Roman" w:cs="Times New Roman"/>
          <w:spacing w:val="41"/>
          <w:sz w:val="24"/>
          <w:szCs w:val="24"/>
        </w:rPr>
        <w:t xml:space="preserve"> </w:t>
      </w:r>
      <w:r>
        <w:rPr>
          <w:rFonts w:ascii="宋体" w:hAnsi="宋体" w:eastAsia="宋体" w:cs="宋体"/>
          <w:spacing w:val="4"/>
          <w:sz w:val="24"/>
          <w:szCs w:val="24"/>
        </w:rPr>
        <w:t>经统计</w:t>
      </w:r>
      <w:r>
        <w:rPr>
          <w:rFonts w:ascii="宋体" w:hAnsi="宋体" w:eastAsia="宋体" w:cs="宋体"/>
          <w:spacing w:val="3"/>
          <w:sz w:val="24"/>
          <w:szCs w:val="24"/>
        </w:rPr>
        <w:t>，2006年9月30日</w:t>
      </w:r>
      <w:r>
        <w:rPr>
          <w:rFonts w:ascii="宋体" w:hAnsi="宋体" w:eastAsia="宋体" w:cs="宋体"/>
          <w:sz w:val="24"/>
          <w:szCs w:val="24"/>
        </w:rPr>
        <w:t xml:space="preserve"> </w:t>
      </w:r>
      <w:r>
        <w:rPr>
          <w:rFonts w:ascii="宋体" w:hAnsi="宋体" w:eastAsia="宋体" w:cs="宋体"/>
          <w:spacing w:val="12"/>
          <w:sz w:val="24"/>
          <w:szCs w:val="24"/>
        </w:rPr>
        <w:t>至储量核实基准日2021年9月30日期间动</w:t>
      </w:r>
      <w:r>
        <w:rPr>
          <w:rFonts w:ascii="宋体" w:hAnsi="宋体" w:eastAsia="宋体" w:cs="宋体"/>
          <w:spacing w:val="11"/>
          <w:sz w:val="24"/>
          <w:szCs w:val="24"/>
        </w:rPr>
        <w:t>用</w:t>
      </w:r>
      <w:r>
        <w:rPr>
          <w:rFonts w:ascii="Times New Roman" w:hAnsi="Times New Roman" w:eastAsia="Times New Roman" w:cs="Times New Roman"/>
          <w:sz w:val="24"/>
          <w:szCs w:val="24"/>
        </w:rPr>
        <w:t>TM</w:t>
      </w:r>
      <w:r>
        <w:rPr>
          <w:rFonts w:ascii="宋体" w:hAnsi="宋体" w:eastAsia="宋体" w:cs="宋体"/>
          <w:spacing w:val="11"/>
          <w:sz w:val="24"/>
          <w:szCs w:val="24"/>
        </w:rPr>
        <w:t>类锌矿矿石量92.55万吨，锌金</w:t>
      </w:r>
      <w:r>
        <w:rPr>
          <w:rFonts w:ascii="宋体" w:hAnsi="宋体" w:eastAsia="宋体" w:cs="宋体"/>
          <w:sz w:val="24"/>
          <w:szCs w:val="24"/>
        </w:rPr>
        <w:t xml:space="preserve"> </w:t>
      </w:r>
      <w:r>
        <w:rPr>
          <w:rFonts w:ascii="宋体" w:hAnsi="宋体" w:eastAsia="宋体" w:cs="宋体"/>
          <w:spacing w:val="7"/>
          <w:sz w:val="24"/>
          <w:szCs w:val="24"/>
        </w:rPr>
        <w:t>属量40183.33吨，锌平均品位4.34%;动用</w:t>
      </w:r>
      <w:r>
        <w:rPr>
          <w:rFonts w:ascii="Times New Roman" w:hAnsi="Times New Roman" w:eastAsia="Times New Roman" w:cs="Times New Roman"/>
          <w:sz w:val="24"/>
          <w:szCs w:val="24"/>
        </w:rPr>
        <w:t>TM</w:t>
      </w:r>
      <w:r>
        <w:rPr>
          <w:rFonts w:ascii="Times New Roman" w:hAnsi="Times New Roman" w:eastAsia="Times New Roman" w:cs="Times New Roman"/>
          <w:spacing w:val="-24"/>
          <w:sz w:val="24"/>
          <w:szCs w:val="24"/>
        </w:rPr>
        <w:t xml:space="preserve"> </w:t>
      </w:r>
      <w:r>
        <w:rPr>
          <w:rFonts w:ascii="宋体" w:hAnsi="宋体" w:eastAsia="宋体" w:cs="宋体"/>
          <w:spacing w:val="7"/>
          <w:sz w:val="24"/>
          <w:szCs w:val="24"/>
        </w:rPr>
        <w:t>类伴生铅矿石</w:t>
      </w:r>
      <w:r>
        <w:rPr>
          <w:rFonts w:ascii="宋体" w:hAnsi="宋体" w:eastAsia="宋体" w:cs="宋体"/>
          <w:spacing w:val="6"/>
          <w:sz w:val="24"/>
          <w:szCs w:val="24"/>
        </w:rPr>
        <w:t>量64.33万吨，铅金</w:t>
      </w:r>
      <w:r>
        <w:rPr>
          <w:rFonts w:ascii="宋体" w:hAnsi="宋体" w:eastAsia="宋体" w:cs="宋体"/>
          <w:sz w:val="24"/>
          <w:szCs w:val="24"/>
        </w:rPr>
        <w:t xml:space="preserve"> </w:t>
      </w:r>
      <w:r>
        <w:rPr>
          <w:rFonts w:ascii="宋体" w:hAnsi="宋体" w:eastAsia="宋体" w:cs="宋体"/>
          <w:spacing w:val="11"/>
          <w:sz w:val="24"/>
          <w:szCs w:val="24"/>
        </w:rPr>
        <w:t>属量5772.42吨，铅平均品位0.90%;动用</w:t>
      </w:r>
      <w:r>
        <w:rPr>
          <w:rFonts w:ascii="Times New Roman" w:hAnsi="Times New Roman" w:eastAsia="Times New Roman" w:cs="Times New Roman"/>
          <w:sz w:val="24"/>
          <w:szCs w:val="24"/>
        </w:rPr>
        <w:t>TM</w:t>
      </w:r>
      <w:r>
        <w:rPr>
          <w:rFonts w:ascii="宋体" w:hAnsi="宋体" w:eastAsia="宋体" w:cs="宋体"/>
          <w:spacing w:val="11"/>
          <w:sz w:val="24"/>
          <w:szCs w:val="24"/>
        </w:rPr>
        <w:t>类伴生镉矿</w:t>
      </w:r>
      <w:r>
        <w:rPr>
          <w:rFonts w:ascii="宋体" w:hAnsi="宋体" w:eastAsia="宋体" w:cs="宋体"/>
          <w:spacing w:val="10"/>
          <w:sz w:val="24"/>
          <w:szCs w:val="24"/>
        </w:rPr>
        <w:t>石量92.55万吨，镉金</w:t>
      </w:r>
      <w:r>
        <w:rPr>
          <w:rFonts w:ascii="宋体" w:hAnsi="宋体" w:eastAsia="宋体" w:cs="宋体"/>
          <w:sz w:val="24"/>
          <w:szCs w:val="24"/>
        </w:rPr>
        <w:t xml:space="preserve"> </w:t>
      </w:r>
      <w:r>
        <w:rPr>
          <w:rFonts w:ascii="宋体" w:hAnsi="宋体" w:eastAsia="宋体" w:cs="宋体"/>
          <w:spacing w:val="7"/>
          <w:sz w:val="24"/>
          <w:szCs w:val="24"/>
        </w:rPr>
        <w:t>属量1025.08吨，镉平均品位0.111%。</w:t>
      </w:r>
    </w:p>
    <w:p w14:paraId="4ED56D6C">
      <w:pPr>
        <w:spacing w:before="62" w:line="380" w:lineRule="auto"/>
        <w:ind w:left="514" w:right="1203" w:firstLine="480"/>
        <w:jc w:val="both"/>
        <w:rPr>
          <w:rFonts w:ascii="宋体" w:hAnsi="宋体" w:eastAsia="宋体" w:cs="宋体"/>
          <w:sz w:val="25"/>
          <w:szCs w:val="25"/>
        </w:rPr>
      </w:pPr>
      <w:r>
        <w:rPr>
          <w:rFonts w:ascii="宋体" w:hAnsi="宋体" w:eastAsia="宋体" w:cs="宋体"/>
          <w:spacing w:val="10"/>
          <w:sz w:val="25"/>
          <w:szCs w:val="25"/>
        </w:rPr>
        <w:t>即截止2006年9月30日矿区范围内保有</w:t>
      </w:r>
      <w:r>
        <w:rPr>
          <w:rFonts w:ascii="宋体" w:hAnsi="宋体" w:eastAsia="宋体" w:cs="宋体"/>
          <w:sz w:val="25"/>
          <w:szCs w:val="25"/>
        </w:rPr>
        <w:t>TM</w:t>
      </w:r>
      <w:r>
        <w:rPr>
          <w:rFonts w:ascii="宋体" w:hAnsi="宋体" w:eastAsia="宋体" w:cs="宋体"/>
          <w:spacing w:val="10"/>
          <w:sz w:val="25"/>
          <w:szCs w:val="25"/>
        </w:rPr>
        <w:t>+</w:t>
      </w:r>
      <w:r>
        <w:rPr>
          <w:rFonts w:ascii="宋体" w:hAnsi="宋体" w:eastAsia="宋体" w:cs="宋体"/>
          <w:sz w:val="25"/>
          <w:szCs w:val="25"/>
        </w:rPr>
        <w:t>KZ</w:t>
      </w:r>
      <w:r>
        <w:rPr>
          <w:rFonts w:ascii="宋体" w:hAnsi="宋体" w:eastAsia="宋体" w:cs="宋体"/>
          <w:spacing w:val="10"/>
          <w:sz w:val="25"/>
          <w:szCs w:val="25"/>
        </w:rPr>
        <w:t>+</w:t>
      </w:r>
      <w:r>
        <w:rPr>
          <w:rFonts w:ascii="宋体" w:hAnsi="宋体" w:eastAsia="宋体" w:cs="宋体"/>
          <w:sz w:val="25"/>
          <w:szCs w:val="25"/>
        </w:rPr>
        <w:t>TD</w:t>
      </w:r>
      <w:r>
        <w:rPr>
          <w:rFonts w:ascii="宋体" w:hAnsi="宋体" w:eastAsia="宋体" w:cs="宋体"/>
          <w:spacing w:val="10"/>
          <w:sz w:val="25"/>
          <w:szCs w:val="25"/>
        </w:rPr>
        <w:t xml:space="preserve">  类锌矿石量232.86万</w:t>
      </w:r>
      <w:r>
        <w:rPr>
          <w:rFonts w:ascii="宋体" w:hAnsi="宋体" w:eastAsia="宋体" w:cs="宋体"/>
          <w:sz w:val="25"/>
          <w:szCs w:val="25"/>
        </w:rPr>
        <w:t xml:space="preserve"> 吨，锌金属量101140.33吨，锌平均品位4.34%;保有</w:t>
      </w:r>
      <w:r>
        <w:rPr>
          <w:rFonts w:ascii="Times New Roman" w:hAnsi="Times New Roman" w:eastAsia="Times New Roman" w:cs="Times New Roman"/>
          <w:sz w:val="25"/>
          <w:szCs w:val="25"/>
        </w:rPr>
        <w:t>TM+KZ</w:t>
      </w:r>
      <w:r>
        <w:rPr>
          <w:rFonts w:ascii="Times New Roman" w:hAnsi="Times New Roman" w:eastAsia="Times New Roman" w:cs="Times New Roman"/>
          <w:spacing w:val="-1"/>
          <w:sz w:val="25"/>
          <w:szCs w:val="25"/>
        </w:rPr>
        <w:t>+TD</w:t>
      </w:r>
      <w:r>
        <w:rPr>
          <w:rFonts w:ascii="Times New Roman" w:hAnsi="Times New Roman" w:eastAsia="Times New Roman" w:cs="Times New Roman"/>
          <w:spacing w:val="-21"/>
          <w:sz w:val="25"/>
          <w:szCs w:val="25"/>
        </w:rPr>
        <w:t xml:space="preserve"> </w:t>
      </w:r>
      <w:r>
        <w:rPr>
          <w:rFonts w:ascii="宋体" w:hAnsi="宋体" w:eastAsia="宋体" w:cs="宋体"/>
          <w:spacing w:val="-1"/>
          <w:sz w:val="25"/>
          <w:szCs w:val="25"/>
        </w:rPr>
        <w:t>类伴生铅矿石</w:t>
      </w:r>
      <w:r>
        <w:rPr>
          <w:rFonts w:ascii="宋体" w:hAnsi="宋体" w:eastAsia="宋体" w:cs="宋体"/>
          <w:sz w:val="25"/>
          <w:szCs w:val="25"/>
        </w:rPr>
        <w:t xml:space="preserve"> </w:t>
      </w:r>
      <w:r>
        <w:rPr>
          <w:rFonts w:ascii="宋体" w:hAnsi="宋体" w:eastAsia="宋体" w:cs="宋体"/>
          <w:spacing w:val="3"/>
          <w:sz w:val="25"/>
          <w:szCs w:val="25"/>
        </w:rPr>
        <w:t>量140.44万吨，铅金属量11787.42吨，铅平均品位0.84%</w:t>
      </w:r>
      <w:r>
        <w:rPr>
          <w:rFonts w:ascii="宋体" w:hAnsi="宋体" w:eastAsia="宋体" w:cs="宋体"/>
          <w:spacing w:val="2"/>
          <w:sz w:val="25"/>
          <w:szCs w:val="25"/>
        </w:rPr>
        <w:t>;保有</w:t>
      </w:r>
      <w:r>
        <w:rPr>
          <w:rFonts w:ascii="Times New Roman" w:hAnsi="Times New Roman" w:eastAsia="Times New Roman" w:cs="Times New Roman"/>
          <w:sz w:val="25"/>
          <w:szCs w:val="25"/>
        </w:rPr>
        <w:t>TM</w:t>
      </w:r>
      <w:r>
        <w:rPr>
          <w:rFonts w:ascii="Times New Roman" w:hAnsi="Times New Roman" w:eastAsia="Times New Roman" w:cs="Times New Roman"/>
          <w:spacing w:val="2"/>
          <w:sz w:val="25"/>
          <w:szCs w:val="25"/>
        </w:rPr>
        <w:t>+</w:t>
      </w:r>
      <w:r>
        <w:rPr>
          <w:rFonts w:ascii="Times New Roman" w:hAnsi="Times New Roman" w:eastAsia="Times New Roman" w:cs="Times New Roman"/>
          <w:sz w:val="25"/>
          <w:szCs w:val="25"/>
        </w:rPr>
        <w:t>KZ</w:t>
      </w:r>
      <w:r>
        <w:rPr>
          <w:rFonts w:ascii="Times New Roman" w:hAnsi="Times New Roman" w:eastAsia="Times New Roman" w:cs="Times New Roman"/>
          <w:spacing w:val="2"/>
          <w:sz w:val="25"/>
          <w:szCs w:val="25"/>
        </w:rPr>
        <w:t>+</w:t>
      </w:r>
      <w:r>
        <w:rPr>
          <w:rFonts w:ascii="Times New Roman" w:hAnsi="Times New Roman" w:eastAsia="Times New Roman" w:cs="Times New Roman"/>
          <w:sz w:val="25"/>
          <w:szCs w:val="25"/>
        </w:rPr>
        <w:t>TD</w:t>
      </w:r>
      <w:r>
        <w:rPr>
          <w:rFonts w:ascii="Times New Roman" w:hAnsi="Times New Roman" w:eastAsia="Times New Roman" w:cs="Times New Roman"/>
          <w:spacing w:val="-21"/>
          <w:sz w:val="25"/>
          <w:szCs w:val="25"/>
        </w:rPr>
        <w:t xml:space="preserve"> </w:t>
      </w:r>
      <w:r>
        <w:rPr>
          <w:rFonts w:ascii="宋体" w:hAnsi="宋体" w:eastAsia="宋体" w:cs="宋体"/>
          <w:spacing w:val="2"/>
          <w:sz w:val="25"/>
          <w:szCs w:val="25"/>
        </w:rPr>
        <w:t>类</w:t>
      </w:r>
      <w:r>
        <w:rPr>
          <w:rFonts w:ascii="宋体" w:hAnsi="宋体" w:eastAsia="宋体" w:cs="宋体"/>
          <w:sz w:val="25"/>
          <w:szCs w:val="25"/>
        </w:rPr>
        <w:t xml:space="preserve"> </w:t>
      </w:r>
      <w:r>
        <w:rPr>
          <w:rFonts w:ascii="宋体" w:hAnsi="宋体" w:eastAsia="宋体" w:cs="宋体"/>
          <w:spacing w:val="-3"/>
          <w:sz w:val="25"/>
          <w:szCs w:val="25"/>
        </w:rPr>
        <w:t>伴生镉矿石量232.86万吨，镉金属量2913.08吨，镉平均品位0.125%。详见下表</w:t>
      </w:r>
      <w:r>
        <w:rPr>
          <w:rFonts w:ascii="宋体" w:hAnsi="宋体" w:eastAsia="宋体" w:cs="宋体"/>
          <w:spacing w:val="7"/>
          <w:sz w:val="25"/>
          <w:szCs w:val="25"/>
        </w:rPr>
        <w:t xml:space="preserve"> </w:t>
      </w:r>
      <w:r>
        <w:rPr>
          <w:rFonts w:ascii="Times New Roman" w:hAnsi="Times New Roman" w:eastAsia="Times New Roman" w:cs="Times New Roman"/>
          <w:spacing w:val="-6"/>
          <w:sz w:val="25"/>
          <w:szCs w:val="25"/>
        </w:rPr>
        <w:t>10-3</w:t>
      </w:r>
      <w:r>
        <w:rPr>
          <w:rFonts w:ascii="宋体" w:hAnsi="宋体" w:eastAsia="宋体" w:cs="宋体"/>
          <w:spacing w:val="-6"/>
          <w:sz w:val="25"/>
          <w:szCs w:val="25"/>
        </w:rPr>
        <w:t>。</w:t>
      </w:r>
    </w:p>
    <w:p w14:paraId="10FE6790">
      <w:pPr>
        <w:spacing w:before="75" w:line="219" w:lineRule="auto"/>
        <w:ind w:left="2144"/>
        <w:rPr>
          <w:rFonts w:ascii="宋体" w:hAnsi="宋体" w:eastAsia="宋体" w:cs="宋体"/>
          <w:sz w:val="26"/>
          <w:szCs w:val="26"/>
        </w:rPr>
      </w:pPr>
      <w:r>
        <w:rPr>
          <w:rFonts w:ascii="宋体" w:hAnsi="宋体" w:eastAsia="宋体" w:cs="宋体"/>
          <w:spacing w:val="-1"/>
          <w:sz w:val="26"/>
          <w:szCs w:val="26"/>
        </w:rPr>
        <w:t>表10-3截止2006年9月30日矿区范围内保有资源储量</w:t>
      </w:r>
    </w:p>
    <w:p w14:paraId="3A5DBD38">
      <w:pPr>
        <w:spacing w:line="25" w:lineRule="exact"/>
      </w:pPr>
    </w:p>
    <w:tbl>
      <w:tblPr>
        <w:tblStyle w:val="5"/>
        <w:tblW w:w="102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799"/>
        <w:gridCol w:w="849"/>
        <w:gridCol w:w="839"/>
        <w:gridCol w:w="1069"/>
        <w:gridCol w:w="739"/>
        <w:gridCol w:w="849"/>
        <w:gridCol w:w="1099"/>
        <w:gridCol w:w="1089"/>
        <w:gridCol w:w="839"/>
        <w:gridCol w:w="1194"/>
      </w:tblGrid>
      <w:tr w14:paraId="49175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4" w:type="dxa"/>
            <w:vMerge w:val="restart"/>
            <w:tcBorders>
              <w:bottom w:val="nil"/>
            </w:tcBorders>
            <w:vAlign w:val="top"/>
          </w:tcPr>
          <w:p w14:paraId="40A76D46">
            <w:pPr>
              <w:spacing w:line="380" w:lineRule="auto"/>
              <w:rPr>
                <w:rFonts w:ascii="Arial"/>
                <w:sz w:val="21"/>
              </w:rPr>
            </w:pPr>
          </w:p>
          <w:p w14:paraId="75D3C5C5">
            <w:pPr>
              <w:pStyle w:val="6"/>
              <w:spacing w:before="72" w:line="220" w:lineRule="auto"/>
              <w:ind w:left="194" w:right="184"/>
              <w:rPr>
                <w:sz w:val="22"/>
                <w:szCs w:val="22"/>
              </w:rPr>
            </w:pPr>
            <w:r>
              <w:rPr>
                <w:spacing w:val="-4"/>
                <w:sz w:val="22"/>
                <w:szCs w:val="22"/>
              </w:rPr>
              <w:t>矿石</w:t>
            </w:r>
            <w:r>
              <w:rPr>
                <w:sz w:val="22"/>
                <w:szCs w:val="22"/>
              </w:rPr>
              <w:t xml:space="preserve"> </w:t>
            </w:r>
            <w:r>
              <w:rPr>
                <w:spacing w:val="7"/>
                <w:sz w:val="22"/>
                <w:szCs w:val="22"/>
              </w:rPr>
              <w:t>类型</w:t>
            </w:r>
          </w:p>
        </w:tc>
        <w:tc>
          <w:tcPr>
            <w:tcW w:w="799" w:type="dxa"/>
            <w:vMerge w:val="restart"/>
            <w:tcBorders>
              <w:bottom w:val="nil"/>
            </w:tcBorders>
            <w:vAlign w:val="top"/>
          </w:tcPr>
          <w:p w14:paraId="4A923AF1">
            <w:pPr>
              <w:pStyle w:val="6"/>
              <w:spacing w:before="185" w:line="221" w:lineRule="auto"/>
              <w:ind w:left="170"/>
              <w:rPr>
                <w:sz w:val="22"/>
                <w:szCs w:val="22"/>
              </w:rPr>
            </w:pPr>
            <w:r>
              <w:rPr>
                <w:spacing w:val="4"/>
                <w:sz w:val="22"/>
                <w:szCs w:val="22"/>
              </w:rPr>
              <w:t>资源</w:t>
            </w:r>
          </w:p>
          <w:p w14:paraId="6DD364E7">
            <w:pPr>
              <w:pStyle w:val="6"/>
              <w:spacing w:before="6" w:line="217" w:lineRule="auto"/>
              <w:ind w:left="170"/>
              <w:rPr>
                <w:sz w:val="22"/>
                <w:szCs w:val="22"/>
              </w:rPr>
            </w:pPr>
            <w:r>
              <w:rPr>
                <w:spacing w:val="-2"/>
                <w:sz w:val="22"/>
                <w:szCs w:val="22"/>
              </w:rPr>
              <w:t>储量</w:t>
            </w:r>
          </w:p>
          <w:p w14:paraId="5AA68CB2">
            <w:pPr>
              <w:pStyle w:val="6"/>
              <w:spacing w:line="219" w:lineRule="auto"/>
              <w:ind w:left="170"/>
              <w:rPr>
                <w:sz w:val="22"/>
                <w:szCs w:val="22"/>
              </w:rPr>
            </w:pPr>
            <w:r>
              <w:rPr>
                <w:spacing w:val="4"/>
                <w:sz w:val="22"/>
                <w:szCs w:val="22"/>
              </w:rPr>
              <w:t>分类</w:t>
            </w:r>
          </w:p>
          <w:p w14:paraId="136CBC5B">
            <w:pPr>
              <w:pStyle w:val="6"/>
              <w:spacing w:before="38" w:line="219" w:lineRule="auto"/>
              <w:ind w:left="170"/>
              <w:rPr>
                <w:sz w:val="22"/>
                <w:szCs w:val="22"/>
              </w:rPr>
            </w:pPr>
            <w:r>
              <w:rPr>
                <w:spacing w:val="5"/>
                <w:sz w:val="22"/>
                <w:szCs w:val="22"/>
              </w:rPr>
              <w:t>编码</w:t>
            </w:r>
          </w:p>
        </w:tc>
        <w:tc>
          <w:tcPr>
            <w:tcW w:w="2757" w:type="dxa"/>
            <w:gridSpan w:val="3"/>
            <w:vAlign w:val="top"/>
          </w:tcPr>
          <w:p w14:paraId="5DD70C11">
            <w:pPr>
              <w:pStyle w:val="6"/>
              <w:spacing w:before="53" w:line="206" w:lineRule="auto"/>
              <w:ind w:left="380" w:right="232" w:hanging="169"/>
              <w:rPr>
                <w:sz w:val="22"/>
                <w:szCs w:val="22"/>
              </w:rPr>
            </w:pPr>
            <w:r>
              <w:rPr>
                <w:spacing w:val="-1"/>
                <w:sz w:val="22"/>
                <w:szCs w:val="22"/>
              </w:rPr>
              <w:t>储量核实基准日2021年9</w:t>
            </w:r>
            <w:r>
              <w:rPr>
                <w:spacing w:val="4"/>
                <w:sz w:val="22"/>
                <w:szCs w:val="22"/>
              </w:rPr>
              <w:t xml:space="preserve"> </w:t>
            </w:r>
            <w:r>
              <w:rPr>
                <w:sz w:val="22"/>
                <w:szCs w:val="22"/>
              </w:rPr>
              <w:t>月30日保有资源储量</w:t>
            </w:r>
          </w:p>
        </w:tc>
        <w:tc>
          <w:tcPr>
            <w:tcW w:w="2687" w:type="dxa"/>
            <w:gridSpan w:val="3"/>
            <w:vAlign w:val="top"/>
          </w:tcPr>
          <w:p w14:paraId="17B71813">
            <w:pPr>
              <w:pStyle w:val="6"/>
              <w:spacing w:before="53" w:line="206" w:lineRule="auto"/>
              <w:ind w:left="184" w:right="191" w:firstLine="109"/>
              <w:rPr>
                <w:sz w:val="22"/>
                <w:szCs w:val="22"/>
              </w:rPr>
            </w:pPr>
            <w:r>
              <w:rPr>
                <w:spacing w:val="1"/>
                <w:sz w:val="22"/>
                <w:szCs w:val="22"/>
              </w:rPr>
              <w:t>2006年9月30日至2021</w:t>
            </w:r>
            <w:r>
              <w:rPr>
                <w:spacing w:val="6"/>
                <w:sz w:val="22"/>
                <w:szCs w:val="22"/>
              </w:rPr>
              <w:t xml:space="preserve"> </w:t>
            </w:r>
            <w:r>
              <w:rPr>
                <w:spacing w:val="-1"/>
                <w:sz w:val="22"/>
                <w:szCs w:val="22"/>
              </w:rPr>
              <w:t>年9月30日动用资源储量</w:t>
            </w:r>
          </w:p>
        </w:tc>
        <w:tc>
          <w:tcPr>
            <w:tcW w:w="3122" w:type="dxa"/>
            <w:gridSpan w:val="3"/>
            <w:vAlign w:val="top"/>
          </w:tcPr>
          <w:p w14:paraId="13D6AF42">
            <w:pPr>
              <w:pStyle w:val="6"/>
              <w:spacing w:before="12" w:line="223" w:lineRule="auto"/>
              <w:ind w:left="1337" w:right="191" w:hanging="1160"/>
              <w:rPr>
                <w:sz w:val="22"/>
                <w:szCs w:val="22"/>
              </w:rPr>
            </w:pPr>
            <w:r>
              <w:rPr>
                <w:spacing w:val="-1"/>
                <w:sz w:val="22"/>
                <w:szCs w:val="22"/>
              </w:rPr>
              <w:t>截止2006年9月30日保有资源</w:t>
            </w:r>
            <w:r>
              <w:rPr>
                <w:spacing w:val="7"/>
                <w:sz w:val="22"/>
                <w:szCs w:val="22"/>
              </w:rPr>
              <w:t xml:space="preserve"> </w:t>
            </w:r>
            <w:r>
              <w:rPr>
                <w:spacing w:val="-2"/>
                <w:sz w:val="22"/>
                <w:szCs w:val="22"/>
              </w:rPr>
              <w:t>储量</w:t>
            </w:r>
          </w:p>
        </w:tc>
      </w:tr>
      <w:tr w14:paraId="04BA1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44" w:type="dxa"/>
            <w:vMerge w:val="continue"/>
            <w:tcBorders>
              <w:top w:val="nil"/>
            </w:tcBorders>
            <w:vAlign w:val="top"/>
          </w:tcPr>
          <w:p w14:paraId="699A866D">
            <w:pPr>
              <w:rPr>
                <w:rFonts w:ascii="Arial"/>
                <w:sz w:val="21"/>
              </w:rPr>
            </w:pPr>
          </w:p>
        </w:tc>
        <w:tc>
          <w:tcPr>
            <w:tcW w:w="799" w:type="dxa"/>
            <w:vMerge w:val="continue"/>
            <w:tcBorders>
              <w:top w:val="nil"/>
            </w:tcBorders>
            <w:vAlign w:val="top"/>
          </w:tcPr>
          <w:p w14:paraId="63786129">
            <w:pPr>
              <w:rPr>
                <w:rFonts w:ascii="Arial"/>
                <w:sz w:val="21"/>
              </w:rPr>
            </w:pPr>
          </w:p>
        </w:tc>
        <w:tc>
          <w:tcPr>
            <w:tcW w:w="849" w:type="dxa"/>
            <w:vAlign w:val="top"/>
          </w:tcPr>
          <w:p w14:paraId="3881FAB2">
            <w:pPr>
              <w:pStyle w:val="6"/>
              <w:spacing w:before="38" w:line="221" w:lineRule="auto"/>
              <w:ind w:left="251" w:right="104" w:hanging="170"/>
              <w:rPr>
                <w:sz w:val="22"/>
                <w:szCs w:val="22"/>
              </w:rPr>
            </w:pPr>
            <w:r>
              <w:rPr>
                <w:spacing w:val="-3"/>
                <w:sz w:val="22"/>
                <w:szCs w:val="22"/>
              </w:rPr>
              <w:t>矿石量</w:t>
            </w:r>
            <w:r>
              <w:rPr>
                <w:sz w:val="22"/>
                <w:szCs w:val="22"/>
              </w:rPr>
              <w:t xml:space="preserve"> </w:t>
            </w:r>
            <w:r>
              <w:rPr>
                <w:spacing w:val="6"/>
                <w:sz w:val="22"/>
                <w:szCs w:val="22"/>
              </w:rPr>
              <w:t>(万</w:t>
            </w:r>
            <w:r>
              <w:rPr>
                <w:sz w:val="22"/>
                <w:szCs w:val="22"/>
              </w:rPr>
              <w:t xml:space="preserve">  </w:t>
            </w:r>
            <w:r>
              <w:rPr>
                <w:spacing w:val="-10"/>
                <w:sz w:val="22"/>
                <w:szCs w:val="22"/>
              </w:rPr>
              <w:t>吨</w:t>
            </w:r>
            <w:r>
              <w:rPr>
                <w:spacing w:val="-34"/>
                <w:sz w:val="22"/>
                <w:szCs w:val="22"/>
              </w:rPr>
              <w:t xml:space="preserve"> </w:t>
            </w:r>
            <w:r>
              <w:rPr>
                <w:spacing w:val="-10"/>
                <w:sz w:val="22"/>
                <w:szCs w:val="22"/>
              </w:rPr>
              <w:t>)</w:t>
            </w:r>
          </w:p>
        </w:tc>
        <w:tc>
          <w:tcPr>
            <w:tcW w:w="839" w:type="dxa"/>
            <w:vAlign w:val="top"/>
          </w:tcPr>
          <w:p w14:paraId="1F3FE5F9">
            <w:pPr>
              <w:pStyle w:val="6"/>
              <w:spacing w:before="171" w:line="255" w:lineRule="auto"/>
              <w:ind w:left="131" w:right="63" w:hanging="49"/>
              <w:rPr>
                <w:sz w:val="22"/>
                <w:szCs w:val="22"/>
              </w:rPr>
            </w:pPr>
            <w:r>
              <w:rPr>
                <w:spacing w:val="7"/>
                <w:sz w:val="22"/>
                <w:szCs w:val="22"/>
              </w:rPr>
              <w:t>平均品</w:t>
            </w:r>
            <w:r>
              <w:rPr>
                <w:sz w:val="22"/>
                <w:szCs w:val="22"/>
              </w:rPr>
              <w:t xml:space="preserve"> </w:t>
            </w:r>
            <w:r>
              <w:rPr>
                <w:spacing w:val="12"/>
                <w:sz w:val="22"/>
                <w:szCs w:val="22"/>
              </w:rPr>
              <w:t>位(%)</w:t>
            </w:r>
          </w:p>
        </w:tc>
        <w:tc>
          <w:tcPr>
            <w:tcW w:w="1069" w:type="dxa"/>
            <w:vAlign w:val="top"/>
          </w:tcPr>
          <w:p w14:paraId="3FB77A09">
            <w:pPr>
              <w:pStyle w:val="6"/>
              <w:spacing w:before="191" w:line="221" w:lineRule="auto"/>
              <w:ind w:left="193"/>
              <w:rPr>
                <w:sz w:val="22"/>
                <w:szCs w:val="22"/>
              </w:rPr>
            </w:pPr>
            <w:r>
              <w:rPr>
                <w:spacing w:val="-3"/>
                <w:sz w:val="22"/>
                <w:szCs w:val="22"/>
              </w:rPr>
              <w:t>金属量</w:t>
            </w:r>
          </w:p>
          <w:p w14:paraId="6AF08022">
            <w:pPr>
              <w:pStyle w:val="6"/>
              <w:spacing w:before="18" w:line="222" w:lineRule="auto"/>
              <w:ind w:left="303"/>
              <w:rPr>
                <w:sz w:val="22"/>
                <w:szCs w:val="22"/>
              </w:rPr>
            </w:pPr>
            <w:r>
              <w:rPr>
                <w:spacing w:val="16"/>
                <w:sz w:val="22"/>
                <w:szCs w:val="22"/>
              </w:rPr>
              <w:t>(吨)</w:t>
            </w:r>
          </w:p>
        </w:tc>
        <w:tc>
          <w:tcPr>
            <w:tcW w:w="739" w:type="dxa"/>
            <w:vAlign w:val="top"/>
          </w:tcPr>
          <w:p w14:paraId="07E396F8">
            <w:pPr>
              <w:pStyle w:val="6"/>
              <w:spacing w:before="49" w:line="218" w:lineRule="auto"/>
              <w:ind w:left="84" w:right="80" w:firstLine="59"/>
              <w:jc w:val="right"/>
              <w:rPr>
                <w:sz w:val="22"/>
                <w:szCs w:val="22"/>
              </w:rPr>
            </w:pPr>
            <w:r>
              <w:rPr>
                <w:spacing w:val="-4"/>
                <w:sz w:val="22"/>
                <w:szCs w:val="22"/>
              </w:rPr>
              <w:t>矿石</w:t>
            </w:r>
            <w:r>
              <w:rPr>
                <w:sz w:val="22"/>
                <w:szCs w:val="22"/>
              </w:rPr>
              <w:t xml:space="preserve"> </w:t>
            </w:r>
            <w:r>
              <w:rPr>
                <w:spacing w:val="4"/>
                <w:sz w:val="22"/>
                <w:szCs w:val="22"/>
              </w:rPr>
              <w:t>量(万</w:t>
            </w:r>
            <w:r>
              <w:rPr>
                <w:sz w:val="22"/>
                <w:szCs w:val="22"/>
              </w:rPr>
              <w:t xml:space="preserve"> </w:t>
            </w:r>
            <w:r>
              <w:rPr>
                <w:spacing w:val="-10"/>
                <w:sz w:val="22"/>
                <w:szCs w:val="22"/>
              </w:rPr>
              <w:t>吨</w:t>
            </w:r>
            <w:r>
              <w:rPr>
                <w:spacing w:val="-34"/>
                <w:sz w:val="22"/>
                <w:szCs w:val="22"/>
              </w:rPr>
              <w:t xml:space="preserve"> </w:t>
            </w:r>
            <w:r>
              <w:rPr>
                <w:spacing w:val="-10"/>
                <w:sz w:val="22"/>
                <w:szCs w:val="22"/>
              </w:rPr>
              <w:t>)</w:t>
            </w:r>
          </w:p>
        </w:tc>
        <w:tc>
          <w:tcPr>
            <w:tcW w:w="849" w:type="dxa"/>
            <w:vAlign w:val="top"/>
          </w:tcPr>
          <w:p w14:paraId="62FC3F0F">
            <w:pPr>
              <w:pStyle w:val="6"/>
              <w:spacing w:before="179" w:line="239" w:lineRule="auto"/>
              <w:ind w:left="75" w:right="34" w:firstLine="9"/>
              <w:rPr>
                <w:sz w:val="22"/>
                <w:szCs w:val="22"/>
              </w:rPr>
            </w:pPr>
            <w:r>
              <w:rPr>
                <w:spacing w:val="7"/>
                <w:sz w:val="22"/>
                <w:szCs w:val="22"/>
              </w:rPr>
              <w:t>平均品</w:t>
            </w:r>
            <w:r>
              <w:rPr>
                <w:sz w:val="22"/>
                <w:szCs w:val="22"/>
              </w:rPr>
              <w:t xml:space="preserve"> </w:t>
            </w:r>
            <w:r>
              <w:rPr>
                <w:spacing w:val="-14"/>
                <w:w w:val="97"/>
                <w:sz w:val="22"/>
                <w:szCs w:val="22"/>
              </w:rPr>
              <w:t>位</w:t>
            </w:r>
            <w:r>
              <w:rPr>
                <w:spacing w:val="3"/>
                <w:sz w:val="22"/>
                <w:szCs w:val="22"/>
              </w:rPr>
              <w:t xml:space="preserve"> </w:t>
            </w:r>
            <w:r>
              <w:rPr>
                <w:spacing w:val="-14"/>
                <w:w w:val="97"/>
                <w:sz w:val="22"/>
                <w:szCs w:val="22"/>
              </w:rPr>
              <w:t>(</w:t>
            </w:r>
            <w:r>
              <w:rPr>
                <w:spacing w:val="-46"/>
                <w:sz w:val="22"/>
                <w:szCs w:val="22"/>
              </w:rPr>
              <w:t xml:space="preserve"> </w:t>
            </w:r>
            <w:r>
              <w:rPr>
                <w:spacing w:val="-14"/>
                <w:w w:val="97"/>
                <w:sz w:val="22"/>
                <w:szCs w:val="22"/>
              </w:rPr>
              <w:t>%</w:t>
            </w:r>
            <w:r>
              <w:rPr>
                <w:spacing w:val="-38"/>
                <w:sz w:val="22"/>
                <w:szCs w:val="22"/>
              </w:rPr>
              <w:t xml:space="preserve"> </w:t>
            </w:r>
            <w:r>
              <w:rPr>
                <w:spacing w:val="-14"/>
                <w:w w:val="97"/>
                <w:sz w:val="22"/>
                <w:szCs w:val="22"/>
              </w:rPr>
              <w:t>)</w:t>
            </w:r>
          </w:p>
        </w:tc>
        <w:tc>
          <w:tcPr>
            <w:tcW w:w="1099" w:type="dxa"/>
            <w:vAlign w:val="top"/>
          </w:tcPr>
          <w:p w14:paraId="1A705F83">
            <w:pPr>
              <w:pStyle w:val="6"/>
              <w:spacing w:before="161" w:line="221" w:lineRule="auto"/>
              <w:ind w:left="216"/>
              <w:rPr>
                <w:sz w:val="22"/>
                <w:szCs w:val="22"/>
              </w:rPr>
            </w:pPr>
            <w:r>
              <w:rPr>
                <w:spacing w:val="-3"/>
                <w:sz w:val="22"/>
                <w:szCs w:val="22"/>
              </w:rPr>
              <w:t>金属量</w:t>
            </w:r>
          </w:p>
          <w:p w14:paraId="214EF2DF">
            <w:pPr>
              <w:pStyle w:val="6"/>
              <w:spacing w:before="39" w:line="222" w:lineRule="auto"/>
              <w:ind w:left="326"/>
              <w:rPr>
                <w:sz w:val="22"/>
                <w:szCs w:val="22"/>
              </w:rPr>
            </w:pPr>
            <w:r>
              <w:rPr>
                <w:spacing w:val="16"/>
                <w:sz w:val="22"/>
                <w:szCs w:val="22"/>
              </w:rPr>
              <w:t>(吨)</w:t>
            </w:r>
          </w:p>
        </w:tc>
        <w:tc>
          <w:tcPr>
            <w:tcW w:w="1089" w:type="dxa"/>
            <w:vAlign w:val="top"/>
          </w:tcPr>
          <w:p w14:paraId="0DF1F8AC">
            <w:pPr>
              <w:pStyle w:val="6"/>
              <w:spacing w:before="160" w:line="219" w:lineRule="auto"/>
              <w:ind w:left="207"/>
              <w:rPr>
                <w:sz w:val="22"/>
                <w:szCs w:val="22"/>
              </w:rPr>
            </w:pPr>
            <w:r>
              <w:rPr>
                <w:spacing w:val="-2"/>
                <w:sz w:val="22"/>
                <w:szCs w:val="22"/>
              </w:rPr>
              <w:t>矿石量</w:t>
            </w:r>
          </w:p>
          <w:p w14:paraId="38A3195B">
            <w:pPr>
              <w:pStyle w:val="6"/>
              <w:spacing w:before="39" w:line="220" w:lineRule="auto"/>
              <w:ind w:left="207"/>
              <w:rPr>
                <w:sz w:val="22"/>
                <w:szCs w:val="22"/>
              </w:rPr>
            </w:pPr>
            <w:r>
              <w:rPr>
                <w:spacing w:val="12"/>
                <w:sz w:val="22"/>
                <w:szCs w:val="22"/>
              </w:rPr>
              <w:t>(万吨)</w:t>
            </w:r>
          </w:p>
        </w:tc>
        <w:tc>
          <w:tcPr>
            <w:tcW w:w="839" w:type="dxa"/>
            <w:vAlign w:val="top"/>
          </w:tcPr>
          <w:p w14:paraId="4F7518F6">
            <w:pPr>
              <w:pStyle w:val="6"/>
              <w:spacing w:before="170" w:line="247" w:lineRule="auto"/>
              <w:ind w:left="88" w:right="31"/>
              <w:rPr>
                <w:sz w:val="22"/>
                <w:szCs w:val="22"/>
              </w:rPr>
            </w:pPr>
            <w:r>
              <w:rPr>
                <w:spacing w:val="7"/>
                <w:sz w:val="22"/>
                <w:szCs w:val="22"/>
              </w:rPr>
              <w:t>平均品</w:t>
            </w:r>
            <w:r>
              <w:rPr>
                <w:sz w:val="22"/>
                <w:szCs w:val="22"/>
              </w:rPr>
              <w:t xml:space="preserve"> </w:t>
            </w:r>
            <w:r>
              <w:rPr>
                <w:spacing w:val="-14"/>
                <w:w w:val="97"/>
                <w:sz w:val="22"/>
                <w:szCs w:val="22"/>
              </w:rPr>
              <w:t>位</w:t>
            </w:r>
            <w:r>
              <w:rPr>
                <w:spacing w:val="-4"/>
                <w:sz w:val="22"/>
                <w:szCs w:val="22"/>
              </w:rPr>
              <w:t xml:space="preserve"> </w:t>
            </w:r>
            <w:r>
              <w:rPr>
                <w:spacing w:val="-14"/>
                <w:w w:val="97"/>
                <w:sz w:val="22"/>
                <w:szCs w:val="22"/>
              </w:rPr>
              <w:t>(</w:t>
            </w:r>
            <w:r>
              <w:rPr>
                <w:spacing w:val="-52"/>
                <w:sz w:val="22"/>
                <w:szCs w:val="22"/>
              </w:rPr>
              <w:t xml:space="preserve"> </w:t>
            </w:r>
            <w:r>
              <w:rPr>
                <w:spacing w:val="-14"/>
                <w:w w:val="97"/>
                <w:sz w:val="22"/>
                <w:szCs w:val="22"/>
              </w:rPr>
              <w:t>%</w:t>
            </w:r>
            <w:r>
              <w:rPr>
                <w:spacing w:val="-45"/>
                <w:sz w:val="22"/>
                <w:szCs w:val="22"/>
              </w:rPr>
              <w:t xml:space="preserve"> </w:t>
            </w:r>
            <w:r>
              <w:rPr>
                <w:spacing w:val="-14"/>
                <w:w w:val="97"/>
                <w:sz w:val="22"/>
                <w:szCs w:val="22"/>
              </w:rPr>
              <w:t>)</w:t>
            </w:r>
          </w:p>
        </w:tc>
        <w:tc>
          <w:tcPr>
            <w:tcW w:w="1194" w:type="dxa"/>
            <w:vAlign w:val="top"/>
          </w:tcPr>
          <w:p w14:paraId="0516B6C4">
            <w:pPr>
              <w:pStyle w:val="6"/>
              <w:spacing w:before="181" w:line="221" w:lineRule="auto"/>
              <w:ind w:left="259"/>
              <w:rPr>
                <w:sz w:val="22"/>
                <w:szCs w:val="22"/>
              </w:rPr>
            </w:pPr>
            <w:r>
              <w:rPr>
                <w:spacing w:val="-3"/>
                <w:sz w:val="22"/>
                <w:szCs w:val="22"/>
              </w:rPr>
              <w:t>金属量</w:t>
            </w:r>
          </w:p>
          <w:p w14:paraId="75D5D782">
            <w:pPr>
              <w:pStyle w:val="6"/>
              <w:spacing w:before="28" w:line="222" w:lineRule="auto"/>
              <w:ind w:left="369"/>
              <w:rPr>
                <w:sz w:val="22"/>
                <w:szCs w:val="22"/>
              </w:rPr>
            </w:pPr>
            <w:r>
              <w:rPr>
                <w:spacing w:val="16"/>
                <w:sz w:val="22"/>
                <w:szCs w:val="22"/>
              </w:rPr>
              <w:t>(吨)</w:t>
            </w:r>
          </w:p>
        </w:tc>
      </w:tr>
      <w:tr w14:paraId="5F2C7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4" w:type="dxa"/>
            <w:vMerge w:val="restart"/>
            <w:tcBorders>
              <w:bottom w:val="nil"/>
            </w:tcBorders>
            <w:vAlign w:val="top"/>
          </w:tcPr>
          <w:p w14:paraId="7FF90081">
            <w:pPr>
              <w:spacing w:line="457" w:lineRule="auto"/>
              <w:rPr>
                <w:rFonts w:ascii="Arial"/>
                <w:sz w:val="21"/>
              </w:rPr>
            </w:pPr>
          </w:p>
          <w:p w14:paraId="280E1E3D">
            <w:pPr>
              <w:pStyle w:val="6"/>
              <w:spacing w:before="71" w:line="220" w:lineRule="auto"/>
              <w:ind w:left="84"/>
              <w:rPr>
                <w:sz w:val="22"/>
                <w:szCs w:val="22"/>
              </w:rPr>
            </w:pPr>
            <w:r>
              <w:rPr>
                <w:spacing w:val="16"/>
                <w:sz w:val="22"/>
                <w:szCs w:val="22"/>
              </w:rPr>
              <w:t>锌(</w:t>
            </w:r>
            <w:r>
              <w:rPr>
                <w:sz w:val="22"/>
                <w:szCs w:val="22"/>
              </w:rPr>
              <w:t>Zn</w:t>
            </w:r>
            <w:r>
              <w:rPr>
                <w:spacing w:val="16"/>
                <w:sz w:val="22"/>
                <w:szCs w:val="22"/>
              </w:rPr>
              <w:t>)</w:t>
            </w:r>
          </w:p>
        </w:tc>
        <w:tc>
          <w:tcPr>
            <w:tcW w:w="799" w:type="dxa"/>
            <w:vAlign w:val="top"/>
          </w:tcPr>
          <w:p w14:paraId="23D282C6">
            <w:pPr>
              <w:pStyle w:val="6"/>
              <w:spacing w:before="109" w:line="159" w:lineRule="auto"/>
              <w:ind w:left="280"/>
              <w:rPr>
                <w:sz w:val="22"/>
                <w:szCs w:val="22"/>
              </w:rPr>
            </w:pPr>
            <w:r>
              <w:rPr>
                <w:spacing w:val="-2"/>
                <w:sz w:val="22"/>
                <w:szCs w:val="22"/>
              </w:rPr>
              <w:t>TM</w:t>
            </w:r>
          </w:p>
        </w:tc>
        <w:tc>
          <w:tcPr>
            <w:tcW w:w="849" w:type="dxa"/>
            <w:vAlign w:val="top"/>
          </w:tcPr>
          <w:p w14:paraId="28F93195">
            <w:pPr>
              <w:pStyle w:val="6"/>
              <w:spacing w:before="72" w:line="190" w:lineRule="auto"/>
              <w:ind w:left="191"/>
              <w:rPr>
                <w:sz w:val="22"/>
                <w:szCs w:val="22"/>
              </w:rPr>
            </w:pPr>
            <w:r>
              <w:rPr>
                <w:spacing w:val="-2"/>
                <w:sz w:val="22"/>
                <w:szCs w:val="22"/>
              </w:rPr>
              <w:t>8.78</w:t>
            </w:r>
          </w:p>
        </w:tc>
        <w:tc>
          <w:tcPr>
            <w:tcW w:w="839" w:type="dxa"/>
            <w:vAlign w:val="top"/>
          </w:tcPr>
          <w:p w14:paraId="20440C95">
            <w:pPr>
              <w:pStyle w:val="6"/>
              <w:spacing w:before="72" w:line="190" w:lineRule="auto"/>
              <w:ind w:left="132"/>
              <w:rPr>
                <w:sz w:val="22"/>
                <w:szCs w:val="22"/>
              </w:rPr>
            </w:pPr>
            <w:r>
              <w:rPr>
                <w:spacing w:val="-1"/>
                <w:sz w:val="22"/>
                <w:szCs w:val="22"/>
              </w:rPr>
              <w:t>4.97%</w:t>
            </w:r>
          </w:p>
        </w:tc>
        <w:tc>
          <w:tcPr>
            <w:tcW w:w="1069" w:type="dxa"/>
            <w:vAlign w:val="top"/>
          </w:tcPr>
          <w:p w14:paraId="0C31E77F">
            <w:pPr>
              <w:pStyle w:val="6"/>
              <w:spacing w:before="72" w:line="190" w:lineRule="auto"/>
              <w:ind w:left="143"/>
              <w:rPr>
                <w:sz w:val="22"/>
                <w:szCs w:val="22"/>
              </w:rPr>
            </w:pPr>
            <w:r>
              <w:rPr>
                <w:spacing w:val="-1"/>
                <w:sz w:val="22"/>
                <w:szCs w:val="22"/>
              </w:rPr>
              <w:t>4360.00</w:t>
            </w:r>
          </w:p>
        </w:tc>
        <w:tc>
          <w:tcPr>
            <w:tcW w:w="739" w:type="dxa"/>
            <w:vAlign w:val="top"/>
          </w:tcPr>
          <w:p w14:paraId="250DA577">
            <w:pPr>
              <w:pStyle w:val="6"/>
              <w:spacing w:before="72" w:line="190" w:lineRule="auto"/>
              <w:ind w:left="84"/>
              <w:rPr>
                <w:sz w:val="22"/>
                <w:szCs w:val="22"/>
              </w:rPr>
            </w:pPr>
            <w:r>
              <w:rPr>
                <w:spacing w:val="-2"/>
                <w:sz w:val="22"/>
                <w:szCs w:val="22"/>
              </w:rPr>
              <w:t>92.55</w:t>
            </w:r>
          </w:p>
        </w:tc>
        <w:tc>
          <w:tcPr>
            <w:tcW w:w="849" w:type="dxa"/>
            <w:vAlign w:val="top"/>
          </w:tcPr>
          <w:p w14:paraId="2199CE9E">
            <w:pPr>
              <w:pStyle w:val="6"/>
              <w:spacing w:before="72" w:line="190" w:lineRule="auto"/>
              <w:ind w:left="145"/>
              <w:rPr>
                <w:sz w:val="22"/>
                <w:szCs w:val="22"/>
              </w:rPr>
            </w:pPr>
            <w:r>
              <w:rPr>
                <w:spacing w:val="-1"/>
                <w:sz w:val="22"/>
                <w:szCs w:val="22"/>
              </w:rPr>
              <w:t>4.34%</w:t>
            </w:r>
          </w:p>
        </w:tc>
        <w:tc>
          <w:tcPr>
            <w:tcW w:w="1099" w:type="dxa"/>
            <w:vAlign w:val="top"/>
          </w:tcPr>
          <w:p w14:paraId="29121E39">
            <w:pPr>
              <w:pStyle w:val="6"/>
              <w:spacing w:before="72" w:line="190" w:lineRule="auto"/>
              <w:ind w:left="106"/>
              <w:rPr>
                <w:sz w:val="22"/>
                <w:szCs w:val="22"/>
              </w:rPr>
            </w:pPr>
            <w:r>
              <w:rPr>
                <w:spacing w:val="-1"/>
                <w:sz w:val="22"/>
                <w:szCs w:val="22"/>
              </w:rPr>
              <w:t>40183.33</w:t>
            </w:r>
          </w:p>
        </w:tc>
        <w:tc>
          <w:tcPr>
            <w:tcW w:w="1089" w:type="dxa"/>
            <w:vAlign w:val="top"/>
          </w:tcPr>
          <w:p w14:paraId="1506C3F9">
            <w:pPr>
              <w:pStyle w:val="6"/>
              <w:spacing w:before="72" w:line="190" w:lineRule="auto"/>
              <w:ind w:left="207"/>
              <w:rPr>
                <w:sz w:val="22"/>
                <w:szCs w:val="22"/>
              </w:rPr>
            </w:pPr>
            <w:r>
              <w:rPr>
                <w:spacing w:val="-4"/>
                <w:sz w:val="22"/>
                <w:szCs w:val="22"/>
              </w:rPr>
              <w:t>101.33</w:t>
            </w:r>
          </w:p>
        </w:tc>
        <w:tc>
          <w:tcPr>
            <w:tcW w:w="839" w:type="dxa"/>
            <w:vAlign w:val="top"/>
          </w:tcPr>
          <w:p w14:paraId="350A2FF5">
            <w:pPr>
              <w:pStyle w:val="6"/>
              <w:spacing w:before="72" w:line="190" w:lineRule="auto"/>
              <w:ind w:left="138"/>
              <w:rPr>
                <w:sz w:val="22"/>
                <w:szCs w:val="22"/>
              </w:rPr>
            </w:pPr>
            <w:r>
              <w:rPr>
                <w:spacing w:val="-2"/>
                <w:sz w:val="22"/>
                <w:szCs w:val="22"/>
              </w:rPr>
              <w:t>4.40%</w:t>
            </w:r>
          </w:p>
        </w:tc>
        <w:tc>
          <w:tcPr>
            <w:tcW w:w="1194" w:type="dxa"/>
            <w:vAlign w:val="top"/>
          </w:tcPr>
          <w:p w14:paraId="5D8C931C">
            <w:pPr>
              <w:pStyle w:val="6"/>
              <w:spacing w:before="72" w:line="190" w:lineRule="auto"/>
              <w:ind w:left="149"/>
              <w:rPr>
                <w:sz w:val="22"/>
                <w:szCs w:val="22"/>
              </w:rPr>
            </w:pPr>
            <w:r>
              <w:rPr>
                <w:spacing w:val="-1"/>
                <w:sz w:val="22"/>
                <w:szCs w:val="22"/>
              </w:rPr>
              <w:t>44543.33</w:t>
            </w:r>
          </w:p>
        </w:tc>
      </w:tr>
      <w:tr w14:paraId="2E11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44" w:type="dxa"/>
            <w:vMerge w:val="continue"/>
            <w:tcBorders>
              <w:top w:val="nil"/>
              <w:bottom w:val="nil"/>
            </w:tcBorders>
            <w:vAlign w:val="top"/>
          </w:tcPr>
          <w:p w14:paraId="6AE3E26E">
            <w:pPr>
              <w:rPr>
                <w:rFonts w:ascii="Arial"/>
                <w:sz w:val="21"/>
              </w:rPr>
            </w:pPr>
          </w:p>
        </w:tc>
        <w:tc>
          <w:tcPr>
            <w:tcW w:w="799" w:type="dxa"/>
            <w:vAlign w:val="top"/>
          </w:tcPr>
          <w:p w14:paraId="7D63D7B2">
            <w:pPr>
              <w:pStyle w:val="6"/>
              <w:spacing w:before="109" w:line="167" w:lineRule="auto"/>
              <w:ind w:left="280"/>
              <w:rPr>
                <w:sz w:val="22"/>
                <w:szCs w:val="22"/>
              </w:rPr>
            </w:pPr>
            <w:r>
              <w:rPr>
                <w:spacing w:val="-2"/>
                <w:sz w:val="22"/>
                <w:szCs w:val="22"/>
              </w:rPr>
              <w:t>KZ</w:t>
            </w:r>
          </w:p>
        </w:tc>
        <w:tc>
          <w:tcPr>
            <w:tcW w:w="849" w:type="dxa"/>
            <w:vAlign w:val="top"/>
          </w:tcPr>
          <w:p w14:paraId="01FC1011">
            <w:pPr>
              <w:pStyle w:val="6"/>
              <w:spacing w:before="74" w:line="197" w:lineRule="auto"/>
              <w:ind w:left="141"/>
              <w:rPr>
                <w:sz w:val="22"/>
                <w:szCs w:val="22"/>
              </w:rPr>
            </w:pPr>
            <w:r>
              <w:rPr>
                <w:spacing w:val="-2"/>
                <w:sz w:val="22"/>
                <w:szCs w:val="22"/>
              </w:rPr>
              <w:t>48.67</w:t>
            </w:r>
          </w:p>
        </w:tc>
        <w:tc>
          <w:tcPr>
            <w:tcW w:w="839" w:type="dxa"/>
            <w:vAlign w:val="top"/>
          </w:tcPr>
          <w:p w14:paraId="441258EA">
            <w:pPr>
              <w:pStyle w:val="6"/>
              <w:spacing w:before="74" w:line="197" w:lineRule="auto"/>
              <w:ind w:left="132"/>
              <w:rPr>
                <w:sz w:val="22"/>
                <w:szCs w:val="22"/>
              </w:rPr>
            </w:pPr>
            <w:r>
              <w:rPr>
                <w:spacing w:val="-1"/>
                <w:sz w:val="22"/>
                <w:szCs w:val="22"/>
              </w:rPr>
              <w:t>4.77%</w:t>
            </w:r>
          </w:p>
        </w:tc>
        <w:tc>
          <w:tcPr>
            <w:tcW w:w="1069" w:type="dxa"/>
            <w:vAlign w:val="top"/>
          </w:tcPr>
          <w:p w14:paraId="0E7A3458">
            <w:pPr>
              <w:pStyle w:val="6"/>
              <w:spacing w:before="74" w:line="197" w:lineRule="auto"/>
              <w:ind w:left="83"/>
              <w:rPr>
                <w:sz w:val="22"/>
                <w:szCs w:val="22"/>
              </w:rPr>
            </w:pPr>
            <w:r>
              <w:rPr>
                <w:spacing w:val="-2"/>
                <w:sz w:val="22"/>
                <w:szCs w:val="22"/>
              </w:rPr>
              <w:t>23193.00</w:t>
            </w:r>
          </w:p>
        </w:tc>
        <w:tc>
          <w:tcPr>
            <w:tcW w:w="739" w:type="dxa"/>
            <w:vAlign w:val="top"/>
          </w:tcPr>
          <w:p w14:paraId="5AD934C7">
            <w:pPr>
              <w:rPr>
                <w:rFonts w:ascii="Arial"/>
                <w:sz w:val="21"/>
              </w:rPr>
            </w:pPr>
          </w:p>
        </w:tc>
        <w:tc>
          <w:tcPr>
            <w:tcW w:w="849" w:type="dxa"/>
            <w:vAlign w:val="top"/>
          </w:tcPr>
          <w:p w14:paraId="647D43F6">
            <w:pPr>
              <w:rPr>
                <w:rFonts w:ascii="Arial"/>
                <w:sz w:val="21"/>
              </w:rPr>
            </w:pPr>
          </w:p>
        </w:tc>
        <w:tc>
          <w:tcPr>
            <w:tcW w:w="1099" w:type="dxa"/>
            <w:vAlign w:val="top"/>
          </w:tcPr>
          <w:p w14:paraId="0076ABF4">
            <w:pPr>
              <w:rPr>
                <w:rFonts w:ascii="Arial"/>
                <w:sz w:val="21"/>
              </w:rPr>
            </w:pPr>
          </w:p>
        </w:tc>
        <w:tc>
          <w:tcPr>
            <w:tcW w:w="1089" w:type="dxa"/>
            <w:vAlign w:val="top"/>
          </w:tcPr>
          <w:p w14:paraId="38EA652D">
            <w:pPr>
              <w:pStyle w:val="6"/>
              <w:spacing w:before="74" w:line="197" w:lineRule="auto"/>
              <w:ind w:left="267"/>
              <w:rPr>
                <w:sz w:val="22"/>
                <w:szCs w:val="22"/>
              </w:rPr>
            </w:pPr>
            <w:r>
              <w:rPr>
                <w:spacing w:val="-2"/>
                <w:sz w:val="22"/>
                <w:szCs w:val="22"/>
              </w:rPr>
              <w:t>48.67</w:t>
            </w:r>
          </w:p>
        </w:tc>
        <w:tc>
          <w:tcPr>
            <w:tcW w:w="839" w:type="dxa"/>
            <w:vAlign w:val="top"/>
          </w:tcPr>
          <w:p w14:paraId="133361A6">
            <w:pPr>
              <w:pStyle w:val="6"/>
              <w:spacing w:before="74" w:line="197" w:lineRule="auto"/>
              <w:ind w:left="138"/>
              <w:rPr>
                <w:sz w:val="22"/>
                <w:szCs w:val="22"/>
              </w:rPr>
            </w:pPr>
            <w:r>
              <w:rPr>
                <w:spacing w:val="-1"/>
                <w:sz w:val="22"/>
                <w:szCs w:val="22"/>
              </w:rPr>
              <w:t>4.77%</w:t>
            </w:r>
          </w:p>
        </w:tc>
        <w:tc>
          <w:tcPr>
            <w:tcW w:w="1194" w:type="dxa"/>
            <w:vAlign w:val="top"/>
          </w:tcPr>
          <w:p w14:paraId="7952EFA6">
            <w:pPr>
              <w:pStyle w:val="6"/>
              <w:spacing w:before="74" w:line="197" w:lineRule="auto"/>
              <w:ind w:left="149"/>
              <w:rPr>
                <w:sz w:val="22"/>
                <w:szCs w:val="22"/>
              </w:rPr>
            </w:pPr>
            <w:r>
              <w:rPr>
                <w:spacing w:val="-2"/>
                <w:sz w:val="22"/>
                <w:szCs w:val="22"/>
              </w:rPr>
              <w:t>23193.00</w:t>
            </w:r>
          </w:p>
        </w:tc>
      </w:tr>
      <w:tr w14:paraId="3A682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44" w:type="dxa"/>
            <w:vMerge w:val="continue"/>
            <w:tcBorders>
              <w:top w:val="nil"/>
              <w:bottom w:val="nil"/>
            </w:tcBorders>
            <w:vAlign w:val="top"/>
          </w:tcPr>
          <w:p w14:paraId="3F2750FA">
            <w:pPr>
              <w:rPr>
                <w:rFonts w:ascii="Arial"/>
                <w:sz w:val="21"/>
              </w:rPr>
            </w:pPr>
          </w:p>
        </w:tc>
        <w:tc>
          <w:tcPr>
            <w:tcW w:w="799" w:type="dxa"/>
            <w:vAlign w:val="top"/>
          </w:tcPr>
          <w:p w14:paraId="6B500A06">
            <w:pPr>
              <w:pStyle w:val="6"/>
              <w:spacing w:before="101" w:line="158" w:lineRule="auto"/>
              <w:ind w:left="280"/>
              <w:rPr>
                <w:sz w:val="22"/>
                <w:szCs w:val="22"/>
              </w:rPr>
            </w:pPr>
            <w:r>
              <w:rPr>
                <w:spacing w:val="-2"/>
                <w:sz w:val="22"/>
                <w:szCs w:val="22"/>
              </w:rPr>
              <w:t>TD</w:t>
            </w:r>
          </w:p>
        </w:tc>
        <w:tc>
          <w:tcPr>
            <w:tcW w:w="849" w:type="dxa"/>
            <w:vAlign w:val="top"/>
          </w:tcPr>
          <w:p w14:paraId="23612E73">
            <w:pPr>
              <w:pStyle w:val="6"/>
              <w:spacing w:before="64" w:line="189" w:lineRule="auto"/>
              <w:ind w:left="141"/>
              <w:rPr>
                <w:sz w:val="22"/>
                <w:szCs w:val="22"/>
              </w:rPr>
            </w:pPr>
            <w:r>
              <w:rPr>
                <w:spacing w:val="-2"/>
                <w:sz w:val="22"/>
                <w:szCs w:val="22"/>
              </w:rPr>
              <w:t>82.86</w:t>
            </w:r>
          </w:p>
        </w:tc>
        <w:tc>
          <w:tcPr>
            <w:tcW w:w="839" w:type="dxa"/>
            <w:vAlign w:val="top"/>
          </w:tcPr>
          <w:p w14:paraId="66ACCB88">
            <w:pPr>
              <w:pStyle w:val="6"/>
              <w:spacing w:before="64" w:line="189" w:lineRule="auto"/>
              <w:ind w:left="132"/>
              <w:rPr>
                <w:sz w:val="22"/>
                <w:szCs w:val="22"/>
              </w:rPr>
            </w:pPr>
            <w:r>
              <w:rPr>
                <w:spacing w:val="-1"/>
                <w:sz w:val="22"/>
                <w:szCs w:val="22"/>
              </w:rPr>
              <w:t>4.03%</w:t>
            </w:r>
          </w:p>
        </w:tc>
        <w:tc>
          <w:tcPr>
            <w:tcW w:w="1069" w:type="dxa"/>
            <w:vAlign w:val="top"/>
          </w:tcPr>
          <w:p w14:paraId="0098A5C1">
            <w:pPr>
              <w:pStyle w:val="6"/>
              <w:spacing w:before="64" w:line="189" w:lineRule="auto"/>
              <w:ind w:left="83"/>
              <w:rPr>
                <w:sz w:val="22"/>
                <w:szCs w:val="22"/>
              </w:rPr>
            </w:pPr>
            <w:r>
              <w:rPr>
                <w:spacing w:val="-2"/>
                <w:sz w:val="22"/>
                <w:szCs w:val="22"/>
              </w:rPr>
              <w:t>33404.00</w:t>
            </w:r>
          </w:p>
        </w:tc>
        <w:tc>
          <w:tcPr>
            <w:tcW w:w="739" w:type="dxa"/>
            <w:vAlign w:val="top"/>
          </w:tcPr>
          <w:p w14:paraId="4D64515F">
            <w:pPr>
              <w:rPr>
                <w:rFonts w:ascii="Arial"/>
                <w:sz w:val="21"/>
              </w:rPr>
            </w:pPr>
          </w:p>
        </w:tc>
        <w:tc>
          <w:tcPr>
            <w:tcW w:w="849" w:type="dxa"/>
            <w:vAlign w:val="top"/>
          </w:tcPr>
          <w:p w14:paraId="634766CC">
            <w:pPr>
              <w:rPr>
                <w:rFonts w:ascii="Arial"/>
                <w:sz w:val="21"/>
              </w:rPr>
            </w:pPr>
          </w:p>
        </w:tc>
        <w:tc>
          <w:tcPr>
            <w:tcW w:w="1099" w:type="dxa"/>
            <w:vAlign w:val="top"/>
          </w:tcPr>
          <w:p w14:paraId="3037EBFC">
            <w:pPr>
              <w:rPr>
                <w:rFonts w:ascii="Arial"/>
                <w:sz w:val="21"/>
              </w:rPr>
            </w:pPr>
          </w:p>
        </w:tc>
        <w:tc>
          <w:tcPr>
            <w:tcW w:w="1089" w:type="dxa"/>
            <w:vAlign w:val="top"/>
          </w:tcPr>
          <w:p w14:paraId="6D569F69">
            <w:pPr>
              <w:pStyle w:val="6"/>
              <w:spacing w:before="64" w:line="189" w:lineRule="auto"/>
              <w:ind w:left="267"/>
              <w:rPr>
                <w:sz w:val="22"/>
                <w:szCs w:val="22"/>
              </w:rPr>
            </w:pPr>
            <w:r>
              <w:rPr>
                <w:spacing w:val="-2"/>
                <w:sz w:val="22"/>
                <w:szCs w:val="22"/>
              </w:rPr>
              <w:t>82.86</w:t>
            </w:r>
          </w:p>
        </w:tc>
        <w:tc>
          <w:tcPr>
            <w:tcW w:w="839" w:type="dxa"/>
            <w:vAlign w:val="top"/>
          </w:tcPr>
          <w:p w14:paraId="62D5FF60">
            <w:pPr>
              <w:pStyle w:val="6"/>
              <w:spacing w:before="64" w:line="189" w:lineRule="auto"/>
              <w:ind w:left="138"/>
              <w:rPr>
                <w:sz w:val="22"/>
                <w:szCs w:val="22"/>
              </w:rPr>
            </w:pPr>
            <w:r>
              <w:rPr>
                <w:spacing w:val="-1"/>
                <w:sz w:val="22"/>
                <w:szCs w:val="22"/>
              </w:rPr>
              <w:t>4.03%</w:t>
            </w:r>
          </w:p>
        </w:tc>
        <w:tc>
          <w:tcPr>
            <w:tcW w:w="1194" w:type="dxa"/>
            <w:vAlign w:val="top"/>
          </w:tcPr>
          <w:p w14:paraId="02EE150A">
            <w:pPr>
              <w:pStyle w:val="6"/>
              <w:spacing w:before="64" w:line="189" w:lineRule="auto"/>
              <w:ind w:left="149"/>
              <w:rPr>
                <w:sz w:val="22"/>
                <w:szCs w:val="22"/>
              </w:rPr>
            </w:pPr>
            <w:r>
              <w:rPr>
                <w:spacing w:val="-2"/>
                <w:sz w:val="22"/>
                <w:szCs w:val="22"/>
              </w:rPr>
              <w:t>33404.00</w:t>
            </w:r>
          </w:p>
        </w:tc>
      </w:tr>
      <w:tr w14:paraId="46DC1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44" w:type="dxa"/>
            <w:vMerge w:val="continue"/>
            <w:tcBorders>
              <w:top w:val="nil"/>
            </w:tcBorders>
            <w:vAlign w:val="top"/>
          </w:tcPr>
          <w:p w14:paraId="4B8697EA">
            <w:pPr>
              <w:rPr>
                <w:rFonts w:ascii="Arial"/>
                <w:sz w:val="21"/>
              </w:rPr>
            </w:pPr>
          </w:p>
        </w:tc>
        <w:tc>
          <w:tcPr>
            <w:tcW w:w="799" w:type="dxa"/>
            <w:vAlign w:val="top"/>
          </w:tcPr>
          <w:p w14:paraId="07BC2063">
            <w:pPr>
              <w:pStyle w:val="6"/>
              <w:spacing w:before="53" w:line="214" w:lineRule="auto"/>
              <w:ind w:left="170"/>
              <w:rPr>
                <w:sz w:val="22"/>
                <w:szCs w:val="22"/>
              </w:rPr>
            </w:pPr>
            <w:r>
              <w:rPr>
                <w:spacing w:val="4"/>
                <w:sz w:val="22"/>
                <w:szCs w:val="22"/>
              </w:rPr>
              <w:t>小计</w:t>
            </w:r>
          </w:p>
        </w:tc>
        <w:tc>
          <w:tcPr>
            <w:tcW w:w="849" w:type="dxa"/>
            <w:vAlign w:val="top"/>
          </w:tcPr>
          <w:p w14:paraId="26E0F9CD">
            <w:pPr>
              <w:pStyle w:val="6"/>
              <w:spacing w:before="75" w:line="196" w:lineRule="auto"/>
              <w:ind w:left="81"/>
              <w:rPr>
                <w:sz w:val="22"/>
                <w:szCs w:val="22"/>
              </w:rPr>
            </w:pPr>
            <w:r>
              <w:rPr>
                <w:spacing w:val="-4"/>
                <w:sz w:val="22"/>
                <w:szCs w:val="22"/>
              </w:rPr>
              <w:t>140.31</w:t>
            </w:r>
          </w:p>
        </w:tc>
        <w:tc>
          <w:tcPr>
            <w:tcW w:w="839" w:type="dxa"/>
            <w:vAlign w:val="top"/>
          </w:tcPr>
          <w:p w14:paraId="5661F807">
            <w:pPr>
              <w:pStyle w:val="6"/>
              <w:spacing w:before="75" w:line="196" w:lineRule="auto"/>
              <w:ind w:left="132"/>
              <w:rPr>
                <w:sz w:val="22"/>
                <w:szCs w:val="22"/>
              </w:rPr>
            </w:pPr>
            <w:r>
              <w:rPr>
                <w:spacing w:val="-1"/>
                <w:sz w:val="22"/>
                <w:szCs w:val="22"/>
              </w:rPr>
              <w:t>4.34%</w:t>
            </w:r>
          </w:p>
        </w:tc>
        <w:tc>
          <w:tcPr>
            <w:tcW w:w="1069" w:type="dxa"/>
            <w:vAlign w:val="top"/>
          </w:tcPr>
          <w:p w14:paraId="1EF2D498">
            <w:pPr>
              <w:pStyle w:val="6"/>
              <w:spacing w:before="75" w:line="196" w:lineRule="auto"/>
              <w:ind w:left="83"/>
              <w:rPr>
                <w:sz w:val="22"/>
                <w:szCs w:val="22"/>
              </w:rPr>
            </w:pPr>
            <w:r>
              <w:rPr>
                <w:spacing w:val="-2"/>
                <w:sz w:val="22"/>
                <w:szCs w:val="22"/>
              </w:rPr>
              <w:t>60957.00</w:t>
            </w:r>
          </w:p>
        </w:tc>
        <w:tc>
          <w:tcPr>
            <w:tcW w:w="739" w:type="dxa"/>
            <w:vAlign w:val="top"/>
          </w:tcPr>
          <w:p w14:paraId="1631D2DB">
            <w:pPr>
              <w:rPr>
                <w:rFonts w:ascii="Arial"/>
                <w:sz w:val="21"/>
              </w:rPr>
            </w:pPr>
          </w:p>
        </w:tc>
        <w:tc>
          <w:tcPr>
            <w:tcW w:w="849" w:type="dxa"/>
            <w:vAlign w:val="top"/>
          </w:tcPr>
          <w:p w14:paraId="1FB9B79B">
            <w:pPr>
              <w:rPr>
                <w:rFonts w:ascii="Arial"/>
                <w:sz w:val="21"/>
              </w:rPr>
            </w:pPr>
          </w:p>
        </w:tc>
        <w:tc>
          <w:tcPr>
            <w:tcW w:w="1099" w:type="dxa"/>
            <w:vAlign w:val="top"/>
          </w:tcPr>
          <w:p w14:paraId="212A7E5F">
            <w:pPr>
              <w:rPr>
                <w:rFonts w:ascii="Arial"/>
                <w:sz w:val="21"/>
              </w:rPr>
            </w:pPr>
          </w:p>
        </w:tc>
        <w:tc>
          <w:tcPr>
            <w:tcW w:w="1089" w:type="dxa"/>
            <w:vAlign w:val="top"/>
          </w:tcPr>
          <w:p w14:paraId="3DEF5854">
            <w:pPr>
              <w:pStyle w:val="6"/>
              <w:spacing w:before="75" w:line="196" w:lineRule="auto"/>
              <w:ind w:left="207"/>
              <w:rPr>
                <w:sz w:val="22"/>
                <w:szCs w:val="22"/>
              </w:rPr>
            </w:pPr>
            <w:r>
              <w:rPr>
                <w:spacing w:val="-2"/>
                <w:sz w:val="22"/>
                <w:szCs w:val="22"/>
              </w:rPr>
              <w:t>232.86</w:t>
            </w:r>
          </w:p>
        </w:tc>
        <w:tc>
          <w:tcPr>
            <w:tcW w:w="839" w:type="dxa"/>
            <w:vAlign w:val="top"/>
          </w:tcPr>
          <w:p w14:paraId="1E75F706">
            <w:pPr>
              <w:pStyle w:val="6"/>
              <w:spacing w:before="75" w:line="196" w:lineRule="auto"/>
              <w:ind w:left="138"/>
              <w:rPr>
                <w:sz w:val="22"/>
                <w:szCs w:val="22"/>
              </w:rPr>
            </w:pPr>
            <w:r>
              <w:rPr>
                <w:spacing w:val="-1"/>
                <w:sz w:val="22"/>
                <w:szCs w:val="22"/>
              </w:rPr>
              <w:t>4.34%</w:t>
            </w:r>
          </w:p>
        </w:tc>
        <w:tc>
          <w:tcPr>
            <w:tcW w:w="1194" w:type="dxa"/>
            <w:vAlign w:val="top"/>
          </w:tcPr>
          <w:p w14:paraId="4D2B48D4">
            <w:pPr>
              <w:pStyle w:val="6"/>
              <w:spacing w:before="75" w:line="196" w:lineRule="auto"/>
              <w:ind w:left="99"/>
              <w:rPr>
                <w:sz w:val="22"/>
                <w:szCs w:val="22"/>
              </w:rPr>
            </w:pPr>
            <w:r>
              <w:rPr>
                <w:spacing w:val="-3"/>
                <w:sz w:val="22"/>
                <w:szCs w:val="22"/>
              </w:rPr>
              <w:t>101140.33</w:t>
            </w:r>
          </w:p>
        </w:tc>
      </w:tr>
      <w:tr w14:paraId="2F4D0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4" w:type="dxa"/>
            <w:vMerge w:val="restart"/>
            <w:tcBorders>
              <w:bottom w:val="nil"/>
            </w:tcBorders>
            <w:vAlign w:val="top"/>
          </w:tcPr>
          <w:p w14:paraId="38B27D9E">
            <w:pPr>
              <w:spacing w:line="340" w:lineRule="auto"/>
              <w:rPr>
                <w:rFonts w:ascii="Arial"/>
                <w:sz w:val="21"/>
              </w:rPr>
            </w:pPr>
          </w:p>
          <w:p w14:paraId="3181E98E">
            <w:pPr>
              <w:pStyle w:val="6"/>
              <w:spacing w:before="72" w:line="219" w:lineRule="auto"/>
              <w:ind w:left="84"/>
              <w:rPr>
                <w:sz w:val="22"/>
                <w:szCs w:val="22"/>
              </w:rPr>
            </w:pPr>
            <w:r>
              <w:rPr>
                <w:spacing w:val="-3"/>
                <w:sz w:val="22"/>
                <w:szCs w:val="22"/>
              </w:rPr>
              <w:t>伴生铅</w:t>
            </w:r>
          </w:p>
          <w:p w14:paraId="3116D417">
            <w:pPr>
              <w:pStyle w:val="6"/>
              <w:spacing w:before="2" w:line="222" w:lineRule="auto"/>
              <w:ind w:left="194"/>
              <w:rPr>
                <w:sz w:val="22"/>
                <w:szCs w:val="22"/>
              </w:rPr>
            </w:pPr>
            <w:r>
              <w:rPr>
                <w:spacing w:val="-9"/>
                <w:sz w:val="22"/>
                <w:szCs w:val="22"/>
              </w:rPr>
              <w:t>(Pb)</w:t>
            </w:r>
          </w:p>
        </w:tc>
        <w:tc>
          <w:tcPr>
            <w:tcW w:w="799" w:type="dxa"/>
            <w:vAlign w:val="top"/>
          </w:tcPr>
          <w:p w14:paraId="32F60000">
            <w:pPr>
              <w:pStyle w:val="6"/>
              <w:spacing w:before="111" w:line="157" w:lineRule="auto"/>
              <w:ind w:left="280"/>
              <w:rPr>
                <w:sz w:val="22"/>
                <w:szCs w:val="22"/>
              </w:rPr>
            </w:pPr>
            <w:r>
              <w:rPr>
                <w:spacing w:val="-2"/>
                <w:sz w:val="22"/>
                <w:szCs w:val="22"/>
              </w:rPr>
              <w:t>TM</w:t>
            </w:r>
          </w:p>
        </w:tc>
        <w:tc>
          <w:tcPr>
            <w:tcW w:w="849" w:type="dxa"/>
            <w:vAlign w:val="top"/>
          </w:tcPr>
          <w:p w14:paraId="27FDC4C2">
            <w:pPr>
              <w:pStyle w:val="6"/>
              <w:spacing w:before="76" w:line="187" w:lineRule="auto"/>
              <w:ind w:left="191"/>
              <w:rPr>
                <w:sz w:val="22"/>
                <w:szCs w:val="22"/>
              </w:rPr>
            </w:pPr>
            <w:r>
              <w:rPr>
                <w:spacing w:val="-3"/>
                <w:sz w:val="22"/>
                <w:szCs w:val="22"/>
              </w:rPr>
              <w:t>5.39</w:t>
            </w:r>
          </w:p>
        </w:tc>
        <w:tc>
          <w:tcPr>
            <w:tcW w:w="839" w:type="dxa"/>
            <w:vAlign w:val="top"/>
          </w:tcPr>
          <w:p w14:paraId="382C696E">
            <w:pPr>
              <w:pStyle w:val="6"/>
              <w:spacing w:before="76" w:line="187" w:lineRule="auto"/>
              <w:ind w:left="132"/>
              <w:rPr>
                <w:sz w:val="22"/>
                <w:szCs w:val="22"/>
              </w:rPr>
            </w:pPr>
            <w:r>
              <w:rPr>
                <w:spacing w:val="-2"/>
                <w:sz w:val="22"/>
                <w:szCs w:val="22"/>
              </w:rPr>
              <w:t>0.55%</w:t>
            </w:r>
          </w:p>
        </w:tc>
        <w:tc>
          <w:tcPr>
            <w:tcW w:w="1069" w:type="dxa"/>
            <w:vAlign w:val="top"/>
          </w:tcPr>
          <w:p w14:paraId="14D97404">
            <w:pPr>
              <w:pStyle w:val="6"/>
              <w:spacing w:before="76" w:line="187" w:lineRule="auto"/>
              <w:ind w:left="193"/>
              <w:rPr>
                <w:sz w:val="22"/>
                <w:szCs w:val="22"/>
              </w:rPr>
            </w:pPr>
            <w:r>
              <w:rPr>
                <w:spacing w:val="-2"/>
                <w:sz w:val="22"/>
                <w:szCs w:val="22"/>
              </w:rPr>
              <w:t>295.00</w:t>
            </w:r>
          </w:p>
        </w:tc>
        <w:tc>
          <w:tcPr>
            <w:tcW w:w="739" w:type="dxa"/>
            <w:vAlign w:val="top"/>
          </w:tcPr>
          <w:p w14:paraId="3B64EC61">
            <w:pPr>
              <w:pStyle w:val="6"/>
              <w:spacing w:before="76" w:line="187" w:lineRule="auto"/>
              <w:ind w:left="84"/>
              <w:rPr>
                <w:sz w:val="22"/>
                <w:szCs w:val="22"/>
              </w:rPr>
            </w:pPr>
            <w:r>
              <w:rPr>
                <w:spacing w:val="-2"/>
                <w:sz w:val="22"/>
                <w:szCs w:val="22"/>
              </w:rPr>
              <w:t>64.33</w:t>
            </w:r>
          </w:p>
        </w:tc>
        <w:tc>
          <w:tcPr>
            <w:tcW w:w="849" w:type="dxa"/>
            <w:vAlign w:val="top"/>
          </w:tcPr>
          <w:p w14:paraId="1EED0F68">
            <w:pPr>
              <w:pStyle w:val="6"/>
              <w:spacing w:before="76" w:line="187" w:lineRule="auto"/>
              <w:ind w:left="145"/>
              <w:rPr>
                <w:sz w:val="22"/>
                <w:szCs w:val="22"/>
              </w:rPr>
            </w:pPr>
            <w:r>
              <w:rPr>
                <w:spacing w:val="-2"/>
                <w:sz w:val="22"/>
                <w:szCs w:val="22"/>
              </w:rPr>
              <w:t>0.90%</w:t>
            </w:r>
          </w:p>
        </w:tc>
        <w:tc>
          <w:tcPr>
            <w:tcW w:w="1099" w:type="dxa"/>
            <w:vAlign w:val="top"/>
          </w:tcPr>
          <w:p w14:paraId="1330881F">
            <w:pPr>
              <w:pStyle w:val="6"/>
              <w:spacing w:before="76" w:line="187" w:lineRule="auto"/>
              <w:ind w:left="156"/>
              <w:rPr>
                <w:sz w:val="22"/>
                <w:szCs w:val="22"/>
              </w:rPr>
            </w:pPr>
            <w:r>
              <w:rPr>
                <w:spacing w:val="-2"/>
                <w:sz w:val="22"/>
                <w:szCs w:val="22"/>
              </w:rPr>
              <w:t>5772.42</w:t>
            </w:r>
          </w:p>
        </w:tc>
        <w:tc>
          <w:tcPr>
            <w:tcW w:w="1089" w:type="dxa"/>
            <w:vAlign w:val="top"/>
          </w:tcPr>
          <w:p w14:paraId="010635EC">
            <w:pPr>
              <w:pStyle w:val="6"/>
              <w:spacing w:before="76" w:line="187" w:lineRule="auto"/>
              <w:ind w:left="267"/>
              <w:rPr>
                <w:sz w:val="22"/>
                <w:szCs w:val="22"/>
              </w:rPr>
            </w:pPr>
            <w:r>
              <w:rPr>
                <w:spacing w:val="-2"/>
                <w:sz w:val="22"/>
                <w:szCs w:val="22"/>
              </w:rPr>
              <w:t>69.72</w:t>
            </w:r>
          </w:p>
        </w:tc>
        <w:tc>
          <w:tcPr>
            <w:tcW w:w="839" w:type="dxa"/>
            <w:vAlign w:val="top"/>
          </w:tcPr>
          <w:p w14:paraId="0C638FE7">
            <w:pPr>
              <w:pStyle w:val="6"/>
              <w:spacing w:before="76" w:line="187" w:lineRule="auto"/>
              <w:ind w:left="138"/>
              <w:rPr>
                <w:sz w:val="22"/>
                <w:szCs w:val="22"/>
              </w:rPr>
            </w:pPr>
            <w:r>
              <w:rPr>
                <w:spacing w:val="-2"/>
                <w:sz w:val="22"/>
                <w:szCs w:val="22"/>
              </w:rPr>
              <w:t>0.87%</w:t>
            </w:r>
          </w:p>
        </w:tc>
        <w:tc>
          <w:tcPr>
            <w:tcW w:w="1194" w:type="dxa"/>
            <w:vAlign w:val="top"/>
          </w:tcPr>
          <w:p w14:paraId="7C3CAF58">
            <w:pPr>
              <w:pStyle w:val="6"/>
              <w:spacing w:before="76" w:line="187" w:lineRule="auto"/>
              <w:ind w:left="209"/>
              <w:rPr>
                <w:sz w:val="22"/>
                <w:szCs w:val="22"/>
              </w:rPr>
            </w:pPr>
            <w:r>
              <w:rPr>
                <w:spacing w:val="-2"/>
                <w:sz w:val="22"/>
                <w:szCs w:val="22"/>
              </w:rPr>
              <w:t>6067.42</w:t>
            </w:r>
          </w:p>
        </w:tc>
      </w:tr>
      <w:tr w14:paraId="59407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4" w:type="dxa"/>
            <w:vMerge w:val="continue"/>
            <w:tcBorders>
              <w:top w:val="nil"/>
              <w:bottom w:val="nil"/>
            </w:tcBorders>
            <w:vAlign w:val="top"/>
          </w:tcPr>
          <w:p w14:paraId="62D95F55">
            <w:pPr>
              <w:rPr>
                <w:rFonts w:ascii="Arial"/>
                <w:sz w:val="21"/>
              </w:rPr>
            </w:pPr>
          </w:p>
        </w:tc>
        <w:tc>
          <w:tcPr>
            <w:tcW w:w="799" w:type="dxa"/>
            <w:vAlign w:val="top"/>
          </w:tcPr>
          <w:p w14:paraId="62C1954D">
            <w:pPr>
              <w:pStyle w:val="6"/>
              <w:spacing w:before="113" w:line="185" w:lineRule="exact"/>
              <w:ind w:left="280"/>
              <w:rPr>
                <w:sz w:val="22"/>
                <w:szCs w:val="22"/>
              </w:rPr>
            </w:pPr>
            <w:r>
              <w:rPr>
                <w:spacing w:val="-2"/>
                <w:position w:val="-2"/>
                <w:sz w:val="22"/>
                <w:szCs w:val="22"/>
              </w:rPr>
              <w:t>KZ</w:t>
            </w:r>
          </w:p>
        </w:tc>
        <w:tc>
          <w:tcPr>
            <w:tcW w:w="849" w:type="dxa"/>
            <w:vAlign w:val="top"/>
          </w:tcPr>
          <w:p w14:paraId="128407A1">
            <w:pPr>
              <w:pStyle w:val="6"/>
              <w:spacing w:before="77" w:line="186" w:lineRule="auto"/>
              <w:ind w:left="141"/>
              <w:rPr>
                <w:sz w:val="22"/>
                <w:szCs w:val="22"/>
              </w:rPr>
            </w:pPr>
            <w:r>
              <w:rPr>
                <w:spacing w:val="-2"/>
                <w:sz w:val="22"/>
                <w:szCs w:val="22"/>
              </w:rPr>
              <w:t>29.30</w:t>
            </w:r>
          </w:p>
        </w:tc>
        <w:tc>
          <w:tcPr>
            <w:tcW w:w="839" w:type="dxa"/>
            <w:vAlign w:val="top"/>
          </w:tcPr>
          <w:p w14:paraId="59BA512C">
            <w:pPr>
              <w:pStyle w:val="6"/>
              <w:spacing w:before="77" w:line="186" w:lineRule="auto"/>
              <w:ind w:left="132"/>
              <w:rPr>
                <w:sz w:val="22"/>
                <w:szCs w:val="22"/>
              </w:rPr>
            </w:pPr>
            <w:r>
              <w:rPr>
                <w:spacing w:val="-2"/>
                <w:sz w:val="22"/>
                <w:szCs w:val="22"/>
              </w:rPr>
              <w:t>0.71%</w:t>
            </w:r>
          </w:p>
        </w:tc>
        <w:tc>
          <w:tcPr>
            <w:tcW w:w="1069" w:type="dxa"/>
            <w:vAlign w:val="top"/>
          </w:tcPr>
          <w:p w14:paraId="23C0A068">
            <w:pPr>
              <w:pStyle w:val="6"/>
              <w:spacing w:before="77" w:line="186" w:lineRule="auto"/>
              <w:ind w:left="143"/>
              <w:rPr>
                <w:sz w:val="22"/>
                <w:szCs w:val="22"/>
              </w:rPr>
            </w:pPr>
            <w:r>
              <w:rPr>
                <w:spacing w:val="-2"/>
                <w:sz w:val="22"/>
                <w:szCs w:val="22"/>
              </w:rPr>
              <w:t>2093.00</w:t>
            </w:r>
          </w:p>
        </w:tc>
        <w:tc>
          <w:tcPr>
            <w:tcW w:w="739" w:type="dxa"/>
            <w:vAlign w:val="top"/>
          </w:tcPr>
          <w:p w14:paraId="2047CEA4">
            <w:pPr>
              <w:rPr>
                <w:rFonts w:ascii="Arial"/>
                <w:sz w:val="21"/>
              </w:rPr>
            </w:pPr>
          </w:p>
        </w:tc>
        <w:tc>
          <w:tcPr>
            <w:tcW w:w="849" w:type="dxa"/>
            <w:vAlign w:val="top"/>
          </w:tcPr>
          <w:p w14:paraId="29EEB292">
            <w:pPr>
              <w:rPr>
                <w:rFonts w:ascii="Arial"/>
                <w:sz w:val="21"/>
              </w:rPr>
            </w:pPr>
          </w:p>
        </w:tc>
        <w:tc>
          <w:tcPr>
            <w:tcW w:w="1099" w:type="dxa"/>
            <w:vAlign w:val="top"/>
          </w:tcPr>
          <w:p w14:paraId="0FE3018A">
            <w:pPr>
              <w:rPr>
                <w:rFonts w:ascii="Arial"/>
                <w:sz w:val="21"/>
              </w:rPr>
            </w:pPr>
          </w:p>
        </w:tc>
        <w:tc>
          <w:tcPr>
            <w:tcW w:w="1089" w:type="dxa"/>
            <w:vAlign w:val="top"/>
          </w:tcPr>
          <w:p w14:paraId="20F879CE">
            <w:pPr>
              <w:pStyle w:val="6"/>
              <w:spacing w:before="77" w:line="186" w:lineRule="auto"/>
              <w:ind w:left="267"/>
              <w:rPr>
                <w:sz w:val="22"/>
                <w:szCs w:val="22"/>
              </w:rPr>
            </w:pPr>
            <w:r>
              <w:rPr>
                <w:spacing w:val="-2"/>
                <w:sz w:val="22"/>
                <w:szCs w:val="22"/>
              </w:rPr>
              <w:t>29.30</w:t>
            </w:r>
          </w:p>
        </w:tc>
        <w:tc>
          <w:tcPr>
            <w:tcW w:w="839" w:type="dxa"/>
            <w:vAlign w:val="top"/>
          </w:tcPr>
          <w:p w14:paraId="3C3F9CC1">
            <w:pPr>
              <w:pStyle w:val="6"/>
              <w:spacing w:before="77" w:line="186" w:lineRule="auto"/>
              <w:ind w:left="138"/>
              <w:rPr>
                <w:sz w:val="22"/>
                <w:szCs w:val="22"/>
              </w:rPr>
            </w:pPr>
            <w:r>
              <w:rPr>
                <w:spacing w:val="-2"/>
                <w:sz w:val="22"/>
                <w:szCs w:val="22"/>
              </w:rPr>
              <w:t>0.71%</w:t>
            </w:r>
          </w:p>
        </w:tc>
        <w:tc>
          <w:tcPr>
            <w:tcW w:w="1194" w:type="dxa"/>
            <w:vAlign w:val="top"/>
          </w:tcPr>
          <w:p w14:paraId="3DCC38E1">
            <w:pPr>
              <w:pStyle w:val="6"/>
              <w:spacing w:before="77" w:line="186" w:lineRule="auto"/>
              <w:ind w:left="209"/>
              <w:rPr>
                <w:sz w:val="22"/>
                <w:szCs w:val="22"/>
              </w:rPr>
            </w:pPr>
            <w:r>
              <w:rPr>
                <w:spacing w:val="-2"/>
                <w:sz w:val="22"/>
                <w:szCs w:val="22"/>
              </w:rPr>
              <w:t>2093.00</w:t>
            </w:r>
          </w:p>
        </w:tc>
      </w:tr>
      <w:tr w14:paraId="4B4DB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44" w:type="dxa"/>
            <w:vMerge w:val="continue"/>
            <w:tcBorders>
              <w:top w:val="nil"/>
              <w:bottom w:val="nil"/>
            </w:tcBorders>
            <w:vAlign w:val="top"/>
          </w:tcPr>
          <w:p w14:paraId="41BA13EA">
            <w:pPr>
              <w:rPr>
                <w:rFonts w:ascii="Arial"/>
                <w:sz w:val="21"/>
              </w:rPr>
            </w:pPr>
          </w:p>
        </w:tc>
        <w:tc>
          <w:tcPr>
            <w:tcW w:w="799" w:type="dxa"/>
            <w:vAlign w:val="top"/>
          </w:tcPr>
          <w:p w14:paraId="06F974D6">
            <w:pPr>
              <w:pStyle w:val="6"/>
              <w:spacing w:before="114" w:line="163" w:lineRule="auto"/>
              <w:ind w:left="280"/>
              <w:rPr>
                <w:sz w:val="22"/>
                <w:szCs w:val="22"/>
              </w:rPr>
            </w:pPr>
            <w:r>
              <w:rPr>
                <w:spacing w:val="-2"/>
                <w:sz w:val="22"/>
                <w:szCs w:val="22"/>
              </w:rPr>
              <w:t>TD</w:t>
            </w:r>
          </w:p>
        </w:tc>
        <w:tc>
          <w:tcPr>
            <w:tcW w:w="849" w:type="dxa"/>
            <w:vAlign w:val="top"/>
          </w:tcPr>
          <w:p w14:paraId="167EDED1">
            <w:pPr>
              <w:pStyle w:val="6"/>
              <w:spacing w:before="77" w:line="194" w:lineRule="auto"/>
              <w:ind w:left="141"/>
              <w:rPr>
                <w:sz w:val="22"/>
                <w:szCs w:val="22"/>
              </w:rPr>
            </w:pPr>
            <w:r>
              <w:rPr>
                <w:spacing w:val="-2"/>
                <w:sz w:val="22"/>
                <w:szCs w:val="22"/>
              </w:rPr>
              <w:t>41.42</w:t>
            </w:r>
          </w:p>
        </w:tc>
        <w:tc>
          <w:tcPr>
            <w:tcW w:w="839" w:type="dxa"/>
            <w:vAlign w:val="top"/>
          </w:tcPr>
          <w:p w14:paraId="0947AC89">
            <w:pPr>
              <w:pStyle w:val="6"/>
              <w:spacing w:before="77" w:line="194" w:lineRule="auto"/>
              <w:ind w:left="132"/>
              <w:rPr>
                <w:sz w:val="22"/>
                <w:szCs w:val="22"/>
              </w:rPr>
            </w:pPr>
            <w:r>
              <w:rPr>
                <w:spacing w:val="-2"/>
                <w:sz w:val="22"/>
                <w:szCs w:val="22"/>
              </w:rPr>
              <w:t>0.88%</w:t>
            </w:r>
          </w:p>
        </w:tc>
        <w:tc>
          <w:tcPr>
            <w:tcW w:w="1069" w:type="dxa"/>
            <w:vAlign w:val="top"/>
          </w:tcPr>
          <w:p w14:paraId="312DB11C">
            <w:pPr>
              <w:pStyle w:val="6"/>
              <w:spacing w:before="77" w:line="194" w:lineRule="auto"/>
              <w:ind w:left="143"/>
              <w:rPr>
                <w:sz w:val="22"/>
                <w:szCs w:val="22"/>
              </w:rPr>
            </w:pPr>
            <w:r>
              <w:rPr>
                <w:spacing w:val="-2"/>
                <w:sz w:val="22"/>
                <w:szCs w:val="22"/>
              </w:rPr>
              <w:t>3627.00</w:t>
            </w:r>
          </w:p>
        </w:tc>
        <w:tc>
          <w:tcPr>
            <w:tcW w:w="739" w:type="dxa"/>
            <w:vAlign w:val="top"/>
          </w:tcPr>
          <w:p w14:paraId="42E9AFF2">
            <w:pPr>
              <w:rPr>
                <w:rFonts w:ascii="Arial"/>
                <w:sz w:val="21"/>
              </w:rPr>
            </w:pPr>
          </w:p>
        </w:tc>
        <w:tc>
          <w:tcPr>
            <w:tcW w:w="849" w:type="dxa"/>
            <w:vAlign w:val="top"/>
          </w:tcPr>
          <w:p w14:paraId="7A8FC80C">
            <w:pPr>
              <w:rPr>
                <w:rFonts w:ascii="Arial"/>
                <w:sz w:val="21"/>
              </w:rPr>
            </w:pPr>
          </w:p>
        </w:tc>
        <w:tc>
          <w:tcPr>
            <w:tcW w:w="1099" w:type="dxa"/>
            <w:vAlign w:val="top"/>
          </w:tcPr>
          <w:p w14:paraId="0DE92F44">
            <w:pPr>
              <w:rPr>
                <w:rFonts w:ascii="Arial"/>
                <w:sz w:val="21"/>
              </w:rPr>
            </w:pPr>
          </w:p>
        </w:tc>
        <w:tc>
          <w:tcPr>
            <w:tcW w:w="1089" w:type="dxa"/>
            <w:vAlign w:val="top"/>
          </w:tcPr>
          <w:p w14:paraId="7EEE9044">
            <w:pPr>
              <w:pStyle w:val="6"/>
              <w:spacing w:before="77" w:line="194" w:lineRule="auto"/>
              <w:ind w:left="267"/>
              <w:rPr>
                <w:sz w:val="22"/>
                <w:szCs w:val="22"/>
              </w:rPr>
            </w:pPr>
            <w:r>
              <w:rPr>
                <w:spacing w:val="-2"/>
                <w:sz w:val="22"/>
                <w:szCs w:val="22"/>
              </w:rPr>
              <w:t>41.42</w:t>
            </w:r>
          </w:p>
        </w:tc>
        <w:tc>
          <w:tcPr>
            <w:tcW w:w="839" w:type="dxa"/>
            <w:vAlign w:val="top"/>
          </w:tcPr>
          <w:p w14:paraId="39400B55">
            <w:pPr>
              <w:pStyle w:val="6"/>
              <w:spacing w:before="77" w:line="194" w:lineRule="auto"/>
              <w:ind w:left="138"/>
              <w:rPr>
                <w:sz w:val="22"/>
                <w:szCs w:val="22"/>
              </w:rPr>
            </w:pPr>
            <w:r>
              <w:rPr>
                <w:spacing w:val="-2"/>
                <w:sz w:val="22"/>
                <w:szCs w:val="22"/>
              </w:rPr>
              <w:t>0.88%</w:t>
            </w:r>
          </w:p>
        </w:tc>
        <w:tc>
          <w:tcPr>
            <w:tcW w:w="1194" w:type="dxa"/>
            <w:vAlign w:val="top"/>
          </w:tcPr>
          <w:p w14:paraId="61B869D5">
            <w:pPr>
              <w:pStyle w:val="6"/>
              <w:spacing w:before="77" w:line="194" w:lineRule="auto"/>
              <w:ind w:left="209"/>
              <w:rPr>
                <w:sz w:val="22"/>
                <w:szCs w:val="22"/>
              </w:rPr>
            </w:pPr>
            <w:r>
              <w:rPr>
                <w:spacing w:val="-2"/>
                <w:sz w:val="22"/>
                <w:szCs w:val="22"/>
              </w:rPr>
              <w:t>3627.00</w:t>
            </w:r>
          </w:p>
        </w:tc>
      </w:tr>
      <w:tr w14:paraId="0FF7B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44" w:type="dxa"/>
            <w:vMerge w:val="continue"/>
            <w:tcBorders>
              <w:top w:val="nil"/>
            </w:tcBorders>
            <w:vAlign w:val="top"/>
          </w:tcPr>
          <w:p w14:paraId="063E3C79">
            <w:pPr>
              <w:rPr>
                <w:rFonts w:ascii="Arial"/>
                <w:sz w:val="21"/>
              </w:rPr>
            </w:pPr>
          </w:p>
        </w:tc>
        <w:tc>
          <w:tcPr>
            <w:tcW w:w="799" w:type="dxa"/>
            <w:vAlign w:val="top"/>
          </w:tcPr>
          <w:p w14:paraId="16B99298">
            <w:pPr>
              <w:pStyle w:val="6"/>
              <w:spacing w:before="48" w:line="203" w:lineRule="auto"/>
              <w:ind w:left="170"/>
              <w:rPr>
                <w:sz w:val="22"/>
                <w:szCs w:val="22"/>
              </w:rPr>
            </w:pPr>
            <w:r>
              <w:rPr>
                <w:spacing w:val="4"/>
                <w:sz w:val="22"/>
                <w:szCs w:val="22"/>
              </w:rPr>
              <w:t>小计</w:t>
            </w:r>
          </w:p>
        </w:tc>
        <w:tc>
          <w:tcPr>
            <w:tcW w:w="849" w:type="dxa"/>
            <w:vAlign w:val="top"/>
          </w:tcPr>
          <w:p w14:paraId="136C1F80">
            <w:pPr>
              <w:pStyle w:val="6"/>
              <w:spacing w:before="69" w:line="185" w:lineRule="auto"/>
              <w:ind w:left="141"/>
              <w:rPr>
                <w:sz w:val="22"/>
                <w:szCs w:val="22"/>
              </w:rPr>
            </w:pPr>
            <w:r>
              <w:rPr>
                <w:spacing w:val="-3"/>
                <w:sz w:val="22"/>
                <w:szCs w:val="22"/>
              </w:rPr>
              <w:t>76.11</w:t>
            </w:r>
          </w:p>
        </w:tc>
        <w:tc>
          <w:tcPr>
            <w:tcW w:w="839" w:type="dxa"/>
            <w:vAlign w:val="top"/>
          </w:tcPr>
          <w:p w14:paraId="6888BF73">
            <w:pPr>
              <w:pStyle w:val="6"/>
              <w:spacing w:before="69" w:line="185" w:lineRule="auto"/>
              <w:ind w:left="132"/>
              <w:rPr>
                <w:sz w:val="22"/>
                <w:szCs w:val="22"/>
              </w:rPr>
            </w:pPr>
            <w:r>
              <w:rPr>
                <w:spacing w:val="-2"/>
                <w:sz w:val="22"/>
                <w:szCs w:val="22"/>
              </w:rPr>
              <w:t>0.79%</w:t>
            </w:r>
          </w:p>
        </w:tc>
        <w:tc>
          <w:tcPr>
            <w:tcW w:w="1069" w:type="dxa"/>
            <w:vAlign w:val="top"/>
          </w:tcPr>
          <w:p w14:paraId="4C6B6759">
            <w:pPr>
              <w:pStyle w:val="6"/>
              <w:spacing w:before="69" w:line="185" w:lineRule="auto"/>
              <w:ind w:left="143"/>
              <w:rPr>
                <w:sz w:val="22"/>
                <w:szCs w:val="22"/>
              </w:rPr>
            </w:pPr>
            <w:r>
              <w:rPr>
                <w:spacing w:val="-2"/>
                <w:sz w:val="22"/>
                <w:szCs w:val="22"/>
              </w:rPr>
              <w:t>6015.00</w:t>
            </w:r>
          </w:p>
        </w:tc>
        <w:tc>
          <w:tcPr>
            <w:tcW w:w="739" w:type="dxa"/>
            <w:vAlign w:val="top"/>
          </w:tcPr>
          <w:p w14:paraId="4DD1AE12">
            <w:pPr>
              <w:rPr>
                <w:rFonts w:ascii="Arial"/>
                <w:sz w:val="21"/>
              </w:rPr>
            </w:pPr>
          </w:p>
        </w:tc>
        <w:tc>
          <w:tcPr>
            <w:tcW w:w="849" w:type="dxa"/>
            <w:vAlign w:val="top"/>
          </w:tcPr>
          <w:p w14:paraId="2B783F36">
            <w:pPr>
              <w:rPr>
                <w:rFonts w:ascii="Arial"/>
                <w:sz w:val="21"/>
              </w:rPr>
            </w:pPr>
          </w:p>
        </w:tc>
        <w:tc>
          <w:tcPr>
            <w:tcW w:w="1099" w:type="dxa"/>
            <w:vAlign w:val="top"/>
          </w:tcPr>
          <w:p w14:paraId="61098363">
            <w:pPr>
              <w:rPr>
                <w:rFonts w:ascii="Arial"/>
                <w:sz w:val="21"/>
              </w:rPr>
            </w:pPr>
          </w:p>
        </w:tc>
        <w:tc>
          <w:tcPr>
            <w:tcW w:w="1089" w:type="dxa"/>
            <w:vAlign w:val="top"/>
          </w:tcPr>
          <w:p w14:paraId="34691782">
            <w:pPr>
              <w:pStyle w:val="6"/>
              <w:spacing w:before="69" w:line="185" w:lineRule="auto"/>
              <w:ind w:left="207"/>
              <w:rPr>
                <w:sz w:val="22"/>
                <w:szCs w:val="22"/>
              </w:rPr>
            </w:pPr>
            <w:r>
              <w:rPr>
                <w:spacing w:val="-4"/>
                <w:sz w:val="22"/>
                <w:szCs w:val="22"/>
              </w:rPr>
              <w:t>140.44</w:t>
            </w:r>
          </w:p>
        </w:tc>
        <w:tc>
          <w:tcPr>
            <w:tcW w:w="839" w:type="dxa"/>
            <w:vAlign w:val="top"/>
          </w:tcPr>
          <w:p w14:paraId="2B977C20">
            <w:pPr>
              <w:pStyle w:val="6"/>
              <w:spacing w:before="69" w:line="185" w:lineRule="auto"/>
              <w:ind w:left="138"/>
              <w:rPr>
                <w:sz w:val="22"/>
                <w:szCs w:val="22"/>
              </w:rPr>
            </w:pPr>
            <w:r>
              <w:rPr>
                <w:spacing w:val="-2"/>
                <w:sz w:val="22"/>
                <w:szCs w:val="22"/>
              </w:rPr>
              <w:t>0.84%</w:t>
            </w:r>
          </w:p>
        </w:tc>
        <w:tc>
          <w:tcPr>
            <w:tcW w:w="1194" w:type="dxa"/>
            <w:vAlign w:val="top"/>
          </w:tcPr>
          <w:p w14:paraId="648FC856">
            <w:pPr>
              <w:pStyle w:val="6"/>
              <w:spacing w:before="69" w:line="185" w:lineRule="auto"/>
              <w:ind w:left="149"/>
              <w:rPr>
                <w:sz w:val="22"/>
                <w:szCs w:val="22"/>
              </w:rPr>
            </w:pPr>
            <w:r>
              <w:rPr>
                <w:spacing w:val="-3"/>
                <w:sz w:val="22"/>
                <w:szCs w:val="22"/>
              </w:rPr>
              <w:t>11787.42</w:t>
            </w:r>
          </w:p>
        </w:tc>
      </w:tr>
      <w:tr w14:paraId="609D7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44" w:type="dxa"/>
            <w:vMerge w:val="restart"/>
            <w:tcBorders>
              <w:bottom w:val="nil"/>
            </w:tcBorders>
            <w:vAlign w:val="top"/>
          </w:tcPr>
          <w:p w14:paraId="2EEBED00">
            <w:pPr>
              <w:spacing w:line="333" w:lineRule="auto"/>
              <w:rPr>
                <w:rFonts w:ascii="Arial"/>
                <w:sz w:val="21"/>
              </w:rPr>
            </w:pPr>
          </w:p>
          <w:p w14:paraId="09E42CB2">
            <w:pPr>
              <w:pStyle w:val="6"/>
              <w:spacing w:before="72" w:line="219" w:lineRule="auto"/>
              <w:ind w:left="84"/>
              <w:rPr>
                <w:sz w:val="22"/>
                <w:szCs w:val="22"/>
              </w:rPr>
            </w:pPr>
            <w:r>
              <w:rPr>
                <w:spacing w:val="4"/>
                <w:sz w:val="22"/>
                <w:szCs w:val="22"/>
              </w:rPr>
              <w:t>伴生镉</w:t>
            </w:r>
          </w:p>
          <w:p w14:paraId="35BC3D87">
            <w:pPr>
              <w:pStyle w:val="6"/>
              <w:spacing w:before="42" w:line="222" w:lineRule="auto"/>
              <w:ind w:left="194"/>
              <w:rPr>
                <w:sz w:val="22"/>
                <w:szCs w:val="22"/>
              </w:rPr>
            </w:pPr>
            <w:r>
              <w:rPr>
                <w:spacing w:val="-9"/>
                <w:sz w:val="22"/>
                <w:szCs w:val="22"/>
              </w:rPr>
              <w:t>(Cd)</w:t>
            </w:r>
          </w:p>
        </w:tc>
        <w:tc>
          <w:tcPr>
            <w:tcW w:w="799" w:type="dxa"/>
            <w:vAlign w:val="top"/>
          </w:tcPr>
          <w:p w14:paraId="7F28E6C6">
            <w:pPr>
              <w:pStyle w:val="6"/>
              <w:spacing w:before="114" w:line="163" w:lineRule="auto"/>
              <w:ind w:left="280"/>
              <w:rPr>
                <w:sz w:val="22"/>
                <w:szCs w:val="22"/>
              </w:rPr>
            </w:pPr>
            <w:r>
              <w:rPr>
                <w:spacing w:val="-2"/>
                <w:sz w:val="22"/>
                <w:szCs w:val="22"/>
              </w:rPr>
              <w:t>TM</w:t>
            </w:r>
          </w:p>
        </w:tc>
        <w:tc>
          <w:tcPr>
            <w:tcW w:w="849" w:type="dxa"/>
            <w:vAlign w:val="top"/>
          </w:tcPr>
          <w:p w14:paraId="0598A950">
            <w:pPr>
              <w:pStyle w:val="6"/>
              <w:spacing w:before="79" w:line="193" w:lineRule="auto"/>
              <w:ind w:left="191"/>
              <w:rPr>
                <w:sz w:val="22"/>
                <w:szCs w:val="22"/>
              </w:rPr>
            </w:pPr>
            <w:r>
              <w:rPr>
                <w:spacing w:val="-2"/>
                <w:sz w:val="22"/>
                <w:szCs w:val="22"/>
              </w:rPr>
              <w:t>8.78</w:t>
            </w:r>
          </w:p>
        </w:tc>
        <w:tc>
          <w:tcPr>
            <w:tcW w:w="839" w:type="dxa"/>
            <w:vAlign w:val="top"/>
          </w:tcPr>
          <w:p w14:paraId="78121FC0">
            <w:pPr>
              <w:pStyle w:val="6"/>
              <w:spacing w:before="79" w:line="193" w:lineRule="auto"/>
              <w:ind w:left="82"/>
              <w:rPr>
                <w:sz w:val="22"/>
                <w:szCs w:val="22"/>
              </w:rPr>
            </w:pPr>
            <w:r>
              <w:rPr>
                <w:spacing w:val="-1"/>
                <w:sz w:val="22"/>
                <w:szCs w:val="22"/>
              </w:rPr>
              <w:t>0.107%</w:t>
            </w:r>
          </w:p>
        </w:tc>
        <w:tc>
          <w:tcPr>
            <w:tcW w:w="1069" w:type="dxa"/>
            <w:vAlign w:val="top"/>
          </w:tcPr>
          <w:p w14:paraId="78F212CB">
            <w:pPr>
              <w:pStyle w:val="6"/>
              <w:spacing w:before="79" w:line="193" w:lineRule="auto"/>
              <w:ind w:left="253"/>
              <w:rPr>
                <w:sz w:val="22"/>
                <w:szCs w:val="22"/>
              </w:rPr>
            </w:pPr>
            <w:r>
              <w:rPr>
                <w:spacing w:val="-2"/>
                <w:sz w:val="22"/>
                <w:szCs w:val="22"/>
              </w:rPr>
              <w:t>94.00</w:t>
            </w:r>
          </w:p>
        </w:tc>
        <w:tc>
          <w:tcPr>
            <w:tcW w:w="739" w:type="dxa"/>
            <w:vAlign w:val="top"/>
          </w:tcPr>
          <w:p w14:paraId="49600A34">
            <w:pPr>
              <w:pStyle w:val="6"/>
              <w:spacing w:before="79" w:line="193" w:lineRule="auto"/>
              <w:ind w:left="84"/>
              <w:rPr>
                <w:sz w:val="22"/>
                <w:szCs w:val="22"/>
              </w:rPr>
            </w:pPr>
            <w:r>
              <w:rPr>
                <w:spacing w:val="-2"/>
                <w:sz w:val="22"/>
                <w:szCs w:val="22"/>
              </w:rPr>
              <w:t>92.55</w:t>
            </w:r>
          </w:p>
        </w:tc>
        <w:tc>
          <w:tcPr>
            <w:tcW w:w="849" w:type="dxa"/>
            <w:vAlign w:val="top"/>
          </w:tcPr>
          <w:p w14:paraId="4195E1D7">
            <w:pPr>
              <w:pStyle w:val="6"/>
              <w:spacing w:before="79" w:line="193" w:lineRule="auto"/>
              <w:ind w:left="85"/>
              <w:rPr>
                <w:sz w:val="22"/>
                <w:szCs w:val="22"/>
              </w:rPr>
            </w:pPr>
            <w:r>
              <w:rPr>
                <w:spacing w:val="-1"/>
                <w:sz w:val="22"/>
                <w:szCs w:val="22"/>
              </w:rPr>
              <w:t>0.111%</w:t>
            </w:r>
          </w:p>
        </w:tc>
        <w:tc>
          <w:tcPr>
            <w:tcW w:w="1099" w:type="dxa"/>
            <w:vAlign w:val="top"/>
          </w:tcPr>
          <w:p w14:paraId="04BDC3A7">
            <w:pPr>
              <w:pStyle w:val="6"/>
              <w:spacing w:before="79" w:line="193" w:lineRule="auto"/>
              <w:ind w:left="156"/>
              <w:rPr>
                <w:sz w:val="22"/>
                <w:szCs w:val="22"/>
              </w:rPr>
            </w:pPr>
            <w:r>
              <w:rPr>
                <w:spacing w:val="-4"/>
                <w:sz w:val="22"/>
                <w:szCs w:val="22"/>
              </w:rPr>
              <w:t>1025.08</w:t>
            </w:r>
          </w:p>
        </w:tc>
        <w:tc>
          <w:tcPr>
            <w:tcW w:w="1089" w:type="dxa"/>
            <w:vAlign w:val="top"/>
          </w:tcPr>
          <w:p w14:paraId="1228D6F2">
            <w:pPr>
              <w:pStyle w:val="6"/>
              <w:spacing w:before="79" w:line="193" w:lineRule="auto"/>
              <w:ind w:left="207"/>
              <w:rPr>
                <w:sz w:val="22"/>
                <w:szCs w:val="22"/>
              </w:rPr>
            </w:pPr>
            <w:r>
              <w:rPr>
                <w:spacing w:val="-4"/>
                <w:sz w:val="22"/>
                <w:szCs w:val="22"/>
              </w:rPr>
              <w:t>101.33</w:t>
            </w:r>
          </w:p>
        </w:tc>
        <w:tc>
          <w:tcPr>
            <w:tcW w:w="839" w:type="dxa"/>
            <w:vAlign w:val="top"/>
          </w:tcPr>
          <w:p w14:paraId="3EC1E116">
            <w:pPr>
              <w:pStyle w:val="6"/>
              <w:spacing w:before="79" w:line="193" w:lineRule="auto"/>
              <w:ind w:left="88"/>
              <w:rPr>
                <w:sz w:val="22"/>
                <w:szCs w:val="22"/>
              </w:rPr>
            </w:pPr>
            <w:r>
              <w:rPr>
                <w:spacing w:val="-1"/>
                <w:sz w:val="22"/>
                <w:szCs w:val="22"/>
              </w:rPr>
              <w:t>0.110%</w:t>
            </w:r>
          </w:p>
        </w:tc>
        <w:tc>
          <w:tcPr>
            <w:tcW w:w="1194" w:type="dxa"/>
            <w:vAlign w:val="top"/>
          </w:tcPr>
          <w:p w14:paraId="6D4FBE0D">
            <w:pPr>
              <w:pStyle w:val="6"/>
              <w:spacing w:before="79" w:line="193" w:lineRule="auto"/>
              <w:ind w:left="209"/>
              <w:rPr>
                <w:sz w:val="22"/>
                <w:szCs w:val="22"/>
              </w:rPr>
            </w:pPr>
            <w:r>
              <w:rPr>
                <w:spacing w:val="-4"/>
                <w:sz w:val="22"/>
                <w:szCs w:val="22"/>
              </w:rPr>
              <w:t>1119.08</w:t>
            </w:r>
          </w:p>
        </w:tc>
      </w:tr>
      <w:tr w14:paraId="1027D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44" w:type="dxa"/>
            <w:vMerge w:val="continue"/>
            <w:tcBorders>
              <w:top w:val="nil"/>
              <w:bottom w:val="nil"/>
            </w:tcBorders>
            <w:vAlign w:val="top"/>
          </w:tcPr>
          <w:p w14:paraId="79277959">
            <w:pPr>
              <w:rPr>
                <w:rFonts w:ascii="Arial"/>
                <w:sz w:val="21"/>
              </w:rPr>
            </w:pPr>
          </w:p>
        </w:tc>
        <w:tc>
          <w:tcPr>
            <w:tcW w:w="799" w:type="dxa"/>
            <w:vAlign w:val="top"/>
          </w:tcPr>
          <w:p w14:paraId="46C6CB35">
            <w:pPr>
              <w:pStyle w:val="6"/>
              <w:spacing w:before="115" w:line="162" w:lineRule="auto"/>
              <w:ind w:left="280"/>
              <w:rPr>
                <w:sz w:val="22"/>
                <w:szCs w:val="22"/>
              </w:rPr>
            </w:pPr>
            <w:r>
              <w:rPr>
                <w:spacing w:val="-2"/>
                <w:sz w:val="22"/>
                <w:szCs w:val="22"/>
              </w:rPr>
              <w:t>KZ</w:t>
            </w:r>
          </w:p>
        </w:tc>
        <w:tc>
          <w:tcPr>
            <w:tcW w:w="849" w:type="dxa"/>
            <w:vAlign w:val="top"/>
          </w:tcPr>
          <w:p w14:paraId="498F73EE">
            <w:pPr>
              <w:pStyle w:val="6"/>
              <w:spacing w:before="80" w:line="192" w:lineRule="auto"/>
              <w:ind w:left="141"/>
              <w:rPr>
                <w:sz w:val="22"/>
                <w:szCs w:val="22"/>
              </w:rPr>
            </w:pPr>
            <w:r>
              <w:rPr>
                <w:spacing w:val="-2"/>
                <w:sz w:val="22"/>
                <w:szCs w:val="22"/>
              </w:rPr>
              <w:t>48.67</w:t>
            </w:r>
          </w:p>
        </w:tc>
        <w:tc>
          <w:tcPr>
            <w:tcW w:w="839" w:type="dxa"/>
            <w:vAlign w:val="top"/>
          </w:tcPr>
          <w:p w14:paraId="139BC0C1">
            <w:pPr>
              <w:pStyle w:val="6"/>
              <w:spacing w:before="80" w:line="192" w:lineRule="auto"/>
              <w:ind w:left="82"/>
              <w:rPr>
                <w:sz w:val="22"/>
                <w:szCs w:val="22"/>
              </w:rPr>
            </w:pPr>
            <w:r>
              <w:rPr>
                <w:spacing w:val="-1"/>
                <w:sz w:val="22"/>
                <w:szCs w:val="22"/>
              </w:rPr>
              <w:t>0.102%</w:t>
            </w:r>
          </w:p>
        </w:tc>
        <w:tc>
          <w:tcPr>
            <w:tcW w:w="1069" w:type="dxa"/>
            <w:vAlign w:val="top"/>
          </w:tcPr>
          <w:p w14:paraId="53944C5F">
            <w:pPr>
              <w:pStyle w:val="6"/>
              <w:spacing w:before="80" w:line="192" w:lineRule="auto"/>
              <w:ind w:left="193"/>
              <w:rPr>
                <w:sz w:val="22"/>
                <w:szCs w:val="22"/>
              </w:rPr>
            </w:pPr>
            <w:r>
              <w:rPr>
                <w:spacing w:val="-2"/>
                <w:sz w:val="22"/>
                <w:szCs w:val="22"/>
              </w:rPr>
              <w:t>495.00</w:t>
            </w:r>
          </w:p>
        </w:tc>
        <w:tc>
          <w:tcPr>
            <w:tcW w:w="739" w:type="dxa"/>
            <w:vAlign w:val="top"/>
          </w:tcPr>
          <w:p w14:paraId="12C9DB11">
            <w:pPr>
              <w:rPr>
                <w:rFonts w:ascii="Arial"/>
                <w:sz w:val="21"/>
              </w:rPr>
            </w:pPr>
          </w:p>
        </w:tc>
        <w:tc>
          <w:tcPr>
            <w:tcW w:w="849" w:type="dxa"/>
            <w:vAlign w:val="top"/>
          </w:tcPr>
          <w:p w14:paraId="04C06495">
            <w:pPr>
              <w:rPr>
                <w:rFonts w:ascii="Arial"/>
                <w:sz w:val="21"/>
              </w:rPr>
            </w:pPr>
          </w:p>
        </w:tc>
        <w:tc>
          <w:tcPr>
            <w:tcW w:w="1099" w:type="dxa"/>
            <w:vAlign w:val="top"/>
          </w:tcPr>
          <w:p w14:paraId="3D33311B">
            <w:pPr>
              <w:rPr>
                <w:rFonts w:ascii="Arial"/>
                <w:sz w:val="21"/>
              </w:rPr>
            </w:pPr>
          </w:p>
        </w:tc>
        <w:tc>
          <w:tcPr>
            <w:tcW w:w="1089" w:type="dxa"/>
            <w:vAlign w:val="top"/>
          </w:tcPr>
          <w:p w14:paraId="6A27A6D5">
            <w:pPr>
              <w:pStyle w:val="6"/>
              <w:spacing w:before="80" w:line="192" w:lineRule="auto"/>
              <w:ind w:left="267"/>
              <w:rPr>
                <w:sz w:val="22"/>
                <w:szCs w:val="22"/>
              </w:rPr>
            </w:pPr>
            <w:r>
              <w:rPr>
                <w:spacing w:val="-2"/>
                <w:sz w:val="22"/>
                <w:szCs w:val="22"/>
              </w:rPr>
              <w:t>48.67</w:t>
            </w:r>
          </w:p>
        </w:tc>
        <w:tc>
          <w:tcPr>
            <w:tcW w:w="839" w:type="dxa"/>
            <w:vAlign w:val="top"/>
          </w:tcPr>
          <w:p w14:paraId="0D3F41A5">
            <w:pPr>
              <w:pStyle w:val="6"/>
              <w:spacing w:before="80" w:line="192" w:lineRule="auto"/>
              <w:ind w:left="88"/>
              <w:rPr>
                <w:sz w:val="22"/>
                <w:szCs w:val="22"/>
              </w:rPr>
            </w:pPr>
            <w:r>
              <w:rPr>
                <w:spacing w:val="-1"/>
                <w:sz w:val="22"/>
                <w:szCs w:val="22"/>
              </w:rPr>
              <w:t>0.102%</w:t>
            </w:r>
          </w:p>
        </w:tc>
        <w:tc>
          <w:tcPr>
            <w:tcW w:w="1194" w:type="dxa"/>
            <w:vAlign w:val="top"/>
          </w:tcPr>
          <w:p w14:paraId="2F69A7F2">
            <w:pPr>
              <w:pStyle w:val="6"/>
              <w:spacing w:before="80" w:line="192" w:lineRule="auto"/>
              <w:ind w:left="259"/>
              <w:rPr>
                <w:sz w:val="22"/>
                <w:szCs w:val="22"/>
              </w:rPr>
            </w:pPr>
            <w:r>
              <w:rPr>
                <w:spacing w:val="-2"/>
                <w:sz w:val="22"/>
                <w:szCs w:val="22"/>
              </w:rPr>
              <w:t>495.00</w:t>
            </w:r>
          </w:p>
        </w:tc>
      </w:tr>
      <w:tr w14:paraId="37CCB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44" w:type="dxa"/>
            <w:vMerge w:val="continue"/>
            <w:tcBorders>
              <w:top w:val="nil"/>
              <w:bottom w:val="nil"/>
            </w:tcBorders>
            <w:vAlign w:val="top"/>
          </w:tcPr>
          <w:p w14:paraId="0B739255">
            <w:pPr>
              <w:rPr>
                <w:rFonts w:ascii="Arial"/>
                <w:sz w:val="21"/>
              </w:rPr>
            </w:pPr>
          </w:p>
        </w:tc>
        <w:tc>
          <w:tcPr>
            <w:tcW w:w="799" w:type="dxa"/>
            <w:vAlign w:val="top"/>
          </w:tcPr>
          <w:p w14:paraId="01FF6977">
            <w:pPr>
              <w:pStyle w:val="6"/>
              <w:spacing w:before="107" w:line="182" w:lineRule="exact"/>
              <w:ind w:left="280"/>
              <w:rPr>
                <w:sz w:val="22"/>
                <w:szCs w:val="22"/>
              </w:rPr>
            </w:pPr>
            <w:r>
              <w:rPr>
                <w:spacing w:val="-2"/>
                <w:position w:val="-2"/>
                <w:sz w:val="22"/>
                <w:szCs w:val="22"/>
              </w:rPr>
              <w:t>TD</w:t>
            </w:r>
          </w:p>
        </w:tc>
        <w:tc>
          <w:tcPr>
            <w:tcW w:w="849" w:type="dxa"/>
            <w:vAlign w:val="top"/>
          </w:tcPr>
          <w:p w14:paraId="77D1A1B4">
            <w:pPr>
              <w:pStyle w:val="6"/>
              <w:spacing w:before="70" w:line="184" w:lineRule="auto"/>
              <w:ind w:left="141"/>
              <w:rPr>
                <w:sz w:val="22"/>
                <w:szCs w:val="22"/>
              </w:rPr>
            </w:pPr>
            <w:r>
              <w:rPr>
                <w:spacing w:val="-2"/>
                <w:sz w:val="22"/>
                <w:szCs w:val="22"/>
              </w:rPr>
              <w:t>82.86</w:t>
            </w:r>
          </w:p>
        </w:tc>
        <w:tc>
          <w:tcPr>
            <w:tcW w:w="839" w:type="dxa"/>
            <w:vAlign w:val="top"/>
          </w:tcPr>
          <w:p w14:paraId="1C9E212B">
            <w:pPr>
              <w:pStyle w:val="6"/>
              <w:spacing w:before="70" w:line="184" w:lineRule="auto"/>
              <w:ind w:left="82"/>
              <w:rPr>
                <w:sz w:val="22"/>
                <w:szCs w:val="22"/>
              </w:rPr>
            </w:pPr>
            <w:r>
              <w:rPr>
                <w:spacing w:val="-1"/>
                <w:sz w:val="22"/>
                <w:szCs w:val="22"/>
              </w:rPr>
              <w:t>0.157%</w:t>
            </w:r>
          </w:p>
        </w:tc>
        <w:tc>
          <w:tcPr>
            <w:tcW w:w="1069" w:type="dxa"/>
            <w:vAlign w:val="top"/>
          </w:tcPr>
          <w:p w14:paraId="7D2C842F">
            <w:pPr>
              <w:pStyle w:val="6"/>
              <w:spacing w:before="70" w:line="184" w:lineRule="auto"/>
              <w:ind w:left="143"/>
              <w:rPr>
                <w:sz w:val="22"/>
                <w:szCs w:val="22"/>
              </w:rPr>
            </w:pPr>
            <w:r>
              <w:rPr>
                <w:spacing w:val="-4"/>
                <w:sz w:val="22"/>
                <w:szCs w:val="22"/>
              </w:rPr>
              <w:t>1299.00</w:t>
            </w:r>
          </w:p>
        </w:tc>
        <w:tc>
          <w:tcPr>
            <w:tcW w:w="739" w:type="dxa"/>
            <w:vAlign w:val="top"/>
          </w:tcPr>
          <w:p w14:paraId="1496C26C">
            <w:pPr>
              <w:rPr>
                <w:rFonts w:ascii="Arial"/>
                <w:sz w:val="21"/>
              </w:rPr>
            </w:pPr>
          </w:p>
        </w:tc>
        <w:tc>
          <w:tcPr>
            <w:tcW w:w="849" w:type="dxa"/>
            <w:vAlign w:val="top"/>
          </w:tcPr>
          <w:p w14:paraId="490BCFEA">
            <w:pPr>
              <w:rPr>
                <w:rFonts w:ascii="Arial"/>
                <w:sz w:val="21"/>
              </w:rPr>
            </w:pPr>
          </w:p>
        </w:tc>
        <w:tc>
          <w:tcPr>
            <w:tcW w:w="1099" w:type="dxa"/>
            <w:vAlign w:val="top"/>
          </w:tcPr>
          <w:p w14:paraId="6A6EA910">
            <w:pPr>
              <w:rPr>
                <w:rFonts w:ascii="Arial"/>
                <w:sz w:val="21"/>
              </w:rPr>
            </w:pPr>
          </w:p>
        </w:tc>
        <w:tc>
          <w:tcPr>
            <w:tcW w:w="1089" w:type="dxa"/>
            <w:vAlign w:val="top"/>
          </w:tcPr>
          <w:p w14:paraId="02531FFC">
            <w:pPr>
              <w:pStyle w:val="6"/>
              <w:spacing w:before="70" w:line="184" w:lineRule="auto"/>
              <w:ind w:left="267"/>
              <w:rPr>
                <w:sz w:val="22"/>
                <w:szCs w:val="22"/>
              </w:rPr>
            </w:pPr>
            <w:r>
              <w:rPr>
                <w:spacing w:val="-2"/>
                <w:sz w:val="22"/>
                <w:szCs w:val="22"/>
              </w:rPr>
              <w:t>82.86</w:t>
            </w:r>
          </w:p>
        </w:tc>
        <w:tc>
          <w:tcPr>
            <w:tcW w:w="839" w:type="dxa"/>
            <w:vAlign w:val="top"/>
          </w:tcPr>
          <w:p w14:paraId="185E471E">
            <w:pPr>
              <w:pStyle w:val="6"/>
              <w:spacing w:before="70" w:line="184" w:lineRule="auto"/>
              <w:ind w:left="88"/>
              <w:rPr>
                <w:sz w:val="22"/>
                <w:szCs w:val="22"/>
              </w:rPr>
            </w:pPr>
            <w:r>
              <w:rPr>
                <w:spacing w:val="-1"/>
                <w:sz w:val="22"/>
                <w:szCs w:val="22"/>
              </w:rPr>
              <w:t>0.157%</w:t>
            </w:r>
          </w:p>
        </w:tc>
        <w:tc>
          <w:tcPr>
            <w:tcW w:w="1194" w:type="dxa"/>
            <w:vAlign w:val="top"/>
          </w:tcPr>
          <w:p w14:paraId="78D411AD">
            <w:pPr>
              <w:pStyle w:val="6"/>
              <w:spacing w:before="70" w:line="184" w:lineRule="auto"/>
              <w:ind w:left="209"/>
              <w:rPr>
                <w:sz w:val="22"/>
                <w:szCs w:val="22"/>
              </w:rPr>
            </w:pPr>
            <w:r>
              <w:rPr>
                <w:spacing w:val="-4"/>
                <w:sz w:val="22"/>
                <w:szCs w:val="22"/>
              </w:rPr>
              <w:t>1299.00</w:t>
            </w:r>
          </w:p>
        </w:tc>
      </w:tr>
      <w:tr w14:paraId="48E11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44" w:type="dxa"/>
            <w:vMerge w:val="continue"/>
            <w:tcBorders>
              <w:top w:val="nil"/>
            </w:tcBorders>
            <w:vAlign w:val="top"/>
          </w:tcPr>
          <w:p w14:paraId="79E264F8">
            <w:pPr>
              <w:rPr>
                <w:rFonts w:ascii="Arial"/>
                <w:sz w:val="21"/>
              </w:rPr>
            </w:pPr>
          </w:p>
        </w:tc>
        <w:tc>
          <w:tcPr>
            <w:tcW w:w="799" w:type="dxa"/>
            <w:vAlign w:val="top"/>
          </w:tcPr>
          <w:p w14:paraId="3FED8242">
            <w:pPr>
              <w:pStyle w:val="6"/>
              <w:spacing w:before="60" w:line="204" w:lineRule="auto"/>
              <w:ind w:left="170"/>
              <w:rPr>
                <w:sz w:val="22"/>
                <w:szCs w:val="22"/>
              </w:rPr>
            </w:pPr>
            <w:r>
              <w:rPr>
                <w:spacing w:val="4"/>
                <w:sz w:val="22"/>
                <w:szCs w:val="22"/>
              </w:rPr>
              <w:t>小计</w:t>
            </w:r>
          </w:p>
        </w:tc>
        <w:tc>
          <w:tcPr>
            <w:tcW w:w="849" w:type="dxa"/>
            <w:vAlign w:val="top"/>
          </w:tcPr>
          <w:p w14:paraId="3DB2A68D">
            <w:pPr>
              <w:pStyle w:val="6"/>
              <w:spacing w:before="81" w:line="187" w:lineRule="auto"/>
              <w:ind w:left="81"/>
              <w:rPr>
                <w:sz w:val="22"/>
                <w:szCs w:val="22"/>
              </w:rPr>
            </w:pPr>
            <w:r>
              <w:rPr>
                <w:spacing w:val="-4"/>
                <w:sz w:val="22"/>
                <w:szCs w:val="22"/>
              </w:rPr>
              <w:t>140.31</w:t>
            </w:r>
          </w:p>
        </w:tc>
        <w:tc>
          <w:tcPr>
            <w:tcW w:w="839" w:type="dxa"/>
            <w:vAlign w:val="top"/>
          </w:tcPr>
          <w:p w14:paraId="1D60E865">
            <w:pPr>
              <w:pStyle w:val="6"/>
              <w:spacing w:before="81" w:line="187" w:lineRule="auto"/>
              <w:ind w:left="82"/>
              <w:rPr>
                <w:sz w:val="22"/>
                <w:szCs w:val="22"/>
              </w:rPr>
            </w:pPr>
            <w:r>
              <w:rPr>
                <w:spacing w:val="-1"/>
                <w:sz w:val="22"/>
                <w:szCs w:val="22"/>
              </w:rPr>
              <w:t>0.135%</w:t>
            </w:r>
          </w:p>
        </w:tc>
        <w:tc>
          <w:tcPr>
            <w:tcW w:w="1069" w:type="dxa"/>
            <w:vAlign w:val="top"/>
          </w:tcPr>
          <w:p w14:paraId="05098E77">
            <w:pPr>
              <w:pStyle w:val="6"/>
              <w:spacing w:before="81" w:line="187" w:lineRule="auto"/>
              <w:ind w:left="143"/>
              <w:rPr>
                <w:sz w:val="22"/>
                <w:szCs w:val="22"/>
              </w:rPr>
            </w:pPr>
            <w:r>
              <w:rPr>
                <w:spacing w:val="-4"/>
                <w:sz w:val="22"/>
                <w:szCs w:val="22"/>
              </w:rPr>
              <w:t>1888.00</w:t>
            </w:r>
          </w:p>
        </w:tc>
        <w:tc>
          <w:tcPr>
            <w:tcW w:w="739" w:type="dxa"/>
            <w:vAlign w:val="top"/>
          </w:tcPr>
          <w:p w14:paraId="53EA5879">
            <w:pPr>
              <w:rPr>
                <w:rFonts w:ascii="Arial"/>
                <w:sz w:val="21"/>
              </w:rPr>
            </w:pPr>
          </w:p>
        </w:tc>
        <w:tc>
          <w:tcPr>
            <w:tcW w:w="849" w:type="dxa"/>
            <w:vAlign w:val="top"/>
          </w:tcPr>
          <w:p w14:paraId="33496E9E">
            <w:pPr>
              <w:rPr>
                <w:rFonts w:ascii="Arial"/>
                <w:sz w:val="21"/>
              </w:rPr>
            </w:pPr>
          </w:p>
        </w:tc>
        <w:tc>
          <w:tcPr>
            <w:tcW w:w="1099" w:type="dxa"/>
            <w:vAlign w:val="top"/>
          </w:tcPr>
          <w:p w14:paraId="72350930">
            <w:pPr>
              <w:rPr>
                <w:rFonts w:ascii="Arial"/>
                <w:sz w:val="21"/>
              </w:rPr>
            </w:pPr>
          </w:p>
        </w:tc>
        <w:tc>
          <w:tcPr>
            <w:tcW w:w="1089" w:type="dxa"/>
            <w:vAlign w:val="top"/>
          </w:tcPr>
          <w:p w14:paraId="5446DF0F">
            <w:pPr>
              <w:pStyle w:val="6"/>
              <w:spacing w:before="81" w:line="187" w:lineRule="auto"/>
              <w:ind w:left="207"/>
              <w:rPr>
                <w:sz w:val="22"/>
                <w:szCs w:val="22"/>
              </w:rPr>
            </w:pPr>
            <w:r>
              <w:rPr>
                <w:spacing w:val="-2"/>
                <w:sz w:val="22"/>
                <w:szCs w:val="22"/>
              </w:rPr>
              <w:t>232.86</w:t>
            </w:r>
          </w:p>
        </w:tc>
        <w:tc>
          <w:tcPr>
            <w:tcW w:w="839" w:type="dxa"/>
            <w:vAlign w:val="top"/>
          </w:tcPr>
          <w:p w14:paraId="4E82D6C7">
            <w:pPr>
              <w:pStyle w:val="6"/>
              <w:spacing w:before="81" w:line="187" w:lineRule="auto"/>
              <w:ind w:left="88"/>
              <w:rPr>
                <w:sz w:val="22"/>
                <w:szCs w:val="22"/>
              </w:rPr>
            </w:pPr>
            <w:r>
              <w:rPr>
                <w:spacing w:val="-1"/>
                <w:sz w:val="22"/>
                <w:szCs w:val="22"/>
              </w:rPr>
              <w:t>0.125%</w:t>
            </w:r>
          </w:p>
        </w:tc>
        <w:tc>
          <w:tcPr>
            <w:tcW w:w="1194" w:type="dxa"/>
            <w:vAlign w:val="top"/>
          </w:tcPr>
          <w:p w14:paraId="0D87B5EA">
            <w:pPr>
              <w:pStyle w:val="6"/>
              <w:spacing w:before="81" w:line="187" w:lineRule="auto"/>
              <w:ind w:left="209"/>
              <w:rPr>
                <w:sz w:val="22"/>
                <w:szCs w:val="22"/>
              </w:rPr>
            </w:pPr>
            <w:r>
              <w:rPr>
                <w:spacing w:val="-2"/>
                <w:sz w:val="22"/>
                <w:szCs w:val="22"/>
              </w:rPr>
              <w:t>2913.08</w:t>
            </w:r>
          </w:p>
        </w:tc>
      </w:tr>
    </w:tbl>
    <w:p w14:paraId="5960694B">
      <w:pPr>
        <w:spacing w:before="222" w:line="387" w:lineRule="auto"/>
        <w:ind w:left="514" w:right="1225" w:firstLine="540"/>
        <w:jc w:val="both"/>
        <w:rPr>
          <w:rFonts w:ascii="宋体" w:hAnsi="宋体" w:eastAsia="宋体" w:cs="宋体"/>
          <w:sz w:val="24"/>
          <w:szCs w:val="24"/>
        </w:rPr>
      </w:pPr>
      <w:r>
        <w:rPr>
          <w:rFonts w:ascii="宋体" w:hAnsi="宋体" w:eastAsia="宋体" w:cs="宋体"/>
          <w:sz w:val="24"/>
          <w:szCs w:val="24"/>
        </w:rPr>
        <w:t>扣除已处置价款对应的资源储量后，本次出让收益评估需处置新增资源储量</w:t>
      </w:r>
      <w:r>
        <w:rPr>
          <w:rFonts w:ascii="宋体" w:hAnsi="宋体" w:eastAsia="宋体" w:cs="宋体"/>
          <w:spacing w:val="18"/>
          <w:sz w:val="24"/>
          <w:szCs w:val="24"/>
        </w:rPr>
        <w:t xml:space="preserve"> </w:t>
      </w:r>
      <w:r>
        <w:rPr>
          <w:rFonts w:ascii="Times New Roman" w:hAnsi="Times New Roman" w:eastAsia="Times New Roman" w:cs="Times New Roman"/>
          <w:sz w:val="24"/>
          <w:szCs w:val="24"/>
        </w:rPr>
        <w:t>TM</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9"/>
          <w:sz w:val="24"/>
          <w:szCs w:val="24"/>
        </w:rPr>
        <w:t xml:space="preserve"> </w:t>
      </w:r>
      <w:r>
        <w:rPr>
          <w:rFonts w:ascii="宋体" w:hAnsi="宋体" w:eastAsia="宋体" w:cs="宋体"/>
          <w:spacing w:val="7"/>
          <w:sz w:val="24"/>
          <w:szCs w:val="24"/>
        </w:rPr>
        <w:t>类锌矿石量36.45万吨，锌金属量14889.33吨，锌平均品位4.0</w:t>
      </w:r>
      <w:r>
        <w:rPr>
          <w:rFonts w:ascii="宋体" w:hAnsi="宋体" w:eastAsia="宋体" w:cs="宋体"/>
          <w:spacing w:val="6"/>
          <w:sz w:val="24"/>
          <w:szCs w:val="24"/>
        </w:rPr>
        <w:t>8%;</w:t>
      </w:r>
      <w:r>
        <w:rPr>
          <w:rFonts w:ascii="宋体" w:hAnsi="宋体" w:eastAsia="宋体" w:cs="宋体"/>
          <w:sz w:val="24"/>
          <w:szCs w:val="24"/>
        </w:rPr>
        <w:t xml:space="preserve"> </w:t>
      </w:r>
      <w:r>
        <w:rPr>
          <w:rFonts w:ascii="宋体" w:hAnsi="宋体" w:eastAsia="宋体" w:cs="宋体"/>
          <w:spacing w:val="4"/>
          <w:sz w:val="24"/>
          <w:szCs w:val="24"/>
        </w:rPr>
        <w:t>保有</w:t>
      </w:r>
      <w:r>
        <w:rPr>
          <w:rFonts w:ascii="Times New Roman" w:hAnsi="Times New Roman" w:eastAsia="Times New Roman" w:cs="Times New Roman"/>
          <w:sz w:val="24"/>
          <w:szCs w:val="24"/>
        </w:rPr>
        <w:t>TM</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1"/>
          <w:sz w:val="24"/>
          <w:szCs w:val="24"/>
        </w:rPr>
        <w:t xml:space="preserve"> </w:t>
      </w:r>
      <w:r>
        <w:rPr>
          <w:rFonts w:ascii="宋体" w:hAnsi="宋体" w:eastAsia="宋体" w:cs="宋体"/>
          <w:spacing w:val="4"/>
          <w:sz w:val="24"/>
          <w:szCs w:val="24"/>
        </w:rPr>
        <w:t>类伴生铅矿石量26.17万吨，铅金属量2007.35吨，铅平均品位</w:t>
      </w:r>
    </w:p>
    <w:p w14:paraId="4E82C526">
      <w:pPr>
        <w:spacing w:line="387" w:lineRule="auto"/>
        <w:rPr>
          <w:rFonts w:ascii="宋体" w:hAnsi="宋体" w:eastAsia="宋体" w:cs="宋体"/>
          <w:sz w:val="24"/>
          <w:szCs w:val="24"/>
        </w:rPr>
        <w:sectPr>
          <w:headerReference r:id="rId74" w:type="default"/>
          <w:footerReference r:id="rId75" w:type="default"/>
          <w:pgSz w:w="11900" w:h="16830"/>
          <w:pgMar w:top="1216" w:right="344" w:bottom="1310" w:left="1335" w:header="940" w:footer="978" w:gutter="0"/>
          <w:cols w:space="720" w:num="1"/>
        </w:sectPr>
      </w:pPr>
    </w:p>
    <w:p w14:paraId="21CB1995">
      <w:pPr>
        <w:pStyle w:val="2"/>
        <w:spacing w:line="298" w:lineRule="auto"/>
      </w:pPr>
    </w:p>
    <w:p w14:paraId="2F1455FD">
      <w:pPr>
        <w:spacing w:before="81" w:line="369" w:lineRule="auto"/>
        <w:ind w:left="525" w:right="1133"/>
        <w:rPr>
          <w:rFonts w:ascii="宋体" w:hAnsi="宋体" w:eastAsia="宋体" w:cs="宋体"/>
          <w:sz w:val="25"/>
          <w:szCs w:val="25"/>
        </w:rPr>
      </w:pPr>
      <w:r>
        <w:rPr>
          <w:rFonts w:ascii="宋体" w:hAnsi="宋体" w:eastAsia="宋体" w:cs="宋体"/>
          <w:spacing w:val="-2"/>
          <w:sz w:val="25"/>
          <w:szCs w:val="25"/>
        </w:rPr>
        <w:t>0.77%;保有</w:t>
      </w:r>
      <w:r>
        <w:rPr>
          <w:rFonts w:ascii="Times New Roman" w:hAnsi="Times New Roman" w:eastAsia="Times New Roman" w:cs="Times New Roman"/>
          <w:spacing w:val="-2"/>
          <w:sz w:val="25"/>
          <w:szCs w:val="25"/>
        </w:rPr>
        <w:t>TM+KZ+TD</w:t>
      </w:r>
      <w:r>
        <w:rPr>
          <w:rFonts w:ascii="宋体" w:hAnsi="宋体" w:eastAsia="宋体" w:cs="宋体"/>
          <w:spacing w:val="-2"/>
          <w:sz w:val="25"/>
          <w:szCs w:val="25"/>
        </w:rPr>
        <w:t>类伴生镉矿石量36.45万吨，镉金属量573.52吨，镉平</w:t>
      </w:r>
      <w:r>
        <w:rPr>
          <w:rFonts w:ascii="宋体" w:hAnsi="宋体" w:eastAsia="宋体" w:cs="宋体"/>
          <w:spacing w:val="12"/>
          <w:sz w:val="25"/>
          <w:szCs w:val="25"/>
        </w:rPr>
        <w:t xml:space="preserve"> </w:t>
      </w:r>
      <w:r>
        <w:rPr>
          <w:rFonts w:ascii="宋体" w:hAnsi="宋体" w:eastAsia="宋体" w:cs="宋体"/>
          <w:spacing w:val="-5"/>
          <w:sz w:val="25"/>
          <w:szCs w:val="25"/>
        </w:rPr>
        <w:t>均品位0.157%。详见下表：10-4。</w:t>
      </w:r>
    </w:p>
    <w:p w14:paraId="5A69B06D">
      <w:pPr>
        <w:spacing w:before="1" w:line="217" w:lineRule="auto"/>
        <w:ind w:left="2655"/>
        <w:rPr>
          <w:rFonts w:ascii="宋体" w:hAnsi="宋体" w:eastAsia="宋体" w:cs="宋体"/>
          <w:sz w:val="25"/>
          <w:szCs w:val="25"/>
        </w:rPr>
      </w:pPr>
      <w:r>
        <w:rPr>
          <w:rFonts w:ascii="宋体" w:hAnsi="宋体" w:eastAsia="宋体" w:cs="宋体"/>
          <w:sz w:val="25"/>
          <w:szCs w:val="25"/>
        </w:rPr>
        <w:t>表10-4本次评估需要有偿处置的资源储量表</w:t>
      </w:r>
    </w:p>
    <w:p w14:paraId="0E94B9A8">
      <w:pPr>
        <w:spacing w:line="21" w:lineRule="exact"/>
      </w:pPr>
    </w:p>
    <w:tbl>
      <w:tblPr>
        <w:tblStyle w:val="5"/>
        <w:tblW w:w="100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009"/>
        <w:gridCol w:w="849"/>
        <w:gridCol w:w="1269"/>
        <w:gridCol w:w="989"/>
        <w:gridCol w:w="829"/>
        <w:gridCol w:w="1159"/>
        <w:gridCol w:w="989"/>
        <w:gridCol w:w="839"/>
        <w:gridCol w:w="1244"/>
      </w:tblGrid>
      <w:tr w14:paraId="701D5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44" w:type="dxa"/>
            <w:vMerge w:val="restart"/>
            <w:tcBorders>
              <w:bottom w:val="nil"/>
            </w:tcBorders>
            <w:vAlign w:val="top"/>
          </w:tcPr>
          <w:p w14:paraId="5CB7B355">
            <w:pPr>
              <w:spacing w:line="394" w:lineRule="auto"/>
              <w:rPr>
                <w:rFonts w:ascii="Arial"/>
                <w:sz w:val="21"/>
              </w:rPr>
            </w:pPr>
          </w:p>
          <w:p w14:paraId="6FD8D35F">
            <w:pPr>
              <w:pStyle w:val="6"/>
              <w:spacing w:before="71" w:line="223" w:lineRule="auto"/>
              <w:ind w:left="195"/>
              <w:rPr>
                <w:sz w:val="22"/>
                <w:szCs w:val="22"/>
              </w:rPr>
            </w:pPr>
            <w:r>
              <w:rPr>
                <w:spacing w:val="19"/>
                <w:sz w:val="22"/>
                <w:szCs w:val="22"/>
              </w:rPr>
              <w:t>品名</w:t>
            </w:r>
          </w:p>
        </w:tc>
        <w:tc>
          <w:tcPr>
            <w:tcW w:w="3127" w:type="dxa"/>
            <w:gridSpan w:val="3"/>
            <w:vAlign w:val="top"/>
          </w:tcPr>
          <w:p w14:paraId="0604AEAE">
            <w:pPr>
              <w:pStyle w:val="6"/>
              <w:spacing w:before="54" w:line="209" w:lineRule="auto"/>
              <w:ind w:left="891" w:right="586" w:hanging="270"/>
              <w:rPr>
                <w:sz w:val="22"/>
                <w:szCs w:val="22"/>
              </w:rPr>
            </w:pPr>
            <w:r>
              <w:rPr>
                <w:spacing w:val="3"/>
                <w:sz w:val="22"/>
                <w:szCs w:val="22"/>
              </w:rPr>
              <w:t>截止2006年9月30日</w:t>
            </w:r>
            <w:r>
              <w:rPr>
                <w:spacing w:val="2"/>
                <w:sz w:val="22"/>
                <w:szCs w:val="22"/>
              </w:rPr>
              <w:t xml:space="preserve"> </w:t>
            </w:r>
            <w:r>
              <w:rPr>
                <w:spacing w:val="-2"/>
                <w:sz w:val="22"/>
                <w:szCs w:val="22"/>
              </w:rPr>
              <w:t>保有资源储量</w:t>
            </w:r>
          </w:p>
        </w:tc>
        <w:tc>
          <w:tcPr>
            <w:tcW w:w="2977" w:type="dxa"/>
            <w:gridSpan w:val="3"/>
            <w:vAlign w:val="top"/>
          </w:tcPr>
          <w:p w14:paraId="4847CC98">
            <w:pPr>
              <w:pStyle w:val="6"/>
              <w:spacing w:before="174" w:line="219" w:lineRule="auto"/>
              <w:ind w:left="874"/>
              <w:rPr>
                <w:sz w:val="22"/>
                <w:szCs w:val="22"/>
              </w:rPr>
            </w:pPr>
            <w:r>
              <w:rPr>
                <w:spacing w:val="1"/>
                <w:sz w:val="22"/>
                <w:szCs w:val="22"/>
              </w:rPr>
              <w:t>以往有偿处置</w:t>
            </w:r>
          </w:p>
        </w:tc>
        <w:tc>
          <w:tcPr>
            <w:tcW w:w="3072" w:type="dxa"/>
            <w:gridSpan w:val="3"/>
            <w:vAlign w:val="top"/>
          </w:tcPr>
          <w:p w14:paraId="26A716FC">
            <w:pPr>
              <w:pStyle w:val="6"/>
              <w:spacing w:before="33" w:line="218" w:lineRule="auto"/>
              <w:ind w:left="1447" w:right="114" w:hanging="1350"/>
              <w:rPr>
                <w:sz w:val="22"/>
                <w:szCs w:val="22"/>
              </w:rPr>
            </w:pPr>
            <w:r>
              <w:rPr>
                <w:spacing w:val="-1"/>
                <w:sz w:val="22"/>
                <w:szCs w:val="22"/>
              </w:rPr>
              <w:t>本次出让收益处置新增资源储</w:t>
            </w:r>
            <w:r>
              <w:rPr>
                <w:spacing w:val="2"/>
                <w:sz w:val="22"/>
                <w:szCs w:val="22"/>
              </w:rPr>
              <w:t xml:space="preserve"> </w:t>
            </w:r>
            <w:r>
              <w:rPr>
                <w:sz w:val="22"/>
                <w:szCs w:val="22"/>
              </w:rPr>
              <w:t>量</w:t>
            </w:r>
          </w:p>
        </w:tc>
      </w:tr>
      <w:tr w14:paraId="714FB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844" w:type="dxa"/>
            <w:vMerge w:val="continue"/>
            <w:tcBorders>
              <w:top w:val="nil"/>
            </w:tcBorders>
            <w:vAlign w:val="top"/>
          </w:tcPr>
          <w:p w14:paraId="01383F5D">
            <w:pPr>
              <w:rPr>
                <w:rFonts w:ascii="Arial"/>
                <w:sz w:val="21"/>
              </w:rPr>
            </w:pPr>
          </w:p>
        </w:tc>
        <w:tc>
          <w:tcPr>
            <w:tcW w:w="1009" w:type="dxa"/>
            <w:vAlign w:val="top"/>
          </w:tcPr>
          <w:p w14:paraId="145B94FB">
            <w:pPr>
              <w:pStyle w:val="6"/>
              <w:spacing w:before="41" w:line="219" w:lineRule="auto"/>
              <w:ind w:left="161"/>
              <w:rPr>
                <w:sz w:val="22"/>
                <w:szCs w:val="22"/>
              </w:rPr>
            </w:pPr>
            <w:r>
              <w:rPr>
                <w:spacing w:val="-2"/>
                <w:sz w:val="22"/>
                <w:szCs w:val="22"/>
              </w:rPr>
              <w:t>矿石量</w:t>
            </w:r>
          </w:p>
          <w:p w14:paraId="0AF56BC5">
            <w:pPr>
              <w:pStyle w:val="6"/>
              <w:spacing w:before="19" w:line="190" w:lineRule="auto"/>
              <w:ind w:left="161"/>
              <w:rPr>
                <w:sz w:val="22"/>
                <w:szCs w:val="22"/>
              </w:rPr>
            </w:pPr>
            <w:r>
              <w:rPr>
                <w:spacing w:val="12"/>
                <w:sz w:val="22"/>
                <w:szCs w:val="22"/>
              </w:rPr>
              <w:t>(万吨)</w:t>
            </w:r>
          </w:p>
        </w:tc>
        <w:tc>
          <w:tcPr>
            <w:tcW w:w="849" w:type="dxa"/>
            <w:vAlign w:val="top"/>
          </w:tcPr>
          <w:p w14:paraId="643ACBE5">
            <w:pPr>
              <w:pStyle w:val="6"/>
              <w:spacing w:before="30" w:line="217" w:lineRule="auto"/>
              <w:ind w:left="72" w:right="38" w:firstLine="9"/>
              <w:rPr>
                <w:sz w:val="22"/>
                <w:szCs w:val="22"/>
              </w:rPr>
            </w:pPr>
            <w:r>
              <w:rPr>
                <w:spacing w:val="7"/>
                <w:sz w:val="22"/>
                <w:szCs w:val="22"/>
              </w:rPr>
              <w:t>平均品</w:t>
            </w:r>
            <w:r>
              <w:rPr>
                <w:sz w:val="22"/>
                <w:szCs w:val="22"/>
              </w:rPr>
              <w:t xml:space="preserve"> </w:t>
            </w:r>
            <w:r>
              <w:rPr>
                <w:spacing w:val="-14"/>
                <w:w w:val="97"/>
                <w:sz w:val="22"/>
                <w:szCs w:val="22"/>
              </w:rPr>
              <w:t>位</w:t>
            </w:r>
            <w:r>
              <w:rPr>
                <w:spacing w:val="3"/>
                <w:sz w:val="22"/>
                <w:szCs w:val="22"/>
              </w:rPr>
              <w:t xml:space="preserve"> </w:t>
            </w:r>
            <w:r>
              <w:rPr>
                <w:spacing w:val="-14"/>
                <w:w w:val="97"/>
                <w:sz w:val="22"/>
                <w:szCs w:val="22"/>
              </w:rPr>
              <w:t>(</w:t>
            </w:r>
            <w:r>
              <w:rPr>
                <w:spacing w:val="-46"/>
                <w:sz w:val="22"/>
                <w:szCs w:val="22"/>
              </w:rPr>
              <w:t xml:space="preserve"> </w:t>
            </w:r>
            <w:r>
              <w:rPr>
                <w:spacing w:val="-14"/>
                <w:w w:val="97"/>
                <w:sz w:val="22"/>
                <w:szCs w:val="22"/>
              </w:rPr>
              <w:t>%</w:t>
            </w:r>
            <w:r>
              <w:rPr>
                <w:spacing w:val="-38"/>
                <w:sz w:val="22"/>
                <w:szCs w:val="22"/>
              </w:rPr>
              <w:t xml:space="preserve"> </w:t>
            </w:r>
            <w:r>
              <w:rPr>
                <w:spacing w:val="-14"/>
                <w:w w:val="97"/>
                <w:sz w:val="22"/>
                <w:szCs w:val="22"/>
              </w:rPr>
              <w:t>)</w:t>
            </w:r>
          </w:p>
        </w:tc>
        <w:tc>
          <w:tcPr>
            <w:tcW w:w="1269" w:type="dxa"/>
            <w:vAlign w:val="top"/>
          </w:tcPr>
          <w:p w14:paraId="7D9ACFF1">
            <w:pPr>
              <w:pStyle w:val="6"/>
              <w:spacing w:before="172" w:line="221" w:lineRule="auto"/>
              <w:ind w:left="73"/>
              <w:rPr>
                <w:sz w:val="22"/>
                <w:szCs w:val="22"/>
              </w:rPr>
            </w:pPr>
            <w:r>
              <w:rPr>
                <w:spacing w:val="8"/>
                <w:sz w:val="22"/>
                <w:szCs w:val="22"/>
              </w:rPr>
              <w:t>金属量(吨)</w:t>
            </w:r>
          </w:p>
        </w:tc>
        <w:tc>
          <w:tcPr>
            <w:tcW w:w="989" w:type="dxa"/>
            <w:vAlign w:val="top"/>
          </w:tcPr>
          <w:p w14:paraId="457FB389">
            <w:pPr>
              <w:pStyle w:val="6"/>
              <w:spacing w:before="41" w:line="202" w:lineRule="auto"/>
              <w:ind w:left="154"/>
              <w:rPr>
                <w:sz w:val="22"/>
                <w:szCs w:val="22"/>
              </w:rPr>
            </w:pPr>
            <w:r>
              <w:rPr>
                <w:spacing w:val="-2"/>
                <w:sz w:val="22"/>
                <w:szCs w:val="22"/>
              </w:rPr>
              <w:t>矿石量</w:t>
            </w:r>
          </w:p>
          <w:p w14:paraId="40420141">
            <w:pPr>
              <w:pStyle w:val="6"/>
              <w:spacing w:line="220" w:lineRule="auto"/>
              <w:ind w:left="193"/>
              <w:rPr>
                <w:sz w:val="22"/>
                <w:szCs w:val="22"/>
              </w:rPr>
            </w:pPr>
            <w:r>
              <w:rPr>
                <w:spacing w:val="12"/>
                <w:sz w:val="22"/>
                <w:szCs w:val="22"/>
              </w:rPr>
              <w:t>(万吨)</w:t>
            </w:r>
          </w:p>
        </w:tc>
        <w:tc>
          <w:tcPr>
            <w:tcW w:w="829" w:type="dxa"/>
            <w:vAlign w:val="top"/>
          </w:tcPr>
          <w:p w14:paraId="09BF09FC">
            <w:pPr>
              <w:pStyle w:val="6"/>
              <w:spacing w:before="42" w:line="212" w:lineRule="auto"/>
              <w:ind w:left="65" w:right="25" w:firstLine="9"/>
              <w:rPr>
                <w:sz w:val="22"/>
                <w:szCs w:val="22"/>
              </w:rPr>
            </w:pPr>
            <w:r>
              <w:rPr>
                <w:spacing w:val="7"/>
                <w:sz w:val="22"/>
                <w:szCs w:val="22"/>
              </w:rPr>
              <w:t>平均品</w:t>
            </w:r>
            <w:r>
              <w:rPr>
                <w:sz w:val="22"/>
                <w:szCs w:val="22"/>
              </w:rPr>
              <w:t xml:space="preserve"> </w:t>
            </w:r>
            <w:r>
              <w:rPr>
                <w:spacing w:val="-14"/>
                <w:w w:val="97"/>
                <w:sz w:val="22"/>
                <w:szCs w:val="22"/>
              </w:rPr>
              <w:t>位</w:t>
            </w:r>
            <w:r>
              <w:rPr>
                <w:spacing w:val="3"/>
                <w:sz w:val="22"/>
                <w:szCs w:val="22"/>
              </w:rPr>
              <w:t xml:space="preserve"> </w:t>
            </w:r>
            <w:r>
              <w:rPr>
                <w:spacing w:val="-14"/>
                <w:w w:val="97"/>
                <w:sz w:val="22"/>
                <w:szCs w:val="22"/>
              </w:rPr>
              <w:t>(</w:t>
            </w:r>
            <w:r>
              <w:rPr>
                <w:spacing w:val="-45"/>
                <w:sz w:val="22"/>
                <w:szCs w:val="22"/>
              </w:rPr>
              <w:t xml:space="preserve"> </w:t>
            </w:r>
            <w:r>
              <w:rPr>
                <w:spacing w:val="-14"/>
                <w:w w:val="97"/>
                <w:sz w:val="22"/>
                <w:szCs w:val="22"/>
              </w:rPr>
              <w:t>%</w:t>
            </w:r>
            <w:r>
              <w:rPr>
                <w:spacing w:val="-39"/>
                <w:sz w:val="22"/>
                <w:szCs w:val="22"/>
              </w:rPr>
              <w:t xml:space="preserve"> </w:t>
            </w:r>
            <w:r>
              <w:rPr>
                <w:spacing w:val="-14"/>
                <w:w w:val="97"/>
                <w:sz w:val="22"/>
                <w:szCs w:val="22"/>
              </w:rPr>
              <w:t>)</w:t>
            </w:r>
          </w:p>
        </w:tc>
        <w:tc>
          <w:tcPr>
            <w:tcW w:w="1159" w:type="dxa"/>
            <w:vAlign w:val="top"/>
          </w:tcPr>
          <w:p w14:paraId="0410233D">
            <w:pPr>
              <w:pStyle w:val="6"/>
              <w:spacing w:before="42" w:line="220" w:lineRule="auto"/>
              <w:ind w:left="246"/>
              <w:rPr>
                <w:sz w:val="22"/>
                <w:szCs w:val="22"/>
              </w:rPr>
            </w:pPr>
            <w:r>
              <w:rPr>
                <w:spacing w:val="-3"/>
                <w:sz w:val="22"/>
                <w:szCs w:val="22"/>
              </w:rPr>
              <w:t>金属量</w:t>
            </w:r>
          </w:p>
          <w:p w14:paraId="7A26964C">
            <w:pPr>
              <w:pStyle w:val="6"/>
              <w:spacing w:line="204" w:lineRule="auto"/>
              <w:ind w:left="356"/>
              <w:rPr>
                <w:sz w:val="22"/>
                <w:szCs w:val="22"/>
              </w:rPr>
            </w:pPr>
            <w:r>
              <w:rPr>
                <w:spacing w:val="16"/>
                <w:sz w:val="22"/>
                <w:szCs w:val="22"/>
              </w:rPr>
              <w:t>(吨)</w:t>
            </w:r>
          </w:p>
        </w:tc>
        <w:tc>
          <w:tcPr>
            <w:tcW w:w="989" w:type="dxa"/>
            <w:vAlign w:val="top"/>
          </w:tcPr>
          <w:p w14:paraId="1EB877EC">
            <w:pPr>
              <w:pStyle w:val="6"/>
              <w:spacing w:before="50" w:line="211" w:lineRule="auto"/>
              <w:ind w:left="157"/>
              <w:rPr>
                <w:sz w:val="22"/>
                <w:szCs w:val="22"/>
              </w:rPr>
            </w:pPr>
            <w:r>
              <w:rPr>
                <w:spacing w:val="-2"/>
                <w:sz w:val="22"/>
                <w:szCs w:val="22"/>
              </w:rPr>
              <w:t>矿石量</w:t>
            </w:r>
          </w:p>
          <w:p w14:paraId="2DE9206E">
            <w:pPr>
              <w:pStyle w:val="6"/>
              <w:spacing w:line="206" w:lineRule="auto"/>
              <w:ind w:left="157"/>
              <w:rPr>
                <w:sz w:val="22"/>
                <w:szCs w:val="22"/>
              </w:rPr>
            </w:pPr>
            <w:r>
              <w:rPr>
                <w:spacing w:val="12"/>
                <w:sz w:val="22"/>
                <w:szCs w:val="22"/>
              </w:rPr>
              <w:t>(万吨)</w:t>
            </w:r>
          </w:p>
        </w:tc>
        <w:tc>
          <w:tcPr>
            <w:tcW w:w="839" w:type="dxa"/>
            <w:vAlign w:val="top"/>
          </w:tcPr>
          <w:p w14:paraId="3ABEA3B7">
            <w:pPr>
              <w:pStyle w:val="6"/>
              <w:spacing w:before="30" w:line="217" w:lineRule="auto"/>
              <w:ind w:left="87" w:right="32"/>
              <w:rPr>
                <w:sz w:val="22"/>
                <w:szCs w:val="22"/>
              </w:rPr>
            </w:pPr>
            <w:r>
              <w:rPr>
                <w:spacing w:val="7"/>
                <w:sz w:val="22"/>
                <w:szCs w:val="22"/>
              </w:rPr>
              <w:t>平均品</w:t>
            </w:r>
            <w:r>
              <w:rPr>
                <w:sz w:val="22"/>
                <w:szCs w:val="22"/>
              </w:rPr>
              <w:t xml:space="preserve"> </w:t>
            </w:r>
            <w:r>
              <w:rPr>
                <w:spacing w:val="-14"/>
                <w:w w:val="97"/>
                <w:sz w:val="22"/>
                <w:szCs w:val="22"/>
              </w:rPr>
              <w:t>位</w:t>
            </w:r>
            <w:r>
              <w:rPr>
                <w:spacing w:val="-4"/>
                <w:sz w:val="22"/>
                <w:szCs w:val="22"/>
              </w:rPr>
              <w:t xml:space="preserve"> </w:t>
            </w:r>
            <w:r>
              <w:rPr>
                <w:spacing w:val="-14"/>
                <w:w w:val="97"/>
                <w:sz w:val="22"/>
                <w:szCs w:val="22"/>
              </w:rPr>
              <w:t>(</w:t>
            </w:r>
            <w:r>
              <w:rPr>
                <w:spacing w:val="-52"/>
                <w:sz w:val="22"/>
                <w:szCs w:val="22"/>
              </w:rPr>
              <w:t xml:space="preserve"> </w:t>
            </w:r>
            <w:r>
              <w:rPr>
                <w:spacing w:val="-14"/>
                <w:w w:val="97"/>
                <w:sz w:val="22"/>
                <w:szCs w:val="22"/>
              </w:rPr>
              <w:t>%</w:t>
            </w:r>
            <w:r>
              <w:rPr>
                <w:spacing w:val="-45"/>
                <w:sz w:val="22"/>
                <w:szCs w:val="22"/>
              </w:rPr>
              <w:t xml:space="preserve"> </w:t>
            </w:r>
            <w:r>
              <w:rPr>
                <w:spacing w:val="-14"/>
                <w:w w:val="97"/>
                <w:sz w:val="22"/>
                <w:szCs w:val="22"/>
              </w:rPr>
              <w:t>)</w:t>
            </w:r>
          </w:p>
        </w:tc>
        <w:tc>
          <w:tcPr>
            <w:tcW w:w="1244" w:type="dxa"/>
            <w:vAlign w:val="top"/>
          </w:tcPr>
          <w:p w14:paraId="28C76836">
            <w:pPr>
              <w:pStyle w:val="6"/>
              <w:spacing w:before="172" w:line="221" w:lineRule="auto"/>
              <w:ind w:left="69"/>
              <w:rPr>
                <w:sz w:val="22"/>
                <w:szCs w:val="22"/>
              </w:rPr>
            </w:pPr>
            <w:r>
              <w:rPr>
                <w:spacing w:val="8"/>
                <w:sz w:val="22"/>
                <w:szCs w:val="22"/>
              </w:rPr>
              <w:t>金属量(吨)</w:t>
            </w:r>
          </w:p>
        </w:tc>
      </w:tr>
      <w:tr w14:paraId="23D8A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844" w:type="dxa"/>
            <w:vAlign w:val="top"/>
          </w:tcPr>
          <w:p w14:paraId="1BFBA476">
            <w:pPr>
              <w:pStyle w:val="6"/>
              <w:spacing w:before="53" w:line="205" w:lineRule="auto"/>
              <w:ind w:left="85"/>
              <w:rPr>
                <w:sz w:val="22"/>
                <w:szCs w:val="22"/>
              </w:rPr>
            </w:pPr>
            <w:r>
              <w:rPr>
                <w:spacing w:val="16"/>
                <w:sz w:val="22"/>
                <w:szCs w:val="22"/>
              </w:rPr>
              <w:t>锌(</w:t>
            </w:r>
            <w:r>
              <w:rPr>
                <w:sz w:val="22"/>
                <w:szCs w:val="22"/>
              </w:rPr>
              <w:t>Zn</w:t>
            </w:r>
            <w:r>
              <w:rPr>
                <w:spacing w:val="16"/>
                <w:sz w:val="22"/>
                <w:szCs w:val="22"/>
              </w:rPr>
              <w:t>)</w:t>
            </w:r>
          </w:p>
        </w:tc>
        <w:tc>
          <w:tcPr>
            <w:tcW w:w="1009" w:type="dxa"/>
            <w:vAlign w:val="top"/>
          </w:tcPr>
          <w:p w14:paraId="7C6D50C7">
            <w:pPr>
              <w:pStyle w:val="6"/>
              <w:spacing w:before="75" w:line="187" w:lineRule="auto"/>
              <w:ind w:left="161"/>
              <w:rPr>
                <w:sz w:val="22"/>
                <w:szCs w:val="22"/>
              </w:rPr>
            </w:pPr>
            <w:r>
              <w:rPr>
                <w:spacing w:val="-2"/>
                <w:sz w:val="22"/>
                <w:szCs w:val="22"/>
              </w:rPr>
              <w:t>232.86</w:t>
            </w:r>
          </w:p>
        </w:tc>
        <w:tc>
          <w:tcPr>
            <w:tcW w:w="849" w:type="dxa"/>
            <w:vAlign w:val="top"/>
          </w:tcPr>
          <w:p w14:paraId="528FB46C">
            <w:pPr>
              <w:pStyle w:val="6"/>
              <w:spacing w:before="75" w:line="187" w:lineRule="auto"/>
              <w:ind w:left="142"/>
              <w:rPr>
                <w:sz w:val="22"/>
                <w:szCs w:val="22"/>
              </w:rPr>
            </w:pPr>
            <w:r>
              <w:rPr>
                <w:spacing w:val="-1"/>
                <w:sz w:val="22"/>
                <w:szCs w:val="22"/>
              </w:rPr>
              <w:t>4.34%</w:t>
            </w:r>
          </w:p>
        </w:tc>
        <w:tc>
          <w:tcPr>
            <w:tcW w:w="1269" w:type="dxa"/>
            <w:vAlign w:val="top"/>
          </w:tcPr>
          <w:p w14:paraId="06E55ACD">
            <w:pPr>
              <w:pStyle w:val="6"/>
              <w:spacing w:before="75" w:line="187" w:lineRule="auto"/>
              <w:ind w:left="133"/>
              <w:rPr>
                <w:sz w:val="22"/>
                <w:szCs w:val="22"/>
              </w:rPr>
            </w:pPr>
            <w:r>
              <w:rPr>
                <w:spacing w:val="-3"/>
                <w:sz w:val="22"/>
                <w:szCs w:val="22"/>
              </w:rPr>
              <w:t>101140.33</w:t>
            </w:r>
          </w:p>
        </w:tc>
        <w:tc>
          <w:tcPr>
            <w:tcW w:w="989" w:type="dxa"/>
            <w:vAlign w:val="top"/>
          </w:tcPr>
          <w:p w14:paraId="6AB2148B">
            <w:pPr>
              <w:pStyle w:val="6"/>
              <w:spacing w:before="75" w:line="187" w:lineRule="auto"/>
              <w:ind w:left="154"/>
              <w:rPr>
                <w:sz w:val="22"/>
                <w:szCs w:val="22"/>
              </w:rPr>
            </w:pPr>
            <w:r>
              <w:rPr>
                <w:spacing w:val="-4"/>
                <w:sz w:val="22"/>
                <w:szCs w:val="22"/>
              </w:rPr>
              <w:t>196.41</w:t>
            </w:r>
          </w:p>
        </w:tc>
        <w:tc>
          <w:tcPr>
            <w:tcW w:w="829" w:type="dxa"/>
            <w:vAlign w:val="top"/>
          </w:tcPr>
          <w:p w14:paraId="2612C776">
            <w:pPr>
              <w:pStyle w:val="6"/>
              <w:spacing w:before="75" w:line="187" w:lineRule="auto"/>
              <w:ind w:left="135"/>
              <w:rPr>
                <w:sz w:val="22"/>
                <w:szCs w:val="22"/>
              </w:rPr>
            </w:pPr>
            <w:r>
              <w:rPr>
                <w:spacing w:val="-1"/>
                <w:sz w:val="22"/>
                <w:szCs w:val="22"/>
              </w:rPr>
              <w:t>4.39%</w:t>
            </w:r>
          </w:p>
        </w:tc>
        <w:tc>
          <w:tcPr>
            <w:tcW w:w="1159" w:type="dxa"/>
            <w:vAlign w:val="top"/>
          </w:tcPr>
          <w:p w14:paraId="4C543360">
            <w:pPr>
              <w:pStyle w:val="6"/>
              <w:spacing w:before="75" w:line="187" w:lineRule="auto"/>
              <w:ind w:left="136"/>
              <w:rPr>
                <w:sz w:val="22"/>
                <w:szCs w:val="22"/>
              </w:rPr>
            </w:pPr>
            <w:r>
              <w:rPr>
                <w:spacing w:val="-2"/>
                <w:sz w:val="22"/>
                <w:szCs w:val="22"/>
              </w:rPr>
              <w:t>86251.00</w:t>
            </w:r>
          </w:p>
        </w:tc>
        <w:tc>
          <w:tcPr>
            <w:tcW w:w="989" w:type="dxa"/>
            <w:vAlign w:val="top"/>
          </w:tcPr>
          <w:p w14:paraId="415BF35F">
            <w:pPr>
              <w:pStyle w:val="6"/>
              <w:spacing w:before="75" w:line="187" w:lineRule="auto"/>
              <w:ind w:left="217"/>
              <w:rPr>
                <w:sz w:val="22"/>
                <w:szCs w:val="22"/>
              </w:rPr>
            </w:pPr>
            <w:r>
              <w:rPr>
                <w:spacing w:val="-3"/>
                <w:sz w:val="22"/>
                <w:szCs w:val="22"/>
              </w:rPr>
              <w:t>36.45</w:t>
            </w:r>
          </w:p>
        </w:tc>
        <w:tc>
          <w:tcPr>
            <w:tcW w:w="839" w:type="dxa"/>
            <w:vAlign w:val="top"/>
          </w:tcPr>
          <w:p w14:paraId="4F897C68">
            <w:pPr>
              <w:pStyle w:val="6"/>
              <w:spacing w:before="75" w:line="187" w:lineRule="auto"/>
              <w:ind w:left="138"/>
              <w:rPr>
                <w:sz w:val="22"/>
                <w:szCs w:val="22"/>
              </w:rPr>
            </w:pPr>
            <w:r>
              <w:rPr>
                <w:spacing w:val="-1"/>
                <w:sz w:val="22"/>
                <w:szCs w:val="22"/>
              </w:rPr>
              <w:t>4.08%</w:t>
            </w:r>
          </w:p>
        </w:tc>
        <w:tc>
          <w:tcPr>
            <w:tcW w:w="1244" w:type="dxa"/>
            <w:vAlign w:val="top"/>
          </w:tcPr>
          <w:p w14:paraId="651EECB2">
            <w:pPr>
              <w:pStyle w:val="6"/>
              <w:spacing w:before="75" w:line="187" w:lineRule="auto"/>
              <w:ind w:left="179"/>
              <w:rPr>
                <w:sz w:val="22"/>
                <w:szCs w:val="22"/>
              </w:rPr>
            </w:pPr>
            <w:r>
              <w:rPr>
                <w:spacing w:val="-3"/>
                <w:sz w:val="22"/>
                <w:szCs w:val="22"/>
              </w:rPr>
              <w:t>14889.33</w:t>
            </w:r>
          </w:p>
        </w:tc>
      </w:tr>
      <w:tr w14:paraId="47716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844" w:type="dxa"/>
            <w:vAlign w:val="top"/>
          </w:tcPr>
          <w:p w14:paraId="77D1D329">
            <w:pPr>
              <w:pStyle w:val="6"/>
              <w:spacing w:before="45" w:line="219" w:lineRule="auto"/>
              <w:ind w:left="85"/>
              <w:rPr>
                <w:sz w:val="22"/>
                <w:szCs w:val="22"/>
              </w:rPr>
            </w:pPr>
            <w:r>
              <w:rPr>
                <w:spacing w:val="-3"/>
                <w:sz w:val="22"/>
                <w:szCs w:val="22"/>
              </w:rPr>
              <w:t>伴生铅</w:t>
            </w:r>
          </w:p>
          <w:p w14:paraId="5DB08180">
            <w:pPr>
              <w:pStyle w:val="6"/>
              <w:spacing w:before="22" w:line="184" w:lineRule="auto"/>
              <w:ind w:left="195"/>
              <w:rPr>
                <w:sz w:val="22"/>
                <w:szCs w:val="22"/>
              </w:rPr>
            </w:pPr>
            <w:r>
              <w:rPr>
                <w:spacing w:val="-9"/>
                <w:sz w:val="22"/>
                <w:szCs w:val="22"/>
              </w:rPr>
              <w:t>(Pb)</w:t>
            </w:r>
          </w:p>
        </w:tc>
        <w:tc>
          <w:tcPr>
            <w:tcW w:w="1009" w:type="dxa"/>
            <w:vAlign w:val="top"/>
          </w:tcPr>
          <w:p w14:paraId="22A16DDD">
            <w:pPr>
              <w:pStyle w:val="6"/>
              <w:spacing w:before="196" w:line="239" w:lineRule="auto"/>
              <w:ind w:left="161"/>
              <w:rPr>
                <w:sz w:val="22"/>
                <w:szCs w:val="22"/>
              </w:rPr>
            </w:pPr>
            <w:r>
              <w:rPr>
                <w:spacing w:val="-4"/>
                <w:sz w:val="22"/>
                <w:szCs w:val="22"/>
              </w:rPr>
              <w:t>140.44</w:t>
            </w:r>
          </w:p>
        </w:tc>
        <w:tc>
          <w:tcPr>
            <w:tcW w:w="849" w:type="dxa"/>
            <w:vAlign w:val="top"/>
          </w:tcPr>
          <w:p w14:paraId="66C2509D">
            <w:pPr>
              <w:pStyle w:val="6"/>
              <w:spacing w:before="196" w:line="239" w:lineRule="auto"/>
              <w:ind w:left="142"/>
              <w:rPr>
                <w:sz w:val="22"/>
                <w:szCs w:val="22"/>
              </w:rPr>
            </w:pPr>
            <w:r>
              <w:rPr>
                <w:spacing w:val="-2"/>
                <w:sz w:val="22"/>
                <w:szCs w:val="22"/>
              </w:rPr>
              <w:t>0.84%</w:t>
            </w:r>
          </w:p>
        </w:tc>
        <w:tc>
          <w:tcPr>
            <w:tcW w:w="1269" w:type="dxa"/>
            <w:vAlign w:val="top"/>
          </w:tcPr>
          <w:p w14:paraId="4A696A19">
            <w:pPr>
              <w:pStyle w:val="6"/>
              <w:spacing w:before="196" w:line="239" w:lineRule="auto"/>
              <w:ind w:left="183"/>
              <w:rPr>
                <w:sz w:val="22"/>
                <w:szCs w:val="22"/>
              </w:rPr>
            </w:pPr>
            <w:r>
              <w:rPr>
                <w:spacing w:val="-3"/>
                <w:sz w:val="22"/>
                <w:szCs w:val="22"/>
              </w:rPr>
              <w:t>11787.42</w:t>
            </w:r>
          </w:p>
        </w:tc>
        <w:tc>
          <w:tcPr>
            <w:tcW w:w="989" w:type="dxa"/>
            <w:vAlign w:val="top"/>
          </w:tcPr>
          <w:p w14:paraId="06D93DD1">
            <w:pPr>
              <w:pStyle w:val="6"/>
              <w:spacing w:before="196" w:line="239" w:lineRule="auto"/>
              <w:ind w:left="154"/>
              <w:rPr>
                <w:sz w:val="22"/>
                <w:szCs w:val="22"/>
              </w:rPr>
            </w:pPr>
            <w:r>
              <w:rPr>
                <w:spacing w:val="-4"/>
                <w:sz w:val="22"/>
                <w:szCs w:val="22"/>
              </w:rPr>
              <w:t>114.27</w:t>
            </w:r>
          </w:p>
        </w:tc>
        <w:tc>
          <w:tcPr>
            <w:tcW w:w="829" w:type="dxa"/>
            <w:vAlign w:val="top"/>
          </w:tcPr>
          <w:p w14:paraId="75C80326">
            <w:pPr>
              <w:pStyle w:val="6"/>
              <w:spacing w:before="196" w:line="239" w:lineRule="auto"/>
              <w:ind w:left="135"/>
              <w:rPr>
                <w:sz w:val="22"/>
                <w:szCs w:val="22"/>
              </w:rPr>
            </w:pPr>
            <w:r>
              <w:rPr>
                <w:spacing w:val="-2"/>
                <w:sz w:val="22"/>
                <w:szCs w:val="22"/>
              </w:rPr>
              <w:t>0.86%</w:t>
            </w:r>
          </w:p>
        </w:tc>
        <w:tc>
          <w:tcPr>
            <w:tcW w:w="1159" w:type="dxa"/>
            <w:vAlign w:val="top"/>
          </w:tcPr>
          <w:p w14:paraId="6F7EA14A">
            <w:pPr>
              <w:pStyle w:val="6"/>
              <w:spacing w:before="196" w:line="239" w:lineRule="auto"/>
              <w:ind w:left="186"/>
              <w:rPr>
                <w:sz w:val="22"/>
                <w:szCs w:val="22"/>
              </w:rPr>
            </w:pPr>
            <w:r>
              <w:rPr>
                <w:spacing w:val="-2"/>
                <w:sz w:val="22"/>
                <w:szCs w:val="22"/>
              </w:rPr>
              <w:t>9780.07</w:t>
            </w:r>
          </w:p>
        </w:tc>
        <w:tc>
          <w:tcPr>
            <w:tcW w:w="989" w:type="dxa"/>
            <w:vAlign w:val="top"/>
          </w:tcPr>
          <w:p w14:paraId="12297421">
            <w:pPr>
              <w:pStyle w:val="6"/>
              <w:spacing w:before="196" w:line="239" w:lineRule="auto"/>
              <w:ind w:left="217"/>
              <w:rPr>
                <w:sz w:val="22"/>
                <w:szCs w:val="22"/>
              </w:rPr>
            </w:pPr>
            <w:r>
              <w:rPr>
                <w:spacing w:val="-2"/>
                <w:sz w:val="22"/>
                <w:szCs w:val="22"/>
              </w:rPr>
              <w:t>26.17</w:t>
            </w:r>
          </w:p>
        </w:tc>
        <w:tc>
          <w:tcPr>
            <w:tcW w:w="839" w:type="dxa"/>
            <w:vAlign w:val="top"/>
          </w:tcPr>
          <w:p w14:paraId="5B86C91A">
            <w:pPr>
              <w:pStyle w:val="6"/>
              <w:spacing w:before="196" w:line="239" w:lineRule="auto"/>
              <w:ind w:left="138"/>
              <w:rPr>
                <w:sz w:val="22"/>
                <w:szCs w:val="22"/>
              </w:rPr>
            </w:pPr>
            <w:r>
              <w:rPr>
                <w:spacing w:val="-2"/>
                <w:sz w:val="22"/>
                <w:szCs w:val="22"/>
              </w:rPr>
              <w:t>0.77%</w:t>
            </w:r>
          </w:p>
        </w:tc>
        <w:tc>
          <w:tcPr>
            <w:tcW w:w="1244" w:type="dxa"/>
            <w:vAlign w:val="top"/>
          </w:tcPr>
          <w:p w14:paraId="19CC7CD6">
            <w:pPr>
              <w:pStyle w:val="6"/>
              <w:spacing w:before="196" w:line="239" w:lineRule="auto"/>
              <w:ind w:left="229"/>
              <w:rPr>
                <w:sz w:val="22"/>
                <w:szCs w:val="22"/>
              </w:rPr>
            </w:pPr>
            <w:r>
              <w:rPr>
                <w:spacing w:val="-2"/>
                <w:sz w:val="22"/>
                <w:szCs w:val="22"/>
              </w:rPr>
              <w:t>2007.35</w:t>
            </w:r>
          </w:p>
        </w:tc>
      </w:tr>
      <w:tr w14:paraId="19D7E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44" w:type="dxa"/>
            <w:vAlign w:val="top"/>
          </w:tcPr>
          <w:p w14:paraId="523D97E9">
            <w:pPr>
              <w:pStyle w:val="6"/>
              <w:spacing w:before="57" w:line="219" w:lineRule="auto"/>
              <w:ind w:left="85"/>
              <w:rPr>
                <w:sz w:val="22"/>
                <w:szCs w:val="22"/>
              </w:rPr>
            </w:pPr>
            <w:r>
              <w:rPr>
                <w:spacing w:val="4"/>
                <w:sz w:val="22"/>
                <w:szCs w:val="22"/>
              </w:rPr>
              <w:t>伴生镉</w:t>
            </w:r>
          </w:p>
          <w:p w14:paraId="616FC991">
            <w:pPr>
              <w:pStyle w:val="6"/>
              <w:spacing w:before="2" w:line="186" w:lineRule="auto"/>
              <w:ind w:left="195"/>
              <w:rPr>
                <w:sz w:val="22"/>
                <w:szCs w:val="22"/>
              </w:rPr>
            </w:pPr>
            <w:r>
              <w:rPr>
                <w:spacing w:val="-9"/>
                <w:sz w:val="22"/>
                <w:szCs w:val="22"/>
              </w:rPr>
              <w:t>(Cd)</w:t>
            </w:r>
          </w:p>
        </w:tc>
        <w:tc>
          <w:tcPr>
            <w:tcW w:w="1009" w:type="dxa"/>
            <w:vAlign w:val="top"/>
          </w:tcPr>
          <w:p w14:paraId="6BA97BF4">
            <w:pPr>
              <w:pStyle w:val="6"/>
              <w:spacing w:before="198" w:line="239" w:lineRule="auto"/>
              <w:ind w:left="161"/>
              <w:rPr>
                <w:sz w:val="22"/>
                <w:szCs w:val="22"/>
              </w:rPr>
            </w:pPr>
            <w:r>
              <w:rPr>
                <w:spacing w:val="-2"/>
                <w:sz w:val="22"/>
                <w:szCs w:val="22"/>
              </w:rPr>
              <w:t>232.86</w:t>
            </w:r>
          </w:p>
        </w:tc>
        <w:tc>
          <w:tcPr>
            <w:tcW w:w="849" w:type="dxa"/>
            <w:vAlign w:val="top"/>
          </w:tcPr>
          <w:p w14:paraId="187A4340">
            <w:pPr>
              <w:pStyle w:val="6"/>
              <w:spacing w:before="198" w:line="239" w:lineRule="auto"/>
              <w:ind w:left="82"/>
              <w:rPr>
                <w:sz w:val="22"/>
                <w:szCs w:val="22"/>
              </w:rPr>
            </w:pPr>
            <w:r>
              <w:rPr>
                <w:spacing w:val="-1"/>
                <w:sz w:val="22"/>
                <w:szCs w:val="22"/>
              </w:rPr>
              <w:t>0.125%</w:t>
            </w:r>
          </w:p>
        </w:tc>
        <w:tc>
          <w:tcPr>
            <w:tcW w:w="1269" w:type="dxa"/>
            <w:vAlign w:val="top"/>
          </w:tcPr>
          <w:p w14:paraId="7D0B533B">
            <w:pPr>
              <w:pStyle w:val="6"/>
              <w:spacing w:before="198" w:line="239" w:lineRule="auto"/>
              <w:ind w:left="243"/>
              <w:rPr>
                <w:sz w:val="22"/>
                <w:szCs w:val="22"/>
              </w:rPr>
            </w:pPr>
            <w:r>
              <w:rPr>
                <w:spacing w:val="-2"/>
                <w:sz w:val="22"/>
                <w:szCs w:val="22"/>
              </w:rPr>
              <w:t>2913.08</w:t>
            </w:r>
          </w:p>
        </w:tc>
        <w:tc>
          <w:tcPr>
            <w:tcW w:w="989" w:type="dxa"/>
            <w:vAlign w:val="top"/>
          </w:tcPr>
          <w:p w14:paraId="08FF5EF0">
            <w:pPr>
              <w:pStyle w:val="6"/>
              <w:spacing w:before="198" w:line="239" w:lineRule="auto"/>
              <w:ind w:left="154"/>
              <w:rPr>
                <w:sz w:val="22"/>
                <w:szCs w:val="22"/>
              </w:rPr>
            </w:pPr>
            <w:r>
              <w:rPr>
                <w:spacing w:val="-4"/>
                <w:sz w:val="22"/>
                <w:szCs w:val="22"/>
              </w:rPr>
              <w:t>196.41</w:t>
            </w:r>
          </w:p>
        </w:tc>
        <w:tc>
          <w:tcPr>
            <w:tcW w:w="829" w:type="dxa"/>
            <w:vAlign w:val="top"/>
          </w:tcPr>
          <w:p w14:paraId="65E07698">
            <w:pPr>
              <w:pStyle w:val="6"/>
              <w:spacing w:before="198" w:line="239" w:lineRule="auto"/>
              <w:ind w:left="75"/>
              <w:rPr>
                <w:sz w:val="22"/>
                <w:szCs w:val="22"/>
              </w:rPr>
            </w:pPr>
            <w:r>
              <w:rPr>
                <w:spacing w:val="-1"/>
                <w:sz w:val="22"/>
                <w:szCs w:val="22"/>
              </w:rPr>
              <w:t>0.119%</w:t>
            </w:r>
          </w:p>
        </w:tc>
        <w:tc>
          <w:tcPr>
            <w:tcW w:w="1159" w:type="dxa"/>
            <w:vAlign w:val="top"/>
          </w:tcPr>
          <w:p w14:paraId="24A167CC">
            <w:pPr>
              <w:pStyle w:val="6"/>
              <w:spacing w:before="198" w:line="239" w:lineRule="auto"/>
              <w:ind w:left="186"/>
              <w:rPr>
                <w:sz w:val="22"/>
                <w:szCs w:val="22"/>
              </w:rPr>
            </w:pPr>
            <w:r>
              <w:rPr>
                <w:spacing w:val="-2"/>
                <w:sz w:val="22"/>
                <w:szCs w:val="22"/>
              </w:rPr>
              <w:t>2339.56</w:t>
            </w:r>
          </w:p>
        </w:tc>
        <w:tc>
          <w:tcPr>
            <w:tcW w:w="989" w:type="dxa"/>
            <w:vAlign w:val="top"/>
          </w:tcPr>
          <w:p w14:paraId="2B0C9F25">
            <w:pPr>
              <w:pStyle w:val="6"/>
              <w:spacing w:before="198" w:line="239" w:lineRule="auto"/>
              <w:ind w:left="217"/>
              <w:rPr>
                <w:sz w:val="22"/>
                <w:szCs w:val="22"/>
              </w:rPr>
            </w:pPr>
            <w:r>
              <w:rPr>
                <w:spacing w:val="-3"/>
                <w:sz w:val="22"/>
                <w:szCs w:val="22"/>
              </w:rPr>
              <w:t>36.45</w:t>
            </w:r>
          </w:p>
        </w:tc>
        <w:tc>
          <w:tcPr>
            <w:tcW w:w="839" w:type="dxa"/>
            <w:vAlign w:val="top"/>
          </w:tcPr>
          <w:p w14:paraId="4DD22311">
            <w:pPr>
              <w:pStyle w:val="6"/>
              <w:spacing w:before="198" w:line="239" w:lineRule="auto"/>
              <w:ind w:left="87"/>
              <w:rPr>
                <w:sz w:val="22"/>
                <w:szCs w:val="22"/>
              </w:rPr>
            </w:pPr>
            <w:r>
              <w:rPr>
                <w:spacing w:val="-1"/>
                <w:sz w:val="22"/>
                <w:szCs w:val="22"/>
              </w:rPr>
              <w:t>0.157%</w:t>
            </w:r>
          </w:p>
        </w:tc>
        <w:tc>
          <w:tcPr>
            <w:tcW w:w="1244" w:type="dxa"/>
            <w:vAlign w:val="top"/>
          </w:tcPr>
          <w:p w14:paraId="2B613D87">
            <w:pPr>
              <w:pStyle w:val="6"/>
              <w:spacing w:before="198" w:line="239" w:lineRule="auto"/>
              <w:ind w:left="289"/>
              <w:rPr>
                <w:sz w:val="22"/>
                <w:szCs w:val="22"/>
              </w:rPr>
            </w:pPr>
            <w:r>
              <w:rPr>
                <w:spacing w:val="-2"/>
                <w:sz w:val="22"/>
                <w:szCs w:val="22"/>
              </w:rPr>
              <w:t>573.52</w:t>
            </w:r>
          </w:p>
        </w:tc>
      </w:tr>
    </w:tbl>
    <w:p w14:paraId="22BFF69F">
      <w:pPr>
        <w:spacing w:before="252" w:line="218" w:lineRule="auto"/>
        <w:ind w:left="1055"/>
        <w:outlineLvl w:val="1"/>
        <w:rPr>
          <w:rFonts w:ascii="宋体" w:hAnsi="宋体" w:eastAsia="宋体" w:cs="宋体"/>
          <w:sz w:val="24"/>
          <w:szCs w:val="24"/>
        </w:rPr>
      </w:pPr>
      <w:bookmarkStart w:id="38" w:name="bookmark25"/>
      <w:bookmarkEnd w:id="38"/>
      <w:r>
        <w:rPr>
          <w:rFonts w:ascii="宋体" w:hAnsi="宋体" w:eastAsia="宋体" w:cs="宋体"/>
          <w:spacing w:val="2"/>
          <w:sz w:val="24"/>
          <w:szCs w:val="24"/>
        </w:rPr>
        <w:t>10.2评估利用资源储量(可信度系数调整)</w:t>
      </w:r>
    </w:p>
    <w:p w14:paraId="143D08BE">
      <w:pPr>
        <w:tabs>
          <w:tab w:val="left" w:pos="695"/>
        </w:tabs>
        <w:spacing w:before="227" w:line="383" w:lineRule="auto"/>
        <w:ind w:left="575" w:right="865" w:firstLine="480"/>
        <w:jc w:val="both"/>
        <w:rPr>
          <w:rFonts w:ascii="宋体" w:hAnsi="宋体" w:eastAsia="宋体" w:cs="宋体"/>
          <w:sz w:val="24"/>
          <w:szCs w:val="24"/>
        </w:rPr>
      </w:pPr>
      <w:r>
        <w:rPr>
          <w:rFonts w:ascii="宋体" w:hAnsi="宋体" w:eastAsia="宋体" w:cs="宋体"/>
          <w:spacing w:val="6"/>
          <w:sz w:val="24"/>
          <w:szCs w:val="24"/>
        </w:rPr>
        <w:t>根据《中国矿业权评估准则》及《矿业权评估利用矿</w:t>
      </w:r>
      <w:r>
        <w:rPr>
          <w:rFonts w:ascii="宋体" w:hAnsi="宋体" w:eastAsia="宋体" w:cs="宋体"/>
          <w:spacing w:val="5"/>
          <w:sz w:val="24"/>
          <w:szCs w:val="24"/>
        </w:rPr>
        <w:t>产资源储量指导意见》</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pacing w:val="2"/>
          <w:sz w:val="24"/>
          <w:szCs w:val="24"/>
        </w:rPr>
        <w:t>(</w:t>
      </w:r>
      <w:r>
        <w:rPr>
          <w:rFonts w:ascii="Times New Roman" w:hAnsi="Times New Roman" w:eastAsia="Times New Roman" w:cs="Times New Roman"/>
          <w:sz w:val="24"/>
          <w:szCs w:val="24"/>
        </w:rPr>
        <w:t>CMVS</w:t>
      </w:r>
      <w:r>
        <w:rPr>
          <w:rFonts w:ascii="Times New Roman" w:hAnsi="Times New Roman" w:eastAsia="Times New Roman" w:cs="Times New Roman"/>
          <w:spacing w:val="2"/>
          <w:sz w:val="24"/>
          <w:szCs w:val="24"/>
        </w:rPr>
        <w:t xml:space="preserve">30300-2010),   </w:t>
      </w:r>
      <w:r>
        <w:rPr>
          <w:rFonts w:ascii="宋体" w:hAnsi="宋体" w:eastAsia="宋体" w:cs="宋体"/>
          <w:spacing w:val="2"/>
          <w:sz w:val="24"/>
          <w:szCs w:val="24"/>
        </w:rPr>
        <w:t>评估利用的资源储量指评估基准日保有资源储量中，用于</w:t>
      </w:r>
      <w:r>
        <w:rPr>
          <w:rFonts w:ascii="宋体" w:hAnsi="宋体" w:eastAsia="宋体" w:cs="宋体"/>
          <w:sz w:val="24"/>
          <w:szCs w:val="24"/>
        </w:rPr>
        <w:t xml:space="preserve">  </w:t>
      </w:r>
      <w:r>
        <w:rPr>
          <w:rFonts w:ascii="宋体" w:hAnsi="宋体" w:eastAsia="宋体" w:cs="宋体"/>
          <w:spacing w:val="2"/>
          <w:sz w:val="24"/>
          <w:szCs w:val="24"/>
        </w:rPr>
        <w:t>作为评估计算可采储量的基础数据——参与评估计算的基础储量和资源量折算的</w:t>
      </w:r>
      <w:r>
        <w:rPr>
          <w:rFonts w:ascii="宋体" w:hAnsi="宋体" w:eastAsia="宋体" w:cs="宋体"/>
          <w:spacing w:val="8"/>
          <w:sz w:val="24"/>
          <w:szCs w:val="24"/>
        </w:rPr>
        <w:t xml:space="preserve">  </w:t>
      </w:r>
      <w:r>
        <w:rPr>
          <w:rFonts w:ascii="宋体" w:hAnsi="宋体" w:eastAsia="宋体" w:cs="宋体"/>
          <w:spacing w:val="-2"/>
          <w:sz w:val="24"/>
          <w:szCs w:val="24"/>
        </w:rPr>
        <w:t>基础储量。矿业权评估中通常按下列原则确定评估利用矿产资源储</w:t>
      </w:r>
      <w:r>
        <w:rPr>
          <w:rFonts w:ascii="宋体" w:hAnsi="宋体" w:eastAsia="宋体" w:cs="宋体"/>
          <w:spacing w:val="-3"/>
          <w:sz w:val="24"/>
          <w:szCs w:val="24"/>
        </w:rPr>
        <w:t>量：</w:t>
      </w:r>
    </w:p>
    <w:p w14:paraId="60564264">
      <w:pPr>
        <w:spacing w:before="7" w:line="303" w:lineRule="auto"/>
        <w:ind w:left="575" w:right="954" w:firstLine="619"/>
        <w:rPr>
          <w:rFonts w:ascii="宋体" w:hAnsi="宋体" w:eastAsia="宋体" w:cs="宋体"/>
          <w:sz w:val="24"/>
          <w:szCs w:val="24"/>
        </w:rPr>
      </w:pPr>
      <w:r>
        <w:rPr>
          <w:rFonts w:ascii="宋体" w:hAnsi="宋体" w:eastAsia="宋体" w:cs="宋体"/>
          <w:spacing w:val="2"/>
          <w:sz w:val="24"/>
          <w:szCs w:val="24"/>
        </w:rPr>
        <w:t>(1)参与评估的保有资源储量中的经济基础储量应直接作为评估利用资源储</w:t>
      </w:r>
      <w:r>
        <w:rPr>
          <w:rFonts w:ascii="宋体" w:hAnsi="宋体" w:eastAsia="宋体" w:cs="宋体"/>
          <w:spacing w:val="11"/>
          <w:sz w:val="24"/>
          <w:szCs w:val="24"/>
        </w:rPr>
        <w:t xml:space="preserve"> </w:t>
      </w:r>
      <w:r>
        <w:rPr>
          <w:rFonts w:ascii="宋体" w:hAnsi="宋体" w:eastAsia="宋体" w:cs="宋体"/>
          <w:spacing w:val="-9"/>
          <w:sz w:val="24"/>
          <w:szCs w:val="24"/>
        </w:rPr>
        <w:t>量，参与计算；</w:t>
      </w:r>
    </w:p>
    <w:p w14:paraId="2590B133">
      <w:pPr>
        <w:spacing w:before="215" w:line="324" w:lineRule="auto"/>
        <w:ind w:left="575" w:right="949" w:firstLine="629"/>
        <w:rPr>
          <w:rFonts w:ascii="宋体" w:hAnsi="宋体" w:eastAsia="宋体" w:cs="宋体"/>
          <w:sz w:val="24"/>
          <w:szCs w:val="24"/>
        </w:rPr>
      </w:pPr>
      <w:r>
        <w:rPr>
          <w:rFonts w:ascii="宋体" w:hAnsi="宋体" w:eastAsia="宋体" w:cs="宋体"/>
          <w:spacing w:val="12"/>
          <w:sz w:val="24"/>
          <w:szCs w:val="24"/>
        </w:rPr>
        <w:t>(2)推断的内蕴经济资源量(333)可参考矿山设计文件或设计规范的规定</w:t>
      </w:r>
      <w:r>
        <w:rPr>
          <w:rFonts w:ascii="宋体" w:hAnsi="宋体" w:eastAsia="宋体" w:cs="宋体"/>
          <w:spacing w:val="14"/>
          <w:sz w:val="24"/>
          <w:szCs w:val="24"/>
        </w:rPr>
        <w:t xml:space="preserve"> </w:t>
      </w:r>
      <w:r>
        <w:rPr>
          <w:rFonts w:ascii="宋体" w:hAnsi="宋体" w:eastAsia="宋体" w:cs="宋体"/>
          <w:spacing w:val="3"/>
          <w:sz w:val="24"/>
          <w:szCs w:val="24"/>
        </w:rPr>
        <w:t>确定可信度系数；矿山设计文件中未予利用的或</w:t>
      </w:r>
      <w:r>
        <w:rPr>
          <w:rFonts w:ascii="宋体" w:hAnsi="宋体" w:eastAsia="宋体" w:cs="宋体"/>
          <w:spacing w:val="2"/>
          <w:sz w:val="24"/>
          <w:szCs w:val="24"/>
        </w:rPr>
        <w:t>设计规范未作规定的，可信度系</w:t>
      </w:r>
      <w:r>
        <w:rPr>
          <w:rFonts w:ascii="宋体" w:hAnsi="宋体" w:eastAsia="宋体" w:cs="宋体"/>
          <w:sz w:val="24"/>
          <w:szCs w:val="24"/>
        </w:rPr>
        <w:t xml:space="preserve"> </w:t>
      </w:r>
      <w:r>
        <w:rPr>
          <w:rFonts w:ascii="宋体" w:hAnsi="宋体" w:eastAsia="宋体" w:cs="宋体"/>
          <w:spacing w:val="5"/>
          <w:sz w:val="24"/>
          <w:szCs w:val="24"/>
        </w:rPr>
        <w:t>数可考虑在0.5～0.8范围内取值。</w:t>
      </w:r>
    </w:p>
    <w:p w14:paraId="6B75B152">
      <w:pPr>
        <w:spacing w:before="226" w:line="387" w:lineRule="auto"/>
        <w:ind w:left="575" w:right="954" w:firstLine="480"/>
        <w:jc w:val="both"/>
        <w:rPr>
          <w:rFonts w:ascii="宋体" w:hAnsi="宋体" w:eastAsia="宋体" w:cs="宋体"/>
          <w:sz w:val="24"/>
          <w:szCs w:val="24"/>
        </w:rPr>
      </w:pPr>
      <w:r>
        <w:rPr>
          <w:rFonts w:ascii="宋体" w:hAnsi="宋体" w:eastAsia="宋体" w:cs="宋体"/>
          <w:spacing w:val="-8"/>
          <w:sz w:val="24"/>
          <w:szCs w:val="24"/>
        </w:rPr>
        <w:t>依据上述原则，</w:t>
      </w:r>
      <w:r>
        <w:rPr>
          <w:rFonts w:ascii="Times New Roman" w:hAnsi="Times New Roman" w:eastAsia="Times New Roman" w:cs="Times New Roman"/>
          <w:spacing w:val="-8"/>
          <w:sz w:val="24"/>
          <w:szCs w:val="24"/>
        </w:rPr>
        <w:t>TM</w:t>
      </w:r>
      <w:r>
        <w:rPr>
          <w:rFonts w:ascii="宋体" w:hAnsi="宋体" w:eastAsia="宋体" w:cs="宋体"/>
          <w:spacing w:val="-8"/>
          <w:sz w:val="24"/>
          <w:szCs w:val="24"/>
        </w:rPr>
        <w:t>资源量、</w:t>
      </w:r>
      <w:r>
        <w:rPr>
          <w:rFonts w:ascii="Times New Roman" w:hAnsi="Times New Roman" w:eastAsia="Times New Roman" w:cs="Times New Roman"/>
          <w:spacing w:val="-8"/>
          <w:sz w:val="24"/>
          <w:szCs w:val="24"/>
        </w:rPr>
        <w:t>KZ</w:t>
      </w:r>
      <w:r>
        <w:rPr>
          <w:rFonts w:ascii="Times New Roman" w:hAnsi="Times New Roman" w:eastAsia="Times New Roman" w:cs="Times New Roman"/>
          <w:spacing w:val="-5"/>
          <w:sz w:val="24"/>
          <w:szCs w:val="24"/>
        </w:rPr>
        <w:t xml:space="preserve"> </w:t>
      </w:r>
      <w:r>
        <w:rPr>
          <w:rFonts w:ascii="宋体" w:hAnsi="宋体" w:eastAsia="宋体" w:cs="宋体"/>
          <w:spacing w:val="-8"/>
          <w:sz w:val="24"/>
          <w:szCs w:val="24"/>
        </w:rPr>
        <w:t>资源量全部参与评估计算，</w:t>
      </w:r>
      <w:r>
        <w:rPr>
          <w:rFonts w:ascii="Times New Roman" w:hAnsi="Times New Roman" w:eastAsia="Times New Roman" w:cs="Times New Roman"/>
          <w:spacing w:val="-8"/>
          <w:sz w:val="24"/>
          <w:szCs w:val="24"/>
        </w:rPr>
        <w:t xml:space="preserve">TD </w:t>
      </w:r>
      <w:r>
        <w:rPr>
          <w:rFonts w:ascii="宋体" w:hAnsi="宋体" w:eastAsia="宋体" w:cs="宋体"/>
          <w:spacing w:val="-8"/>
          <w:sz w:val="24"/>
          <w:szCs w:val="24"/>
        </w:rPr>
        <w:t>资源量“开发利</w:t>
      </w:r>
      <w:r>
        <w:rPr>
          <w:rFonts w:ascii="宋体" w:hAnsi="宋体" w:eastAsia="宋体" w:cs="宋体"/>
          <w:sz w:val="24"/>
          <w:szCs w:val="24"/>
        </w:rPr>
        <w:t xml:space="preserve"> </w:t>
      </w:r>
      <w:r>
        <w:rPr>
          <w:rFonts w:ascii="宋体" w:hAnsi="宋体" w:eastAsia="宋体" w:cs="宋体"/>
          <w:spacing w:val="3"/>
          <w:sz w:val="24"/>
          <w:szCs w:val="24"/>
        </w:rPr>
        <w:t>用方案”取可信度系数为0.60,本次评估</w:t>
      </w:r>
      <w:r>
        <w:rPr>
          <w:rFonts w:ascii="Times New Roman" w:hAnsi="Times New Roman" w:eastAsia="Times New Roman" w:cs="Times New Roman"/>
          <w:sz w:val="24"/>
          <w:szCs w:val="24"/>
        </w:rPr>
        <w:t>TD</w:t>
      </w:r>
      <w:r>
        <w:rPr>
          <w:rFonts w:ascii="宋体" w:hAnsi="宋体" w:eastAsia="宋体" w:cs="宋体"/>
          <w:spacing w:val="3"/>
          <w:sz w:val="24"/>
          <w:szCs w:val="24"/>
        </w:rPr>
        <w:t>资源量参照“开发利用方案”取可信</w:t>
      </w:r>
      <w:r>
        <w:rPr>
          <w:rFonts w:ascii="宋体" w:hAnsi="宋体" w:eastAsia="宋体" w:cs="宋体"/>
          <w:spacing w:val="17"/>
          <w:sz w:val="24"/>
          <w:szCs w:val="24"/>
        </w:rPr>
        <w:t xml:space="preserve"> </w:t>
      </w:r>
      <w:r>
        <w:rPr>
          <w:rFonts w:ascii="宋体" w:hAnsi="宋体" w:eastAsia="宋体" w:cs="宋体"/>
          <w:spacing w:val="6"/>
          <w:sz w:val="24"/>
          <w:szCs w:val="24"/>
        </w:rPr>
        <w:t>度系数为0.60。</w:t>
      </w:r>
    </w:p>
    <w:p w14:paraId="7A4A7C13">
      <w:pPr>
        <w:spacing w:before="1" w:line="217" w:lineRule="auto"/>
        <w:ind w:left="1055"/>
        <w:rPr>
          <w:rFonts w:ascii="宋体" w:hAnsi="宋体" w:eastAsia="宋体" w:cs="宋体"/>
          <w:sz w:val="24"/>
          <w:szCs w:val="24"/>
        </w:rPr>
      </w:pPr>
      <w:r>
        <w:rPr>
          <w:rFonts w:ascii="宋体" w:hAnsi="宋体" w:eastAsia="宋体" w:cs="宋体"/>
          <w:spacing w:val="-1"/>
          <w:sz w:val="24"/>
          <w:szCs w:val="24"/>
        </w:rPr>
        <w:t>本次评估利用资源储量计算如下：</w:t>
      </w:r>
    </w:p>
    <w:p w14:paraId="49E8763B">
      <w:pPr>
        <w:spacing w:before="216" w:line="218" w:lineRule="auto"/>
        <w:ind w:left="1055"/>
        <w:rPr>
          <w:rFonts w:ascii="Times New Roman" w:hAnsi="Times New Roman" w:eastAsia="Times New Roman" w:cs="Times New Roman"/>
          <w:sz w:val="24"/>
          <w:szCs w:val="24"/>
        </w:rPr>
      </w:pPr>
      <w:r>
        <w:rPr>
          <w:rFonts w:ascii="宋体" w:hAnsi="宋体" w:eastAsia="宋体" w:cs="宋体"/>
          <w:spacing w:val="12"/>
          <w:sz w:val="24"/>
          <w:szCs w:val="24"/>
        </w:rPr>
        <w:t>评估利用资源储量(锌、伴生镉)=</w:t>
      </w:r>
      <w:r>
        <w:rPr>
          <w:rFonts w:ascii="Times New Roman" w:hAnsi="Times New Roman" w:eastAsia="Times New Roman" w:cs="Times New Roman"/>
          <w:sz w:val="24"/>
          <w:szCs w:val="24"/>
        </w:rPr>
        <w:t>TM</w:t>
      </w:r>
      <w:r>
        <w:rPr>
          <w:rFonts w:ascii="Times New Roman" w:hAnsi="Times New Roman" w:eastAsia="Times New Roman" w:cs="Times New Roman"/>
          <w:spacing w:val="12"/>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2"/>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2"/>
          <w:sz w:val="24"/>
          <w:szCs w:val="24"/>
        </w:rPr>
        <w:t>×0.6</w:t>
      </w:r>
    </w:p>
    <w:p w14:paraId="6FD8AB5E">
      <w:pPr>
        <w:spacing w:before="292" w:line="188" w:lineRule="auto"/>
        <w:ind w:left="474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=8.78+48.67+82.86×0.6</w:t>
      </w:r>
    </w:p>
    <w:p w14:paraId="4584C669">
      <w:pPr>
        <w:spacing w:before="202" w:line="220" w:lineRule="auto"/>
        <w:ind w:left="4745"/>
        <w:rPr>
          <w:rFonts w:ascii="宋体" w:hAnsi="宋体" w:eastAsia="宋体" w:cs="宋体"/>
          <w:sz w:val="24"/>
          <w:szCs w:val="24"/>
        </w:rPr>
      </w:pPr>
      <w:r>
        <w:rPr>
          <w:rFonts w:ascii="宋体" w:hAnsi="宋体" w:eastAsia="宋体" w:cs="宋体"/>
          <w:spacing w:val="14"/>
          <w:sz w:val="24"/>
          <w:szCs w:val="24"/>
        </w:rPr>
        <w:t>=107.</w:t>
      </w:r>
      <w:r>
        <w:rPr>
          <w:rFonts w:ascii="宋体" w:hAnsi="宋体" w:eastAsia="宋体" w:cs="宋体"/>
          <w:spacing w:val="-33"/>
          <w:sz w:val="24"/>
          <w:szCs w:val="24"/>
        </w:rPr>
        <w:t xml:space="preserve"> </w:t>
      </w:r>
      <w:r>
        <w:rPr>
          <w:rFonts w:ascii="宋体" w:hAnsi="宋体" w:eastAsia="宋体" w:cs="宋体"/>
          <w:spacing w:val="14"/>
          <w:sz w:val="24"/>
          <w:szCs w:val="24"/>
        </w:rPr>
        <w:t>17(万吨)</w:t>
      </w:r>
    </w:p>
    <w:p w14:paraId="3236B65C">
      <w:pPr>
        <w:spacing w:before="231" w:line="218" w:lineRule="auto"/>
        <w:ind w:left="1055"/>
        <w:rPr>
          <w:rFonts w:ascii="Times New Roman" w:hAnsi="Times New Roman" w:eastAsia="Times New Roman" w:cs="Times New Roman"/>
          <w:sz w:val="24"/>
          <w:szCs w:val="24"/>
        </w:rPr>
      </w:pPr>
      <w:r>
        <w:rPr>
          <w:rFonts w:ascii="宋体" w:hAnsi="宋体" w:eastAsia="宋体" w:cs="宋体"/>
          <w:spacing w:val="14"/>
          <w:sz w:val="24"/>
          <w:szCs w:val="24"/>
        </w:rPr>
        <w:t>评估利用资源储量(伴生铅)=</w:t>
      </w:r>
      <w:r>
        <w:rPr>
          <w:rFonts w:ascii="Times New Roman" w:hAnsi="Times New Roman" w:eastAsia="Times New Roman" w:cs="Times New Roman"/>
          <w:sz w:val="24"/>
          <w:szCs w:val="24"/>
        </w:rPr>
        <w:t>TM</w:t>
      </w:r>
      <w:r>
        <w:rPr>
          <w:rFonts w:ascii="Times New Roman" w:hAnsi="Times New Roman" w:eastAsia="Times New Roman" w:cs="Times New Roman"/>
          <w:spacing w:val="14"/>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4"/>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4"/>
          <w:sz w:val="24"/>
          <w:szCs w:val="24"/>
        </w:rPr>
        <w:t>×0.6</w:t>
      </w:r>
    </w:p>
    <w:p w14:paraId="72B56CA1">
      <w:pPr>
        <w:spacing w:before="251" w:line="188" w:lineRule="auto"/>
        <w:ind w:left="426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=5.39+29.30+41.42×0.6</w:t>
      </w:r>
    </w:p>
    <w:p w14:paraId="056624B1">
      <w:pPr>
        <w:spacing w:line="188" w:lineRule="auto"/>
        <w:rPr>
          <w:rFonts w:ascii="Times New Roman" w:hAnsi="Times New Roman" w:eastAsia="Times New Roman" w:cs="Times New Roman"/>
          <w:sz w:val="24"/>
          <w:szCs w:val="24"/>
        </w:rPr>
        <w:sectPr>
          <w:headerReference r:id="rId76" w:type="default"/>
          <w:footerReference r:id="rId77" w:type="default"/>
          <w:pgSz w:w="11900" w:h="16830"/>
          <w:pgMar w:top="1197" w:right="565" w:bottom="1330" w:left="1304" w:header="920" w:footer="1008" w:gutter="0"/>
          <w:cols w:space="720" w:num="1"/>
        </w:sectPr>
      </w:pPr>
    </w:p>
    <w:p w14:paraId="4F5DBBCD">
      <w:pPr>
        <w:pStyle w:val="2"/>
        <w:spacing w:line="383" w:lineRule="auto"/>
      </w:pPr>
    </w:p>
    <w:p w14:paraId="356724F5">
      <w:pPr>
        <w:spacing w:before="78" w:line="220" w:lineRule="auto"/>
        <w:ind w:left="3725"/>
        <w:rPr>
          <w:rFonts w:ascii="宋体" w:hAnsi="宋体" w:eastAsia="宋体" w:cs="宋体"/>
          <w:sz w:val="24"/>
          <w:szCs w:val="24"/>
        </w:rPr>
      </w:pPr>
      <w:r>
        <w:rPr>
          <w:rFonts w:ascii="宋体" w:hAnsi="宋体" w:eastAsia="宋体" w:cs="宋体"/>
          <w:spacing w:val="27"/>
          <w:sz w:val="24"/>
          <w:szCs w:val="24"/>
        </w:rPr>
        <w:t>=59.54(万吨)</w:t>
      </w:r>
    </w:p>
    <w:p w14:paraId="6FDB399B">
      <w:pPr>
        <w:spacing w:before="222" w:line="368" w:lineRule="auto"/>
        <w:ind w:left="84" w:right="380" w:firstLine="530"/>
        <w:jc w:val="both"/>
        <w:rPr>
          <w:rFonts w:ascii="宋体" w:hAnsi="宋体" w:eastAsia="宋体" w:cs="宋体"/>
          <w:sz w:val="25"/>
          <w:szCs w:val="25"/>
        </w:rPr>
      </w:pPr>
      <w:r>
        <w:rPr>
          <w:rFonts w:ascii="宋体" w:hAnsi="宋体" w:eastAsia="宋体" w:cs="宋体"/>
          <w:spacing w:val="-2"/>
          <w:sz w:val="25"/>
          <w:szCs w:val="25"/>
        </w:rPr>
        <w:t>则本次评估利用资源储量为锌矿石量107.17</w:t>
      </w:r>
      <w:r>
        <w:rPr>
          <w:rFonts w:ascii="宋体" w:hAnsi="宋体" w:eastAsia="宋体" w:cs="宋体"/>
          <w:spacing w:val="-3"/>
          <w:sz w:val="25"/>
          <w:szCs w:val="25"/>
        </w:rPr>
        <w:t>万吨，锌金属量47595.40吨，</w:t>
      </w:r>
      <w:r>
        <w:rPr>
          <w:rFonts w:ascii="宋体" w:hAnsi="宋体" w:eastAsia="宋体" w:cs="宋体"/>
          <w:sz w:val="25"/>
          <w:szCs w:val="25"/>
        </w:rPr>
        <w:t xml:space="preserve"> </w:t>
      </w:r>
      <w:r>
        <w:rPr>
          <w:rFonts w:ascii="宋体" w:hAnsi="宋体" w:eastAsia="宋体" w:cs="宋体"/>
          <w:spacing w:val="3"/>
          <w:sz w:val="25"/>
          <w:szCs w:val="25"/>
        </w:rPr>
        <w:t>锌平均品位4.44%;伴生铅矿石量59.54万吨，铅金属量4</w:t>
      </w:r>
      <w:r>
        <w:rPr>
          <w:rFonts w:ascii="宋体" w:hAnsi="宋体" w:eastAsia="宋体" w:cs="宋体"/>
          <w:spacing w:val="2"/>
          <w:sz w:val="25"/>
          <w:szCs w:val="25"/>
        </w:rPr>
        <w:t>564.20吨，铅平均品</w:t>
      </w:r>
      <w:r>
        <w:rPr>
          <w:rFonts w:ascii="宋体" w:hAnsi="宋体" w:eastAsia="宋体" w:cs="宋体"/>
          <w:sz w:val="25"/>
          <w:szCs w:val="25"/>
        </w:rPr>
        <w:t xml:space="preserve"> </w:t>
      </w:r>
      <w:r>
        <w:rPr>
          <w:rFonts w:ascii="宋体" w:hAnsi="宋体" w:eastAsia="宋体" w:cs="宋体"/>
          <w:spacing w:val="-3"/>
          <w:sz w:val="25"/>
          <w:szCs w:val="25"/>
        </w:rPr>
        <w:t>位0.77%;伴生镉矿石量107.17万吨，镉金属量</w:t>
      </w:r>
      <w:r>
        <w:rPr>
          <w:rFonts w:ascii="宋体" w:hAnsi="宋体" w:eastAsia="宋体" w:cs="宋体"/>
          <w:spacing w:val="-4"/>
          <w:sz w:val="25"/>
          <w:szCs w:val="25"/>
        </w:rPr>
        <w:t>1368.40吨，镉平均品位0.128%。</w:t>
      </w:r>
      <w:r>
        <w:rPr>
          <w:rFonts w:ascii="宋体" w:hAnsi="宋体" w:eastAsia="宋体" w:cs="宋体"/>
          <w:sz w:val="25"/>
          <w:szCs w:val="25"/>
        </w:rPr>
        <w:t xml:space="preserve"> </w:t>
      </w:r>
      <w:r>
        <w:rPr>
          <w:rFonts w:ascii="宋体" w:hAnsi="宋体" w:eastAsia="宋体" w:cs="宋体"/>
          <w:spacing w:val="-1"/>
          <w:sz w:val="25"/>
          <w:szCs w:val="25"/>
        </w:rPr>
        <w:t>详见下表10-5。</w:t>
      </w:r>
    </w:p>
    <w:p w14:paraId="1C29078F">
      <w:pPr>
        <w:spacing w:before="5" w:line="218" w:lineRule="auto"/>
        <w:ind w:left="3205"/>
        <w:rPr>
          <w:rFonts w:ascii="宋体" w:hAnsi="宋体" w:eastAsia="宋体" w:cs="宋体"/>
          <w:sz w:val="25"/>
          <w:szCs w:val="25"/>
        </w:rPr>
      </w:pPr>
      <w:r>
        <w:rPr>
          <w:rFonts w:ascii="宋体" w:hAnsi="宋体" w:eastAsia="宋体" w:cs="宋体"/>
          <w:spacing w:val="-1"/>
          <w:sz w:val="25"/>
          <w:szCs w:val="25"/>
        </w:rPr>
        <w:t>表10-5评估利用资源储量</w:t>
      </w:r>
    </w:p>
    <w:p w14:paraId="76079115">
      <w:pPr>
        <w:spacing w:line="21" w:lineRule="exact"/>
      </w:pPr>
    </w:p>
    <w:tbl>
      <w:tblPr>
        <w:tblStyle w:val="5"/>
        <w:tblW w:w="8880"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699"/>
        <w:gridCol w:w="969"/>
        <w:gridCol w:w="1129"/>
        <w:gridCol w:w="1138"/>
        <w:gridCol w:w="649"/>
        <w:gridCol w:w="1049"/>
        <w:gridCol w:w="1129"/>
        <w:gridCol w:w="1114"/>
      </w:tblGrid>
      <w:tr w14:paraId="59720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04" w:type="dxa"/>
            <w:vMerge w:val="restart"/>
            <w:tcBorders>
              <w:bottom w:val="nil"/>
            </w:tcBorders>
            <w:vAlign w:val="top"/>
          </w:tcPr>
          <w:p w14:paraId="7E349EA9">
            <w:pPr>
              <w:spacing w:line="249" w:lineRule="auto"/>
              <w:rPr>
                <w:rFonts w:ascii="Arial"/>
                <w:sz w:val="21"/>
              </w:rPr>
            </w:pPr>
          </w:p>
          <w:p w14:paraId="6B27C83B">
            <w:pPr>
              <w:pStyle w:val="6"/>
              <w:spacing w:before="72" w:line="215" w:lineRule="auto"/>
              <w:ind w:left="245" w:right="286" w:firstLine="29"/>
              <w:rPr>
                <w:sz w:val="22"/>
                <w:szCs w:val="22"/>
              </w:rPr>
            </w:pPr>
            <w:r>
              <w:rPr>
                <w:spacing w:val="-4"/>
                <w:sz w:val="22"/>
                <w:szCs w:val="22"/>
              </w:rPr>
              <w:t>矿石</w:t>
            </w:r>
            <w:r>
              <w:rPr>
                <w:sz w:val="22"/>
                <w:szCs w:val="22"/>
              </w:rPr>
              <w:t xml:space="preserve"> </w:t>
            </w:r>
            <w:r>
              <w:rPr>
                <w:spacing w:val="7"/>
                <w:sz w:val="22"/>
                <w:szCs w:val="22"/>
              </w:rPr>
              <w:t>类型</w:t>
            </w:r>
          </w:p>
        </w:tc>
        <w:tc>
          <w:tcPr>
            <w:tcW w:w="699" w:type="dxa"/>
            <w:vMerge w:val="restart"/>
            <w:tcBorders>
              <w:bottom w:val="nil"/>
            </w:tcBorders>
            <w:vAlign w:val="top"/>
          </w:tcPr>
          <w:p w14:paraId="48A3ED27">
            <w:pPr>
              <w:pStyle w:val="6"/>
              <w:spacing w:before="25" w:line="221" w:lineRule="auto"/>
              <w:ind w:left="121"/>
              <w:rPr>
                <w:sz w:val="22"/>
                <w:szCs w:val="22"/>
              </w:rPr>
            </w:pPr>
            <w:r>
              <w:rPr>
                <w:spacing w:val="4"/>
                <w:sz w:val="22"/>
                <w:szCs w:val="22"/>
              </w:rPr>
              <w:t>资源</w:t>
            </w:r>
          </w:p>
          <w:p w14:paraId="6E87FF3F">
            <w:pPr>
              <w:pStyle w:val="6"/>
              <w:spacing w:before="16" w:line="220" w:lineRule="auto"/>
              <w:ind w:left="121"/>
              <w:rPr>
                <w:sz w:val="22"/>
                <w:szCs w:val="22"/>
              </w:rPr>
            </w:pPr>
            <w:r>
              <w:rPr>
                <w:spacing w:val="-2"/>
                <w:sz w:val="22"/>
                <w:szCs w:val="22"/>
              </w:rPr>
              <w:t>储量</w:t>
            </w:r>
          </w:p>
          <w:p w14:paraId="4B2BEE4A">
            <w:pPr>
              <w:pStyle w:val="6"/>
              <w:spacing w:before="37" w:line="218" w:lineRule="auto"/>
              <w:ind w:left="121"/>
              <w:rPr>
                <w:sz w:val="22"/>
                <w:szCs w:val="22"/>
              </w:rPr>
            </w:pPr>
            <w:r>
              <w:rPr>
                <w:spacing w:val="4"/>
                <w:sz w:val="22"/>
                <w:szCs w:val="22"/>
              </w:rPr>
              <w:t>分类</w:t>
            </w:r>
          </w:p>
          <w:p w14:paraId="620EB675">
            <w:pPr>
              <w:pStyle w:val="6"/>
              <w:spacing w:line="209" w:lineRule="auto"/>
              <w:ind w:left="121"/>
              <w:rPr>
                <w:sz w:val="22"/>
                <w:szCs w:val="22"/>
              </w:rPr>
            </w:pPr>
            <w:r>
              <w:rPr>
                <w:spacing w:val="5"/>
                <w:sz w:val="22"/>
                <w:szCs w:val="22"/>
              </w:rPr>
              <w:t>编码</w:t>
            </w:r>
          </w:p>
        </w:tc>
        <w:tc>
          <w:tcPr>
            <w:tcW w:w="3236" w:type="dxa"/>
            <w:gridSpan w:val="3"/>
            <w:vAlign w:val="top"/>
          </w:tcPr>
          <w:p w14:paraId="52BA4E6A">
            <w:pPr>
              <w:pStyle w:val="6"/>
              <w:spacing w:before="33" w:line="214" w:lineRule="auto"/>
              <w:ind w:left="841" w:right="251" w:hanging="609"/>
              <w:rPr>
                <w:sz w:val="22"/>
                <w:szCs w:val="22"/>
              </w:rPr>
            </w:pPr>
            <w:r>
              <w:rPr>
                <w:spacing w:val="-1"/>
                <w:sz w:val="22"/>
                <w:szCs w:val="22"/>
              </w:rPr>
              <w:t>储量核实基准日2021年9月30</w:t>
            </w:r>
            <w:r>
              <w:rPr>
                <w:spacing w:val="7"/>
                <w:sz w:val="22"/>
                <w:szCs w:val="22"/>
              </w:rPr>
              <w:t xml:space="preserve"> </w:t>
            </w:r>
            <w:r>
              <w:rPr>
                <w:spacing w:val="1"/>
                <w:sz w:val="22"/>
                <w:szCs w:val="22"/>
              </w:rPr>
              <w:t>日保有资源储量</w:t>
            </w:r>
          </w:p>
        </w:tc>
        <w:tc>
          <w:tcPr>
            <w:tcW w:w="649" w:type="dxa"/>
            <w:vMerge w:val="restart"/>
            <w:tcBorders>
              <w:bottom w:val="nil"/>
            </w:tcBorders>
            <w:vAlign w:val="top"/>
          </w:tcPr>
          <w:p w14:paraId="5F424FA8">
            <w:pPr>
              <w:pStyle w:val="6"/>
              <w:spacing w:before="164" w:line="219" w:lineRule="auto"/>
              <w:ind w:left="96"/>
              <w:rPr>
                <w:sz w:val="22"/>
                <w:szCs w:val="22"/>
              </w:rPr>
            </w:pPr>
            <w:r>
              <w:rPr>
                <w:spacing w:val="7"/>
                <w:sz w:val="22"/>
                <w:szCs w:val="22"/>
              </w:rPr>
              <w:t>可信</w:t>
            </w:r>
          </w:p>
          <w:p w14:paraId="5F740074">
            <w:pPr>
              <w:pStyle w:val="6"/>
              <w:spacing w:before="28" w:line="245" w:lineRule="auto"/>
              <w:ind w:left="205" w:right="82" w:hanging="109"/>
              <w:rPr>
                <w:sz w:val="22"/>
                <w:szCs w:val="22"/>
              </w:rPr>
            </w:pPr>
            <w:r>
              <w:rPr>
                <w:spacing w:val="10"/>
                <w:sz w:val="22"/>
                <w:szCs w:val="22"/>
              </w:rPr>
              <w:t>度系</w:t>
            </w:r>
            <w:r>
              <w:rPr>
                <w:sz w:val="22"/>
                <w:szCs w:val="22"/>
              </w:rPr>
              <w:t xml:space="preserve"> 数</w:t>
            </w:r>
          </w:p>
        </w:tc>
        <w:tc>
          <w:tcPr>
            <w:tcW w:w="3292" w:type="dxa"/>
            <w:gridSpan w:val="3"/>
            <w:vAlign w:val="top"/>
          </w:tcPr>
          <w:p w14:paraId="6A4302C9">
            <w:pPr>
              <w:pStyle w:val="6"/>
              <w:spacing w:before="172" w:line="218" w:lineRule="auto"/>
              <w:ind w:left="807"/>
              <w:rPr>
                <w:sz w:val="22"/>
                <w:szCs w:val="22"/>
              </w:rPr>
            </w:pPr>
            <w:r>
              <w:rPr>
                <w:spacing w:val="-1"/>
                <w:sz w:val="22"/>
                <w:szCs w:val="22"/>
              </w:rPr>
              <w:t>评估利用资源储量</w:t>
            </w:r>
          </w:p>
        </w:tc>
      </w:tr>
      <w:tr w14:paraId="3AF6B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004" w:type="dxa"/>
            <w:vMerge w:val="continue"/>
            <w:tcBorders>
              <w:top w:val="nil"/>
            </w:tcBorders>
            <w:vAlign w:val="top"/>
          </w:tcPr>
          <w:p w14:paraId="45263A3D">
            <w:pPr>
              <w:rPr>
                <w:rFonts w:ascii="Arial"/>
                <w:sz w:val="21"/>
              </w:rPr>
            </w:pPr>
          </w:p>
        </w:tc>
        <w:tc>
          <w:tcPr>
            <w:tcW w:w="699" w:type="dxa"/>
            <w:vMerge w:val="continue"/>
            <w:tcBorders>
              <w:top w:val="nil"/>
            </w:tcBorders>
            <w:vAlign w:val="top"/>
          </w:tcPr>
          <w:p w14:paraId="51274DA9">
            <w:pPr>
              <w:rPr>
                <w:rFonts w:ascii="Arial"/>
                <w:sz w:val="21"/>
              </w:rPr>
            </w:pPr>
          </w:p>
        </w:tc>
        <w:tc>
          <w:tcPr>
            <w:tcW w:w="969" w:type="dxa"/>
            <w:vAlign w:val="top"/>
          </w:tcPr>
          <w:p w14:paraId="38A01375">
            <w:pPr>
              <w:pStyle w:val="6"/>
              <w:spacing w:before="50" w:line="219" w:lineRule="auto"/>
              <w:ind w:left="141"/>
              <w:rPr>
                <w:sz w:val="22"/>
                <w:szCs w:val="22"/>
              </w:rPr>
            </w:pPr>
            <w:r>
              <w:rPr>
                <w:spacing w:val="-2"/>
                <w:sz w:val="22"/>
                <w:szCs w:val="22"/>
              </w:rPr>
              <w:t>矿石量</w:t>
            </w:r>
          </w:p>
          <w:p w14:paraId="3B1E3F69">
            <w:pPr>
              <w:pStyle w:val="6"/>
              <w:spacing w:before="8" w:line="192" w:lineRule="auto"/>
              <w:ind w:left="141"/>
              <w:rPr>
                <w:sz w:val="22"/>
                <w:szCs w:val="22"/>
              </w:rPr>
            </w:pPr>
            <w:r>
              <w:rPr>
                <w:spacing w:val="12"/>
                <w:sz w:val="22"/>
                <w:szCs w:val="22"/>
              </w:rPr>
              <w:t>(万吨)</w:t>
            </w:r>
          </w:p>
        </w:tc>
        <w:tc>
          <w:tcPr>
            <w:tcW w:w="1129" w:type="dxa"/>
            <w:vAlign w:val="top"/>
          </w:tcPr>
          <w:p w14:paraId="28225810">
            <w:pPr>
              <w:pStyle w:val="6"/>
              <w:spacing w:before="30" w:line="220" w:lineRule="auto"/>
              <w:ind w:left="113"/>
              <w:rPr>
                <w:sz w:val="22"/>
                <w:szCs w:val="22"/>
              </w:rPr>
            </w:pPr>
            <w:r>
              <w:rPr>
                <w:spacing w:val="-2"/>
                <w:sz w:val="22"/>
                <w:szCs w:val="22"/>
              </w:rPr>
              <w:t>平均品位</w:t>
            </w:r>
          </w:p>
          <w:p w14:paraId="0839CCAC">
            <w:pPr>
              <w:pStyle w:val="6"/>
              <w:spacing w:before="20" w:line="198" w:lineRule="auto"/>
              <w:ind w:left="392"/>
              <w:rPr>
                <w:sz w:val="22"/>
                <w:szCs w:val="22"/>
              </w:rPr>
            </w:pPr>
            <w:r>
              <w:rPr>
                <w:spacing w:val="-11"/>
                <w:sz w:val="22"/>
                <w:szCs w:val="22"/>
              </w:rPr>
              <w:t>(%)</w:t>
            </w:r>
          </w:p>
        </w:tc>
        <w:tc>
          <w:tcPr>
            <w:tcW w:w="1138" w:type="dxa"/>
            <w:vAlign w:val="top"/>
          </w:tcPr>
          <w:p w14:paraId="029CA710">
            <w:pPr>
              <w:pStyle w:val="6"/>
              <w:spacing w:before="51" w:line="221" w:lineRule="auto"/>
              <w:ind w:left="234"/>
              <w:rPr>
                <w:sz w:val="22"/>
                <w:szCs w:val="22"/>
              </w:rPr>
            </w:pPr>
            <w:r>
              <w:rPr>
                <w:spacing w:val="-3"/>
                <w:sz w:val="22"/>
                <w:szCs w:val="22"/>
              </w:rPr>
              <w:t>金属量</w:t>
            </w:r>
          </w:p>
          <w:p w14:paraId="3304FC36">
            <w:pPr>
              <w:pStyle w:val="6"/>
              <w:spacing w:before="9" w:line="189" w:lineRule="auto"/>
              <w:ind w:left="344"/>
              <w:rPr>
                <w:sz w:val="22"/>
                <w:szCs w:val="22"/>
              </w:rPr>
            </w:pPr>
            <w:r>
              <w:rPr>
                <w:spacing w:val="16"/>
                <w:sz w:val="22"/>
                <w:szCs w:val="22"/>
              </w:rPr>
              <w:t>(吨)</w:t>
            </w:r>
          </w:p>
        </w:tc>
        <w:tc>
          <w:tcPr>
            <w:tcW w:w="649" w:type="dxa"/>
            <w:vMerge w:val="continue"/>
            <w:tcBorders>
              <w:top w:val="nil"/>
            </w:tcBorders>
            <w:vAlign w:val="top"/>
          </w:tcPr>
          <w:p w14:paraId="3032F948">
            <w:pPr>
              <w:rPr>
                <w:rFonts w:ascii="Arial"/>
                <w:sz w:val="21"/>
              </w:rPr>
            </w:pPr>
          </w:p>
        </w:tc>
        <w:tc>
          <w:tcPr>
            <w:tcW w:w="1049" w:type="dxa"/>
            <w:vAlign w:val="top"/>
          </w:tcPr>
          <w:p w14:paraId="3F6FA8F6">
            <w:pPr>
              <w:pStyle w:val="6"/>
              <w:spacing w:before="30" w:line="219" w:lineRule="auto"/>
              <w:ind w:left="187"/>
              <w:rPr>
                <w:sz w:val="22"/>
                <w:szCs w:val="22"/>
              </w:rPr>
            </w:pPr>
            <w:r>
              <w:rPr>
                <w:spacing w:val="-2"/>
                <w:sz w:val="22"/>
                <w:szCs w:val="22"/>
              </w:rPr>
              <w:t>矿石量</w:t>
            </w:r>
          </w:p>
          <w:p w14:paraId="7AA04DD5">
            <w:pPr>
              <w:pStyle w:val="6"/>
              <w:spacing w:before="28" w:line="192" w:lineRule="auto"/>
              <w:ind w:left="187"/>
              <w:rPr>
                <w:sz w:val="22"/>
                <w:szCs w:val="22"/>
              </w:rPr>
            </w:pPr>
            <w:r>
              <w:rPr>
                <w:spacing w:val="12"/>
                <w:sz w:val="22"/>
                <w:szCs w:val="22"/>
              </w:rPr>
              <w:t>(万吨)</w:t>
            </w:r>
          </w:p>
        </w:tc>
        <w:tc>
          <w:tcPr>
            <w:tcW w:w="1129" w:type="dxa"/>
            <w:vAlign w:val="top"/>
          </w:tcPr>
          <w:p w14:paraId="2FB2042F">
            <w:pPr>
              <w:pStyle w:val="6"/>
              <w:spacing w:before="40" w:line="220" w:lineRule="auto"/>
              <w:ind w:left="118"/>
              <w:rPr>
                <w:sz w:val="22"/>
                <w:szCs w:val="22"/>
              </w:rPr>
            </w:pPr>
            <w:r>
              <w:rPr>
                <w:spacing w:val="-2"/>
                <w:sz w:val="22"/>
                <w:szCs w:val="22"/>
              </w:rPr>
              <w:t>平均品位</w:t>
            </w:r>
          </w:p>
          <w:p w14:paraId="4F668248">
            <w:pPr>
              <w:pStyle w:val="6"/>
              <w:spacing w:before="30" w:line="181" w:lineRule="auto"/>
              <w:ind w:left="398"/>
              <w:rPr>
                <w:sz w:val="22"/>
                <w:szCs w:val="22"/>
              </w:rPr>
            </w:pPr>
            <w:r>
              <w:rPr>
                <w:spacing w:val="-11"/>
                <w:sz w:val="22"/>
                <w:szCs w:val="22"/>
              </w:rPr>
              <w:t>(%)</w:t>
            </w:r>
          </w:p>
        </w:tc>
        <w:tc>
          <w:tcPr>
            <w:tcW w:w="1114" w:type="dxa"/>
            <w:vAlign w:val="top"/>
          </w:tcPr>
          <w:p w14:paraId="16C482D2">
            <w:pPr>
              <w:pStyle w:val="6"/>
              <w:spacing w:before="41" w:line="220" w:lineRule="auto"/>
              <w:ind w:left="219"/>
              <w:rPr>
                <w:sz w:val="22"/>
                <w:szCs w:val="22"/>
              </w:rPr>
            </w:pPr>
            <w:r>
              <w:rPr>
                <w:spacing w:val="-3"/>
                <w:sz w:val="22"/>
                <w:szCs w:val="22"/>
              </w:rPr>
              <w:t>金属量</w:t>
            </w:r>
          </w:p>
          <w:p w14:paraId="3DE516AD">
            <w:pPr>
              <w:pStyle w:val="6"/>
              <w:spacing w:line="206" w:lineRule="auto"/>
              <w:ind w:left="328"/>
              <w:rPr>
                <w:sz w:val="22"/>
                <w:szCs w:val="22"/>
              </w:rPr>
            </w:pPr>
            <w:r>
              <w:rPr>
                <w:spacing w:val="16"/>
                <w:sz w:val="22"/>
                <w:szCs w:val="22"/>
              </w:rPr>
              <w:t>(吨)</w:t>
            </w:r>
          </w:p>
        </w:tc>
      </w:tr>
      <w:tr w14:paraId="1A901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04" w:type="dxa"/>
            <w:vMerge w:val="restart"/>
            <w:tcBorders>
              <w:bottom w:val="nil"/>
            </w:tcBorders>
            <w:vAlign w:val="top"/>
          </w:tcPr>
          <w:p w14:paraId="1C4739B9">
            <w:pPr>
              <w:spacing w:line="457" w:lineRule="auto"/>
              <w:rPr>
                <w:rFonts w:ascii="Arial"/>
                <w:sz w:val="21"/>
              </w:rPr>
            </w:pPr>
          </w:p>
          <w:p w14:paraId="1F4AC711">
            <w:pPr>
              <w:pStyle w:val="6"/>
              <w:spacing w:before="72" w:line="220" w:lineRule="auto"/>
              <w:ind w:left="165"/>
              <w:rPr>
                <w:sz w:val="22"/>
                <w:szCs w:val="22"/>
              </w:rPr>
            </w:pPr>
            <w:r>
              <w:rPr>
                <w:spacing w:val="16"/>
                <w:sz w:val="22"/>
                <w:szCs w:val="22"/>
              </w:rPr>
              <w:t>锌(</w:t>
            </w:r>
            <w:r>
              <w:rPr>
                <w:sz w:val="22"/>
                <w:szCs w:val="22"/>
              </w:rPr>
              <w:t>Zn</w:t>
            </w:r>
            <w:r>
              <w:rPr>
                <w:spacing w:val="16"/>
                <w:sz w:val="22"/>
                <w:szCs w:val="22"/>
              </w:rPr>
              <w:t>)</w:t>
            </w:r>
          </w:p>
        </w:tc>
        <w:tc>
          <w:tcPr>
            <w:tcW w:w="699" w:type="dxa"/>
            <w:vAlign w:val="top"/>
          </w:tcPr>
          <w:p w14:paraId="4959030B">
            <w:pPr>
              <w:pStyle w:val="6"/>
              <w:spacing w:before="109" w:line="167" w:lineRule="auto"/>
              <w:ind w:left="230"/>
              <w:rPr>
                <w:sz w:val="22"/>
                <w:szCs w:val="22"/>
              </w:rPr>
            </w:pPr>
            <w:r>
              <w:rPr>
                <w:spacing w:val="-2"/>
                <w:sz w:val="22"/>
                <w:szCs w:val="22"/>
              </w:rPr>
              <w:t>TM</w:t>
            </w:r>
          </w:p>
        </w:tc>
        <w:tc>
          <w:tcPr>
            <w:tcW w:w="969" w:type="dxa"/>
            <w:vAlign w:val="top"/>
          </w:tcPr>
          <w:p w14:paraId="16BBE0C4">
            <w:pPr>
              <w:pStyle w:val="6"/>
              <w:spacing w:before="73" w:line="198" w:lineRule="auto"/>
              <w:ind w:left="252"/>
              <w:rPr>
                <w:sz w:val="22"/>
                <w:szCs w:val="22"/>
              </w:rPr>
            </w:pPr>
            <w:r>
              <w:rPr>
                <w:spacing w:val="-2"/>
                <w:sz w:val="22"/>
                <w:szCs w:val="22"/>
              </w:rPr>
              <w:t>8.78</w:t>
            </w:r>
          </w:p>
        </w:tc>
        <w:tc>
          <w:tcPr>
            <w:tcW w:w="1129" w:type="dxa"/>
            <w:vAlign w:val="top"/>
          </w:tcPr>
          <w:p w14:paraId="7E0BE1E5">
            <w:pPr>
              <w:pStyle w:val="6"/>
              <w:spacing w:before="73" w:line="198" w:lineRule="auto"/>
              <w:ind w:left="283"/>
              <w:rPr>
                <w:sz w:val="22"/>
                <w:szCs w:val="22"/>
              </w:rPr>
            </w:pPr>
            <w:r>
              <w:rPr>
                <w:spacing w:val="-1"/>
                <w:sz w:val="22"/>
                <w:szCs w:val="22"/>
              </w:rPr>
              <w:t>4.97%</w:t>
            </w:r>
          </w:p>
        </w:tc>
        <w:tc>
          <w:tcPr>
            <w:tcW w:w="1138" w:type="dxa"/>
            <w:vAlign w:val="top"/>
          </w:tcPr>
          <w:p w14:paraId="312F23BB">
            <w:pPr>
              <w:pStyle w:val="6"/>
              <w:spacing w:before="73" w:line="198" w:lineRule="auto"/>
              <w:ind w:left="174"/>
              <w:rPr>
                <w:sz w:val="22"/>
                <w:szCs w:val="22"/>
              </w:rPr>
            </w:pPr>
            <w:r>
              <w:rPr>
                <w:spacing w:val="-1"/>
                <w:sz w:val="22"/>
                <w:szCs w:val="22"/>
              </w:rPr>
              <w:t>4360.00</w:t>
            </w:r>
          </w:p>
        </w:tc>
        <w:tc>
          <w:tcPr>
            <w:tcW w:w="649" w:type="dxa"/>
            <w:vAlign w:val="top"/>
          </w:tcPr>
          <w:p w14:paraId="4D224E16">
            <w:pPr>
              <w:pStyle w:val="6"/>
              <w:spacing w:before="73" w:line="198" w:lineRule="auto"/>
              <w:ind w:left="266"/>
              <w:rPr>
                <w:sz w:val="22"/>
                <w:szCs w:val="22"/>
              </w:rPr>
            </w:pPr>
            <w:r>
              <w:rPr>
                <w:sz w:val="22"/>
                <w:szCs w:val="22"/>
              </w:rPr>
              <w:t>1</w:t>
            </w:r>
          </w:p>
        </w:tc>
        <w:tc>
          <w:tcPr>
            <w:tcW w:w="1049" w:type="dxa"/>
            <w:vAlign w:val="top"/>
          </w:tcPr>
          <w:p w14:paraId="6AA458D3">
            <w:pPr>
              <w:pStyle w:val="6"/>
              <w:spacing w:before="73" w:line="198" w:lineRule="auto"/>
              <w:ind w:left="297"/>
              <w:rPr>
                <w:sz w:val="22"/>
                <w:szCs w:val="22"/>
              </w:rPr>
            </w:pPr>
            <w:r>
              <w:rPr>
                <w:spacing w:val="-2"/>
                <w:sz w:val="22"/>
                <w:szCs w:val="22"/>
              </w:rPr>
              <w:t>8.78</w:t>
            </w:r>
          </w:p>
        </w:tc>
        <w:tc>
          <w:tcPr>
            <w:tcW w:w="1129" w:type="dxa"/>
            <w:vAlign w:val="top"/>
          </w:tcPr>
          <w:p w14:paraId="15C32EDE">
            <w:pPr>
              <w:pStyle w:val="6"/>
              <w:spacing w:before="73" w:line="198" w:lineRule="auto"/>
              <w:ind w:left="287"/>
              <w:rPr>
                <w:sz w:val="22"/>
                <w:szCs w:val="22"/>
              </w:rPr>
            </w:pPr>
            <w:r>
              <w:rPr>
                <w:spacing w:val="-1"/>
                <w:sz w:val="22"/>
                <w:szCs w:val="22"/>
              </w:rPr>
              <w:t>4.97%</w:t>
            </w:r>
          </w:p>
        </w:tc>
        <w:tc>
          <w:tcPr>
            <w:tcW w:w="1114" w:type="dxa"/>
            <w:vAlign w:val="top"/>
          </w:tcPr>
          <w:p w14:paraId="7DCCD78C">
            <w:pPr>
              <w:pStyle w:val="6"/>
              <w:spacing w:before="73" w:line="198" w:lineRule="auto"/>
              <w:ind w:left="169"/>
              <w:rPr>
                <w:sz w:val="22"/>
                <w:szCs w:val="22"/>
              </w:rPr>
            </w:pPr>
            <w:r>
              <w:rPr>
                <w:spacing w:val="-1"/>
                <w:sz w:val="22"/>
                <w:szCs w:val="22"/>
              </w:rPr>
              <w:t>4360.00</w:t>
            </w:r>
          </w:p>
        </w:tc>
      </w:tr>
      <w:tr w14:paraId="713B5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004" w:type="dxa"/>
            <w:vMerge w:val="continue"/>
            <w:tcBorders>
              <w:top w:val="nil"/>
              <w:bottom w:val="nil"/>
            </w:tcBorders>
            <w:vAlign w:val="top"/>
          </w:tcPr>
          <w:p w14:paraId="2C5B3B2A">
            <w:pPr>
              <w:rPr>
                <w:rFonts w:ascii="Arial"/>
                <w:sz w:val="21"/>
              </w:rPr>
            </w:pPr>
          </w:p>
        </w:tc>
        <w:tc>
          <w:tcPr>
            <w:tcW w:w="699" w:type="dxa"/>
            <w:vAlign w:val="top"/>
          </w:tcPr>
          <w:p w14:paraId="685A9476">
            <w:pPr>
              <w:pStyle w:val="6"/>
              <w:spacing w:before="110" w:line="159" w:lineRule="auto"/>
              <w:ind w:left="230"/>
              <w:rPr>
                <w:sz w:val="22"/>
                <w:szCs w:val="22"/>
              </w:rPr>
            </w:pPr>
            <w:r>
              <w:rPr>
                <w:spacing w:val="-2"/>
                <w:sz w:val="22"/>
                <w:szCs w:val="22"/>
              </w:rPr>
              <w:t>KZ</w:t>
            </w:r>
          </w:p>
        </w:tc>
        <w:tc>
          <w:tcPr>
            <w:tcW w:w="969" w:type="dxa"/>
            <w:vAlign w:val="top"/>
          </w:tcPr>
          <w:p w14:paraId="69CE5EB0">
            <w:pPr>
              <w:pStyle w:val="6"/>
              <w:spacing w:before="73" w:line="190" w:lineRule="auto"/>
              <w:ind w:left="202"/>
              <w:rPr>
                <w:sz w:val="22"/>
                <w:szCs w:val="22"/>
              </w:rPr>
            </w:pPr>
            <w:r>
              <w:rPr>
                <w:spacing w:val="-2"/>
                <w:sz w:val="22"/>
                <w:szCs w:val="22"/>
              </w:rPr>
              <w:t>48.67</w:t>
            </w:r>
          </w:p>
        </w:tc>
        <w:tc>
          <w:tcPr>
            <w:tcW w:w="1129" w:type="dxa"/>
            <w:vAlign w:val="top"/>
          </w:tcPr>
          <w:p w14:paraId="3B949194">
            <w:pPr>
              <w:pStyle w:val="6"/>
              <w:spacing w:before="73" w:line="190" w:lineRule="auto"/>
              <w:ind w:left="283"/>
              <w:rPr>
                <w:sz w:val="22"/>
                <w:szCs w:val="22"/>
              </w:rPr>
            </w:pPr>
            <w:r>
              <w:rPr>
                <w:spacing w:val="-1"/>
                <w:sz w:val="22"/>
                <w:szCs w:val="22"/>
              </w:rPr>
              <w:t>4.77%</w:t>
            </w:r>
          </w:p>
        </w:tc>
        <w:tc>
          <w:tcPr>
            <w:tcW w:w="1138" w:type="dxa"/>
            <w:vAlign w:val="top"/>
          </w:tcPr>
          <w:p w14:paraId="19254285">
            <w:pPr>
              <w:pStyle w:val="6"/>
              <w:spacing w:before="73" w:line="190" w:lineRule="auto"/>
              <w:ind w:left="123"/>
              <w:rPr>
                <w:sz w:val="22"/>
                <w:szCs w:val="22"/>
              </w:rPr>
            </w:pPr>
            <w:r>
              <w:rPr>
                <w:spacing w:val="-2"/>
                <w:sz w:val="22"/>
                <w:szCs w:val="22"/>
              </w:rPr>
              <w:t>23193.00</w:t>
            </w:r>
          </w:p>
        </w:tc>
        <w:tc>
          <w:tcPr>
            <w:tcW w:w="649" w:type="dxa"/>
            <w:vAlign w:val="top"/>
          </w:tcPr>
          <w:p w14:paraId="61E4D64A">
            <w:pPr>
              <w:pStyle w:val="6"/>
              <w:spacing w:before="71" w:line="192" w:lineRule="auto"/>
              <w:ind w:left="205"/>
              <w:rPr>
                <w:sz w:val="22"/>
                <w:szCs w:val="22"/>
              </w:rPr>
            </w:pPr>
            <w:r>
              <w:rPr>
                <w:sz w:val="22"/>
                <w:szCs w:val="22"/>
              </w:rPr>
              <w:t>工</w:t>
            </w:r>
          </w:p>
        </w:tc>
        <w:tc>
          <w:tcPr>
            <w:tcW w:w="1049" w:type="dxa"/>
            <w:vAlign w:val="top"/>
          </w:tcPr>
          <w:p w14:paraId="3A677C06">
            <w:pPr>
              <w:pStyle w:val="6"/>
              <w:spacing w:before="73" w:line="190" w:lineRule="auto"/>
              <w:ind w:left="247"/>
              <w:rPr>
                <w:sz w:val="22"/>
                <w:szCs w:val="22"/>
              </w:rPr>
            </w:pPr>
            <w:r>
              <w:rPr>
                <w:spacing w:val="-2"/>
                <w:sz w:val="22"/>
                <w:szCs w:val="22"/>
              </w:rPr>
              <w:t>48.67</w:t>
            </w:r>
          </w:p>
        </w:tc>
        <w:tc>
          <w:tcPr>
            <w:tcW w:w="1129" w:type="dxa"/>
            <w:vAlign w:val="top"/>
          </w:tcPr>
          <w:p w14:paraId="2DF435E2">
            <w:pPr>
              <w:pStyle w:val="6"/>
              <w:spacing w:before="73" w:line="190" w:lineRule="auto"/>
              <w:ind w:left="287"/>
              <w:rPr>
                <w:sz w:val="22"/>
                <w:szCs w:val="22"/>
              </w:rPr>
            </w:pPr>
            <w:r>
              <w:rPr>
                <w:spacing w:val="-1"/>
                <w:sz w:val="22"/>
                <w:szCs w:val="22"/>
              </w:rPr>
              <w:t>4.77%</w:t>
            </w:r>
          </w:p>
        </w:tc>
        <w:tc>
          <w:tcPr>
            <w:tcW w:w="1114" w:type="dxa"/>
            <w:vAlign w:val="top"/>
          </w:tcPr>
          <w:p w14:paraId="4F684CCD">
            <w:pPr>
              <w:pStyle w:val="6"/>
              <w:spacing w:before="73" w:line="190" w:lineRule="auto"/>
              <w:ind w:left="109"/>
              <w:rPr>
                <w:sz w:val="22"/>
                <w:szCs w:val="22"/>
              </w:rPr>
            </w:pPr>
            <w:r>
              <w:rPr>
                <w:spacing w:val="-2"/>
                <w:sz w:val="22"/>
                <w:szCs w:val="22"/>
              </w:rPr>
              <w:t>23193.00</w:t>
            </w:r>
          </w:p>
        </w:tc>
      </w:tr>
      <w:tr w14:paraId="7E2C3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bottom w:val="nil"/>
            </w:tcBorders>
            <w:vAlign w:val="top"/>
          </w:tcPr>
          <w:p w14:paraId="37468CE9">
            <w:pPr>
              <w:rPr>
                <w:rFonts w:ascii="Arial"/>
                <w:sz w:val="21"/>
              </w:rPr>
            </w:pPr>
          </w:p>
        </w:tc>
        <w:tc>
          <w:tcPr>
            <w:tcW w:w="699" w:type="dxa"/>
            <w:vAlign w:val="top"/>
          </w:tcPr>
          <w:p w14:paraId="75FC23D0">
            <w:pPr>
              <w:pStyle w:val="6"/>
              <w:spacing w:before="110" w:line="158" w:lineRule="auto"/>
              <w:ind w:left="230"/>
              <w:rPr>
                <w:sz w:val="22"/>
                <w:szCs w:val="22"/>
              </w:rPr>
            </w:pPr>
            <w:r>
              <w:rPr>
                <w:spacing w:val="-2"/>
                <w:sz w:val="22"/>
                <w:szCs w:val="22"/>
              </w:rPr>
              <w:t>TD</w:t>
            </w:r>
          </w:p>
        </w:tc>
        <w:tc>
          <w:tcPr>
            <w:tcW w:w="969" w:type="dxa"/>
            <w:vAlign w:val="top"/>
          </w:tcPr>
          <w:p w14:paraId="36952DD6">
            <w:pPr>
              <w:pStyle w:val="6"/>
              <w:spacing w:before="73" w:line="189" w:lineRule="auto"/>
              <w:ind w:left="202"/>
              <w:rPr>
                <w:sz w:val="22"/>
                <w:szCs w:val="22"/>
              </w:rPr>
            </w:pPr>
            <w:r>
              <w:rPr>
                <w:spacing w:val="-2"/>
                <w:sz w:val="22"/>
                <w:szCs w:val="22"/>
              </w:rPr>
              <w:t>82.86</w:t>
            </w:r>
          </w:p>
        </w:tc>
        <w:tc>
          <w:tcPr>
            <w:tcW w:w="1129" w:type="dxa"/>
            <w:vAlign w:val="top"/>
          </w:tcPr>
          <w:p w14:paraId="66606AD2">
            <w:pPr>
              <w:pStyle w:val="6"/>
              <w:spacing w:before="73" w:line="189" w:lineRule="auto"/>
              <w:ind w:left="283"/>
              <w:rPr>
                <w:sz w:val="22"/>
                <w:szCs w:val="22"/>
              </w:rPr>
            </w:pPr>
            <w:r>
              <w:rPr>
                <w:spacing w:val="-1"/>
                <w:sz w:val="22"/>
                <w:szCs w:val="22"/>
              </w:rPr>
              <w:t>4.03%</w:t>
            </w:r>
          </w:p>
        </w:tc>
        <w:tc>
          <w:tcPr>
            <w:tcW w:w="1138" w:type="dxa"/>
            <w:vAlign w:val="top"/>
          </w:tcPr>
          <w:p w14:paraId="3F582A36">
            <w:pPr>
              <w:pStyle w:val="6"/>
              <w:spacing w:before="73" w:line="189" w:lineRule="auto"/>
              <w:ind w:left="123"/>
              <w:rPr>
                <w:sz w:val="22"/>
                <w:szCs w:val="22"/>
              </w:rPr>
            </w:pPr>
            <w:r>
              <w:rPr>
                <w:spacing w:val="-2"/>
                <w:sz w:val="22"/>
                <w:szCs w:val="22"/>
              </w:rPr>
              <w:t>33404.00</w:t>
            </w:r>
          </w:p>
        </w:tc>
        <w:tc>
          <w:tcPr>
            <w:tcW w:w="649" w:type="dxa"/>
            <w:vAlign w:val="top"/>
          </w:tcPr>
          <w:p w14:paraId="0F457835">
            <w:pPr>
              <w:pStyle w:val="6"/>
              <w:spacing w:before="73" w:line="189" w:lineRule="auto"/>
              <w:ind w:left="155"/>
              <w:rPr>
                <w:sz w:val="22"/>
                <w:szCs w:val="22"/>
              </w:rPr>
            </w:pPr>
            <w:r>
              <w:rPr>
                <w:spacing w:val="-3"/>
                <w:sz w:val="22"/>
                <w:szCs w:val="22"/>
              </w:rPr>
              <w:t>0.6</w:t>
            </w:r>
          </w:p>
        </w:tc>
        <w:tc>
          <w:tcPr>
            <w:tcW w:w="1049" w:type="dxa"/>
            <w:vAlign w:val="top"/>
          </w:tcPr>
          <w:p w14:paraId="3E24BA72">
            <w:pPr>
              <w:pStyle w:val="6"/>
              <w:spacing w:before="73" w:line="189" w:lineRule="auto"/>
              <w:ind w:left="247"/>
              <w:rPr>
                <w:sz w:val="22"/>
                <w:szCs w:val="22"/>
              </w:rPr>
            </w:pPr>
            <w:r>
              <w:rPr>
                <w:spacing w:val="-2"/>
                <w:sz w:val="22"/>
                <w:szCs w:val="22"/>
              </w:rPr>
              <w:t>49.72</w:t>
            </w:r>
          </w:p>
        </w:tc>
        <w:tc>
          <w:tcPr>
            <w:tcW w:w="1129" w:type="dxa"/>
            <w:vAlign w:val="top"/>
          </w:tcPr>
          <w:p w14:paraId="0F9C12DB">
            <w:pPr>
              <w:pStyle w:val="6"/>
              <w:spacing w:before="73" w:line="189" w:lineRule="auto"/>
              <w:ind w:left="287"/>
              <w:rPr>
                <w:sz w:val="22"/>
                <w:szCs w:val="22"/>
              </w:rPr>
            </w:pPr>
            <w:r>
              <w:rPr>
                <w:spacing w:val="-1"/>
                <w:sz w:val="22"/>
                <w:szCs w:val="22"/>
              </w:rPr>
              <w:t>4.03%</w:t>
            </w:r>
          </w:p>
        </w:tc>
        <w:tc>
          <w:tcPr>
            <w:tcW w:w="1114" w:type="dxa"/>
            <w:vAlign w:val="top"/>
          </w:tcPr>
          <w:p w14:paraId="1240B29B">
            <w:pPr>
              <w:pStyle w:val="6"/>
              <w:spacing w:before="73" w:line="189" w:lineRule="auto"/>
              <w:ind w:left="109"/>
              <w:rPr>
                <w:sz w:val="22"/>
                <w:szCs w:val="22"/>
              </w:rPr>
            </w:pPr>
            <w:r>
              <w:rPr>
                <w:spacing w:val="-2"/>
                <w:sz w:val="22"/>
                <w:szCs w:val="22"/>
              </w:rPr>
              <w:t>20042.40</w:t>
            </w:r>
          </w:p>
        </w:tc>
      </w:tr>
      <w:tr w14:paraId="42DC9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tcBorders>
            <w:vAlign w:val="top"/>
          </w:tcPr>
          <w:p w14:paraId="02D1E3CA">
            <w:pPr>
              <w:rPr>
                <w:rFonts w:ascii="Arial"/>
                <w:sz w:val="21"/>
              </w:rPr>
            </w:pPr>
          </w:p>
        </w:tc>
        <w:tc>
          <w:tcPr>
            <w:tcW w:w="699" w:type="dxa"/>
            <w:vAlign w:val="top"/>
          </w:tcPr>
          <w:p w14:paraId="6A4CF6A2">
            <w:pPr>
              <w:pStyle w:val="6"/>
              <w:spacing w:before="54" w:line="205" w:lineRule="auto"/>
              <w:ind w:left="121"/>
              <w:rPr>
                <w:sz w:val="22"/>
                <w:szCs w:val="22"/>
              </w:rPr>
            </w:pPr>
            <w:r>
              <w:rPr>
                <w:spacing w:val="4"/>
                <w:sz w:val="22"/>
                <w:szCs w:val="22"/>
              </w:rPr>
              <w:t>小计</w:t>
            </w:r>
          </w:p>
        </w:tc>
        <w:tc>
          <w:tcPr>
            <w:tcW w:w="969" w:type="dxa"/>
            <w:vAlign w:val="top"/>
          </w:tcPr>
          <w:p w14:paraId="2D749771">
            <w:pPr>
              <w:pStyle w:val="6"/>
              <w:spacing w:before="74" w:line="188" w:lineRule="auto"/>
              <w:ind w:left="141"/>
              <w:rPr>
                <w:sz w:val="22"/>
                <w:szCs w:val="22"/>
              </w:rPr>
            </w:pPr>
            <w:r>
              <w:rPr>
                <w:spacing w:val="-4"/>
                <w:sz w:val="22"/>
                <w:szCs w:val="22"/>
              </w:rPr>
              <w:t>140.31</w:t>
            </w:r>
          </w:p>
        </w:tc>
        <w:tc>
          <w:tcPr>
            <w:tcW w:w="1129" w:type="dxa"/>
            <w:vAlign w:val="top"/>
          </w:tcPr>
          <w:p w14:paraId="70A6C4F4">
            <w:pPr>
              <w:pStyle w:val="6"/>
              <w:spacing w:before="74" w:line="188" w:lineRule="auto"/>
              <w:ind w:left="283"/>
              <w:rPr>
                <w:sz w:val="22"/>
                <w:szCs w:val="22"/>
              </w:rPr>
            </w:pPr>
            <w:r>
              <w:rPr>
                <w:spacing w:val="-1"/>
                <w:sz w:val="22"/>
                <w:szCs w:val="22"/>
              </w:rPr>
              <w:t>4.34%</w:t>
            </w:r>
          </w:p>
        </w:tc>
        <w:tc>
          <w:tcPr>
            <w:tcW w:w="1138" w:type="dxa"/>
            <w:vAlign w:val="top"/>
          </w:tcPr>
          <w:p w14:paraId="23F380EA">
            <w:pPr>
              <w:pStyle w:val="6"/>
              <w:spacing w:before="74" w:line="188" w:lineRule="auto"/>
              <w:ind w:left="123"/>
              <w:rPr>
                <w:sz w:val="22"/>
                <w:szCs w:val="22"/>
              </w:rPr>
            </w:pPr>
            <w:r>
              <w:rPr>
                <w:spacing w:val="-2"/>
                <w:sz w:val="22"/>
                <w:szCs w:val="22"/>
              </w:rPr>
              <w:t>60957.00</w:t>
            </w:r>
          </w:p>
        </w:tc>
        <w:tc>
          <w:tcPr>
            <w:tcW w:w="649" w:type="dxa"/>
            <w:vAlign w:val="top"/>
          </w:tcPr>
          <w:p w14:paraId="342A5357">
            <w:pPr>
              <w:rPr>
                <w:rFonts w:ascii="Arial"/>
                <w:sz w:val="21"/>
              </w:rPr>
            </w:pPr>
          </w:p>
        </w:tc>
        <w:tc>
          <w:tcPr>
            <w:tcW w:w="1049" w:type="dxa"/>
            <w:vAlign w:val="top"/>
          </w:tcPr>
          <w:p w14:paraId="6590BB19">
            <w:pPr>
              <w:pStyle w:val="6"/>
              <w:spacing w:before="74" w:line="188" w:lineRule="auto"/>
              <w:ind w:left="187"/>
              <w:rPr>
                <w:sz w:val="22"/>
                <w:szCs w:val="22"/>
              </w:rPr>
            </w:pPr>
            <w:r>
              <w:rPr>
                <w:spacing w:val="-4"/>
                <w:sz w:val="22"/>
                <w:szCs w:val="22"/>
              </w:rPr>
              <w:t>107.17</w:t>
            </w:r>
          </w:p>
        </w:tc>
        <w:tc>
          <w:tcPr>
            <w:tcW w:w="1129" w:type="dxa"/>
            <w:vAlign w:val="top"/>
          </w:tcPr>
          <w:p w14:paraId="3A3C8F87">
            <w:pPr>
              <w:pStyle w:val="6"/>
              <w:spacing w:before="74" w:line="188" w:lineRule="auto"/>
              <w:ind w:left="287"/>
              <w:rPr>
                <w:sz w:val="22"/>
                <w:szCs w:val="22"/>
              </w:rPr>
            </w:pPr>
            <w:r>
              <w:rPr>
                <w:spacing w:val="-2"/>
                <w:sz w:val="22"/>
                <w:szCs w:val="22"/>
              </w:rPr>
              <w:t>4.44%</w:t>
            </w:r>
          </w:p>
        </w:tc>
        <w:tc>
          <w:tcPr>
            <w:tcW w:w="1114" w:type="dxa"/>
            <w:vAlign w:val="top"/>
          </w:tcPr>
          <w:p w14:paraId="1C6DF495">
            <w:pPr>
              <w:pStyle w:val="6"/>
              <w:spacing w:before="74" w:line="188" w:lineRule="auto"/>
              <w:ind w:left="109"/>
              <w:rPr>
                <w:sz w:val="22"/>
                <w:szCs w:val="22"/>
              </w:rPr>
            </w:pPr>
            <w:r>
              <w:rPr>
                <w:spacing w:val="-1"/>
                <w:sz w:val="22"/>
                <w:szCs w:val="22"/>
              </w:rPr>
              <w:t>47595.40</w:t>
            </w:r>
          </w:p>
        </w:tc>
      </w:tr>
      <w:tr w14:paraId="2236D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004" w:type="dxa"/>
            <w:vMerge w:val="restart"/>
            <w:tcBorders>
              <w:bottom w:val="nil"/>
            </w:tcBorders>
            <w:vAlign w:val="top"/>
          </w:tcPr>
          <w:p w14:paraId="77D0DD89">
            <w:pPr>
              <w:spacing w:line="330" w:lineRule="auto"/>
              <w:rPr>
                <w:rFonts w:ascii="Arial"/>
                <w:sz w:val="21"/>
              </w:rPr>
            </w:pPr>
          </w:p>
          <w:p w14:paraId="16D14316">
            <w:pPr>
              <w:pStyle w:val="6"/>
              <w:spacing w:before="72" w:line="219" w:lineRule="auto"/>
              <w:ind w:left="165"/>
              <w:rPr>
                <w:sz w:val="22"/>
                <w:szCs w:val="22"/>
              </w:rPr>
            </w:pPr>
            <w:r>
              <w:rPr>
                <w:spacing w:val="-3"/>
                <w:sz w:val="22"/>
                <w:szCs w:val="22"/>
              </w:rPr>
              <w:t>伴生铅</w:t>
            </w:r>
          </w:p>
          <w:p w14:paraId="062A6F84">
            <w:pPr>
              <w:pStyle w:val="6"/>
              <w:spacing w:before="32" w:line="222" w:lineRule="auto"/>
              <w:ind w:left="275"/>
              <w:rPr>
                <w:sz w:val="22"/>
                <w:szCs w:val="22"/>
              </w:rPr>
            </w:pPr>
            <w:r>
              <w:rPr>
                <w:spacing w:val="-9"/>
                <w:sz w:val="22"/>
                <w:szCs w:val="22"/>
              </w:rPr>
              <w:t>(Pb)</w:t>
            </w:r>
          </w:p>
        </w:tc>
        <w:tc>
          <w:tcPr>
            <w:tcW w:w="699" w:type="dxa"/>
            <w:vAlign w:val="top"/>
          </w:tcPr>
          <w:p w14:paraId="64A72CCC">
            <w:pPr>
              <w:pStyle w:val="6"/>
              <w:spacing w:before="112" w:line="157" w:lineRule="auto"/>
              <w:ind w:left="230"/>
              <w:rPr>
                <w:sz w:val="22"/>
                <w:szCs w:val="22"/>
              </w:rPr>
            </w:pPr>
            <w:r>
              <w:rPr>
                <w:spacing w:val="-2"/>
                <w:sz w:val="22"/>
                <w:szCs w:val="22"/>
              </w:rPr>
              <w:t>TM</w:t>
            </w:r>
          </w:p>
        </w:tc>
        <w:tc>
          <w:tcPr>
            <w:tcW w:w="969" w:type="dxa"/>
            <w:vAlign w:val="top"/>
          </w:tcPr>
          <w:p w14:paraId="1F28D054">
            <w:pPr>
              <w:pStyle w:val="6"/>
              <w:spacing w:before="75" w:line="188" w:lineRule="auto"/>
              <w:ind w:left="252"/>
              <w:rPr>
                <w:sz w:val="22"/>
                <w:szCs w:val="22"/>
              </w:rPr>
            </w:pPr>
            <w:r>
              <w:rPr>
                <w:spacing w:val="-3"/>
                <w:sz w:val="22"/>
                <w:szCs w:val="22"/>
              </w:rPr>
              <w:t>5.39</w:t>
            </w:r>
          </w:p>
        </w:tc>
        <w:tc>
          <w:tcPr>
            <w:tcW w:w="1129" w:type="dxa"/>
            <w:vAlign w:val="top"/>
          </w:tcPr>
          <w:p w14:paraId="1C912D10">
            <w:pPr>
              <w:pStyle w:val="6"/>
              <w:spacing w:before="75" w:line="188" w:lineRule="auto"/>
              <w:ind w:left="283"/>
              <w:rPr>
                <w:sz w:val="22"/>
                <w:szCs w:val="22"/>
              </w:rPr>
            </w:pPr>
            <w:r>
              <w:rPr>
                <w:spacing w:val="-2"/>
                <w:sz w:val="22"/>
                <w:szCs w:val="22"/>
              </w:rPr>
              <w:t>0.55%</w:t>
            </w:r>
          </w:p>
        </w:tc>
        <w:tc>
          <w:tcPr>
            <w:tcW w:w="1138" w:type="dxa"/>
            <w:vAlign w:val="top"/>
          </w:tcPr>
          <w:p w14:paraId="2349C0A7">
            <w:pPr>
              <w:pStyle w:val="6"/>
              <w:spacing w:before="75" w:line="188" w:lineRule="auto"/>
              <w:ind w:left="234"/>
              <w:rPr>
                <w:sz w:val="22"/>
                <w:szCs w:val="22"/>
              </w:rPr>
            </w:pPr>
            <w:r>
              <w:rPr>
                <w:spacing w:val="-2"/>
                <w:sz w:val="22"/>
                <w:szCs w:val="22"/>
              </w:rPr>
              <w:t>295.00</w:t>
            </w:r>
          </w:p>
        </w:tc>
        <w:tc>
          <w:tcPr>
            <w:tcW w:w="649" w:type="dxa"/>
            <w:vAlign w:val="top"/>
          </w:tcPr>
          <w:p w14:paraId="74561EB2">
            <w:pPr>
              <w:pStyle w:val="6"/>
              <w:spacing w:before="75" w:line="188" w:lineRule="auto"/>
              <w:ind w:left="266"/>
              <w:rPr>
                <w:sz w:val="22"/>
                <w:szCs w:val="22"/>
              </w:rPr>
            </w:pPr>
            <w:r>
              <w:rPr>
                <w:sz w:val="22"/>
                <w:szCs w:val="22"/>
              </w:rPr>
              <w:t>1</w:t>
            </w:r>
          </w:p>
        </w:tc>
        <w:tc>
          <w:tcPr>
            <w:tcW w:w="1049" w:type="dxa"/>
            <w:vAlign w:val="top"/>
          </w:tcPr>
          <w:p w14:paraId="2EF23B98">
            <w:pPr>
              <w:pStyle w:val="6"/>
              <w:spacing w:before="75" w:line="188" w:lineRule="auto"/>
              <w:ind w:left="297"/>
              <w:rPr>
                <w:sz w:val="22"/>
                <w:szCs w:val="22"/>
              </w:rPr>
            </w:pPr>
            <w:r>
              <w:rPr>
                <w:spacing w:val="-3"/>
                <w:sz w:val="22"/>
                <w:szCs w:val="22"/>
              </w:rPr>
              <w:t>5.39</w:t>
            </w:r>
          </w:p>
        </w:tc>
        <w:tc>
          <w:tcPr>
            <w:tcW w:w="1129" w:type="dxa"/>
            <w:vAlign w:val="top"/>
          </w:tcPr>
          <w:p w14:paraId="24483512">
            <w:pPr>
              <w:pStyle w:val="6"/>
              <w:spacing w:before="75" w:line="188" w:lineRule="auto"/>
              <w:ind w:left="287"/>
              <w:rPr>
                <w:sz w:val="22"/>
                <w:szCs w:val="22"/>
              </w:rPr>
            </w:pPr>
            <w:r>
              <w:rPr>
                <w:spacing w:val="-2"/>
                <w:sz w:val="22"/>
                <w:szCs w:val="22"/>
              </w:rPr>
              <w:t>0.55%</w:t>
            </w:r>
          </w:p>
        </w:tc>
        <w:tc>
          <w:tcPr>
            <w:tcW w:w="1114" w:type="dxa"/>
            <w:vAlign w:val="top"/>
          </w:tcPr>
          <w:p w14:paraId="58CBADC3">
            <w:pPr>
              <w:pStyle w:val="6"/>
              <w:spacing w:before="75" w:line="188" w:lineRule="auto"/>
              <w:ind w:left="219"/>
              <w:rPr>
                <w:sz w:val="22"/>
                <w:szCs w:val="22"/>
              </w:rPr>
            </w:pPr>
            <w:r>
              <w:rPr>
                <w:spacing w:val="-2"/>
                <w:sz w:val="22"/>
                <w:szCs w:val="22"/>
              </w:rPr>
              <w:t>295.00</w:t>
            </w:r>
          </w:p>
        </w:tc>
      </w:tr>
      <w:tr w14:paraId="682E6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bottom w:val="nil"/>
            </w:tcBorders>
            <w:vAlign w:val="top"/>
          </w:tcPr>
          <w:p w14:paraId="3AFFF5F7">
            <w:pPr>
              <w:rPr>
                <w:rFonts w:ascii="Arial"/>
                <w:sz w:val="21"/>
              </w:rPr>
            </w:pPr>
          </w:p>
        </w:tc>
        <w:tc>
          <w:tcPr>
            <w:tcW w:w="699" w:type="dxa"/>
            <w:vAlign w:val="top"/>
          </w:tcPr>
          <w:p w14:paraId="6AE63709">
            <w:pPr>
              <w:pStyle w:val="6"/>
              <w:spacing w:before="111" w:line="157" w:lineRule="auto"/>
              <w:ind w:left="230"/>
              <w:rPr>
                <w:sz w:val="22"/>
                <w:szCs w:val="22"/>
              </w:rPr>
            </w:pPr>
            <w:r>
              <w:rPr>
                <w:spacing w:val="-2"/>
                <w:sz w:val="22"/>
                <w:szCs w:val="22"/>
              </w:rPr>
              <w:t>KZ</w:t>
            </w:r>
          </w:p>
        </w:tc>
        <w:tc>
          <w:tcPr>
            <w:tcW w:w="969" w:type="dxa"/>
            <w:vAlign w:val="top"/>
          </w:tcPr>
          <w:p w14:paraId="23B7DAB8">
            <w:pPr>
              <w:pStyle w:val="6"/>
              <w:spacing w:before="76" w:line="187" w:lineRule="auto"/>
              <w:ind w:left="202"/>
              <w:rPr>
                <w:sz w:val="22"/>
                <w:szCs w:val="22"/>
              </w:rPr>
            </w:pPr>
            <w:r>
              <w:rPr>
                <w:spacing w:val="-2"/>
                <w:sz w:val="22"/>
                <w:szCs w:val="22"/>
              </w:rPr>
              <w:t>29.30</w:t>
            </w:r>
          </w:p>
        </w:tc>
        <w:tc>
          <w:tcPr>
            <w:tcW w:w="1129" w:type="dxa"/>
            <w:vAlign w:val="top"/>
          </w:tcPr>
          <w:p w14:paraId="42CC8211">
            <w:pPr>
              <w:pStyle w:val="6"/>
              <w:spacing w:before="76" w:line="187" w:lineRule="auto"/>
              <w:ind w:left="283"/>
              <w:rPr>
                <w:sz w:val="22"/>
                <w:szCs w:val="22"/>
              </w:rPr>
            </w:pPr>
            <w:r>
              <w:rPr>
                <w:spacing w:val="-2"/>
                <w:sz w:val="22"/>
                <w:szCs w:val="22"/>
              </w:rPr>
              <w:t>0.71%</w:t>
            </w:r>
          </w:p>
        </w:tc>
        <w:tc>
          <w:tcPr>
            <w:tcW w:w="1138" w:type="dxa"/>
            <w:vAlign w:val="top"/>
          </w:tcPr>
          <w:p w14:paraId="1B219B0E">
            <w:pPr>
              <w:pStyle w:val="6"/>
              <w:spacing w:before="76" w:line="187" w:lineRule="auto"/>
              <w:ind w:left="174"/>
              <w:rPr>
                <w:sz w:val="22"/>
                <w:szCs w:val="22"/>
              </w:rPr>
            </w:pPr>
            <w:r>
              <w:rPr>
                <w:spacing w:val="-2"/>
                <w:sz w:val="22"/>
                <w:szCs w:val="22"/>
              </w:rPr>
              <w:t>2093.00</w:t>
            </w:r>
          </w:p>
        </w:tc>
        <w:tc>
          <w:tcPr>
            <w:tcW w:w="649" w:type="dxa"/>
            <w:vAlign w:val="top"/>
          </w:tcPr>
          <w:p w14:paraId="2F0670A7">
            <w:pPr>
              <w:pStyle w:val="6"/>
              <w:spacing w:before="76" w:line="187" w:lineRule="auto"/>
              <w:ind w:left="266"/>
              <w:rPr>
                <w:sz w:val="22"/>
                <w:szCs w:val="22"/>
              </w:rPr>
            </w:pPr>
            <w:r>
              <w:rPr>
                <w:sz w:val="22"/>
                <w:szCs w:val="22"/>
              </w:rPr>
              <w:t>1</w:t>
            </w:r>
          </w:p>
        </w:tc>
        <w:tc>
          <w:tcPr>
            <w:tcW w:w="1049" w:type="dxa"/>
            <w:vAlign w:val="top"/>
          </w:tcPr>
          <w:p w14:paraId="780BDF7B">
            <w:pPr>
              <w:pStyle w:val="6"/>
              <w:spacing w:before="76" w:line="187" w:lineRule="auto"/>
              <w:ind w:left="247"/>
              <w:rPr>
                <w:sz w:val="22"/>
                <w:szCs w:val="22"/>
              </w:rPr>
            </w:pPr>
            <w:r>
              <w:rPr>
                <w:spacing w:val="-2"/>
                <w:sz w:val="22"/>
                <w:szCs w:val="22"/>
              </w:rPr>
              <w:t>29.30</w:t>
            </w:r>
          </w:p>
        </w:tc>
        <w:tc>
          <w:tcPr>
            <w:tcW w:w="1129" w:type="dxa"/>
            <w:vAlign w:val="top"/>
          </w:tcPr>
          <w:p w14:paraId="2AD9EDE0">
            <w:pPr>
              <w:pStyle w:val="6"/>
              <w:spacing w:before="76" w:line="187" w:lineRule="auto"/>
              <w:ind w:left="287"/>
              <w:rPr>
                <w:sz w:val="22"/>
                <w:szCs w:val="22"/>
              </w:rPr>
            </w:pPr>
            <w:r>
              <w:rPr>
                <w:spacing w:val="-2"/>
                <w:sz w:val="22"/>
                <w:szCs w:val="22"/>
              </w:rPr>
              <w:t>0.71%</w:t>
            </w:r>
          </w:p>
        </w:tc>
        <w:tc>
          <w:tcPr>
            <w:tcW w:w="1114" w:type="dxa"/>
            <w:vAlign w:val="top"/>
          </w:tcPr>
          <w:p w14:paraId="511A86A1">
            <w:pPr>
              <w:pStyle w:val="6"/>
              <w:spacing w:before="76" w:line="187" w:lineRule="auto"/>
              <w:ind w:left="169"/>
              <w:rPr>
                <w:sz w:val="22"/>
                <w:szCs w:val="22"/>
              </w:rPr>
            </w:pPr>
            <w:r>
              <w:rPr>
                <w:spacing w:val="-2"/>
                <w:sz w:val="22"/>
                <w:szCs w:val="22"/>
              </w:rPr>
              <w:t>2093.00</w:t>
            </w:r>
          </w:p>
        </w:tc>
      </w:tr>
      <w:tr w14:paraId="495A0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bottom w:val="nil"/>
            </w:tcBorders>
            <w:vAlign w:val="top"/>
          </w:tcPr>
          <w:p w14:paraId="7C43BC56">
            <w:pPr>
              <w:rPr>
                <w:rFonts w:ascii="Arial"/>
                <w:sz w:val="21"/>
              </w:rPr>
            </w:pPr>
          </w:p>
        </w:tc>
        <w:tc>
          <w:tcPr>
            <w:tcW w:w="699" w:type="dxa"/>
            <w:vAlign w:val="top"/>
          </w:tcPr>
          <w:p w14:paraId="0FE2717F">
            <w:pPr>
              <w:pStyle w:val="6"/>
              <w:spacing w:before="113" w:line="186" w:lineRule="exact"/>
              <w:ind w:left="230"/>
              <w:rPr>
                <w:sz w:val="22"/>
                <w:szCs w:val="22"/>
              </w:rPr>
            </w:pPr>
            <w:r>
              <w:rPr>
                <w:spacing w:val="-2"/>
                <w:position w:val="-2"/>
                <w:sz w:val="22"/>
                <w:szCs w:val="22"/>
              </w:rPr>
              <w:t>TD</w:t>
            </w:r>
          </w:p>
        </w:tc>
        <w:tc>
          <w:tcPr>
            <w:tcW w:w="969" w:type="dxa"/>
            <w:vAlign w:val="top"/>
          </w:tcPr>
          <w:p w14:paraId="12604DE8">
            <w:pPr>
              <w:pStyle w:val="6"/>
              <w:spacing w:before="77" w:line="186" w:lineRule="auto"/>
              <w:ind w:left="202"/>
              <w:rPr>
                <w:sz w:val="22"/>
                <w:szCs w:val="22"/>
              </w:rPr>
            </w:pPr>
            <w:r>
              <w:rPr>
                <w:spacing w:val="-2"/>
                <w:sz w:val="22"/>
                <w:szCs w:val="22"/>
              </w:rPr>
              <w:t>41.42</w:t>
            </w:r>
          </w:p>
        </w:tc>
        <w:tc>
          <w:tcPr>
            <w:tcW w:w="1129" w:type="dxa"/>
            <w:vAlign w:val="top"/>
          </w:tcPr>
          <w:p w14:paraId="49782F14">
            <w:pPr>
              <w:pStyle w:val="6"/>
              <w:spacing w:before="77" w:line="186" w:lineRule="auto"/>
              <w:ind w:left="283"/>
              <w:rPr>
                <w:sz w:val="22"/>
                <w:szCs w:val="22"/>
              </w:rPr>
            </w:pPr>
            <w:r>
              <w:rPr>
                <w:spacing w:val="-2"/>
                <w:sz w:val="22"/>
                <w:szCs w:val="22"/>
              </w:rPr>
              <w:t>0.88%</w:t>
            </w:r>
          </w:p>
        </w:tc>
        <w:tc>
          <w:tcPr>
            <w:tcW w:w="1138" w:type="dxa"/>
            <w:vAlign w:val="top"/>
          </w:tcPr>
          <w:p w14:paraId="7483F669">
            <w:pPr>
              <w:pStyle w:val="6"/>
              <w:spacing w:before="77" w:line="186" w:lineRule="auto"/>
              <w:ind w:left="174"/>
              <w:rPr>
                <w:sz w:val="22"/>
                <w:szCs w:val="22"/>
              </w:rPr>
            </w:pPr>
            <w:r>
              <w:rPr>
                <w:spacing w:val="-2"/>
                <w:sz w:val="22"/>
                <w:szCs w:val="22"/>
              </w:rPr>
              <w:t>3627.00</w:t>
            </w:r>
          </w:p>
        </w:tc>
        <w:tc>
          <w:tcPr>
            <w:tcW w:w="649" w:type="dxa"/>
            <w:vAlign w:val="top"/>
          </w:tcPr>
          <w:p w14:paraId="3CE3D7B8">
            <w:pPr>
              <w:pStyle w:val="6"/>
              <w:spacing w:before="77" w:line="186" w:lineRule="auto"/>
              <w:ind w:left="155"/>
              <w:rPr>
                <w:sz w:val="22"/>
                <w:szCs w:val="22"/>
              </w:rPr>
            </w:pPr>
            <w:r>
              <w:rPr>
                <w:spacing w:val="-3"/>
                <w:sz w:val="22"/>
                <w:szCs w:val="22"/>
              </w:rPr>
              <w:t>0.6</w:t>
            </w:r>
          </w:p>
        </w:tc>
        <w:tc>
          <w:tcPr>
            <w:tcW w:w="1049" w:type="dxa"/>
            <w:vAlign w:val="top"/>
          </w:tcPr>
          <w:p w14:paraId="3D87F597">
            <w:pPr>
              <w:pStyle w:val="6"/>
              <w:spacing w:before="77" w:line="186" w:lineRule="auto"/>
              <w:ind w:left="247"/>
              <w:rPr>
                <w:sz w:val="22"/>
                <w:szCs w:val="22"/>
              </w:rPr>
            </w:pPr>
            <w:r>
              <w:rPr>
                <w:spacing w:val="-2"/>
                <w:sz w:val="22"/>
                <w:szCs w:val="22"/>
              </w:rPr>
              <w:t>24.85</w:t>
            </w:r>
          </w:p>
        </w:tc>
        <w:tc>
          <w:tcPr>
            <w:tcW w:w="1129" w:type="dxa"/>
            <w:vAlign w:val="top"/>
          </w:tcPr>
          <w:p w14:paraId="2202A5D0">
            <w:pPr>
              <w:pStyle w:val="6"/>
              <w:spacing w:before="77" w:line="186" w:lineRule="auto"/>
              <w:ind w:left="287"/>
              <w:rPr>
                <w:sz w:val="22"/>
                <w:szCs w:val="22"/>
              </w:rPr>
            </w:pPr>
            <w:r>
              <w:rPr>
                <w:spacing w:val="-2"/>
                <w:sz w:val="22"/>
                <w:szCs w:val="22"/>
              </w:rPr>
              <w:t>0.88%</w:t>
            </w:r>
          </w:p>
        </w:tc>
        <w:tc>
          <w:tcPr>
            <w:tcW w:w="1114" w:type="dxa"/>
            <w:vAlign w:val="top"/>
          </w:tcPr>
          <w:p w14:paraId="54B7F6EF">
            <w:pPr>
              <w:pStyle w:val="6"/>
              <w:spacing w:before="77" w:line="186" w:lineRule="auto"/>
              <w:ind w:left="169"/>
              <w:rPr>
                <w:sz w:val="22"/>
                <w:szCs w:val="22"/>
              </w:rPr>
            </w:pPr>
            <w:r>
              <w:rPr>
                <w:spacing w:val="-2"/>
                <w:sz w:val="22"/>
                <w:szCs w:val="22"/>
              </w:rPr>
              <w:t>2176.20</w:t>
            </w:r>
          </w:p>
        </w:tc>
      </w:tr>
      <w:tr w14:paraId="0D5D5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04" w:type="dxa"/>
            <w:vMerge w:val="continue"/>
            <w:tcBorders>
              <w:top w:val="nil"/>
            </w:tcBorders>
            <w:vAlign w:val="top"/>
          </w:tcPr>
          <w:p w14:paraId="51FFAB48">
            <w:pPr>
              <w:rPr>
                <w:rFonts w:ascii="Arial"/>
                <w:sz w:val="21"/>
              </w:rPr>
            </w:pPr>
          </w:p>
        </w:tc>
        <w:tc>
          <w:tcPr>
            <w:tcW w:w="699" w:type="dxa"/>
            <w:vAlign w:val="top"/>
          </w:tcPr>
          <w:p w14:paraId="2838E032">
            <w:pPr>
              <w:pStyle w:val="6"/>
              <w:spacing w:before="57" w:line="211" w:lineRule="auto"/>
              <w:ind w:left="121"/>
              <w:rPr>
                <w:sz w:val="22"/>
                <w:szCs w:val="22"/>
              </w:rPr>
            </w:pPr>
            <w:r>
              <w:rPr>
                <w:spacing w:val="4"/>
                <w:sz w:val="22"/>
                <w:szCs w:val="22"/>
              </w:rPr>
              <w:t>小计</w:t>
            </w:r>
          </w:p>
        </w:tc>
        <w:tc>
          <w:tcPr>
            <w:tcW w:w="969" w:type="dxa"/>
            <w:vAlign w:val="top"/>
          </w:tcPr>
          <w:p w14:paraId="70646A7D">
            <w:pPr>
              <w:pStyle w:val="6"/>
              <w:spacing w:before="77" w:line="194" w:lineRule="auto"/>
              <w:ind w:left="202"/>
              <w:rPr>
                <w:sz w:val="22"/>
                <w:szCs w:val="22"/>
              </w:rPr>
            </w:pPr>
            <w:r>
              <w:rPr>
                <w:spacing w:val="-3"/>
                <w:sz w:val="22"/>
                <w:szCs w:val="22"/>
              </w:rPr>
              <w:t>76.11</w:t>
            </w:r>
          </w:p>
        </w:tc>
        <w:tc>
          <w:tcPr>
            <w:tcW w:w="1129" w:type="dxa"/>
            <w:vAlign w:val="top"/>
          </w:tcPr>
          <w:p w14:paraId="73ADE6FC">
            <w:pPr>
              <w:pStyle w:val="6"/>
              <w:spacing w:before="77" w:line="194" w:lineRule="auto"/>
              <w:ind w:left="283"/>
              <w:rPr>
                <w:sz w:val="22"/>
                <w:szCs w:val="22"/>
              </w:rPr>
            </w:pPr>
            <w:r>
              <w:rPr>
                <w:spacing w:val="-2"/>
                <w:sz w:val="22"/>
                <w:szCs w:val="22"/>
              </w:rPr>
              <w:t>0.79%</w:t>
            </w:r>
          </w:p>
        </w:tc>
        <w:tc>
          <w:tcPr>
            <w:tcW w:w="1138" w:type="dxa"/>
            <w:vAlign w:val="top"/>
          </w:tcPr>
          <w:p w14:paraId="7FCF2A4E">
            <w:pPr>
              <w:pStyle w:val="6"/>
              <w:spacing w:before="77" w:line="194" w:lineRule="auto"/>
              <w:ind w:left="174"/>
              <w:rPr>
                <w:sz w:val="22"/>
                <w:szCs w:val="22"/>
              </w:rPr>
            </w:pPr>
            <w:r>
              <w:rPr>
                <w:spacing w:val="-2"/>
                <w:sz w:val="22"/>
                <w:szCs w:val="22"/>
              </w:rPr>
              <w:t>6015.00</w:t>
            </w:r>
          </w:p>
        </w:tc>
        <w:tc>
          <w:tcPr>
            <w:tcW w:w="649" w:type="dxa"/>
            <w:vAlign w:val="top"/>
          </w:tcPr>
          <w:p w14:paraId="4D868B74">
            <w:pPr>
              <w:rPr>
                <w:rFonts w:ascii="Arial"/>
                <w:sz w:val="21"/>
              </w:rPr>
            </w:pPr>
          </w:p>
        </w:tc>
        <w:tc>
          <w:tcPr>
            <w:tcW w:w="1049" w:type="dxa"/>
            <w:vAlign w:val="top"/>
          </w:tcPr>
          <w:p w14:paraId="59276A2C">
            <w:pPr>
              <w:pStyle w:val="6"/>
              <w:spacing w:before="77" w:line="194" w:lineRule="auto"/>
              <w:ind w:left="247"/>
              <w:rPr>
                <w:sz w:val="22"/>
                <w:szCs w:val="22"/>
              </w:rPr>
            </w:pPr>
            <w:r>
              <w:rPr>
                <w:spacing w:val="-3"/>
                <w:sz w:val="22"/>
                <w:szCs w:val="22"/>
              </w:rPr>
              <w:t>59.54</w:t>
            </w:r>
          </w:p>
        </w:tc>
        <w:tc>
          <w:tcPr>
            <w:tcW w:w="1129" w:type="dxa"/>
            <w:vAlign w:val="top"/>
          </w:tcPr>
          <w:p w14:paraId="12AAA4E2">
            <w:pPr>
              <w:pStyle w:val="6"/>
              <w:spacing w:before="77" w:line="194" w:lineRule="auto"/>
              <w:ind w:left="287"/>
              <w:rPr>
                <w:sz w:val="22"/>
                <w:szCs w:val="22"/>
              </w:rPr>
            </w:pPr>
            <w:r>
              <w:rPr>
                <w:spacing w:val="-2"/>
                <w:sz w:val="22"/>
                <w:szCs w:val="22"/>
              </w:rPr>
              <w:t>0.77%</w:t>
            </w:r>
          </w:p>
        </w:tc>
        <w:tc>
          <w:tcPr>
            <w:tcW w:w="1114" w:type="dxa"/>
            <w:vAlign w:val="top"/>
          </w:tcPr>
          <w:p w14:paraId="45FB425E">
            <w:pPr>
              <w:pStyle w:val="6"/>
              <w:spacing w:before="77" w:line="194" w:lineRule="auto"/>
              <w:ind w:left="169"/>
              <w:rPr>
                <w:sz w:val="22"/>
                <w:szCs w:val="22"/>
              </w:rPr>
            </w:pPr>
            <w:r>
              <w:rPr>
                <w:spacing w:val="-1"/>
                <w:sz w:val="22"/>
                <w:szCs w:val="22"/>
              </w:rPr>
              <w:t>4564.20</w:t>
            </w:r>
          </w:p>
        </w:tc>
      </w:tr>
      <w:tr w14:paraId="29108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004" w:type="dxa"/>
            <w:vMerge w:val="restart"/>
            <w:tcBorders>
              <w:bottom w:val="nil"/>
            </w:tcBorders>
            <w:vAlign w:val="top"/>
          </w:tcPr>
          <w:p w14:paraId="18863FA2">
            <w:pPr>
              <w:spacing w:line="353" w:lineRule="auto"/>
              <w:rPr>
                <w:rFonts w:ascii="Arial"/>
                <w:sz w:val="21"/>
              </w:rPr>
            </w:pPr>
          </w:p>
          <w:p w14:paraId="036BDF81">
            <w:pPr>
              <w:pStyle w:val="6"/>
              <w:spacing w:before="72" w:line="219" w:lineRule="auto"/>
              <w:ind w:left="165"/>
              <w:rPr>
                <w:sz w:val="22"/>
                <w:szCs w:val="22"/>
              </w:rPr>
            </w:pPr>
            <w:r>
              <w:rPr>
                <w:spacing w:val="4"/>
                <w:sz w:val="22"/>
                <w:szCs w:val="22"/>
              </w:rPr>
              <w:t>伴生镉</w:t>
            </w:r>
          </w:p>
          <w:p w14:paraId="3290E331">
            <w:pPr>
              <w:pStyle w:val="6"/>
              <w:spacing w:before="2" w:line="222" w:lineRule="auto"/>
              <w:ind w:left="275"/>
              <w:rPr>
                <w:sz w:val="22"/>
                <w:szCs w:val="22"/>
              </w:rPr>
            </w:pPr>
            <w:r>
              <w:rPr>
                <w:spacing w:val="-9"/>
                <w:sz w:val="22"/>
                <w:szCs w:val="22"/>
              </w:rPr>
              <w:t>(Cd)</w:t>
            </w:r>
          </w:p>
        </w:tc>
        <w:tc>
          <w:tcPr>
            <w:tcW w:w="699" w:type="dxa"/>
            <w:vAlign w:val="top"/>
          </w:tcPr>
          <w:p w14:paraId="51C6AEAD">
            <w:pPr>
              <w:pStyle w:val="6"/>
              <w:spacing w:before="115" w:line="185" w:lineRule="exact"/>
              <w:ind w:left="230"/>
              <w:rPr>
                <w:sz w:val="22"/>
                <w:szCs w:val="22"/>
              </w:rPr>
            </w:pPr>
            <w:r>
              <w:rPr>
                <w:spacing w:val="-2"/>
                <w:position w:val="-2"/>
                <w:sz w:val="22"/>
                <w:szCs w:val="22"/>
              </w:rPr>
              <w:t>TM</w:t>
            </w:r>
          </w:p>
        </w:tc>
        <w:tc>
          <w:tcPr>
            <w:tcW w:w="969" w:type="dxa"/>
            <w:vAlign w:val="top"/>
          </w:tcPr>
          <w:p w14:paraId="40D32F7E">
            <w:pPr>
              <w:pStyle w:val="6"/>
              <w:spacing w:before="79" w:line="185" w:lineRule="auto"/>
              <w:ind w:left="252"/>
              <w:rPr>
                <w:sz w:val="22"/>
                <w:szCs w:val="22"/>
              </w:rPr>
            </w:pPr>
            <w:r>
              <w:rPr>
                <w:spacing w:val="-2"/>
                <w:sz w:val="22"/>
                <w:szCs w:val="22"/>
              </w:rPr>
              <w:t>8.78</w:t>
            </w:r>
          </w:p>
        </w:tc>
        <w:tc>
          <w:tcPr>
            <w:tcW w:w="1129" w:type="dxa"/>
            <w:vAlign w:val="top"/>
          </w:tcPr>
          <w:p w14:paraId="380A55E3">
            <w:pPr>
              <w:pStyle w:val="6"/>
              <w:spacing w:before="79" w:line="185" w:lineRule="auto"/>
              <w:ind w:left="223"/>
              <w:rPr>
                <w:sz w:val="22"/>
                <w:szCs w:val="22"/>
              </w:rPr>
            </w:pPr>
            <w:r>
              <w:rPr>
                <w:spacing w:val="-1"/>
                <w:sz w:val="22"/>
                <w:szCs w:val="22"/>
              </w:rPr>
              <w:t>0.107%</w:t>
            </w:r>
          </w:p>
        </w:tc>
        <w:tc>
          <w:tcPr>
            <w:tcW w:w="1138" w:type="dxa"/>
            <w:vAlign w:val="top"/>
          </w:tcPr>
          <w:p w14:paraId="58C03B6F">
            <w:pPr>
              <w:pStyle w:val="6"/>
              <w:spacing w:before="79" w:line="185" w:lineRule="auto"/>
              <w:ind w:left="284"/>
              <w:rPr>
                <w:sz w:val="22"/>
                <w:szCs w:val="22"/>
              </w:rPr>
            </w:pPr>
            <w:r>
              <w:rPr>
                <w:spacing w:val="-2"/>
                <w:sz w:val="22"/>
                <w:szCs w:val="22"/>
              </w:rPr>
              <w:t>94.00</w:t>
            </w:r>
          </w:p>
        </w:tc>
        <w:tc>
          <w:tcPr>
            <w:tcW w:w="649" w:type="dxa"/>
            <w:vAlign w:val="top"/>
          </w:tcPr>
          <w:p w14:paraId="7FDA18DA">
            <w:pPr>
              <w:pStyle w:val="6"/>
              <w:spacing w:before="79" w:line="185" w:lineRule="auto"/>
              <w:ind w:left="266"/>
              <w:rPr>
                <w:sz w:val="22"/>
                <w:szCs w:val="22"/>
              </w:rPr>
            </w:pPr>
            <w:r>
              <w:rPr>
                <w:sz w:val="22"/>
                <w:szCs w:val="22"/>
              </w:rPr>
              <w:t>1</w:t>
            </w:r>
          </w:p>
        </w:tc>
        <w:tc>
          <w:tcPr>
            <w:tcW w:w="1049" w:type="dxa"/>
            <w:vAlign w:val="top"/>
          </w:tcPr>
          <w:p w14:paraId="1A4B5EEE">
            <w:pPr>
              <w:pStyle w:val="6"/>
              <w:spacing w:before="79" w:line="185" w:lineRule="auto"/>
              <w:ind w:left="297"/>
              <w:rPr>
                <w:sz w:val="22"/>
                <w:szCs w:val="22"/>
              </w:rPr>
            </w:pPr>
            <w:r>
              <w:rPr>
                <w:spacing w:val="-2"/>
                <w:sz w:val="22"/>
                <w:szCs w:val="22"/>
              </w:rPr>
              <w:t>8.78</w:t>
            </w:r>
          </w:p>
        </w:tc>
        <w:tc>
          <w:tcPr>
            <w:tcW w:w="1129" w:type="dxa"/>
            <w:vAlign w:val="top"/>
          </w:tcPr>
          <w:p w14:paraId="53DE47D2">
            <w:pPr>
              <w:pStyle w:val="6"/>
              <w:spacing w:before="79" w:line="185" w:lineRule="auto"/>
              <w:ind w:left="227"/>
              <w:rPr>
                <w:sz w:val="22"/>
                <w:szCs w:val="22"/>
              </w:rPr>
            </w:pPr>
            <w:r>
              <w:rPr>
                <w:spacing w:val="-1"/>
                <w:sz w:val="22"/>
                <w:szCs w:val="22"/>
              </w:rPr>
              <w:t>0.107%</w:t>
            </w:r>
          </w:p>
        </w:tc>
        <w:tc>
          <w:tcPr>
            <w:tcW w:w="1114" w:type="dxa"/>
            <w:vAlign w:val="top"/>
          </w:tcPr>
          <w:p w14:paraId="3CCC3BE0">
            <w:pPr>
              <w:pStyle w:val="6"/>
              <w:spacing w:before="79" w:line="185" w:lineRule="auto"/>
              <w:ind w:left="278"/>
              <w:rPr>
                <w:sz w:val="22"/>
                <w:szCs w:val="22"/>
              </w:rPr>
            </w:pPr>
            <w:r>
              <w:rPr>
                <w:spacing w:val="-2"/>
                <w:sz w:val="22"/>
                <w:szCs w:val="22"/>
              </w:rPr>
              <w:t>94.00</w:t>
            </w:r>
          </w:p>
        </w:tc>
      </w:tr>
      <w:tr w14:paraId="194E3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bottom w:val="nil"/>
            </w:tcBorders>
            <w:vAlign w:val="top"/>
          </w:tcPr>
          <w:p w14:paraId="584DAC48">
            <w:pPr>
              <w:rPr>
                <w:rFonts w:ascii="Arial"/>
                <w:sz w:val="21"/>
              </w:rPr>
            </w:pPr>
          </w:p>
        </w:tc>
        <w:tc>
          <w:tcPr>
            <w:tcW w:w="699" w:type="dxa"/>
            <w:vAlign w:val="top"/>
          </w:tcPr>
          <w:p w14:paraId="4DF8AC36">
            <w:pPr>
              <w:pStyle w:val="6"/>
              <w:spacing w:before="115" w:line="184" w:lineRule="exact"/>
              <w:ind w:left="230"/>
              <w:rPr>
                <w:sz w:val="22"/>
                <w:szCs w:val="22"/>
              </w:rPr>
            </w:pPr>
            <w:r>
              <w:rPr>
                <w:spacing w:val="-2"/>
                <w:position w:val="-2"/>
                <w:sz w:val="22"/>
                <w:szCs w:val="22"/>
              </w:rPr>
              <w:t>KZ</w:t>
            </w:r>
          </w:p>
        </w:tc>
        <w:tc>
          <w:tcPr>
            <w:tcW w:w="969" w:type="dxa"/>
            <w:vAlign w:val="top"/>
          </w:tcPr>
          <w:p w14:paraId="602CF58E">
            <w:pPr>
              <w:pStyle w:val="6"/>
              <w:spacing w:before="78" w:line="185" w:lineRule="auto"/>
              <w:ind w:left="202"/>
              <w:rPr>
                <w:sz w:val="22"/>
                <w:szCs w:val="22"/>
              </w:rPr>
            </w:pPr>
            <w:r>
              <w:rPr>
                <w:spacing w:val="-2"/>
                <w:sz w:val="22"/>
                <w:szCs w:val="22"/>
              </w:rPr>
              <w:t>48.67</w:t>
            </w:r>
          </w:p>
        </w:tc>
        <w:tc>
          <w:tcPr>
            <w:tcW w:w="1129" w:type="dxa"/>
            <w:vAlign w:val="top"/>
          </w:tcPr>
          <w:p w14:paraId="6915F955">
            <w:pPr>
              <w:pStyle w:val="6"/>
              <w:spacing w:before="78" w:line="185" w:lineRule="auto"/>
              <w:ind w:left="223"/>
              <w:rPr>
                <w:sz w:val="22"/>
                <w:szCs w:val="22"/>
              </w:rPr>
            </w:pPr>
            <w:r>
              <w:rPr>
                <w:spacing w:val="-1"/>
                <w:sz w:val="22"/>
                <w:szCs w:val="22"/>
              </w:rPr>
              <w:t>0.102%</w:t>
            </w:r>
          </w:p>
        </w:tc>
        <w:tc>
          <w:tcPr>
            <w:tcW w:w="1138" w:type="dxa"/>
            <w:vAlign w:val="top"/>
          </w:tcPr>
          <w:p w14:paraId="2CE09537">
            <w:pPr>
              <w:pStyle w:val="6"/>
              <w:spacing w:before="78" w:line="185" w:lineRule="auto"/>
              <w:ind w:left="234"/>
              <w:rPr>
                <w:sz w:val="22"/>
                <w:szCs w:val="22"/>
              </w:rPr>
            </w:pPr>
            <w:r>
              <w:rPr>
                <w:spacing w:val="-2"/>
                <w:sz w:val="22"/>
                <w:szCs w:val="22"/>
              </w:rPr>
              <w:t>495.00</w:t>
            </w:r>
          </w:p>
        </w:tc>
        <w:tc>
          <w:tcPr>
            <w:tcW w:w="649" w:type="dxa"/>
            <w:vAlign w:val="top"/>
          </w:tcPr>
          <w:p w14:paraId="51C96DC6">
            <w:pPr>
              <w:pStyle w:val="6"/>
              <w:spacing w:before="78" w:line="185" w:lineRule="auto"/>
              <w:ind w:left="266"/>
              <w:rPr>
                <w:sz w:val="22"/>
                <w:szCs w:val="22"/>
              </w:rPr>
            </w:pPr>
            <w:r>
              <w:rPr>
                <w:sz w:val="22"/>
                <w:szCs w:val="22"/>
              </w:rPr>
              <w:t>1</w:t>
            </w:r>
          </w:p>
        </w:tc>
        <w:tc>
          <w:tcPr>
            <w:tcW w:w="1049" w:type="dxa"/>
            <w:vAlign w:val="top"/>
          </w:tcPr>
          <w:p w14:paraId="616A4FEA">
            <w:pPr>
              <w:pStyle w:val="6"/>
              <w:spacing w:before="78" w:line="185" w:lineRule="auto"/>
              <w:ind w:left="247"/>
              <w:rPr>
                <w:sz w:val="22"/>
                <w:szCs w:val="22"/>
              </w:rPr>
            </w:pPr>
            <w:r>
              <w:rPr>
                <w:spacing w:val="-2"/>
                <w:sz w:val="22"/>
                <w:szCs w:val="22"/>
              </w:rPr>
              <w:t>48.67</w:t>
            </w:r>
          </w:p>
        </w:tc>
        <w:tc>
          <w:tcPr>
            <w:tcW w:w="1129" w:type="dxa"/>
            <w:vAlign w:val="top"/>
          </w:tcPr>
          <w:p w14:paraId="7C1CC110">
            <w:pPr>
              <w:pStyle w:val="6"/>
              <w:spacing w:before="78" w:line="185" w:lineRule="auto"/>
              <w:ind w:left="227"/>
              <w:rPr>
                <w:sz w:val="22"/>
                <w:szCs w:val="22"/>
              </w:rPr>
            </w:pPr>
            <w:r>
              <w:rPr>
                <w:spacing w:val="-1"/>
                <w:sz w:val="22"/>
                <w:szCs w:val="22"/>
              </w:rPr>
              <w:t>0.102%</w:t>
            </w:r>
          </w:p>
        </w:tc>
        <w:tc>
          <w:tcPr>
            <w:tcW w:w="1114" w:type="dxa"/>
            <w:vAlign w:val="top"/>
          </w:tcPr>
          <w:p w14:paraId="50F38C2C">
            <w:pPr>
              <w:pStyle w:val="6"/>
              <w:spacing w:before="77" w:line="186" w:lineRule="auto"/>
              <w:ind w:left="222"/>
              <w:rPr>
                <w:sz w:val="22"/>
                <w:szCs w:val="22"/>
              </w:rPr>
            </w:pPr>
            <w:r>
              <w:rPr>
                <w:b/>
                <w:bCs/>
                <w:spacing w:val="-4"/>
                <w:sz w:val="22"/>
                <w:szCs w:val="22"/>
              </w:rPr>
              <w:t>495.00</w:t>
            </w:r>
          </w:p>
        </w:tc>
      </w:tr>
      <w:tr w14:paraId="03A81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04" w:type="dxa"/>
            <w:vMerge w:val="continue"/>
            <w:tcBorders>
              <w:top w:val="nil"/>
              <w:bottom w:val="nil"/>
            </w:tcBorders>
            <w:vAlign w:val="top"/>
          </w:tcPr>
          <w:p w14:paraId="50E11B19">
            <w:pPr>
              <w:rPr>
                <w:rFonts w:ascii="Arial"/>
                <w:sz w:val="21"/>
              </w:rPr>
            </w:pPr>
          </w:p>
        </w:tc>
        <w:tc>
          <w:tcPr>
            <w:tcW w:w="699" w:type="dxa"/>
            <w:vAlign w:val="top"/>
          </w:tcPr>
          <w:p w14:paraId="4A056EE6">
            <w:pPr>
              <w:pStyle w:val="6"/>
              <w:spacing w:before="116" w:line="183" w:lineRule="exact"/>
              <w:ind w:left="230"/>
              <w:rPr>
                <w:sz w:val="22"/>
                <w:szCs w:val="22"/>
              </w:rPr>
            </w:pPr>
            <w:r>
              <w:rPr>
                <w:spacing w:val="-2"/>
                <w:position w:val="-2"/>
                <w:sz w:val="22"/>
                <w:szCs w:val="22"/>
              </w:rPr>
              <w:t>TD</w:t>
            </w:r>
          </w:p>
        </w:tc>
        <w:tc>
          <w:tcPr>
            <w:tcW w:w="969" w:type="dxa"/>
            <w:vAlign w:val="top"/>
          </w:tcPr>
          <w:p w14:paraId="65C59B4B">
            <w:pPr>
              <w:pStyle w:val="6"/>
              <w:spacing w:before="79" w:line="184" w:lineRule="auto"/>
              <w:ind w:left="202"/>
              <w:rPr>
                <w:sz w:val="22"/>
                <w:szCs w:val="22"/>
              </w:rPr>
            </w:pPr>
            <w:r>
              <w:rPr>
                <w:spacing w:val="-2"/>
                <w:sz w:val="22"/>
                <w:szCs w:val="22"/>
              </w:rPr>
              <w:t>82.86</w:t>
            </w:r>
          </w:p>
        </w:tc>
        <w:tc>
          <w:tcPr>
            <w:tcW w:w="1129" w:type="dxa"/>
            <w:vAlign w:val="top"/>
          </w:tcPr>
          <w:p w14:paraId="56FAF25E">
            <w:pPr>
              <w:pStyle w:val="6"/>
              <w:spacing w:before="79" w:line="184" w:lineRule="auto"/>
              <w:ind w:left="223"/>
              <w:rPr>
                <w:sz w:val="22"/>
                <w:szCs w:val="22"/>
              </w:rPr>
            </w:pPr>
            <w:r>
              <w:rPr>
                <w:spacing w:val="-1"/>
                <w:sz w:val="22"/>
                <w:szCs w:val="22"/>
              </w:rPr>
              <w:t>0.157%</w:t>
            </w:r>
          </w:p>
        </w:tc>
        <w:tc>
          <w:tcPr>
            <w:tcW w:w="1138" w:type="dxa"/>
            <w:vAlign w:val="top"/>
          </w:tcPr>
          <w:p w14:paraId="79CA7753">
            <w:pPr>
              <w:pStyle w:val="6"/>
              <w:spacing w:before="79" w:line="184" w:lineRule="auto"/>
              <w:ind w:left="174"/>
              <w:rPr>
                <w:sz w:val="22"/>
                <w:szCs w:val="22"/>
              </w:rPr>
            </w:pPr>
            <w:r>
              <w:rPr>
                <w:spacing w:val="-4"/>
                <w:sz w:val="22"/>
                <w:szCs w:val="22"/>
              </w:rPr>
              <w:t>1299.00</w:t>
            </w:r>
          </w:p>
        </w:tc>
        <w:tc>
          <w:tcPr>
            <w:tcW w:w="649" w:type="dxa"/>
            <w:vAlign w:val="top"/>
          </w:tcPr>
          <w:p w14:paraId="5D7C10E7">
            <w:pPr>
              <w:pStyle w:val="6"/>
              <w:spacing w:before="79" w:line="184" w:lineRule="auto"/>
              <w:ind w:left="155"/>
              <w:rPr>
                <w:sz w:val="22"/>
                <w:szCs w:val="22"/>
              </w:rPr>
            </w:pPr>
            <w:r>
              <w:rPr>
                <w:spacing w:val="-3"/>
                <w:sz w:val="22"/>
                <w:szCs w:val="22"/>
              </w:rPr>
              <w:t>0.6</w:t>
            </w:r>
          </w:p>
        </w:tc>
        <w:tc>
          <w:tcPr>
            <w:tcW w:w="1049" w:type="dxa"/>
            <w:vAlign w:val="top"/>
          </w:tcPr>
          <w:p w14:paraId="7C1748A3">
            <w:pPr>
              <w:pStyle w:val="6"/>
              <w:spacing w:before="79" w:line="184" w:lineRule="auto"/>
              <w:ind w:left="247"/>
              <w:rPr>
                <w:sz w:val="22"/>
                <w:szCs w:val="22"/>
              </w:rPr>
            </w:pPr>
            <w:r>
              <w:rPr>
                <w:spacing w:val="-2"/>
                <w:sz w:val="22"/>
                <w:szCs w:val="22"/>
              </w:rPr>
              <w:t>49.72</w:t>
            </w:r>
          </w:p>
        </w:tc>
        <w:tc>
          <w:tcPr>
            <w:tcW w:w="1129" w:type="dxa"/>
            <w:vAlign w:val="top"/>
          </w:tcPr>
          <w:p w14:paraId="695CA6D4">
            <w:pPr>
              <w:pStyle w:val="6"/>
              <w:spacing w:before="79" w:line="184" w:lineRule="auto"/>
              <w:ind w:left="227"/>
              <w:rPr>
                <w:sz w:val="22"/>
                <w:szCs w:val="22"/>
              </w:rPr>
            </w:pPr>
            <w:r>
              <w:rPr>
                <w:spacing w:val="-1"/>
                <w:sz w:val="22"/>
                <w:szCs w:val="22"/>
              </w:rPr>
              <w:t>0.157%</w:t>
            </w:r>
          </w:p>
        </w:tc>
        <w:tc>
          <w:tcPr>
            <w:tcW w:w="1114" w:type="dxa"/>
            <w:vAlign w:val="top"/>
          </w:tcPr>
          <w:p w14:paraId="051B05DE">
            <w:pPr>
              <w:pStyle w:val="6"/>
              <w:spacing w:before="79" w:line="184" w:lineRule="auto"/>
              <w:ind w:left="219"/>
              <w:rPr>
                <w:sz w:val="22"/>
                <w:szCs w:val="22"/>
              </w:rPr>
            </w:pPr>
            <w:r>
              <w:rPr>
                <w:spacing w:val="-2"/>
                <w:sz w:val="22"/>
                <w:szCs w:val="22"/>
              </w:rPr>
              <w:t>779.40</w:t>
            </w:r>
          </w:p>
        </w:tc>
      </w:tr>
      <w:tr w14:paraId="50B4E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004" w:type="dxa"/>
            <w:vMerge w:val="continue"/>
            <w:tcBorders>
              <w:top w:val="nil"/>
            </w:tcBorders>
            <w:vAlign w:val="top"/>
          </w:tcPr>
          <w:p w14:paraId="6D28E81B">
            <w:pPr>
              <w:rPr>
                <w:rFonts w:ascii="Arial"/>
                <w:sz w:val="21"/>
              </w:rPr>
            </w:pPr>
          </w:p>
        </w:tc>
        <w:tc>
          <w:tcPr>
            <w:tcW w:w="699" w:type="dxa"/>
            <w:vAlign w:val="top"/>
          </w:tcPr>
          <w:p w14:paraId="1B57967A">
            <w:pPr>
              <w:pStyle w:val="6"/>
              <w:spacing w:before="60" w:line="205" w:lineRule="auto"/>
              <w:ind w:left="121"/>
              <w:rPr>
                <w:sz w:val="22"/>
                <w:szCs w:val="22"/>
              </w:rPr>
            </w:pPr>
            <w:r>
              <w:rPr>
                <w:spacing w:val="4"/>
                <w:sz w:val="22"/>
                <w:szCs w:val="22"/>
              </w:rPr>
              <w:t>小计</w:t>
            </w:r>
          </w:p>
        </w:tc>
        <w:tc>
          <w:tcPr>
            <w:tcW w:w="969" w:type="dxa"/>
            <w:vAlign w:val="top"/>
          </w:tcPr>
          <w:p w14:paraId="26419572">
            <w:pPr>
              <w:pStyle w:val="6"/>
              <w:spacing w:before="80" w:line="188" w:lineRule="auto"/>
              <w:ind w:left="141"/>
              <w:rPr>
                <w:sz w:val="22"/>
                <w:szCs w:val="22"/>
              </w:rPr>
            </w:pPr>
            <w:r>
              <w:rPr>
                <w:spacing w:val="-4"/>
                <w:sz w:val="22"/>
                <w:szCs w:val="22"/>
              </w:rPr>
              <w:t>140.31</w:t>
            </w:r>
          </w:p>
        </w:tc>
        <w:tc>
          <w:tcPr>
            <w:tcW w:w="1129" w:type="dxa"/>
            <w:vAlign w:val="top"/>
          </w:tcPr>
          <w:p w14:paraId="6685E1AB">
            <w:pPr>
              <w:pStyle w:val="6"/>
              <w:spacing w:before="80" w:line="188" w:lineRule="auto"/>
              <w:ind w:left="223"/>
              <w:rPr>
                <w:sz w:val="22"/>
                <w:szCs w:val="22"/>
              </w:rPr>
            </w:pPr>
            <w:r>
              <w:rPr>
                <w:spacing w:val="-1"/>
                <w:sz w:val="22"/>
                <w:szCs w:val="22"/>
              </w:rPr>
              <w:t>0.135%</w:t>
            </w:r>
          </w:p>
        </w:tc>
        <w:tc>
          <w:tcPr>
            <w:tcW w:w="1138" w:type="dxa"/>
            <w:vAlign w:val="top"/>
          </w:tcPr>
          <w:p w14:paraId="260DC5D9">
            <w:pPr>
              <w:pStyle w:val="6"/>
              <w:spacing w:before="80" w:line="188" w:lineRule="auto"/>
              <w:ind w:left="174"/>
              <w:rPr>
                <w:sz w:val="22"/>
                <w:szCs w:val="22"/>
              </w:rPr>
            </w:pPr>
            <w:r>
              <w:rPr>
                <w:spacing w:val="-4"/>
                <w:sz w:val="22"/>
                <w:szCs w:val="22"/>
              </w:rPr>
              <w:t>1888.00</w:t>
            </w:r>
          </w:p>
        </w:tc>
        <w:tc>
          <w:tcPr>
            <w:tcW w:w="649" w:type="dxa"/>
            <w:vAlign w:val="top"/>
          </w:tcPr>
          <w:p w14:paraId="2DDD9B01">
            <w:pPr>
              <w:rPr>
                <w:rFonts w:ascii="Arial"/>
                <w:sz w:val="21"/>
              </w:rPr>
            </w:pPr>
          </w:p>
        </w:tc>
        <w:tc>
          <w:tcPr>
            <w:tcW w:w="1049" w:type="dxa"/>
            <w:vAlign w:val="top"/>
          </w:tcPr>
          <w:p w14:paraId="6F2C459D">
            <w:pPr>
              <w:pStyle w:val="6"/>
              <w:spacing w:before="80" w:line="188" w:lineRule="auto"/>
              <w:ind w:left="187"/>
              <w:rPr>
                <w:sz w:val="22"/>
                <w:szCs w:val="22"/>
              </w:rPr>
            </w:pPr>
            <w:r>
              <w:rPr>
                <w:spacing w:val="-4"/>
                <w:sz w:val="22"/>
                <w:szCs w:val="22"/>
              </w:rPr>
              <w:t>107.17</w:t>
            </w:r>
          </w:p>
        </w:tc>
        <w:tc>
          <w:tcPr>
            <w:tcW w:w="1129" w:type="dxa"/>
            <w:vAlign w:val="top"/>
          </w:tcPr>
          <w:p w14:paraId="6D3AD8B6">
            <w:pPr>
              <w:pStyle w:val="6"/>
              <w:spacing w:before="80" w:line="188" w:lineRule="auto"/>
              <w:ind w:left="227"/>
              <w:rPr>
                <w:sz w:val="22"/>
                <w:szCs w:val="22"/>
              </w:rPr>
            </w:pPr>
            <w:r>
              <w:rPr>
                <w:spacing w:val="-1"/>
                <w:sz w:val="22"/>
                <w:szCs w:val="22"/>
              </w:rPr>
              <w:t>0.128%</w:t>
            </w:r>
          </w:p>
        </w:tc>
        <w:tc>
          <w:tcPr>
            <w:tcW w:w="1114" w:type="dxa"/>
            <w:vAlign w:val="top"/>
          </w:tcPr>
          <w:p w14:paraId="67337944">
            <w:pPr>
              <w:pStyle w:val="6"/>
              <w:spacing w:before="80" w:line="188" w:lineRule="auto"/>
              <w:ind w:left="169"/>
              <w:rPr>
                <w:sz w:val="22"/>
                <w:szCs w:val="22"/>
              </w:rPr>
            </w:pPr>
            <w:r>
              <w:rPr>
                <w:spacing w:val="-4"/>
                <w:sz w:val="22"/>
                <w:szCs w:val="22"/>
              </w:rPr>
              <w:t>1368.40</w:t>
            </w:r>
          </w:p>
        </w:tc>
      </w:tr>
    </w:tbl>
    <w:p w14:paraId="646EF3D3">
      <w:pPr>
        <w:spacing w:before="209" w:line="380" w:lineRule="auto"/>
        <w:ind w:left="84" w:right="284" w:firstLine="530"/>
        <w:jc w:val="both"/>
        <w:rPr>
          <w:rFonts w:ascii="宋体" w:hAnsi="宋体" w:eastAsia="宋体" w:cs="宋体"/>
          <w:sz w:val="24"/>
          <w:szCs w:val="24"/>
        </w:rPr>
      </w:pPr>
      <w:r>
        <w:rPr>
          <w:rFonts w:ascii="宋体" w:hAnsi="宋体" w:eastAsia="宋体" w:cs="宋体"/>
          <w:sz w:val="24"/>
          <w:szCs w:val="24"/>
        </w:rPr>
        <w:t>注：按《出让收益评估应用指南》,其“评估利用资</w:t>
      </w:r>
      <w:r>
        <w:rPr>
          <w:rFonts w:ascii="宋体" w:hAnsi="宋体" w:eastAsia="宋体" w:cs="宋体"/>
          <w:spacing w:val="-1"/>
          <w:sz w:val="24"/>
          <w:szCs w:val="24"/>
        </w:rPr>
        <w:t>源储量”为不进行可信度</w:t>
      </w:r>
      <w:r>
        <w:rPr>
          <w:rFonts w:ascii="宋体" w:hAnsi="宋体" w:eastAsia="宋体" w:cs="宋体"/>
          <w:sz w:val="24"/>
          <w:szCs w:val="24"/>
        </w:rPr>
        <w:t xml:space="preserve"> </w:t>
      </w:r>
      <w:r>
        <w:rPr>
          <w:rFonts w:ascii="宋体" w:hAnsi="宋体" w:eastAsia="宋体" w:cs="宋体"/>
          <w:spacing w:val="2"/>
          <w:sz w:val="24"/>
          <w:szCs w:val="24"/>
        </w:rPr>
        <w:t>系数调整的参与评估的保有资源储量，为与可采储量计算过程中涉及的采用可信</w:t>
      </w:r>
      <w:r>
        <w:rPr>
          <w:rFonts w:ascii="宋体" w:hAnsi="宋体" w:eastAsia="宋体" w:cs="宋体"/>
          <w:spacing w:val="5"/>
          <w:sz w:val="24"/>
          <w:szCs w:val="24"/>
        </w:rPr>
        <w:t xml:space="preserve"> </w:t>
      </w:r>
      <w:r>
        <w:rPr>
          <w:rFonts w:ascii="宋体" w:hAnsi="宋体" w:eastAsia="宋体" w:cs="宋体"/>
          <w:spacing w:val="3"/>
          <w:sz w:val="24"/>
          <w:szCs w:val="24"/>
        </w:rPr>
        <w:t>度系数调整的“评估利用资源储量”(对应设计利用资源储量)</w:t>
      </w:r>
      <w:r>
        <w:rPr>
          <w:rFonts w:ascii="宋体" w:hAnsi="宋体" w:eastAsia="宋体" w:cs="宋体"/>
          <w:spacing w:val="2"/>
          <w:sz w:val="24"/>
          <w:szCs w:val="24"/>
        </w:rPr>
        <w:t>相区别，故将前者</w:t>
      </w:r>
      <w:r>
        <w:rPr>
          <w:rFonts w:ascii="宋体" w:hAnsi="宋体" w:eastAsia="宋体" w:cs="宋体"/>
          <w:sz w:val="24"/>
          <w:szCs w:val="24"/>
        </w:rPr>
        <w:t xml:space="preserve"> </w:t>
      </w:r>
      <w:r>
        <w:rPr>
          <w:rFonts w:ascii="宋体" w:hAnsi="宋体" w:eastAsia="宋体" w:cs="宋体"/>
          <w:spacing w:val="7"/>
          <w:sz w:val="24"/>
          <w:szCs w:val="24"/>
        </w:rPr>
        <w:t>称为“评估利用资源储量”(即参与评估的保有资</w:t>
      </w:r>
      <w:r>
        <w:rPr>
          <w:rFonts w:ascii="宋体" w:hAnsi="宋体" w:eastAsia="宋体" w:cs="宋体"/>
          <w:spacing w:val="6"/>
          <w:sz w:val="24"/>
          <w:szCs w:val="24"/>
        </w:rPr>
        <w:t>源储量),后者称为“评估利用</w:t>
      </w:r>
      <w:r>
        <w:rPr>
          <w:rFonts w:ascii="宋体" w:hAnsi="宋体" w:eastAsia="宋体" w:cs="宋体"/>
          <w:sz w:val="24"/>
          <w:szCs w:val="24"/>
        </w:rPr>
        <w:t xml:space="preserve"> </w:t>
      </w:r>
      <w:r>
        <w:rPr>
          <w:rFonts w:ascii="宋体" w:hAnsi="宋体" w:eastAsia="宋体" w:cs="宋体"/>
          <w:spacing w:val="3"/>
          <w:sz w:val="24"/>
          <w:szCs w:val="24"/>
        </w:rPr>
        <w:t>资源储量(可信度系数调整)”(即可信度系数调整后的评估利用资源储量)。</w:t>
      </w:r>
    </w:p>
    <w:p w14:paraId="6FAF18FC">
      <w:pPr>
        <w:spacing w:before="54" w:line="219" w:lineRule="auto"/>
        <w:ind w:left="614"/>
        <w:outlineLvl w:val="1"/>
        <w:rPr>
          <w:rFonts w:ascii="宋体" w:hAnsi="宋体" w:eastAsia="宋体" w:cs="宋体"/>
          <w:sz w:val="24"/>
          <w:szCs w:val="24"/>
        </w:rPr>
      </w:pPr>
      <w:bookmarkStart w:id="39" w:name="bookmark26"/>
      <w:bookmarkEnd w:id="39"/>
      <w:r>
        <w:rPr>
          <w:rFonts w:ascii="宋体" w:hAnsi="宋体" w:eastAsia="宋体" w:cs="宋体"/>
          <w:spacing w:val="4"/>
          <w:sz w:val="24"/>
          <w:szCs w:val="24"/>
        </w:rPr>
        <w:t>10.3开拓方式、采矿方法及选矿方法</w:t>
      </w:r>
    </w:p>
    <w:p w14:paraId="5F9E933E">
      <w:pPr>
        <w:spacing w:before="268" w:line="221" w:lineRule="auto"/>
        <w:ind w:left="614"/>
        <w:rPr>
          <w:rFonts w:ascii="宋体" w:hAnsi="宋体" w:eastAsia="宋体" w:cs="宋体"/>
          <w:sz w:val="24"/>
          <w:szCs w:val="24"/>
        </w:rPr>
      </w:pPr>
      <w:r>
        <w:rPr>
          <w:rFonts w:ascii="宋体" w:hAnsi="宋体" w:eastAsia="宋体" w:cs="宋体"/>
          <w:spacing w:val="7"/>
          <w:sz w:val="24"/>
          <w:szCs w:val="24"/>
        </w:rPr>
        <w:t>10.3.1开拓方式</w:t>
      </w:r>
    </w:p>
    <w:p w14:paraId="3CF5BA2F">
      <w:pPr>
        <w:spacing w:before="246" w:line="392" w:lineRule="auto"/>
        <w:ind w:left="84" w:right="373" w:firstLine="530"/>
        <w:rPr>
          <w:rFonts w:ascii="宋体" w:hAnsi="宋体" w:eastAsia="宋体" w:cs="宋体"/>
          <w:sz w:val="25"/>
          <w:szCs w:val="25"/>
        </w:rPr>
      </w:pPr>
      <w:r>
        <w:rPr>
          <w:rFonts w:ascii="宋体" w:hAnsi="宋体" w:eastAsia="宋体" w:cs="宋体"/>
          <w:spacing w:val="-9"/>
          <w:sz w:val="25"/>
          <w:szCs w:val="25"/>
        </w:rPr>
        <w:t>根据“开发利用方案”,矿区内共有7条主要矿体可供开采，矿体赋</w:t>
      </w:r>
      <w:r>
        <w:rPr>
          <w:rFonts w:ascii="宋体" w:hAnsi="宋体" w:eastAsia="宋体" w:cs="宋体"/>
          <w:spacing w:val="-10"/>
          <w:sz w:val="25"/>
          <w:szCs w:val="25"/>
        </w:rPr>
        <w:t>存条件复</w:t>
      </w:r>
      <w:r>
        <w:rPr>
          <w:rFonts w:ascii="宋体" w:hAnsi="宋体" w:eastAsia="宋体" w:cs="宋体"/>
          <w:sz w:val="25"/>
          <w:szCs w:val="25"/>
        </w:rPr>
        <w:t xml:space="preserve"> </w:t>
      </w:r>
      <w:r>
        <w:rPr>
          <w:rFonts w:ascii="宋体" w:hAnsi="宋体" w:eastAsia="宋体" w:cs="宋体"/>
          <w:spacing w:val="-12"/>
          <w:sz w:val="25"/>
          <w:szCs w:val="25"/>
        </w:rPr>
        <w:t>杂。由于各矿体均为盲矿体，有些中段没有平坑出口的条件，设</w:t>
      </w:r>
      <w:r>
        <w:rPr>
          <w:rFonts w:ascii="宋体" w:hAnsi="宋体" w:eastAsia="宋体" w:cs="宋体"/>
          <w:spacing w:val="-13"/>
          <w:sz w:val="25"/>
          <w:szCs w:val="25"/>
        </w:rPr>
        <w:t>计采用斜井+平硐</w:t>
      </w:r>
      <w:r>
        <w:rPr>
          <w:rFonts w:ascii="宋体" w:hAnsi="宋体" w:eastAsia="宋体" w:cs="宋体"/>
          <w:sz w:val="25"/>
          <w:szCs w:val="25"/>
        </w:rPr>
        <w:t xml:space="preserve"> </w:t>
      </w:r>
      <w:r>
        <w:rPr>
          <w:rFonts w:ascii="宋体" w:hAnsi="宋体" w:eastAsia="宋体" w:cs="宋体"/>
          <w:spacing w:val="14"/>
          <w:sz w:val="25"/>
          <w:szCs w:val="25"/>
        </w:rPr>
        <w:t>开拓方式。共设置2 条斜井分别为：原有1#斜井1576-1510、原有2#斜井</w:t>
      </w:r>
      <w:r>
        <w:rPr>
          <w:rFonts w:ascii="宋体" w:hAnsi="宋体" w:eastAsia="宋体" w:cs="宋体"/>
          <w:spacing w:val="8"/>
          <w:sz w:val="25"/>
          <w:szCs w:val="25"/>
        </w:rPr>
        <w:t xml:space="preserve"> </w:t>
      </w:r>
      <w:r>
        <w:rPr>
          <w:rFonts w:ascii="宋体" w:hAnsi="宋体" w:eastAsia="宋体" w:cs="宋体"/>
          <w:spacing w:val="-7"/>
          <w:sz w:val="25"/>
          <w:szCs w:val="25"/>
        </w:rPr>
        <w:t>1630-1570,东部和中部矿体的回风采取1620平硐回风，西部矿体的回</w:t>
      </w:r>
      <w:r>
        <w:rPr>
          <w:rFonts w:ascii="宋体" w:hAnsi="宋体" w:eastAsia="宋体" w:cs="宋体"/>
          <w:spacing w:val="-8"/>
          <w:sz w:val="25"/>
          <w:szCs w:val="25"/>
        </w:rPr>
        <w:t>风采取1576</w:t>
      </w:r>
    </w:p>
    <w:p w14:paraId="3D7D751B">
      <w:pPr>
        <w:spacing w:line="392" w:lineRule="auto"/>
        <w:rPr>
          <w:rFonts w:ascii="宋体" w:hAnsi="宋体" w:eastAsia="宋体" w:cs="宋体"/>
          <w:sz w:val="25"/>
          <w:szCs w:val="25"/>
        </w:rPr>
        <w:sectPr>
          <w:headerReference r:id="rId78" w:type="default"/>
          <w:footerReference r:id="rId79" w:type="default"/>
          <w:pgSz w:w="11900" w:h="16830"/>
          <w:pgMar w:top="1166" w:right="1185" w:bottom="1310" w:left="1785" w:header="890" w:footer="958" w:gutter="0"/>
          <w:cols w:space="720" w:num="1"/>
        </w:sectPr>
      </w:pPr>
    </w:p>
    <w:p w14:paraId="43263141">
      <w:pPr>
        <w:pStyle w:val="2"/>
        <w:spacing w:line="413" w:lineRule="auto"/>
      </w:pPr>
    </w:p>
    <w:p w14:paraId="7CE2A9B9">
      <w:pPr>
        <w:spacing w:before="78" w:line="220" w:lineRule="auto"/>
        <w:ind w:left="94"/>
        <w:rPr>
          <w:rFonts w:ascii="宋体" w:hAnsi="宋体" w:eastAsia="宋体" w:cs="宋体"/>
          <w:sz w:val="24"/>
          <w:szCs w:val="24"/>
        </w:rPr>
      </w:pPr>
      <w:bookmarkStart w:id="40" w:name="bookmark61"/>
      <w:bookmarkEnd w:id="40"/>
      <w:r>
        <w:rPr>
          <w:rFonts w:ascii="宋体" w:hAnsi="宋体" w:eastAsia="宋体" w:cs="宋体"/>
          <w:spacing w:val="-2"/>
          <w:sz w:val="24"/>
          <w:szCs w:val="24"/>
        </w:rPr>
        <w:t>平巷回风。</w:t>
      </w:r>
    </w:p>
    <w:p w14:paraId="684D4C64">
      <w:pPr>
        <w:spacing w:before="241" w:line="219" w:lineRule="auto"/>
        <w:ind w:left="604"/>
        <w:rPr>
          <w:rFonts w:ascii="宋体" w:hAnsi="宋体" w:eastAsia="宋体" w:cs="宋体"/>
          <w:sz w:val="24"/>
          <w:szCs w:val="24"/>
        </w:rPr>
      </w:pPr>
      <w:r>
        <w:rPr>
          <w:rFonts w:ascii="宋体" w:hAnsi="宋体" w:eastAsia="宋体" w:cs="宋体"/>
          <w:spacing w:val="6"/>
          <w:sz w:val="24"/>
          <w:szCs w:val="24"/>
        </w:rPr>
        <w:t>10.3.2采矿方法</w:t>
      </w:r>
    </w:p>
    <w:p w14:paraId="2F91ED4F">
      <w:pPr>
        <w:spacing w:before="242" w:line="413" w:lineRule="auto"/>
        <w:ind w:left="94" w:right="194" w:firstLine="510"/>
        <w:rPr>
          <w:rFonts w:ascii="宋体" w:hAnsi="宋体" w:eastAsia="宋体" w:cs="宋体"/>
          <w:sz w:val="24"/>
          <w:szCs w:val="24"/>
        </w:rPr>
      </w:pPr>
      <w:r>
        <w:rPr>
          <w:rFonts w:ascii="宋体" w:hAnsi="宋体" w:eastAsia="宋体" w:cs="宋体"/>
          <w:spacing w:val="-9"/>
          <w:sz w:val="24"/>
          <w:szCs w:val="24"/>
        </w:rPr>
        <w:t>根据“开发利用方案”,矿体属缓倾斜矿体且赋存较完整，矿体</w:t>
      </w:r>
      <w:r>
        <w:rPr>
          <w:rFonts w:ascii="宋体" w:hAnsi="宋体" w:eastAsia="宋体" w:cs="宋体"/>
          <w:spacing w:val="-10"/>
          <w:sz w:val="24"/>
          <w:szCs w:val="24"/>
        </w:rPr>
        <w:t>及顶底板稳固，</w:t>
      </w:r>
      <w:r>
        <w:rPr>
          <w:rFonts w:ascii="宋体" w:hAnsi="宋体" w:eastAsia="宋体" w:cs="宋体"/>
          <w:sz w:val="24"/>
          <w:szCs w:val="24"/>
        </w:rPr>
        <w:t xml:space="preserve"> </w:t>
      </w:r>
      <w:r>
        <w:rPr>
          <w:rFonts w:ascii="宋体" w:hAnsi="宋体" w:eastAsia="宋体" w:cs="宋体"/>
          <w:spacing w:val="7"/>
          <w:sz w:val="24"/>
          <w:szCs w:val="24"/>
        </w:rPr>
        <w:t>设计推荐采用留矿全面采矿法(缓倾斜薄矿体)进行开采。</w:t>
      </w:r>
    </w:p>
    <w:p w14:paraId="6E8346E1">
      <w:pPr>
        <w:spacing w:line="219" w:lineRule="auto"/>
        <w:ind w:left="604"/>
        <w:rPr>
          <w:rFonts w:ascii="宋体" w:hAnsi="宋体" w:eastAsia="宋体" w:cs="宋体"/>
          <w:sz w:val="24"/>
          <w:szCs w:val="24"/>
        </w:rPr>
      </w:pPr>
      <w:r>
        <w:rPr>
          <w:rFonts w:ascii="宋体" w:hAnsi="宋体" w:eastAsia="宋体" w:cs="宋体"/>
          <w:spacing w:val="6"/>
          <w:sz w:val="24"/>
          <w:szCs w:val="24"/>
        </w:rPr>
        <w:t>10.3.3选矿方法</w:t>
      </w:r>
    </w:p>
    <w:p w14:paraId="1BA6DCE1">
      <w:pPr>
        <w:spacing w:before="263" w:line="416" w:lineRule="auto"/>
        <w:ind w:left="94" w:right="194" w:firstLine="510"/>
        <w:rPr>
          <w:rFonts w:ascii="宋体" w:hAnsi="宋体" w:eastAsia="宋体" w:cs="宋体"/>
          <w:sz w:val="24"/>
          <w:szCs w:val="24"/>
        </w:rPr>
      </w:pPr>
      <w:r>
        <w:rPr>
          <w:rFonts w:ascii="宋体" w:hAnsi="宋体" w:eastAsia="宋体" w:cs="宋体"/>
          <w:sz w:val="24"/>
          <w:szCs w:val="24"/>
        </w:rPr>
        <w:t>罗平锌电股份有限公司富乐铅锌矿选矿厂采用</w:t>
      </w:r>
      <w:r>
        <w:rPr>
          <w:rFonts w:ascii="宋体" w:hAnsi="宋体" w:eastAsia="宋体" w:cs="宋体"/>
          <w:spacing w:val="-1"/>
          <w:sz w:val="24"/>
          <w:szCs w:val="24"/>
        </w:rPr>
        <w:t>优先浮选铅，经一粗二精选矿</w:t>
      </w:r>
      <w:r>
        <w:rPr>
          <w:rFonts w:ascii="宋体" w:hAnsi="宋体" w:eastAsia="宋体" w:cs="宋体"/>
          <w:sz w:val="24"/>
          <w:szCs w:val="24"/>
        </w:rPr>
        <w:t xml:space="preserve"> </w:t>
      </w:r>
      <w:r>
        <w:rPr>
          <w:rFonts w:ascii="宋体" w:hAnsi="宋体" w:eastAsia="宋体" w:cs="宋体"/>
          <w:spacing w:val="-5"/>
          <w:sz w:val="24"/>
          <w:szCs w:val="24"/>
        </w:rPr>
        <w:t>获得铅精矿，锌采用一粗一扫二精，锌采用二段脱水作业，从精矿中综合回收镉。</w:t>
      </w:r>
    </w:p>
    <w:p w14:paraId="6E472CF5">
      <w:pPr>
        <w:spacing w:line="219" w:lineRule="auto"/>
        <w:ind w:left="604"/>
        <w:outlineLvl w:val="1"/>
        <w:rPr>
          <w:rFonts w:ascii="宋体" w:hAnsi="宋体" w:eastAsia="宋体" w:cs="宋体"/>
          <w:sz w:val="24"/>
          <w:szCs w:val="24"/>
        </w:rPr>
      </w:pPr>
      <w:bookmarkStart w:id="41" w:name="bookmark27"/>
      <w:bookmarkEnd w:id="41"/>
      <w:r>
        <w:rPr>
          <w:rFonts w:ascii="宋体" w:hAnsi="宋体" w:eastAsia="宋体" w:cs="宋体"/>
          <w:spacing w:val="7"/>
          <w:sz w:val="24"/>
          <w:szCs w:val="24"/>
        </w:rPr>
        <w:t>10.4产品方案</w:t>
      </w:r>
    </w:p>
    <w:p w14:paraId="239D3C3F">
      <w:pPr>
        <w:spacing w:before="226" w:line="420" w:lineRule="auto"/>
        <w:ind w:left="94" w:right="250" w:firstLine="510"/>
        <w:jc w:val="both"/>
        <w:rPr>
          <w:rFonts w:ascii="宋体" w:hAnsi="宋体" w:eastAsia="宋体" w:cs="宋体"/>
          <w:sz w:val="24"/>
          <w:szCs w:val="24"/>
        </w:rPr>
      </w:pPr>
      <w:r>
        <w:rPr>
          <w:rFonts w:ascii="宋体" w:hAnsi="宋体" w:eastAsia="宋体" w:cs="宋体"/>
          <w:spacing w:val="6"/>
          <w:sz w:val="24"/>
          <w:szCs w:val="24"/>
        </w:rPr>
        <w:t>根据“开发利用方案”(详见附件十：</w:t>
      </w:r>
      <w:r>
        <w:rPr>
          <w:rFonts w:ascii="宋体" w:hAnsi="宋体" w:eastAsia="宋体" w:cs="宋体"/>
          <w:spacing w:val="-20"/>
          <w:sz w:val="24"/>
          <w:szCs w:val="24"/>
        </w:rPr>
        <w:t xml:space="preserve"> </w:t>
      </w:r>
      <w:r>
        <w:rPr>
          <w:rFonts w:ascii="Times New Roman" w:hAnsi="Times New Roman" w:eastAsia="Times New Roman" w:cs="Times New Roman"/>
          <w:spacing w:val="6"/>
          <w:sz w:val="24"/>
          <w:szCs w:val="24"/>
        </w:rPr>
        <w:t>P38),</w:t>
      </w:r>
      <w:r>
        <w:rPr>
          <w:rFonts w:ascii="Times New Roman" w:hAnsi="Times New Roman" w:eastAsia="Times New Roman" w:cs="Times New Roman"/>
          <w:spacing w:val="51"/>
          <w:sz w:val="24"/>
          <w:szCs w:val="24"/>
        </w:rPr>
        <w:t xml:space="preserve"> </w:t>
      </w:r>
      <w:r>
        <w:rPr>
          <w:rFonts w:ascii="宋体" w:hAnsi="宋体" w:eastAsia="宋体" w:cs="宋体"/>
          <w:spacing w:val="6"/>
          <w:sz w:val="24"/>
          <w:szCs w:val="24"/>
        </w:rPr>
        <w:t>锌精矿(含锌品</w:t>
      </w:r>
      <w:r>
        <w:rPr>
          <w:rFonts w:ascii="宋体" w:hAnsi="宋体" w:eastAsia="宋体" w:cs="宋体"/>
          <w:spacing w:val="5"/>
          <w:sz w:val="24"/>
          <w:szCs w:val="24"/>
        </w:rPr>
        <w:t>位48.20%、镉</w:t>
      </w:r>
      <w:r>
        <w:rPr>
          <w:rFonts w:ascii="宋体" w:hAnsi="宋体" w:eastAsia="宋体" w:cs="宋体"/>
          <w:sz w:val="24"/>
          <w:szCs w:val="24"/>
        </w:rPr>
        <w:t xml:space="preserve"> </w:t>
      </w:r>
      <w:r>
        <w:rPr>
          <w:rFonts w:ascii="宋体" w:hAnsi="宋体" w:eastAsia="宋体" w:cs="宋体"/>
          <w:spacing w:val="8"/>
          <w:sz w:val="24"/>
          <w:szCs w:val="24"/>
        </w:rPr>
        <w:t>品位1.70%)、铅精矿(含铅品位55.20%)。本次评估确定产品</w:t>
      </w:r>
      <w:r>
        <w:rPr>
          <w:rFonts w:ascii="宋体" w:hAnsi="宋体" w:eastAsia="宋体" w:cs="宋体"/>
          <w:spacing w:val="7"/>
          <w:sz w:val="24"/>
          <w:szCs w:val="24"/>
        </w:rPr>
        <w:t>方案为锌精矿(含</w:t>
      </w:r>
      <w:r>
        <w:rPr>
          <w:rFonts w:ascii="宋体" w:hAnsi="宋体" w:eastAsia="宋体" w:cs="宋体"/>
          <w:sz w:val="24"/>
          <w:szCs w:val="24"/>
        </w:rPr>
        <w:t xml:space="preserve"> </w:t>
      </w:r>
      <w:r>
        <w:rPr>
          <w:rFonts w:ascii="宋体" w:hAnsi="宋体" w:eastAsia="宋体" w:cs="宋体"/>
          <w:spacing w:val="8"/>
          <w:sz w:val="24"/>
          <w:szCs w:val="24"/>
        </w:rPr>
        <w:t>锌品位48.20%、镉品位1.70%)、铅精矿(含铅品位55</w:t>
      </w:r>
      <w:r>
        <w:rPr>
          <w:rFonts w:ascii="宋体" w:hAnsi="宋体" w:eastAsia="宋体" w:cs="宋体"/>
          <w:spacing w:val="7"/>
          <w:sz w:val="24"/>
          <w:szCs w:val="24"/>
        </w:rPr>
        <w:t>.20%)。</w:t>
      </w:r>
    </w:p>
    <w:p w14:paraId="00D755ED">
      <w:pPr>
        <w:spacing w:before="1" w:line="218" w:lineRule="auto"/>
        <w:ind w:left="604"/>
        <w:outlineLvl w:val="1"/>
        <w:rPr>
          <w:rFonts w:ascii="宋体" w:hAnsi="宋体" w:eastAsia="宋体" w:cs="宋体"/>
          <w:sz w:val="24"/>
          <w:szCs w:val="24"/>
        </w:rPr>
      </w:pPr>
      <w:bookmarkStart w:id="42" w:name="bookmark28"/>
      <w:bookmarkEnd w:id="42"/>
      <w:r>
        <w:rPr>
          <w:rFonts w:ascii="宋体" w:hAnsi="宋体" w:eastAsia="宋体" w:cs="宋体"/>
          <w:spacing w:val="5"/>
          <w:sz w:val="24"/>
          <w:szCs w:val="24"/>
        </w:rPr>
        <w:t>10.5采矿主要技术参数</w:t>
      </w:r>
    </w:p>
    <w:p w14:paraId="66EBD3A1">
      <w:pPr>
        <w:spacing w:before="228" w:line="221" w:lineRule="auto"/>
        <w:ind w:left="604"/>
        <w:rPr>
          <w:rFonts w:ascii="宋体" w:hAnsi="宋体" w:eastAsia="宋体" w:cs="宋体"/>
          <w:sz w:val="24"/>
          <w:szCs w:val="24"/>
        </w:rPr>
      </w:pPr>
      <w:r>
        <w:rPr>
          <w:rFonts w:ascii="宋体" w:hAnsi="宋体" w:eastAsia="宋体" w:cs="宋体"/>
          <w:spacing w:val="6"/>
          <w:sz w:val="24"/>
          <w:szCs w:val="24"/>
        </w:rPr>
        <w:t>10.5.1设计损失量</w:t>
      </w:r>
    </w:p>
    <w:p w14:paraId="70214BEC">
      <w:pPr>
        <w:spacing w:before="193" w:line="391" w:lineRule="auto"/>
        <w:ind w:left="94" w:right="164" w:firstLine="510"/>
        <w:rPr>
          <w:rFonts w:ascii="宋体" w:hAnsi="宋体" w:eastAsia="宋体" w:cs="宋体"/>
          <w:sz w:val="24"/>
          <w:szCs w:val="24"/>
        </w:rPr>
      </w:pPr>
      <w:r>
        <w:rPr>
          <w:rFonts w:ascii="宋体" w:hAnsi="宋体" w:eastAsia="宋体" w:cs="宋体"/>
          <w:spacing w:val="4"/>
          <w:sz w:val="24"/>
          <w:szCs w:val="24"/>
        </w:rPr>
        <w:t>根据“开发利用方案修编”(详见附件十一：</w:t>
      </w:r>
      <w:r>
        <w:rPr>
          <w:rFonts w:ascii="Times New Roman" w:hAnsi="Times New Roman" w:eastAsia="Times New Roman" w:cs="Times New Roman"/>
          <w:spacing w:val="4"/>
          <w:sz w:val="24"/>
          <w:szCs w:val="24"/>
        </w:rPr>
        <w:t xml:space="preserve">P9),  </w:t>
      </w:r>
      <w:r>
        <w:rPr>
          <w:rFonts w:ascii="宋体" w:hAnsi="宋体" w:eastAsia="宋体" w:cs="宋体"/>
          <w:spacing w:val="4"/>
          <w:sz w:val="24"/>
          <w:szCs w:val="24"/>
        </w:rPr>
        <w:t>锌设计损失量8.61万吨，</w:t>
      </w:r>
      <w:r>
        <w:rPr>
          <w:rFonts w:ascii="宋体" w:hAnsi="宋体" w:eastAsia="宋体" w:cs="宋体"/>
          <w:sz w:val="24"/>
          <w:szCs w:val="24"/>
        </w:rPr>
        <w:t xml:space="preserve"> </w:t>
      </w:r>
      <w:r>
        <w:rPr>
          <w:rFonts w:ascii="宋体" w:hAnsi="宋体" w:eastAsia="宋体" w:cs="宋体"/>
          <w:spacing w:val="9"/>
          <w:sz w:val="24"/>
          <w:szCs w:val="24"/>
        </w:rPr>
        <w:t>锌金属量2677.00吨；伴生铅设计损失量7.09万吨，铅金属量12</w:t>
      </w:r>
      <w:r>
        <w:rPr>
          <w:rFonts w:ascii="宋体" w:hAnsi="宋体" w:eastAsia="宋体" w:cs="宋体"/>
          <w:spacing w:val="8"/>
          <w:sz w:val="24"/>
          <w:szCs w:val="24"/>
        </w:rPr>
        <w:t>9.00吨；伴生</w:t>
      </w:r>
      <w:r>
        <w:rPr>
          <w:rFonts w:ascii="宋体" w:hAnsi="宋体" w:eastAsia="宋体" w:cs="宋体"/>
          <w:sz w:val="24"/>
          <w:szCs w:val="24"/>
        </w:rPr>
        <w:t xml:space="preserve"> </w:t>
      </w:r>
      <w:r>
        <w:rPr>
          <w:rFonts w:ascii="宋体" w:hAnsi="宋体" w:eastAsia="宋体" w:cs="宋体"/>
          <w:spacing w:val="8"/>
          <w:sz w:val="24"/>
          <w:szCs w:val="24"/>
        </w:rPr>
        <w:t>镉设计损失量8.61万吨，伴生镉矿属量128.00吨。</w:t>
      </w:r>
    </w:p>
    <w:p w14:paraId="7404685A">
      <w:pPr>
        <w:spacing w:line="380" w:lineRule="auto"/>
        <w:ind w:left="94" w:right="252" w:firstLine="510"/>
        <w:jc w:val="both"/>
        <w:rPr>
          <w:rFonts w:ascii="宋体" w:hAnsi="宋体" w:eastAsia="宋体" w:cs="宋体"/>
          <w:sz w:val="25"/>
          <w:szCs w:val="25"/>
        </w:rPr>
      </w:pPr>
      <w:r>
        <w:rPr>
          <w:rFonts w:ascii="宋体" w:hAnsi="宋体" w:eastAsia="宋体" w:cs="宋体"/>
          <w:spacing w:val="-4"/>
          <w:sz w:val="24"/>
          <w:szCs w:val="24"/>
        </w:rPr>
        <w:t>根据《中国矿业权评估准则》,计算评估利用的资源储量时采用可</w:t>
      </w:r>
      <w:r>
        <w:rPr>
          <w:rFonts w:ascii="宋体" w:hAnsi="宋体" w:eastAsia="宋体" w:cs="宋体"/>
          <w:spacing w:val="-5"/>
          <w:sz w:val="24"/>
          <w:szCs w:val="24"/>
        </w:rPr>
        <w:t>信度系数对</w:t>
      </w:r>
      <w:r>
        <w:rPr>
          <w:rFonts w:ascii="宋体" w:hAnsi="宋体" w:eastAsia="宋体" w:cs="宋体"/>
          <w:sz w:val="24"/>
          <w:szCs w:val="24"/>
        </w:rPr>
        <w:t xml:space="preserve"> </w:t>
      </w:r>
      <w:r>
        <w:rPr>
          <w:rFonts w:ascii="宋体" w:hAnsi="宋体" w:eastAsia="宋体" w:cs="宋体"/>
          <w:spacing w:val="-1"/>
          <w:sz w:val="24"/>
          <w:szCs w:val="24"/>
        </w:rPr>
        <w:t>资源量进行折算的，计算设计损失量时应对该资源量所涉及的设计损失按同口径</w:t>
      </w:r>
      <w:r>
        <w:rPr>
          <w:rFonts w:ascii="宋体" w:hAnsi="宋体" w:eastAsia="宋体" w:cs="宋体"/>
          <w:spacing w:val="14"/>
          <w:sz w:val="24"/>
          <w:szCs w:val="24"/>
        </w:rPr>
        <w:t xml:space="preserve"> </w:t>
      </w:r>
      <w:r>
        <w:rPr>
          <w:rFonts w:ascii="宋体" w:hAnsi="宋体" w:eastAsia="宋体" w:cs="宋体"/>
          <w:sz w:val="24"/>
          <w:szCs w:val="24"/>
        </w:rPr>
        <w:t>采用可信度系数进行折算，上述设计损失量进行可信度系数折算后为锌设计损失</w:t>
      </w:r>
      <w:r>
        <w:rPr>
          <w:rFonts w:ascii="宋体" w:hAnsi="宋体" w:eastAsia="宋体" w:cs="宋体"/>
          <w:spacing w:val="11"/>
          <w:sz w:val="24"/>
          <w:szCs w:val="24"/>
        </w:rPr>
        <w:t xml:space="preserve"> </w:t>
      </w:r>
      <w:r>
        <w:rPr>
          <w:rFonts w:ascii="宋体" w:hAnsi="宋体" w:eastAsia="宋体" w:cs="宋体"/>
          <w:spacing w:val="-7"/>
          <w:sz w:val="25"/>
          <w:szCs w:val="25"/>
        </w:rPr>
        <w:t>量5.31万吨，锌金属量1731.00吨；</w:t>
      </w:r>
      <w:r>
        <w:rPr>
          <w:rFonts w:ascii="宋体" w:hAnsi="宋体" w:eastAsia="宋体" w:cs="宋体"/>
          <w:spacing w:val="-8"/>
          <w:sz w:val="25"/>
          <w:szCs w:val="25"/>
        </w:rPr>
        <w:t>伴生铅设计损失量2.69万吨，铅金属量82.20</w:t>
      </w:r>
      <w:r>
        <w:rPr>
          <w:rFonts w:ascii="宋体" w:hAnsi="宋体" w:eastAsia="宋体" w:cs="宋体"/>
          <w:sz w:val="25"/>
          <w:szCs w:val="25"/>
        </w:rPr>
        <w:t xml:space="preserve"> </w:t>
      </w:r>
      <w:r>
        <w:rPr>
          <w:rFonts w:ascii="宋体" w:hAnsi="宋体" w:eastAsia="宋体" w:cs="宋体"/>
          <w:spacing w:val="-1"/>
          <w:sz w:val="25"/>
          <w:szCs w:val="25"/>
        </w:rPr>
        <w:t>吨；伴生镉设计损失量5.31万吨，伴生镉矿属量78.40吨。详见下表10-6。</w:t>
      </w:r>
    </w:p>
    <w:p w14:paraId="46191E0E">
      <w:pPr>
        <w:spacing w:before="34" w:line="221" w:lineRule="auto"/>
        <w:ind w:left="3594"/>
        <w:rPr>
          <w:rFonts w:ascii="宋体" w:hAnsi="宋体" w:eastAsia="宋体" w:cs="宋体"/>
          <w:sz w:val="25"/>
          <w:szCs w:val="25"/>
        </w:rPr>
      </w:pPr>
      <w:r>
        <w:rPr>
          <w:rFonts w:ascii="宋体" w:hAnsi="宋体" w:eastAsia="宋体" w:cs="宋体"/>
          <w:spacing w:val="-1"/>
          <w:sz w:val="25"/>
          <w:szCs w:val="25"/>
        </w:rPr>
        <w:t>表10-6设计损失量</w:t>
      </w:r>
    </w:p>
    <w:p w14:paraId="37B89E7D">
      <w:pPr>
        <w:spacing w:line="50" w:lineRule="auto"/>
        <w:rPr>
          <w:rFonts w:ascii="Arial"/>
          <w:sz w:val="2"/>
        </w:rPr>
      </w:pPr>
    </w:p>
    <w:tbl>
      <w:tblPr>
        <w:tblStyle w:val="5"/>
        <w:tblW w:w="8729"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3"/>
        <w:gridCol w:w="1718"/>
        <w:gridCol w:w="1688"/>
        <w:gridCol w:w="1758"/>
        <w:gridCol w:w="2032"/>
      </w:tblGrid>
      <w:tr w14:paraId="29FC2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533" w:type="dxa"/>
            <w:vMerge w:val="restart"/>
            <w:tcBorders>
              <w:bottom w:val="nil"/>
            </w:tcBorders>
            <w:vAlign w:val="top"/>
          </w:tcPr>
          <w:p w14:paraId="3A9A2C55">
            <w:pPr>
              <w:pStyle w:val="6"/>
              <w:spacing w:before="294" w:line="219" w:lineRule="auto"/>
              <w:ind w:left="314"/>
              <w:rPr>
                <w:sz w:val="22"/>
                <w:szCs w:val="22"/>
              </w:rPr>
            </w:pPr>
            <w:r>
              <w:rPr>
                <w:spacing w:val="3"/>
                <w:sz w:val="22"/>
                <w:szCs w:val="22"/>
              </w:rPr>
              <w:t>矿石类型</w:t>
            </w:r>
          </w:p>
        </w:tc>
        <w:tc>
          <w:tcPr>
            <w:tcW w:w="1718" w:type="dxa"/>
            <w:vMerge w:val="restart"/>
            <w:tcBorders>
              <w:bottom w:val="nil"/>
            </w:tcBorders>
            <w:vAlign w:val="top"/>
          </w:tcPr>
          <w:p w14:paraId="238F26D6">
            <w:pPr>
              <w:pStyle w:val="6"/>
              <w:spacing w:before="173" w:line="251" w:lineRule="auto"/>
              <w:ind w:left="741" w:right="69" w:hanging="659"/>
              <w:rPr>
                <w:sz w:val="22"/>
                <w:szCs w:val="22"/>
              </w:rPr>
            </w:pPr>
            <w:r>
              <w:rPr>
                <w:spacing w:val="2"/>
                <w:sz w:val="22"/>
                <w:szCs w:val="22"/>
              </w:rPr>
              <w:t>资源储量分类编</w:t>
            </w:r>
            <w:r>
              <w:rPr>
                <w:spacing w:val="1"/>
                <w:sz w:val="22"/>
                <w:szCs w:val="22"/>
              </w:rPr>
              <w:t xml:space="preserve"> </w:t>
            </w:r>
            <w:r>
              <w:rPr>
                <w:sz w:val="22"/>
                <w:szCs w:val="22"/>
              </w:rPr>
              <w:t>码</w:t>
            </w:r>
          </w:p>
        </w:tc>
        <w:tc>
          <w:tcPr>
            <w:tcW w:w="5478" w:type="dxa"/>
            <w:gridSpan w:val="3"/>
            <w:vAlign w:val="top"/>
          </w:tcPr>
          <w:p w14:paraId="5F59CB56">
            <w:pPr>
              <w:pStyle w:val="6"/>
              <w:spacing w:before="95" w:line="221" w:lineRule="auto"/>
              <w:ind w:left="2014"/>
              <w:rPr>
                <w:sz w:val="22"/>
                <w:szCs w:val="22"/>
              </w:rPr>
            </w:pPr>
            <w:r>
              <w:rPr>
                <w:spacing w:val="1"/>
                <w:sz w:val="22"/>
                <w:szCs w:val="22"/>
              </w:rPr>
              <w:t>设计损失资源量</w:t>
            </w:r>
          </w:p>
        </w:tc>
      </w:tr>
      <w:tr w14:paraId="49D78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33" w:type="dxa"/>
            <w:vMerge w:val="continue"/>
            <w:tcBorders>
              <w:top w:val="nil"/>
            </w:tcBorders>
            <w:vAlign w:val="top"/>
          </w:tcPr>
          <w:p w14:paraId="6E6C0EC5">
            <w:pPr>
              <w:rPr>
                <w:rFonts w:ascii="Arial"/>
                <w:sz w:val="21"/>
              </w:rPr>
            </w:pPr>
          </w:p>
        </w:tc>
        <w:tc>
          <w:tcPr>
            <w:tcW w:w="1718" w:type="dxa"/>
            <w:vMerge w:val="continue"/>
            <w:tcBorders>
              <w:top w:val="nil"/>
            </w:tcBorders>
            <w:vAlign w:val="top"/>
          </w:tcPr>
          <w:p w14:paraId="2CFD43A9">
            <w:pPr>
              <w:rPr>
                <w:rFonts w:ascii="Arial"/>
                <w:sz w:val="21"/>
              </w:rPr>
            </w:pPr>
          </w:p>
        </w:tc>
        <w:tc>
          <w:tcPr>
            <w:tcW w:w="1688" w:type="dxa"/>
            <w:vAlign w:val="top"/>
          </w:tcPr>
          <w:p w14:paraId="1CCBA4C7">
            <w:pPr>
              <w:pStyle w:val="6"/>
              <w:spacing w:before="90" w:line="219" w:lineRule="auto"/>
              <w:ind w:left="174"/>
              <w:rPr>
                <w:sz w:val="22"/>
                <w:szCs w:val="22"/>
              </w:rPr>
            </w:pPr>
            <w:r>
              <w:rPr>
                <w:spacing w:val="6"/>
                <w:sz w:val="22"/>
                <w:szCs w:val="22"/>
              </w:rPr>
              <w:t>矿石量(万吨)</w:t>
            </w:r>
          </w:p>
        </w:tc>
        <w:tc>
          <w:tcPr>
            <w:tcW w:w="1758" w:type="dxa"/>
            <w:vAlign w:val="top"/>
          </w:tcPr>
          <w:p w14:paraId="7F71205F">
            <w:pPr>
              <w:pStyle w:val="6"/>
              <w:spacing w:before="90" w:line="220" w:lineRule="auto"/>
              <w:ind w:left="266"/>
              <w:rPr>
                <w:sz w:val="22"/>
                <w:szCs w:val="22"/>
              </w:rPr>
            </w:pPr>
            <w:r>
              <w:rPr>
                <w:spacing w:val="6"/>
                <w:sz w:val="22"/>
                <w:szCs w:val="22"/>
              </w:rPr>
              <w:t>平均品位(%)</w:t>
            </w:r>
          </w:p>
        </w:tc>
        <w:tc>
          <w:tcPr>
            <w:tcW w:w="2032" w:type="dxa"/>
            <w:vAlign w:val="top"/>
          </w:tcPr>
          <w:p w14:paraId="3D5C6BCC">
            <w:pPr>
              <w:pStyle w:val="6"/>
              <w:spacing w:before="91" w:line="221" w:lineRule="auto"/>
              <w:ind w:left="457"/>
              <w:rPr>
                <w:sz w:val="22"/>
                <w:szCs w:val="22"/>
              </w:rPr>
            </w:pPr>
            <w:r>
              <w:rPr>
                <w:spacing w:val="8"/>
                <w:sz w:val="22"/>
                <w:szCs w:val="22"/>
              </w:rPr>
              <w:t>金属量(吨)</w:t>
            </w:r>
          </w:p>
        </w:tc>
      </w:tr>
      <w:tr w14:paraId="7A566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33" w:type="dxa"/>
            <w:vMerge w:val="restart"/>
            <w:tcBorders>
              <w:bottom w:val="nil"/>
            </w:tcBorders>
            <w:vAlign w:val="top"/>
          </w:tcPr>
          <w:p w14:paraId="414BDA9C">
            <w:pPr>
              <w:spacing w:line="318" w:lineRule="auto"/>
              <w:rPr>
                <w:rFonts w:ascii="Arial"/>
                <w:sz w:val="21"/>
              </w:rPr>
            </w:pPr>
          </w:p>
          <w:p w14:paraId="186423EB">
            <w:pPr>
              <w:spacing w:line="319" w:lineRule="auto"/>
              <w:rPr>
                <w:rFonts w:ascii="Arial"/>
                <w:sz w:val="21"/>
              </w:rPr>
            </w:pPr>
          </w:p>
          <w:p w14:paraId="0625B02C">
            <w:pPr>
              <w:pStyle w:val="6"/>
              <w:spacing w:before="71" w:line="220" w:lineRule="auto"/>
              <w:ind w:left="425"/>
              <w:rPr>
                <w:sz w:val="22"/>
                <w:szCs w:val="22"/>
              </w:rPr>
            </w:pPr>
            <w:r>
              <w:rPr>
                <w:spacing w:val="16"/>
                <w:sz w:val="22"/>
                <w:szCs w:val="22"/>
              </w:rPr>
              <w:t>锌(</w:t>
            </w:r>
            <w:r>
              <w:rPr>
                <w:sz w:val="22"/>
                <w:szCs w:val="22"/>
              </w:rPr>
              <w:t>Zn</w:t>
            </w:r>
            <w:r>
              <w:rPr>
                <w:spacing w:val="16"/>
                <w:sz w:val="22"/>
                <w:szCs w:val="22"/>
              </w:rPr>
              <w:t>)</w:t>
            </w:r>
          </w:p>
        </w:tc>
        <w:tc>
          <w:tcPr>
            <w:tcW w:w="1718" w:type="dxa"/>
            <w:vAlign w:val="top"/>
          </w:tcPr>
          <w:p w14:paraId="660F0417">
            <w:pPr>
              <w:pStyle w:val="6"/>
              <w:spacing w:before="150" w:line="182" w:lineRule="auto"/>
              <w:ind w:left="742"/>
              <w:rPr>
                <w:sz w:val="22"/>
                <w:szCs w:val="22"/>
              </w:rPr>
            </w:pPr>
            <w:r>
              <w:rPr>
                <w:spacing w:val="-2"/>
                <w:sz w:val="22"/>
                <w:szCs w:val="22"/>
              </w:rPr>
              <w:t>TM</w:t>
            </w:r>
          </w:p>
        </w:tc>
        <w:tc>
          <w:tcPr>
            <w:tcW w:w="1688" w:type="dxa"/>
            <w:vAlign w:val="top"/>
          </w:tcPr>
          <w:p w14:paraId="3A82F078">
            <w:pPr>
              <w:rPr>
                <w:rFonts w:ascii="Arial"/>
                <w:sz w:val="21"/>
              </w:rPr>
            </w:pPr>
          </w:p>
        </w:tc>
        <w:tc>
          <w:tcPr>
            <w:tcW w:w="1758" w:type="dxa"/>
            <w:vAlign w:val="top"/>
          </w:tcPr>
          <w:p w14:paraId="4F3510DA">
            <w:pPr>
              <w:rPr>
                <w:rFonts w:ascii="Arial"/>
                <w:sz w:val="21"/>
              </w:rPr>
            </w:pPr>
          </w:p>
        </w:tc>
        <w:tc>
          <w:tcPr>
            <w:tcW w:w="2032" w:type="dxa"/>
            <w:vAlign w:val="top"/>
          </w:tcPr>
          <w:p w14:paraId="67218EAF">
            <w:pPr>
              <w:rPr>
                <w:rFonts w:ascii="Arial"/>
                <w:sz w:val="21"/>
              </w:rPr>
            </w:pPr>
          </w:p>
        </w:tc>
      </w:tr>
      <w:tr w14:paraId="4FBE7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533" w:type="dxa"/>
            <w:vMerge w:val="continue"/>
            <w:tcBorders>
              <w:top w:val="nil"/>
              <w:bottom w:val="nil"/>
            </w:tcBorders>
            <w:vAlign w:val="top"/>
          </w:tcPr>
          <w:p w14:paraId="2EF5746F">
            <w:pPr>
              <w:rPr>
                <w:rFonts w:ascii="Arial"/>
                <w:sz w:val="21"/>
              </w:rPr>
            </w:pPr>
          </w:p>
        </w:tc>
        <w:tc>
          <w:tcPr>
            <w:tcW w:w="1718" w:type="dxa"/>
            <w:vAlign w:val="top"/>
          </w:tcPr>
          <w:p w14:paraId="7407F304">
            <w:pPr>
              <w:pStyle w:val="6"/>
              <w:spacing w:before="162" w:line="182" w:lineRule="auto"/>
              <w:ind w:left="742"/>
              <w:rPr>
                <w:sz w:val="22"/>
                <w:szCs w:val="22"/>
              </w:rPr>
            </w:pPr>
            <w:r>
              <w:rPr>
                <w:spacing w:val="-2"/>
                <w:sz w:val="22"/>
                <w:szCs w:val="22"/>
              </w:rPr>
              <w:t>KZ</w:t>
            </w:r>
          </w:p>
        </w:tc>
        <w:tc>
          <w:tcPr>
            <w:tcW w:w="1688" w:type="dxa"/>
            <w:vAlign w:val="top"/>
          </w:tcPr>
          <w:p w14:paraId="2FC158D0">
            <w:pPr>
              <w:pStyle w:val="6"/>
              <w:spacing w:before="126" w:line="228" w:lineRule="auto"/>
              <w:ind w:left="613"/>
              <w:rPr>
                <w:sz w:val="22"/>
                <w:szCs w:val="22"/>
              </w:rPr>
            </w:pPr>
            <w:r>
              <w:rPr>
                <w:spacing w:val="-2"/>
                <w:sz w:val="22"/>
                <w:szCs w:val="22"/>
              </w:rPr>
              <w:t>0.36</w:t>
            </w:r>
          </w:p>
        </w:tc>
        <w:tc>
          <w:tcPr>
            <w:tcW w:w="1758" w:type="dxa"/>
            <w:vAlign w:val="top"/>
          </w:tcPr>
          <w:p w14:paraId="65F78CD8">
            <w:pPr>
              <w:pStyle w:val="6"/>
              <w:spacing w:before="126" w:line="228" w:lineRule="auto"/>
              <w:ind w:left="596"/>
              <w:rPr>
                <w:sz w:val="22"/>
                <w:szCs w:val="22"/>
              </w:rPr>
            </w:pPr>
            <w:r>
              <w:rPr>
                <w:spacing w:val="-2"/>
                <w:sz w:val="22"/>
                <w:szCs w:val="22"/>
              </w:rPr>
              <w:t>8.67%</w:t>
            </w:r>
          </w:p>
        </w:tc>
        <w:tc>
          <w:tcPr>
            <w:tcW w:w="2032" w:type="dxa"/>
            <w:vAlign w:val="top"/>
          </w:tcPr>
          <w:p w14:paraId="1783F356">
            <w:pPr>
              <w:pStyle w:val="6"/>
              <w:spacing w:before="126" w:line="228" w:lineRule="auto"/>
              <w:ind w:left="847"/>
              <w:rPr>
                <w:sz w:val="22"/>
                <w:szCs w:val="22"/>
              </w:rPr>
            </w:pPr>
            <w:r>
              <w:rPr>
                <w:spacing w:val="-3"/>
                <w:sz w:val="22"/>
                <w:szCs w:val="22"/>
              </w:rPr>
              <w:t>312</w:t>
            </w:r>
          </w:p>
        </w:tc>
      </w:tr>
      <w:tr w14:paraId="226C8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533" w:type="dxa"/>
            <w:vMerge w:val="continue"/>
            <w:tcBorders>
              <w:top w:val="nil"/>
              <w:bottom w:val="nil"/>
            </w:tcBorders>
            <w:vAlign w:val="top"/>
          </w:tcPr>
          <w:p w14:paraId="6CFD083B">
            <w:pPr>
              <w:rPr>
                <w:rFonts w:ascii="Arial"/>
                <w:sz w:val="21"/>
              </w:rPr>
            </w:pPr>
          </w:p>
        </w:tc>
        <w:tc>
          <w:tcPr>
            <w:tcW w:w="1718" w:type="dxa"/>
            <w:vAlign w:val="top"/>
          </w:tcPr>
          <w:p w14:paraId="60202751">
            <w:pPr>
              <w:pStyle w:val="6"/>
              <w:spacing w:before="154" w:line="182" w:lineRule="auto"/>
              <w:ind w:left="742"/>
              <w:rPr>
                <w:sz w:val="22"/>
                <w:szCs w:val="22"/>
              </w:rPr>
            </w:pPr>
            <w:r>
              <w:rPr>
                <w:spacing w:val="-2"/>
                <w:sz w:val="22"/>
                <w:szCs w:val="22"/>
              </w:rPr>
              <w:t>TD</w:t>
            </w:r>
          </w:p>
        </w:tc>
        <w:tc>
          <w:tcPr>
            <w:tcW w:w="1688" w:type="dxa"/>
            <w:vAlign w:val="top"/>
          </w:tcPr>
          <w:p w14:paraId="02C84191">
            <w:pPr>
              <w:pStyle w:val="6"/>
              <w:spacing w:before="118" w:line="219" w:lineRule="auto"/>
              <w:ind w:left="613"/>
              <w:rPr>
                <w:sz w:val="22"/>
                <w:szCs w:val="22"/>
              </w:rPr>
            </w:pPr>
            <w:r>
              <w:rPr>
                <w:spacing w:val="-2"/>
                <w:sz w:val="22"/>
                <w:szCs w:val="22"/>
              </w:rPr>
              <w:t>4.95</w:t>
            </w:r>
          </w:p>
        </w:tc>
        <w:tc>
          <w:tcPr>
            <w:tcW w:w="1758" w:type="dxa"/>
            <w:vAlign w:val="top"/>
          </w:tcPr>
          <w:p w14:paraId="21F8E451">
            <w:pPr>
              <w:pStyle w:val="6"/>
              <w:spacing w:before="118" w:line="219" w:lineRule="auto"/>
              <w:ind w:left="596"/>
              <w:rPr>
                <w:sz w:val="22"/>
                <w:szCs w:val="22"/>
              </w:rPr>
            </w:pPr>
            <w:r>
              <w:rPr>
                <w:spacing w:val="-2"/>
                <w:sz w:val="22"/>
                <w:szCs w:val="22"/>
              </w:rPr>
              <w:t>2.87%</w:t>
            </w:r>
          </w:p>
        </w:tc>
        <w:tc>
          <w:tcPr>
            <w:tcW w:w="2032" w:type="dxa"/>
            <w:vAlign w:val="top"/>
          </w:tcPr>
          <w:p w14:paraId="3D145D9E">
            <w:pPr>
              <w:pStyle w:val="6"/>
              <w:spacing w:before="118" w:line="219" w:lineRule="auto"/>
              <w:ind w:left="787"/>
              <w:rPr>
                <w:sz w:val="22"/>
                <w:szCs w:val="22"/>
              </w:rPr>
            </w:pPr>
            <w:r>
              <w:rPr>
                <w:spacing w:val="-5"/>
                <w:sz w:val="22"/>
                <w:szCs w:val="22"/>
              </w:rPr>
              <w:t>1419</w:t>
            </w:r>
          </w:p>
        </w:tc>
      </w:tr>
      <w:tr w14:paraId="64BC6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533" w:type="dxa"/>
            <w:vMerge w:val="continue"/>
            <w:tcBorders>
              <w:top w:val="nil"/>
            </w:tcBorders>
            <w:vAlign w:val="top"/>
          </w:tcPr>
          <w:p w14:paraId="4126FCB6">
            <w:pPr>
              <w:rPr>
                <w:rFonts w:ascii="Arial"/>
                <w:sz w:val="21"/>
              </w:rPr>
            </w:pPr>
          </w:p>
        </w:tc>
        <w:tc>
          <w:tcPr>
            <w:tcW w:w="1718" w:type="dxa"/>
            <w:vAlign w:val="top"/>
          </w:tcPr>
          <w:p w14:paraId="34680DE7">
            <w:pPr>
              <w:pStyle w:val="6"/>
              <w:spacing w:before="98" w:line="221" w:lineRule="auto"/>
              <w:ind w:left="631"/>
              <w:rPr>
                <w:sz w:val="22"/>
                <w:szCs w:val="22"/>
              </w:rPr>
            </w:pPr>
            <w:r>
              <w:rPr>
                <w:spacing w:val="4"/>
                <w:sz w:val="22"/>
                <w:szCs w:val="22"/>
              </w:rPr>
              <w:t>小计</w:t>
            </w:r>
          </w:p>
        </w:tc>
        <w:tc>
          <w:tcPr>
            <w:tcW w:w="1688" w:type="dxa"/>
            <w:vAlign w:val="top"/>
          </w:tcPr>
          <w:p w14:paraId="26292DA9">
            <w:pPr>
              <w:pStyle w:val="6"/>
              <w:spacing w:before="118" w:line="230" w:lineRule="auto"/>
              <w:ind w:left="613"/>
              <w:rPr>
                <w:sz w:val="22"/>
                <w:szCs w:val="22"/>
              </w:rPr>
            </w:pPr>
            <w:r>
              <w:rPr>
                <w:spacing w:val="-3"/>
                <w:sz w:val="22"/>
                <w:szCs w:val="22"/>
              </w:rPr>
              <w:t>5.31</w:t>
            </w:r>
          </w:p>
        </w:tc>
        <w:tc>
          <w:tcPr>
            <w:tcW w:w="1758" w:type="dxa"/>
            <w:vAlign w:val="top"/>
          </w:tcPr>
          <w:p w14:paraId="33E202F4">
            <w:pPr>
              <w:pStyle w:val="6"/>
              <w:spacing w:before="118" w:line="230" w:lineRule="auto"/>
              <w:ind w:left="596"/>
              <w:rPr>
                <w:sz w:val="22"/>
                <w:szCs w:val="22"/>
              </w:rPr>
            </w:pPr>
            <w:r>
              <w:rPr>
                <w:spacing w:val="-2"/>
                <w:sz w:val="22"/>
                <w:szCs w:val="22"/>
              </w:rPr>
              <w:t>3.26%</w:t>
            </w:r>
          </w:p>
        </w:tc>
        <w:tc>
          <w:tcPr>
            <w:tcW w:w="2032" w:type="dxa"/>
            <w:vAlign w:val="top"/>
          </w:tcPr>
          <w:p w14:paraId="5F5C106E">
            <w:pPr>
              <w:pStyle w:val="6"/>
              <w:spacing w:before="118" w:line="230" w:lineRule="auto"/>
              <w:ind w:left="628"/>
              <w:rPr>
                <w:sz w:val="22"/>
                <w:szCs w:val="22"/>
              </w:rPr>
            </w:pPr>
            <w:r>
              <w:rPr>
                <w:spacing w:val="-4"/>
                <w:sz w:val="22"/>
                <w:szCs w:val="22"/>
              </w:rPr>
              <w:t>1731.00</w:t>
            </w:r>
          </w:p>
        </w:tc>
      </w:tr>
    </w:tbl>
    <w:p w14:paraId="3E93ED16">
      <w:pPr>
        <w:pStyle w:val="2"/>
        <w:spacing w:line="135" w:lineRule="exact"/>
        <w:rPr>
          <w:sz w:val="11"/>
        </w:rPr>
      </w:pPr>
    </w:p>
    <w:p w14:paraId="308EDF76">
      <w:pPr>
        <w:spacing w:line="135" w:lineRule="exact"/>
        <w:rPr>
          <w:sz w:val="11"/>
          <w:szCs w:val="11"/>
        </w:rPr>
        <w:sectPr>
          <w:headerReference r:id="rId80" w:type="default"/>
          <w:footerReference r:id="rId81" w:type="default"/>
          <w:pgSz w:w="11900" w:h="16830"/>
          <w:pgMar w:top="1186" w:right="1355" w:bottom="1269" w:left="1785" w:header="910" w:footer="925" w:gutter="0"/>
          <w:cols w:space="720" w:num="1"/>
        </w:sectPr>
      </w:pPr>
    </w:p>
    <w:p w14:paraId="1DA1F725">
      <w:pPr>
        <w:spacing w:line="198" w:lineRule="exact"/>
      </w:pPr>
    </w:p>
    <w:tbl>
      <w:tblPr>
        <w:tblStyle w:val="5"/>
        <w:tblW w:w="8679"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1698"/>
        <w:gridCol w:w="1688"/>
        <w:gridCol w:w="1758"/>
        <w:gridCol w:w="2022"/>
      </w:tblGrid>
      <w:tr w14:paraId="1B7C5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513" w:type="dxa"/>
            <w:vMerge w:val="restart"/>
            <w:tcBorders>
              <w:bottom w:val="nil"/>
            </w:tcBorders>
            <w:vAlign w:val="top"/>
          </w:tcPr>
          <w:p w14:paraId="14A1E300">
            <w:pPr>
              <w:pStyle w:val="6"/>
              <w:spacing w:before="294" w:line="219" w:lineRule="auto"/>
              <w:ind w:left="304"/>
              <w:rPr>
                <w:sz w:val="22"/>
                <w:szCs w:val="22"/>
              </w:rPr>
            </w:pPr>
            <w:r>
              <w:rPr>
                <w:spacing w:val="3"/>
                <w:sz w:val="22"/>
                <w:szCs w:val="22"/>
              </w:rPr>
              <w:t>矿石类型</w:t>
            </w:r>
          </w:p>
        </w:tc>
        <w:tc>
          <w:tcPr>
            <w:tcW w:w="1698" w:type="dxa"/>
            <w:vMerge w:val="restart"/>
            <w:tcBorders>
              <w:bottom w:val="nil"/>
            </w:tcBorders>
            <w:vAlign w:val="top"/>
          </w:tcPr>
          <w:p w14:paraId="55795887">
            <w:pPr>
              <w:pStyle w:val="6"/>
              <w:spacing w:before="163" w:line="251" w:lineRule="auto"/>
              <w:ind w:left="731" w:right="59" w:hanging="660"/>
              <w:rPr>
                <w:sz w:val="22"/>
                <w:szCs w:val="22"/>
              </w:rPr>
            </w:pPr>
            <w:r>
              <w:rPr>
                <w:spacing w:val="2"/>
                <w:sz w:val="22"/>
                <w:szCs w:val="22"/>
              </w:rPr>
              <w:t>资源储量分类编</w:t>
            </w:r>
            <w:r>
              <w:rPr>
                <w:spacing w:val="1"/>
                <w:sz w:val="22"/>
                <w:szCs w:val="22"/>
              </w:rPr>
              <w:t xml:space="preserve"> </w:t>
            </w:r>
            <w:r>
              <w:rPr>
                <w:sz w:val="22"/>
                <w:szCs w:val="22"/>
              </w:rPr>
              <w:t>码</w:t>
            </w:r>
          </w:p>
        </w:tc>
        <w:tc>
          <w:tcPr>
            <w:tcW w:w="5468" w:type="dxa"/>
            <w:gridSpan w:val="3"/>
            <w:vAlign w:val="top"/>
          </w:tcPr>
          <w:p w14:paraId="24D8ABC4">
            <w:pPr>
              <w:pStyle w:val="6"/>
              <w:spacing w:before="95" w:line="221" w:lineRule="auto"/>
              <w:ind w:left="2014"/>
              <w:rPr>
                <w:sz w:val="22"/>
                <w:szCs w:val="22"/>
              </w:rPr>
            </w:pPr>
            <w:r>
              <w:rPr>
                <w:spacing w:val="1"/>
                <w:sz w:val="22"/>
                <w:szCs w:val="22"/>
              </w:rPr>
              <w:t>设计损失资源量</w:t>
            </w:r>
          </w:p>
        </w:tc>
      </w:tr>
      <w:tr w14:paraId="2E947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513" w:type="dxa"/>
            <w:vMerge w:val="continue"/>
            <w:tcBorders>
              <w:top w:val="nil"/>
            </w:tcBorders>
            <w:vAlign w:val="top"/>
          </w:tcPr>
          <w:p w14:paraId="2CB34E2D">
            <w:pPr>
              <w:rPr>
                <w:rFonts w:ascii="Arial"/>
                <w:sz w:val="21"/>
              </w:rPr>
            </w:pPr>
          </w:p>
        </w:tc>
        <w:tc>
          <w:tcPr>
            <w:tcW w:w="1698" w:type="dxa"/>
            <w:vMerge w:val="continue"/>
            <w:tcBorders>
              <w:top w:val="nil"/>
            </w:tcBorders>
            <w:vAlign w:val="top"/>
          </w:tcPr>
          <w:p w14:paraId="54A41265">
            <w:pPr>
              <w:rPr>
                <w:rFonts w:ascii="Arial"/>
                <w:sz w:val="21"/>
              </w:rPr>
            </w:pPr>
          </w:p>
        </w:tc>
        <w:tc>
          <w:tcPr>
            <w:tcW w:w="1688" w:type="dxa"/>
            <w:vAlign w:val="top"/>
          </w:tcPr>
          <w:p w14:paraId="41F23D46">
            <w:pPr>
              <w:pStyle w:val="6"/>
              <w:spacing w:before="90" w:line="219" w:lineRule="auto"/>
              <w:ind w:left="173"/>
              <w:rPr>
                <w:sz w:val="22"/>
                <w:szCs w:val="22"/>
              </w:rPr>
            </w:pPr>
            <w:r>
              <w:rPr>
                <w:spacing w:val="6"/>
                <w:sz w:val="22"/>
                <w:szCs w:val="22"/>
              </w:rPr>
              <w:t>矿石量(万吨)</w:t>
            </w:r>
          </w:p>
        </w:tc>
        <w:tc>
          <w:tcPr>
            <w:tcW w:w="1758" w:type="dxa"/>
            <w:vAlign w:val="top"/>
          </w:tcPr>
          <w:p w14:paraId="0266A8AF">
            <w:pPr>
              <w:pStyle w:val="6"/>
              <w:spacing w:before="90" w:line="220" w:lineRule="auto"/>
              <w:ind w:left="265"/>
              <w:rPr>
                <w:sz w:val="22"/>
                <w:szCs w:val="22"/>
              </w:rPr>
            </w:pPr>
            <w:r>
              <w:rPr>
                <w:spacing w:val="6"/>
                <w:sz w:val="22"/>
                <w:szCs w:val="22"/>
              </w:rPr>
              <w:t>平均品位(%)</w:t>
            </w:r>
          </w:p>
        </w:tc>
        <w:tc>
          <w:tcPr>
            <w:tcW w:w="2022" w:type="dxa"/>
            <w:vAlign w:val="top"/>
          </w:tcPr>
          <w:p w14:paraId="7606523A">
            <w:pPr>
              <w:pStyle w:val="6"/>
              <w:spacing w:before="91" w:line="221" w:lineRule="auto"/>
              <w:ind w:left="458"/>
              <w:rPr>
                <w:sz w:val="22"/>
                <w:szCs w:val="22"/>
              </w:rPr>
            </w:pPr>
            <w:r>
              <w:rPr>
                <w:spacing w:val="8"/>
                <w:sz w:val="22"/>
                <w:szCs w:val="22"/>
              </w:rPr>
              <w:t>金属量(吨)</w:t>
            </w:r>
          </w:p>
        </w:tc>
      </w:tr>
      <w:tr w14:paraId="7F67E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restart"/>
            <w:tcBorders>
              <w:bottom w:val="nil"/>
            </w:tcBorders>
            <w:vAlign w:val="top"/>
          </w:tcPr>
          <w:p w14:paraId="2D265934">
            <w:pPr>
              <w:spacing w:line="313" w:lineRule="auto"/>
              <w:rPr>
                <w:rFonts w:ascii="Arial"/>
                <w:sz w:val="21"/>
              </w:rPr>
            </w:pPr>
          </w:p>
          <w:p w14:paraId="3B7AE63C">
            <w:pPr>
              <w:spacing w:line="313" w:lineRule="auto"/>
              <w:rPr>
                <w:rFonts w:ascii="Arial"/>
                <w:sz w:val="21"/>
              </w:rPr>
            </w:pPr>
          </w:p>
          <w:p w14:paraId="77055827">
            <w:pPr>
              <w:pStyle w:val="6"/>
              <w:spacing w:before="72" w:line="219" w:lineRule="auto"/>
              <w:ind w:left="195"/>
              <w:rPr>
                <w:sz w:val="22"/>
                <w:szCs w:val="22"/>
              </w:rPr>
            </w:pPr>
            <w:r>
              <w:rPr>
                <w:spacing w:val="9"/>
                <w:sz w:val="22"/>
                <w:szCs w:val="22"/>
              </w:rPr>
              <w:t>伴生铅(</w:t>
            </w:r>
            <w:r>
              <w:rPr>
                <w:sz w:val="22"/>
                <w:szCs w:val="22"/>
              </w:rPr>
              <w:t>Pb</w:t>
            </w:r>
            <w:r>
              <w:rPr>
                <w:spacing w:val="9"/>
                <w:sz w:val="22"/>
                <w:szCs w:val="22"/>
              </w:rPr>
              <w:t>)</w:t>
            </w:r>
          </w:p>
        </w:tc>
        <w:tc>
          <w:tcPr>
            <w:tcW w:w="1698" w:type="dxa"/>
            <w:vAlign w:val="top"/>
          </w:tcPr>
          <w:p w14:paraId="32714CD9">
            <w:pPr>
              <w:pStyle w:val="6"/>
              <w:spacing w:before="149" w:line="182" w:lineRule="auto"/>
              <w:ind w:left="732"/>
              <w:rPr>
                <w:sz w:val="22"/>
                <w:szCs w:val="22"/>
              </w:rPr>
            </w:pPr>
            <w:r>
              <w:rPr>
                <w:spacing w:val="-2"/>
                <w:sz w:val="22"/>
                <w:szCs w:val="22"/>
              </w:rPr>
              <w:t>TM</w:t>
            </w:r>
          </w:p>
        </w:tc>
        <w:tc>
          <w:tcPr>
            <w:tcW w:w="1688" w:type="dxa"/>
            <w:vAlign w:val="top"/>
          </w:tcPr>
          <w:p w14:paraId="1E88D606">
            <w:pPr>
              <w:rPr>
                <w:rFonts w:ascii="Arial"/>
                <w:sz w:val="21"/>
              </w:rPr>
            </w:pPr>
          </w:p>
        </w:tc>
        <w:tc>
          <w:tcPr>
            <w:tcW w:w="1758" w:type="dxa"/>
            <w:vAlign w:val="top"/>
          </w:tcPr>
          <w:p w14:paraId="1A0532A9">
            <w:pPr>
              <w:rPr>
                <w:rFonts w:ascii="Arial"/>
                <w:sz w:val="21"/>
              </w:rPr>
            </w:pPr>
          </w:p>
        </w:tc>
        <w:tc>
          <w:tcPr>
            <w:tcW w:w="2022" w:type="dxa"/>
            <w:vAlign w:val="top"/>
          </w:tcPr>
          <w:p w14:paraId="28C14331">
            <w:pPr>
              <w:rPr>
                <w:rFonts w:ascii="Arial"/>
                <w:sz w:val="21"/>
              </w:rPr>
            </w:pPr>
          </w:p>
        </w:tc>
      </w:tr>
      <w:tr w14:paraId="4B736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continue"/>
            <w:tcBorders>
              <w:top w:val="nil"/>
              <w:bottom w:val="nil"/>
            </w:tcBorders>
            <w:vAlign w:val="top"/>
          </w:tcPr>
          <w:p w14:paraId="22074CC9">
            <w:pPr>
              <w:rPr>
                <w:rFonts w:ascii="Arial"/>
                <w:sz w:val="21"/>
              </w:rPr>
            </w:pPr>
          </w:p>
        </w:tc>
        <w:tc>
          <w:tcPr>
            <w:tcW w:w="1698" w:type="dxa"/>
            <w:vAlign w:val="top"/>
          </w:tcPr>
          <w:p w14:paraId="79CEB922">
            <w:pPr>
              <w:pStyle w:val="6"/>
              <w:spacing w:before="150" w:line="182" w:lineRule="auto"/>
              <w:ind w:left="732"/>
              <w:rPr>
                <w:sz w:val="22"/>
                <w:szCs w:val="22"/>
              </w:rPr>
            </w:pPr>
            <w:r>
              <w:rPr>
                <w:spacing w:val="-2"/>
                <w:sz w:val="22"/>
                <w:szCs w:val="22"/>
              </w:rPr>
              <w:t>KZ</w:t>
            </w:r>
          </w:p>
        </w:tc>
        <w:tc>
          <w:tcPr>
            <w:tcW w:w="1688" w:type="dxa"/>
            <w:vAlign w:val="top"/>
          </w:tcPr>
          <w:p w14:paraId="5E4EDCF9">
            <w:pPr>
              <w:pStyle w:val="6"/>
              <w:spacing w:before="114" w:line="230" w:lineRule="auto"/>
              <w:ind w:left="614"/>
              <w:rPr>
                <w:sz w:val="22"/>
                <w:szCs w:val="22"/>
              </w:rPr>
            </w:pPr>
            <w:r>
              <w:rPr>
                <w:spacing w:val="-2"/>
                <w:sz w:val="22"/>
                <w:szCs w:val="22"/>
              </w:rPr>
              <w:t>0.22</w:t>
            </w:r>
          </w:p>
        </w:tc>
        <w:tc>
          <w:tcPr>
            <w:tcW w:w="1758" w:type="dxa"/>
            <w:vAlign w:val="top"/>
          </w:tcPr>
          <w:p w14:paraId="4C7FBFB7">
            <w:pPr>
              <w:pStyle w:val="6"/>
              <w:spacing w:before="114" w:line="230" w:lineRule="auto"/>
              <w:ind w:left="596"/>
              <w:rPr>
                <w:sz w:val="22"/>
                <w:szCs w:val="22"/>
              </w:rPr>
            </w:pPr>
            <w:r>
              <w:rPr>
                <w:spacing w:val="-2"/>
                <w:sz w:val="22"/>
                <w:szCs w:val="22"/>
              </w:rPr>
              <w:t>0.55%</w:t>
            </w:r>
          </w:p>
        </w:tc>
        <w:tc>
          <w:tcPr>
            <w:tcW w:w="2022" w:type="dxa"/>
            <w:vAlign w:val="top"/>
          </w:tcPr>
          <w:p w14:paraId="76001C39">
            <w:pPr>
              <w:pStyle w:val="6"/>
              <w:spacing w:before="114" w:line="230" w:lineRule="auto"/>
              <w:ind w:left="728"/>
              <w:rPr>
                <w:sz w:val="22"/>
                <w:szCs w:val="22"/>
              </w:rPr>
            </w:pPr>
            <w:r>
              <w:rPr>
                <w:spacing w:val="-4"/>
                <w:sz w:val="22"/>
                <w:szCs w:val="22"/>
              </w:rPr>
              <w:t>12.00</w:t>
            </w:r>
          </w:p>
        </w:tc>
      </w:tr>
      <w:tr w14:paraId="2B5D7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continue"/>
            <w:tcBorders>
              <w:top w:val="nil"/>
              <w:bottom w:val="nil"/>
            </w:tcBorders>
            <w:vAlign w:val="top"/>
          </w:tcPr>
          <w:p w14:paraId="68CFE4A5">
            <w:pPr>
              <w:rPr>
                <w:rFonts w:ascii="Arial"/>
                <w:sz w:val="21"/>
              </w:rPr>
            </w:pPr>
          </w:p>
        </w:tc>
        <w:tc>
          <w:tcPr>
            <w:tcW w:w="1698" w:type="dxa"/>
            <w:vAlign w:val="top"/>
          </w:tcPr>
          <w:p w14:paraId="35B278D9">
            <w:pPr>
              <w:pStyle w:val="6"/>
              <w:spacing w:before="151" w:line="182" w:lineRule="auto"/>
              <w:ind w:left="732"/>
              <w:rPr>
                <w:sz w:val="22"/>
                <w:szCs w:val="22"/>
              </w:rPr>
            </w:pPr>
            <w:r>
              <w:rPr>
                <w:spacing w:val="-2"/>
                <w:sz w:val="22"/>
                <w:szCs w:val="22"/>
              </w:rPr>
              <w:t>TD</w:t>
            </w:r>
          </w:p>
        </w:tc>
        <w:tc>
          <w:tcPr>
            <w:tcW w:w="1688" w:type="dxa"/>
            <w:vAlign w:val="top"/>
          </w:tcPr>
          <w:p w14:paraId="432CF626">
            <w:pPr>
              <w:pStyle w:val="6"/>
              <w:spacing w:before="116" w:line="229" w:lineRule="auto"/>
              <w:ind w:left="614"/>
              <w:rPr>
                <w:sz w:val="22"/>
                <w:szCs w:val="22"/>
              </w:rPr>
            </w:pPr>
            <w:r>
              <w:rPr>
                <w:spacing w:val="-3"/>
                <w:sz w:val="22"/>
                <w:szCs w:val="22"/>
              </w:rPr>
              <w:t>2.47</w:t>
            </w:r>
          </w:p>
        </w:tc>
        <w:tc>
          <w:tcPr>
            <w:tcW w:w="1758" w:type="dxa"/>
            <w:vAlign w:val="top"/>
          </w:tcPr>
          <w:p w14:paraId="5194C1F1">
            <w:pPr>
              <w:pStyle w:val="6"/>
              <w:spacing w:before="116" w:line="229" w:lineRule="auto"/>
              <w:ind w:left="596"/>
              <w:rPr>
                <w:sz w:val="22"/>
                <w:szCs w:val="22"/>
              </w:rPr>
            </w:pPr>
            <w:r>
              <w:rPr>
                <w:spacing w:val="-2"/>
                <w:sz w:val="22"/>
                <w:szCs w:val="22"/>
              </w:rPr>
              <w:t>0.28%</w:t>
            </w:r>
          </w:p>
        </w:tc>
        <w:tc>
          <w:tcPr>
            <w:tcW w:w="2022" w:type="dxa"/>
            <w:vAlign w:val="top"/>
          </w:tcPr>
          <w:p w14:paraId="41859493">
            <w:pPr>
              <w:pStyle w:val="6"/>
              <w:spacing w:before="116" w:line="229" w:lineRule="auto"/>
              <w:ind w:left="728"/>
              <w:rPr>
                <w:sz w:val="22"/>
                <w:szCs w:val="22"/>
              </w:rPr>
            </w:pPr>
            <w:r>
              <w:rPr>
                <w:spacing w:val="-3"/>
                <w:sz w:val="22"/>
                <w:szCs w:val="22"/>
              </w:rPr>
              <w:t>70.20</w:t>
            </w:r>
          </w:p>
        </w:tc>
      </w:tr>
      <w:tr w14:paraId="56803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513" w:type="dxa"/>
            <w:vMerge w:val="continue"/>
            <w:tcBorders>
              <w:top w:val="nil"/>
            </w:tcBorders>
            <w:vAlign w:val="top"/>
          </w:tcPr>
          <w:p w14:paraId="27AD7DDE">
            <w:pPr>
              <w:rPr>
                <w:rFonts w:ascii="Arial"/>
                <w:sz w:val="21"/>
              </w:rPr>
            </w:pPr>
          </w:p>
        </w:tc>
        <w:tc>
          <w:tcPr>
            <w:tcW w:w="1698" w:type="dxa"/>
            <w:vAlign w:val="top"/>
          </w:tcPr>
          <w:p w14:paraId="28F995D9">
            <w:pPr>
              <w:pStyle w:val="6"/>
              <w:spacing w:before="96" w:line="221" w:lineRule="auto"/>
              <w:ind w:left="621"/>
              <w:rPr>
                <w:sz w:val="22"/>
                <w:szCs w:val="22"/>
              </w:rPr>
            </w:pPr>
            <w:r>
              <w:rPr>
                <w:spacing w:val="4"/>
                <w:sz w:val="22"/>
                <w:szCs w:val="22"/>
              </w:rPr>
              <w:t>小计</w:t>
            </w:r>
          </w:p>
        </w:tc>
        <w:tc>
          <w:tcPr>
            <w:tcW w:w="1688" w:type="dxa"/>
            <w:vAlign w:val="top"/>
          </w:tcPr>
          <w:p w14:paraId="5AC518E6">
            <w:pPr>
              <w:pStyle w:val="6"/>
              <w:spacing w:before="116" w:line="220" w:lineRule="auto"/>
              <w:ind w:left="614"/>
              <w:rPr>
                <w:sz w:val="22"/>
                <w:szCs w:val="22"/>
              </w:rPr>
            </w:pPr>
            <w:r>
              <w:rPr>
                <w:spacing w:val="-3"/>
                <w:sz w:val="22"/>
                <w:szCs w:val="22"/>
              </w:rPr>
              <w:t>2.69</w:t>
            </w:r>
          </w:p>
        </w:tc>
        <w:tc>
          <w:tcPr>
            <w:tcW w:w="1758" w:type="dxa"/>
            <w:vAlign w:val="top"/>
          </w:tcPr>
          <w:p w14:paraId="496CC630">
            <w:pPr>
              <w:pStyle w:val="6"/>
              <w:spacing w:before="116" w:line="220" w:lineRule="auto"/>
              <w:ind w:left="596"/>
              <w:rPr>
                <w:sz w:val="22"/>
                <w:szCs w:val="22"/>
              </w:rPr>
            </w:pPr>
            <w:r>
              <w:rPr>
                <w:spacing w:val="-2"/>
                <w:sz w:val="22"/>
                <w:szCs w:val="22"/>
              </w:rPr>
              <w:t>0.31%</w:t>
            </w:r>
          </w:p>
        </w:tc>
        <w:tc>
          <w:tcPr>
            <w:tcW w:w="2022" w:type="dxa"/>
            <w:vAlign w:val="top"/>
          </w:tcPr>
          <w:p w14:paraId="61748892">
            <w:pPr>
              <w:pStyle w:val="6"/>
              <w:spacing w:before="116" w:line="220" w:lineRule="auto"/>
              <w:ind w:left="728"/>
              <w:rPr>
                <w:sz w:val="22"/>
                <w:szCs w:val="22"/>
              </w:rPr>
            </w:pPr>
            <w:r>
              <w:rPr>
                <w:spacing w:val="-2"/>
                <w:sz w:val="22"/>
                <w:szCs w:val="22"/>
              </w:rPr>
              <w:t>82.20</w:t>
            </w:r>
          </w:p>
        </w:tc>
      </w:tr>
      <w:tr w14:paraId="64ACB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restart"/>
            <w:tcBorders>
              <w:bottom w:val="nil"/>
            </w:tcBorders>
            <w:vAlign w:val="top"/>
          </w:tcPr>
          <w:p w14:paraId="6D433EF3">
            <w:pPr>
              <w:spacing w:line="315" w:lineRule="auto"/>
              <w:rPr>
                <w:rFonts w:ascii="Arial"/>
                <w:sz w:val="21"/>
              </w:rPr>
            </w:pPr>
          </w:p>
          <w:p w14:paraId="02709FAD">
            <w:pPr>
              <w:spacing w:line="315" w:lineRule="auto"/>
              <w:rPr>
                <w:rFonts w:ascii="Arial"/>
                <w:sz w:val="21"/>
              </w:rPr>
            </w:pPr>
          </w:p>
          <w:p w14:paraId="26F0FC9B">
            <w:pPr>
              <w:pStyle w:val="6"/>
              <w:spacing w:before="72" w:line="219" w:lineRule="auto"/>
              <w:ind w:left="195"/>
              <w:rPr>
                <w:sz w:val="22"/>
                <w:szCs w:val="22"/>
              </w:rPr>
            </w:pPr>
            <w:r>
              <w:rPr>
                <w:spacing w:val="9"/>
                <w:sz w:val="22"/>
                <w:szCs w:val="22"/>
              </w:rPr>
              <w:t>伴生镉(</w:t>
            </w:r>
            <w:r>
              <w:rPr>
                <w:sz w:val="22"/>
                <w:szCs w:val="22"/>
              </w:rPr>
              <w:t>Cd</w:t>
            </w:r>
            <w:r>
              <w:rPr>
                <w:spacing w:val="9"/>
                <w:sz w:val="22"/>
                <w:szCs w:val="22"/>
              </w:rPr>
              <w:t>)</w:t>
            </w:r>
          </w:p>
        </w:tc>
        <w:tc>
          <w:tcPr>
            <w:tcW w:w="1698" w:type="dxa"/>
            <w:vAlign w:val="top"/>
          </w:tcPr>
          <w:p w14:paraId="5FC367FD">
            <w:pPr>
              <w:pStyle w:val="6"/>
              <w:spacing w:before="153" w:line="182" w:lineRule="auto"/>
              <w:ind w:left="732"/>
              <w:rPr>
                <w:sz w:val="22"/>
                <w:szCs w:val="22"/>
              </w:rPr>
            </w:pPr>
            <w:r>
              <w:rPr>
                <w:spacing w:val="-2"/>
                <w:sz w:val="22"/>
                <w:szCs w:val="22"/>
              </w:rPr>
              <w:t>TM</w:t>
            </w:r>
          </w:p>
        </w:tc>
        <w:tc>
          <w:tcPr>
            <w:tcW w:w="1688" w:type="dxa"/>
            <w:vAlign w:val="top"/>
          </w:tcPr>
          <w:p w14:paraId="2606A545">
            <w:pPr>
              <w:rPr>
                <w:rFonts w:ascii="Arial"/>
                <w:sz w:val="21"/>
              </w:rPr>
            </w:pPr>
          </w:p>
        </w:tc>
        <w:tc>
          <w:tcPr>
            <w:tcW w:w="1758" w:type="dxa"/>
            <w:vAlign w:val="top"/>
          </w:tcPr>
          <w:p w14:paraId="386BF944">
            <w:pPr>
              <w:rPr>
                <w:rFonts w:ascii="Arial"/>
                <w:sz w:val="21"/>
              </w:rPr>
            </w:pPr>
          </w:p>
        </w:tc>
        <w:tc>
          <w:tcPr>
            <w:tcW w:w="2022" w:type="dxa"/>
            <w:vAlign w:val="top"/>
          </w:tcPr>
          <w:p w14:paraId="6BC04AE7">
            <w:pPr>
              <w:rPr>
                <w:rFonts w:ascii="Arial"/>
                <w:sz w:val="21"/>
              </w:rPr>
            </w:pPr>
          </w:p>
        </w:tc>
      </w:tr>
      <w:tr w14:paraId="77D24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continue"/>
            <w:tcBorders>
              <w:top w:val="nil"/>
              <w:bottom w:val="nil"/>
            </w:tcBorders>
            <w:vAlign w:val="top"/>
          </w:tcPr>
          <w:p w14:paraId="75594FB7">
            <w:pPr>
              <w:rPr>
                <w:rFonts w:ascii="Arial"/>
                <w:sz w:val="21"/>
              </w:rPr>
            </w:pPr>
          </w:p>
        </w:tc>
        <w:tc>
          <w:tcPr>
            <w:tcW w:w="1698" w:type="dxa"/>
            <w:vAlign w:val="top"/>
          </w:tcPr>
          <w:p w14:paraId="078C48D7">
            <w:pPr>
              <w:pStyle w:val="6"/>
              <w:spacing w:before="154" w:line="182" w:lineRule="auto"/>
              <w:ind w:left="732"/>
              <w:rPr>
                <w:sz w:val="22"/>
                <w:szCs w:val="22"/>
              </w:rPr>
            </w:pPr>
            <w:r>
              <w:rPr>
                <w:spacing w:val="-2"/>
                <w:sz w:val="22"/>
                <w:szCs w:val="22"/>
              </w:rPr>
              <w:t>KZ</w:t>
            </w:r>
          </w:p>
        </w:tc>
        <w:tc>
          <w:tcPr>
            <w:tcW w:w="1688" w:type="dxa"/>
            <w:vAlign w:val="top"/>
          </w:tcPr>
          <w:p w14:paraId="28279542">
            <w:pPr>
              <w:pStyle w:val="6"/>
              <w:spacing w:before="118" w:line="227" w:lineRule="auto"/>
              <w:ind w:left="614"/>
              <w:rPr>
                <w:sz w:val="22"/>
                <w:szCs w:val="22"/>
              </w:rPr>
            </w:pPr>
            <w:r>
              <w:rPr>
                <w:spacing w:val="-2"/>
                <w:sz w:val="22"/>
                <w:szCs w:val="22"/>
              </w:rPr>
              <w:t>0.36</w:t>
            </w:r>
          </w:p>
        </w:tc>
        <w:tc>
          <w:tcPr>
            <w:tcW w:w="1758" w:type="dxa"/>
            <w:vAlign w:val="top"/>
          </w:tcPr>
          <w:p w14:paraId="5E35F4BB">
            <w:pPr>
              <w:pStyle w:val="6"/>
              <w:spacing w:before="118" w:line="227" w:lineRule="auto"/>
              <w:ind w:left="545"/>
              <w:rPr>
                <w:sz w:val="22"/>
                <w:szCs w:val="22"/>
              </w:rPr>
            </w:pPr>
            <w:r>
              <w:rPr>
                <w:spacing w:val="-1"/>
                <w:sz w:val="22"/>
                <w:szCs w:val="22"/>
              </w:rPr>
              <w:t>0.111%</w:t>
            </w:r>
          </w:p>
        </w:tc>
        <w:tc>
          <w:tcPr>
            <w:tcW w:w="2022" w:type="dxa"/>
            <w:vAlign w:val="top"/>
          </w:tcPr>
          <w:p w14:paraId="7E745FBE">
            <w:pPr>
              <w:pStyle w:val="6"/>
              <w:spacing w:before="118" w:line="227" w:lineRule="auto"/>
              <w:ind w:left="787"/>
              <w:rPr>
                <w:sz w:val="22"/>
                <w:szCs w:val="22"/>
              </w:rPr>
            </w:pPr>
            <w:r>
              <w:rPr>
                <w:spacing w:val="-2"/>
                <w:sz w:val="22"/>
                <w:szCs w:val="22"/>
              </w:rPr>
              <w:t>4.00</w:t>
            </w:r>
          </w:p>
        </w:tc>
      </w:tr>
      <w:tr w14:paraId="4CDF5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13" w:type="dxa"/>
            <w:vMerge w:val="continue"/>
            <w:tcBorders>
              <w:top w:val="nil"/>
              <w:bottom w:val="nil"/>
            </w:tcBorders>
            <w:vAlign w:val="top"/>
          </w:tcPr>
          <w:p w14:paraId="7FADEB3B">
            <w:pPr>
              <w:rPr>
                <w:rFonts w:ascii="Arial"/>
                <w:sz w:val="21"/>
              </w:rPr>
            </w:pPr>
          </w:p>
        </w:tc>
        <w:tc>
          <w:tcPr>
            <w:tcW w:w="1698" w:type="dxa"/>
            <w:vAlign w:val="top"/>
          </w:tcPr>
          <w:p w14:paraId="0EEF7415">
            <w:pPr>
              <w:pStyle w:val="6"/>
              <w:spacing w:before="155" w:line="182" w:lineRule="auto"/>
              <w:ind w:left="732"/>
              <w:rPr>
                <w:sz w:val="22"/>
                <w:szCs w:val="22"/>
              </w:rPr>
            </w:pPr>
            <w:r>
              <w:rPr>
                <w:spacing w:val="-2"/>
                <w:sz w:val="22"/>
                <w:szCs w:val="22"/>
              </w:rPr>
              <w:t>TD</w:t>
            </w:r>
          </w:p>
        </w:tc>
        <w:tc>
          <w:tcPr>
            <w:tcW w:w="1688" w:type="dxa"/>
            <w:vAlign w:val="top"/>
          </w:tcPr>
          <w:p w14:paraId="25A137DB">
            <w:pPr>
              <w:pStyle w:val="6"/>
              <w:spacing w:before="119" w:line="226" w:lineRule="auto"/>
              <w:ind w:left="614"/>
              <w:rPr>
                <w:sz w:val="22"/>
                <w:szCs w:val="22"/>
              </w:rPr>
            </w:pPr>
            <w:r>
              <w:rPr>
                <w:spacing w:val="-2"/>
                <w:sz w:val="22"/>
                <w:szCs w:val="22"/>
              </w:rPr>
              <w:t>4.95</w:t>
            </w:r>
          </w:p>
        </w:tc>
        <w:tc>
          <w:tcPr>
            <w:tcW w:w="1758" w:type="dxa"/>
            <w:vAlign w:val="top"/>
          </w:tcPr>
          <w:p w14:paraId="638ED528">
            <w:pPr>
              <w:pStyle w:val="6"/>
              <w:spacing w:before="119" w:line="226" w:lineRule="auto"/>
              <w:ind w:left="545"/>
              <w:rPr>
                <w:sz w:val="22"/>
                <w:szCs w:val="22"/>
              </w:rPr>
            </w:pPr>
            <w:r>
              <w:rPr>
                <w:spacing w:val="-1"/>
                <w:sz w:val="22"/>
                <w:szCs w:val="22"/>
              </w:rPr>
              <w:t>0.150%</w:t>
            </w:r>
          </w:p>
        </w:tc>
        <w:tc>
          <w:tcPr>
            <w:tcW w:w="2022" w:type="dxa"/>
            <w:vAlign w:val="top"/>
          </w:tcPr>
          <w:p w14:paraId="4846609D">
            <w:pPr>
              <w:pStyle w:val="6"/>
              <w:spacing w:before="119" w:line="226" w:lineRule="auto"/>
              <w:ind w:left="728"/>
              <w:rPr>
                <w:sz w:val="22"/>
                <w:szCs w:val="22"/>
              </w:rPr>
            </w:pPr>
            <w:r>
              <w:rPr>
                <w:spacing w:val="-3"/>
                <w:sz w:val="22"/>
                <w:szCs w:val="22"/>
              </w:rPr>
              <w:t>74.40</w:t>
            </w:r>
          </w:p>
        </w:tc>
      </w:tr>
      <w:tr w14:paraId="38F8A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513" w:type="dxa"/>
            <w:vMerge w:val="continue"/>
            <w:tcBorders>
              <w:top w:val="nil"/>
            </w:tcBorders>
            <w:vAlign w:val="top"/>
          </w:tcPr>
          <w:p w14:paraId="540CE3C1">
            <w:pPr>
              <w:rPr>
                <w:rFonts w:ascii="Arial"/>
                <w:sz w:val="21"/>
              </w:rPr>
            </w:pPr>
          </w:p>
        </w:tc>
        <w:tc>
          <w:tcPr>
            <w:tcW w:w="1698" w:type="dxa"/>
            <w:vAlign w:val="top"/>
          </w:tcPr>
          <w:p w14:paraId="23848B5C">
            <w:pPr>
              <w:pStyle w:val="6"/>
              <w:spacing w:before="100" w:line="221" w:lineRule="auto"/>
              <w:ind w:left="621"/>
              <w:rPr>
                <w:sz w:val="22"/>
                <w:szCs w:val="22"/>
              </w:rPr>
            </w:pPr>
            <w:r>
              <w:rPr>
                <w:spacing w:val="4"/>
                <w:sz w:val="22"/>
                <w:szCs w:val="22"/>
              </w:rPr>
              <w:t>小计</w:t>
            </w:r>
          </w:p>
        </w:tc>
        <w:tc>
          <w:tcPr>
            <w:tcW w:w="1688" w:type="dxa"/>
            <w:vAlign w:val="top"/>
          </w:tcPr>
          <w:p w14:paraId="5D33AB79">
            <w:pPr>
              <w:pStyle w:val="6"/>
              <w:spacing w:before="120" w:line="221" w:lineRule="auto"/>
              <w:ind w:left="614"/>
              <w:rPr>
                <w:sz w:val="22"/>
                <w:szCs w:val="22"/>
              </w:rPr>
            </w:pPr>
            <w:r>
              <w:rPr>
                <w:spacing w:val="-3"/>
                <w:sz w:val="22"/>
                <w:szCs w:val="22"/>
              </w:rPr>
              <w:t>5.31</w:t>
            </w:r>
          </w:p>
        </w:tc>
        <w:tc>
          <w:tcPr>
            <w:tcW w:w="1758" w:type="dxa"/>
            <w:vAlign w:val="top"/>
          </w:tcPr>
          <w:p w14:paraId="32406E2B">
            <w:pPr>
              <w:pStyle w:val="6"/>
              <w:spacing w:before="120" w:line="221" w:lineRule="auto"/>
              <w:ind w:left="545"/>
              <w:rPr>
                <w:sz w:val="22"/>
                <w:szCs w:val="22"/>
              </w:rPr>
            </w:pPr>
            <w:r>
              <w:rPr>
                <w:spacing w:val="-1"/>
                <w:sz w:val="22"/>
                <w:szCs w:val="22"/>
              </w:rPr>
              <w:t>0.148%</w:t>
            </w:r>
          </w:p>
        </w:tc>
        <w:tc>
          <w:tcPr>
            <w:tcW w:w="2022" w:type="dxa"/>
            <w:vAlign w:val="top"/>
          </w:tcPr>
          <w:p w14:paraId="2CB23E2B">
            <w:pPr>
              <w:pStyle w:val="6"/>
              <w:spacing w:before="120" w:line="221" w:lineRule="auto"/>
              <w:ind w:left="728"/>
              <w:rPr>
                <w:sz w:val="22"/>
                <w:szCs w:val="22"/>
              </w:rPr>
            </w:pPr>
            <w:r>
              <w:rPr>
                <w:spacing w:val="-3"/>
                <w:sz w:val="22"/>
                <w:szCs w:val="22"/>
              </w:rPr>
              <w:t>78.40</w:t>
            </w:r>
          </w:p>
        </w:tc>
      </w:tr>
    </w:tbl>
    <w:p w14:paraId="67555626">
      <w:pPr>
        <w:spacing w:before="203" w:line="219" w:lineRule="auto"/>
        <w:ind w:left="595"/>
        <w:rPr>
          <w:rFonts w:ascii="宋体" w:hAnsi="宋体" w:eastAsia="宋体" w:cs="宋体"/>
          <w:sz w:val="24"/>
          <w:szCs w:val="24"/>
        </w:rPr>
      </w:pPr>
      <w:r>
        <w:rPr>
          <w:rFonts w:ascii="宋体" w:hAnsi="宋体" w:eastAsia="宋体" w:cs="宋体"/>
          <w:spacing w:val="4"/>
          <w:sz w:val="24"/>
          <w:szCs w:val="24"/>
        </w:rPr>
        <w:t>10.5.2采矿回采率</w:t>
      </w:r>
    </w:p>
    <w:p w14:paraId="729D7A08">
      <w:pPr>
        <w:spacing w:before="229" w:line="422" w:lineRule="auto"/>
        <w:ind w:left="124" w:right="220" w:firstLine="470"/>
        <w:rPr>
          <w:rFonts w:ascii="宋体" w:hAnsi="宋体" w:eastAsia="宋体" w:cs="宋体"/>
          <w:sz w:val="24"/>
          <w:szCs w:val="24"/>
        </w:rPr>
      </w:pPr>
      <w:r>
        <w:rPr>
          <w:rFonts w:ascii="宋体" w:hAnsi="宋体" w:eastAsia="宋体" w:cs="宋体"/>
          <w:spacing w:val="3"/>
          <w:sz w:val="24"/>
          <w:szCs w:val="24"/>
        </w:rPr>
        <w:t xml:space="preserve">根据“开发利用方案”设计采矿回采率为85%(详见附件十： </w:t>
      </w:r>
      <w:r>
        <w:rPr>
          <w:rFonts w:ascii="Times New Roman" w:hAnsi="Times New Roman" w:eastAsia="Times New Roman" w:cs="Times New Roman"/>
          <w:spacing w:val="3"/>
          <w:sz w:val="24"/>
          <w:szCs w:val="24"/>
        </w:rPr>
        <w:t>P33)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。本次评</w:t>
      </w:r>
      <w:r>
        <w:rPr>
          <w:rFonts w:ascii="宋体" w:hAnsi="宋体" w:eastAsia="宋体" w:cs="宋体"/>
          <w:sz w:val="24"/>
          <w:szCs w:val="24"/>
        </w:rPr>
        <w:t xml:space="preserve"> </w:t>
      </w:r>
      <w:r>
        <w:rPr>
          <w:rFonts w:ascii="宋体" w:hAnsi="宋体" w:eastAsia="宋体" w:cs="宋体"/>
          <w:spacing w:val="1"/>
          <w:sz w:val="24"/>
          <w:szCs w:val="24"/>
        </w:rPr>
        <w:t>估依据“开发利用方案”确定采矿回采率为85%。</w:t>
      </w:r>
    </w:p>
    <w:p w14:paraId="67D9FEC4">
      <w:pPr>
        <w:spacing w:line="219" w:lineRule="auto"/>
        <w:ind w:left="595"/>
        <w:rPr>
          <w:rFonts w:ascii="宋体" w:hAnsi="宋体" w:eastAsia="宋体" w:cs="宋体"/>
          <w:sz w:val="24"/>
          <w:szCs w:val="24"/>
        </w:rPr>
      </w:pPr>
      <w:r>
        <w:rPr>
          <w:rFonts w:ascii="宋体" w:hAnsi="宋体" w:eastAsia="宋体" w:cs="宋体"/>
          <w:spacing w:val="6"/>
          <w:sz w:val="24"/>
          <w:szCs w:val="24"/>
        </w:rPr>
        <w:t>10.5.3矿石贫化率</w:t>
      </w:r>
    </w:p>
    <w:p w14:paraId="28B2DD77">
      <w:pPr>
        <w:spacing w:before="206" w:line="430" w:lineRule="auto"/>
        <w:ind w:left="124" w:right="240" w:firstLine="470"/>
        <w:rPr>
          <w:rFonts w:ascii="宋体" w:hAnsi="宋体" w:eastAsia="宋体" w:cs="宋体"/>
          <w:sz w:val="24"/>
          <w:szCs w:val="24"/>
        </w:rPr>
      </w:pPr>
      <w:r>
        <w:rPr>
          <w:rFonts w:ascii="宋体" w:hAnsi="宋体" w:eastAsia="宋体" w:cs="宋体"/>
          <w:spacing w:val="3"/>
          <w:sz w:val="24"/>
          <w:szCs w:val="24"/>
        </w:rPr>
        <w:t xml:space="preserve">根据“开发利用方案”设计采矿贫化率为12%(详见附件十： </w:t>
      </w:r>
      <w:r>
        <w:rPr>
          <w:rFonts w:ascii="Times New Roman" w:hAnsi="Times New Roman" w:eastAsia="Times New Roman" w:cs="Times New Roman"/>
          <w:spacing w:val="3"/>
          <w:sz w:val="24"/>
          <w:szCs w:val="24"/>
        </w:rPr>
        <w:t xml:space="preserve">P33),   </w:t>
      </w:r>
      <w:r>
        <w:rPr>
          <w:rFonts w:ascii="宋体" w:hAnsi="宋体" w:eastAsia="宋体" w:cs="宋体"/>
          <w:spacing w:val="3"/>
          <w:sz w:val="24"/>
          <w:szCs w:val="24"/>
        </w:rPr>
        <w:t>本次评</w:t>
      </w:r>
      <w:r>
        <w:rPr>
          <w:rFonts w:ascii="宋体" w:hAnsi="宋体" w:eastAsia="宋体" w:cs="宋体"/>
          <w:spacing w:val="5"/>
          <w:sz w:val="24"/>
          <w:szCs w:val="24"/>
        </w:rPr>
        <w:t xml:space="preserve"> </w:t>
      </w:r>
      <w:r>
        <w:rPr>
          <w:rFonts w:ascii="宋体" w:hAnsi="宋体" w:eastAsia="宋体" w:cs="宋体"/>
          <w:spacing w:val="3"/>
          <w:sz w:val="24"/>
          <w:szCs w:val="24"/>
        </w:rPr>
        <w:t>估依据“开发利用方案”确定采矿贫化率为12%。</w:t>
      </w:r>
    </w:p>
    <w:p w14:paraId="0524586C">
      <w:pPr>
        <w:spacing w:line="219" w:lineRule="auto"/>
        <w:ind w:left="595"/>
        <w:rPr>
          <w:rFonts w:ascii="宋体" w:hAnsi="宋体" w:eastAsia="宋体" w:cs="宋体"/>
          <w:sz w:val="24"/>
          <w:szCs w:val="24"/>
        </w:rPr>
      </w:pPr>
      <w:r>
        <w:rPr>
          <w:rFonts w:ascii="宋体" w:hAnsi="宋体" w:eastAsia="宋体" w:cs="宋体"/>
          <w:spacing w:val="6"/>
          <w:sz w:val="24"/>
          <w:szCs w:val="24"/>
        </w:rPr>
        <w:t>10.5.4选矿回收率</w:t>
      </w:r>
    </w:p>
    <w:p w14:paraId="3AAEB25B">
      <w:pPr>
        <w:spacing w:before="262" w:line="408" w:lineRule="auto"/>
        <w:ind w:left="124" w:right="190" w:firstLine="470"/>
        <w:rPr>
          <w:rFonts w:ascii="宋体" w:hAnsi="宋体" w:eastAsia="宋体" w:cs="宋体"/>
          <w:sz w:val="24"/>
          <w:szCs w:val="24"/>
        </w:rPr>
      </w:pPr>
      <w:r>
        <w:rPr>
          <w:rFonts w:ascii="宋体" w:hAnsi="宋体" w:eastAsia="宋体" w:cs="宋体"/>
          <w:spacing w:val="7"/>
          <w:sz w:val="24"/>
          <w:szCs w:val="24"/>
        </w:rPr>
        <w:t>根据“开发利用方案”,锌精矿含锌选矿回收率为8</w:t>
      </w:r>
      <w:r>
        <w:rPr>
          <w:rFonts w:ascii="宋体" w:hAnsi="宋体" w:eastAsia="宋体" w:cs="宋体"/>
          <w:spacing w:val="6"/>
          <w:sz w:val="24"/>
          <w:szCs w:val="24"/>
        </w:rPr>
        <w:t>1.00%,锌精矿含镉选矿</w:t>
      </w:r>
      <w:r>
        <w:rPr>
          <w:rFonts w:ascii="宋体" w:hAnsi="宋体" w:eastAsia="宋体" w:cs="宋体"/>
          <w:sz w:val="24"/>
          <w:szCs w:val="24"/>
        </w:rPr>
        <w:t xml:space="preserve"> </w:t>
      </w:r>
      <w:r>
        <w:rPr>
          <w:rFonts w:ascii="宋体" w:hAnsi="宋体" w:eastAsia="宋体" w:cs="宋体"/>
          <w:spacing w:val="5"/>
          <w:sz w:val="24"/>
          <w:szCs w:val="24"/>
        </w:rPr>
        <w:t>回收率为81.00%,铅精矿选矿回收率为88.00%(详见附件十：</w:t>
      </w:r>
      <w:r>
        <w:rPr>
          <w:rFonts w:ascii="Times New Roman" w:hAnsi="Times New Roman" w:eastAsia="Times New Roman" w:cs="Times New Roman"/>
          <w:spacing w:val="5"/>
          <w:sz w:val="24"/>
          <w:szCs w:val="24"/>
        </w:rPr>
        <w:t>P38)</w:t>
      </w:r>
      <w:r>
        <w:rPr>
          <w:rFonts w:ascii="Times New Roman" w:hAnsi="Times New Roman" w:eastAsia="Times New Roman" w:cs="Times New Roman"/>
          <w:spacing w:val="-19"/>
          <w:sz w:val="24"/>
          <w:szCs w:val="24"/>
        </w:rPr>
        <w:t xml:space="preserve"> </w:t>
      </w:r>
      <w:r>
        <w:rPr>
          <w:rFonts w:ascii="宋体" w:hAnsi="宋体" w:eastAsia="宋体" w:cs="宋体"/>
          <w:spacing w:val="5"/>
          <w:sz w:val="24"/>
          <w:szCs w:val="24"/>
        </w:rPr>
        <w:t>。本次评估参</w:t>
      </w:r>
      <w:r>
        <w:rPr>
          <w:rFonts w:ascii="宋体" w:hAnsi="宋体" w:eastAsia="宋体" w:cs="宋体"/>
          <w:sz w:val="24"/>
          <w:szCs w:val="24"/>
        </w:rPr>
        <w:t xml:space="preserve"> </w:t>
      </w:r>
      <w:r>
        <w:rPr>
          <w:rFonts w:ascii="宋体" w:hAnsi="宋体" w:eastAsia="宋体" w:cs="宋体"/>
          <w:spacing w:val="4"/>
          <w:sz w:val="24"/>
          <w:szCs w:val="24"/>
        </w:rPr>
        <w:t>照“开发利用方案”确定锌精矿含锌选矿回收率为81</w:t>
      </w:r>
      <w:r>
        <w:rPr>
          <w:rFonts w:ascii="宋体" w:hAnsi="宋体" w:eastAsia="宋体" w:cs="宋体"/>
          <w:spacing w:val="3"/>
          <w:sz w:val="24"/>
          <w:szCs w:val="24"/>
        </w:rPr>
        <w:t>.00%,锌精矿含镉选矿回收</w:t>
      </w:r>
      <w:r>
        <w:rPr>
          <w:rFonts w:ascii="宋体" w:hAnsi="宋体" w:eastAsia="宋体" w:cs="宋体"/>
          <w:sz w:val="24"/>
          <w:szCs w:val="24"/>
        </w:rPr>
        <w:t xml:space="preserve"> </w:t>
      </w:r>
      <w:r>
        <w:rPr>
          <w:rFonts w:ascii="宋体" w:hAnsi="宋体" w:eastAsia="宋体" w:cs="宋体"/>
          <w:spacing w:val="5"/>
          <w:sz w:val="24"/>
          <w:szCs w:val="24"/>
        </w:rPr>
        <w:t>率为81.00%,铅精矿选矿回收率为88.00%。</w:t>
      </w:r>
    </w:p>
    <w:p w14:paraId="014DF7D4">
      <w:pPr>
        <w:spacing w:before="40" w:line="219" w:lineRule="auto"/>
        <w:ind w:left="595"/>
        <w:outlineLvl w:val="1"/>
        <w:rPr>
          <w:rFonts w:ascii="宋体" w:hAnsi="宋体" w:eastAsia="宋体" w:cs="宋体"/>
          <w:sz w:val="24"/>
          <w:szCs w:val="24"/>
        </w:rPr>
      </w:pPr>
      <w:bookmarkStart w:id="43" w:name="bookmark29"/>
      <w:bookmarkEnd w:id="43"/>
      <w:r>
        <w:rPr>
          <w:rFonts w:ascii="宋体" w:hAnsi="宋体" w:eastAsia="宋体" w:cs="宋体"/>
          <w:spacing w:val="5"/>
          <w:sz w:val="24"/>
          <w:szCs w:val="24"/>
        </w:rPr>
        <w:t>10.6可采储量的确定</w:t>
      </w:r>
    </w:p>
    <w:p w14:paraId="0D24CB1A">
      <w:pPr>
        <w:spacing w:before="226" w:line="389" w:lineRule="auto"/>
        <w:ind w:left="124" w:right="113" w:firstLine="470"/>
        <w:rPr>
          <w:rFonts w:ascii="仿宋" w:hAnsi="仿宋" w:eastAsia="仿宋" w:cs="仿宋"/>
          <w:sz w:val="24"/>
          <w:szCs w:val="24"/>
        </w:rPr>
      </w:pPr>
      <w:r>
        <w:rPr>
          <w:rFonts w:ascii="宋体" w:hAnsi="宋体" w:eastAsia="宋体" w:cs="宋体"/>
          <w:spacing w:val="17"/>
          <w:sz w:val="24"/>
          <w:szCs w:val="24"/>
        </w:rPr>
        <w:t>可采储量=(评估利用资源储量(可信度系数调整)-设计损失量)×采矿回</w:t>
      </w:r>
      <w:r>
        <w:rPr>
          <w:rFonts w:ascii="宋体" w:hAnsi="宋体" w:eastAsia="宋体" w:cs="宋体"/>
          <w:spacing w:val="7"/>
          <w:sz w:val="24"/>
          <w:szCs w:val="24"/>
        </w:rPr>
        <w:t xml:space="preserve"> </w:t>
      </w:r>
      <w:r>
        <w:rPr>
          <w:rFonts w:ascii="仿宋" w:hAnsi="仿宋" w:eastAsia="仿宋" w:cs="仿宋"/>
          <w:spacing w:val="5"/>
          <w:sz w:val="24"/>
          <w:szCs w:val="24"/>
        </w:rPr>
        <w:t>采率</w:t>
      </w:r>
    </w:p>
    <w:p w14:paraId="4E7D49EF">
      <w:pPr>
        <w:spacing w:before="29" w:line="219" w:lineRule="auto"/>
        <w:ind w:left="595"/>
        <w:rPr>
          <w:rFonts w:ascii="宋体" w:hAnsi="宋体" w:eastAsia="宋体" w:cs="宋体"/>
          <w:sz w:val="24"/>
          <w:szCs w:val="24"/>
        </w:rPr>
      </w:pPr>
      <w:r>
        <w:rPr>
          <w:rFonts w:ascii="宋体" w:hAnsi="宋体" w:eastAsia="宋体" w:cs="宋体"/>
          <w:spacing w:val="-3"/>
          <w:sz w:val="24"/>
          <w:szCs w:val="24"/>
        </w:rPr>
        <w:t>将上述相关数据带入公式得：</w:t>
      </w:r>
    </w:p>
    <w:p w14:paraId="37AF8A96">
      <w:pPr>
        <w:spacing w:before="234" w:line="423" w:lineRule="auto"/>
        <w:ind w:left="4213" w:right="1744" w:hanging="3619"/>
        <w:rPr>
          <w:rFonts w:ascii="宋体" w:hAnsi="宋体" w:eastAsia="宋体" w:cs="宋体"/>
          <w:sz w:val="24"/>
          <w:szCs w:val="24"/>
        </w:rPr>
      </w:pPr>
      <w:r>
        <w:rPr>
          <w:rFonts w:ascii="宋体" w:hAnsi="宋体" w:eastAsia="宋体" w:cs="宋体"/>
          <w:spacing w:val="19"/>
          <w:sz w:val="24"/>
          <w:szCs w:val="24"/>
        </w:rPr>
        <w:t>评估利用可采储量(锌、伴生镉)=(107.17—5.31)×85%</w:t>
      </w:r>
      <w:r>
        <w:rPr>
          <w:rFonts w:ascii="宋体" w:hAnsi="宋体" w:eastAsia="宋体" w:cs="宋体"/>
          <w:spacing w:val="7"/>
          <w:sz w:val="24"/>
          <w:szCs w:val="24"/>
        </w:rPr>
        <w:t xml:space="preserve"> </w:t>
      </w:r>
      <w:r>
        <w:rPr>
          <w:rFonts w:ascii="宋体" w:hAnsi="宋体" w:eastAsia="宋体" w:cs="宋体"/>
          <w:spacing w:val="25"/>
          <w:sz w:val="24"/>
          <w:szCs w:val="24"/>
        </w:rPr>
        <w:t>=86.58(万吨)</w:t>
      </w:r>
    </w:p>
    <w:p w14:paraId="7EB189CC">
      <w:pPr>
        <w:spacing w:before="1" w:line="217" w:lineRule="auto"/>
        <w:ind w:left="595"/>
        <w:rPr>
          <w:rFonts w:ascii="宋体" w:hAnsi="宋体" w:eastAsia="宋体" w:cs="宋体"/>
          <w:sz w:val="24"/>
          <w:szCs w:val="24"/>
        </w:rPr>
      </w:pPr>
      <w:r>
        <w:rPr>
          <w:rFonts w:ascii="宋体" w:hAnsi="宋体" w:eastAsia="宋体" w:cs="宋体"/>
          <w:spacing w:val="19"/>
          <w:sz w:val="24"/>
          <w:szCs w:val="24"/>
        </w:rPr>
        <w:t>评估利用可采储量(伴生铅)=(59.54</w:t>
      </w:r>
      <w:r>
        <w:rPr>
          <w:rFonts w:ascii="宋体" w:hAnsi="宋体" w:eastAsia="宋体" w:cs="宋体"/>
          <w:spacing w:val="-81"/>
          <w:sz w:val="24"/>
          <w:szCs w:val="24"/>
        </w:rPr>
        <w:t xml:space="preserve"> </w:t>
      </w:r>
      <w:r>
        <w:rPr>
          <w:rFonts w:ascii="宋体" w:hAnsi="宋体" w:eastAsia="宋体" w:cs="宋体"/>
          <w:spacing w:val="19"/>
          <w:sz w:val="24"/>
          <w:szCs w:val="24"/>
        </w:rPr>
        <w:t>—</w:t>
      </w:r>
      <w:r>
        <w:rPr>
          <w:rFonts w:ascii="宋体" w:hAnsi="宋体" w:eastAsia="宋体" w:cs="宋体"/>
          <w:spacing w:val="-85"/>
          <w:sz w:val="24"/>
          <w:szCs w:val="24"/>
        </w:rPr>
        <w:t xml:space="preserve"> </w:t>
      </w:r>
      <w:r>
        <w:rPr>
          <w:rFonts w:ascii="宋体" w:hAnsi="宋体" w:eastAsia="宋体" w:cs="宋体"/>
          <w:spacing w:val="19"/>
          <w:sz w:val="24"/>
          <w:szCs w:val="24"/>
        </w:rPr>
        <w:t>2.69)×85%</w:t>
      </w:r>
    </w:p>
    <w:p w14:paraId="04586EA7">
      <w:pPr>
        <w:spacing w:line="217" w:lineRule="auto"/>
        <w:rPr>
          <w:rFonts w:ascii="宋体" w:hAnsi="宋体" w:eastAsia="宋体" w:cs="宋体"/>
          <w:sz w:val="24"/>
          <w:szCs w:val="24"/>
        </w:rPr>
        <w:sectPr>
          <w:headerReference r:id="rId82" w:type="default"/>
          <w:footerReference r:id="rId83" w:type="default"/>
          <w:pgSz w:w="11900" w:h="16830"/>
          <w:pgMar w:top="1247" w:right="1380" w:bottom="1299" w:left="1785" w:header="970" w:footer="958" w:gutter="0"/>
          <w:cols w:space="720" w:num="1"/>
        </w:sectPr>
      </w:pPr>
    </w:p>
    <w:p w14:paraId="6E433906">
      <w:pPr>
        <w:pStyle w:val="2"/>
        <w:spacing w:line="343" w:lineRule="auto"/>
      </w:pPr>
    </w:p>
    <w:p w14:paraId="11E46C53">
      <w:pPr>
        <w:spacing w:before="78" w:line="220" w:lineRule="auto"/>
        <w:ind w:left="4115"/>
        <w:rPr>
          <w:rFonts w:ascii="宋体" w:hAnsi="宋体" w:eastAsia="宋体" w:cs="宋体"/>
          <w:sz w:val="24"/>
          <w:szCs w:val="24"/>
        </w:rPr>
      </w:pPr>
      <w:r>
        <w:rPr>
          <w:rFonts w:ascii="宋体" w:hAnsi="宋体" w:eastAsia="宋体" w:cs="宋体"/>
          <w:spacing w:val="25"/>
          <w:sz w:val="24"/>
          <w:szCs w:val="24"/>
        </w:rPr>
        <w:t>=59.54(万吨)</w:t>
      </w:r>
    </w:p>
    <w:p w14:paraId="5C35A3E1">
      <w:pPr>
        <w:spacing w:before="283" w:line="219" w:lineRule="auto"/>
        <w:ind w:left="614"/>
        <w:rPr>
          <w:rFonts w:ascii="宋体" w:hAnsi="宋体" w:eastAsia="宋体" w:cs="宋体"/>
          <w:sz w:val="24"/>
          <w:szCs w:val="24"/>
        </w:rPr>
      </w:pPr>
      <w:r>
        <w:rPr>
          <w:rFonts w:ascii="宋体" w:hAnsi="宋体" w:eastAsia="宋体" w:cs="宋体"/>
          <w:spacing w:val="7"/>
          <w:sz w:val="24"/>
          <w:szCs w:val="24"/>
        </w:rPr>
        <w:t>详见下表10-7:</w:t>
      </w:r>
    </w:p>
    <w:p w14:paraId="74DCC34C">
      <w:pPr>
        <w:spacing w:before="224" w:line="218" w:lineRule="auto"/>
        <w:ind w:left="3364"/>
        <w:rPr>
          <w:rFonts w:ascii="宋体" w:hAnsi="宋体" w:eastAsia="宋体" w:cs="宋体"/>
          <w:sz w:val="27"/>
          <w:szCs w:val="27"/>
        </w:rPr>
      </w:pPr>
      <w:r>
        <w:rPr>
          <w:rFonts w:ascii="宋体" w:hAnsi="宋体" w:eastAsia="宋体" w:cs="宋体"/>
          <w:spacing w:val="-1"/>
          <w:sz w:val="27"/>
          <w:szCs w:val="27"/>
        </w:rPr>
        <w:t>表10-7评估可采储量</w:t>
      </w:r>
    </w:p>
    <w:p w14:paraId="28180D66">
      <w:pPr>
        <w:spacing w:line="77" w:lineRule="auto"/>
        <w:rPr>
          <w:rFonts w:ascii="Arial"/>
          <w:sz w:val="2"/>
        </w:rPr>
      </w:pPr>
    </w:p>
    <w:tbl>
      <w:tblPr>
        <w:tblStyle w:val="5"/>
        <w:tblW w:w="8689"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3"/>
        <w:gridCol w:w="1997"/>
        <w:gridCol w:w="1808"/>
        <w:gridCol w:w="1688"/>
        <w:gridCol w:w="1573"/>
      </w:tblGrid>
      <w:tr w14:paraId="4265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23" w:type="dxa"/>
            <w:vMerge w:val="restart"/>
            <w:tcBorders>
              <w:bottom w:val="nil"/>
            </w:tcBorders>
            <w:vAlign w:val="top"/>
          </w:tcPr>
          <w:p w14:paraId="77252041">
            <w:pPr>
              <w:pStyle w:val="6"/>
              <w:spacing w:before="244" w:line="219" w:lineRule="auto"/>
              <w:ind w:left="364"/>
              <w:rPr>
                <w:sz w:val="22"/>
                <w:szCs w:val="22"/>
              </w:rPr>
            </w:pPr>
            <w:r>
              <w:rPr>
                <w:spacing w:val="3"/>
                <w:sz w:val="22"/>
                <w:szCs w:val="22"/>
              </w:rPr>
              <w:t>矿石类型</w:t>
            </w:r>
          </w:p>
        </w:tc>
        <w:tc>
          <w:tcPr>
            <w:tcW w:w="1997" w:type="dxa"/>
            <w:vMerge w:val="restart"/>
            <w:tcBorders>
              <w:bottom w:val="nil"/>
            </w:tcBorders>
            <w:vAlign w:val="top"/>
          </w:tcPr>
          <w:p w14:paraId="03998899">
            <w:pPr>
              <w:pStyle w:val="6"/>
              <w:spacing w:before="244" w:line="219" w:lineRule="auto"/>
              <w:ind w:left="112"/>
              <w:rPr>
                <w:sz w:val="22"/>
                <w:szCs w:val="22"/>
              </w:rPr>
            </w:pPr>
            <w:r>
              <w:rPr>
                <w:spacing w:val="1"/>
                <w:sz w:val="22"/>
                <w:szCs w:val="22"/>
              </w:rPr>
              <w:t>资源储量分类编码</w:t>
            </w:r>
          </w:p>
        </w:tc>
        <w:tc>
          <w:tcPr>
            <w:tcW w:w="5069" w:type="dxa"/>
            <w:gridSpan w:val="3"/>
            <w:vAlign w:val="top"/>
          </w:tcPr>
          <w:p w14:paraId="171A49DC">
            <w:pPr>
              <w:pStyle w:val="6"/>
              <w:spacing w:before="62" w:line="219" w:lineRule="auto"/>
              <w:ind w:left="1905"/>
              <w:rPr>
                <w:sz w:val="22"/>
                <w:szCs w:val="22"/>
              </w:rPr>
            </w:pPr>
            <w:r>
              <w:rPr>
                <w:spacing w:val="-2"/>
                <w:sz w:val="22"/>
                <w:szCs w:val="22"/>
              </w:rPr>
              <w:t>可采资源储量</w:t>
            </w:r>
          </w:p>
        </w:tc>
      </w:tr>
      <w:tr w14:paraId="2B11F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tcBorders>
            <w:vAlign w:val="top"/>
          </w:tcPr>
          <w:p w14:paraId="5695AA83">
            <w:pPr>
              <w:rPr>
                <w:rFonts w:ascii="Arial"/>
                <w:sz w:val="21"/>
              </w:rPr>
            </w:pPr>
          </w:p>
        </w:tc>
        <w:tc>
          <w:tcPr>
            <w:tcW w:w="1997" w:type="dxa"/>
            <w:vMerge w:val="continue"/>
            <w:tcBorders>
              <w:top w:val="nil"/>
            </w:tcBorders>
            <w:vAlign w:val="top"/>
          </w:tcPr>
          <w:p w14:paraId="02A0CBFB">
            <w:pPr>
              <w:rPr>
                <w:rFonts w:ascii="Arial"/>
                <w:sz w:val="21"/>
              </w:rPr>
            </w:pPr>
          </w:p>
        </w:tc>
        <w:tc>
          <w:tcPr>
            <w:tcW w:w="1808" w:type="dxa"/>
            <w:vAlign w:val="top"/>
          </w:tcPr>
          <w:p w14:paraId="04871148">
            <w:pPr>
              <w:pStyle w:val="6"/>
              <w:spacing w:before="60" w:line="219" w:lineRule="auto"/>
              <w:ind w:left="235"/>
              <w:rPr>
                <w:sz w:val="22"/>
                <w:szCs w:val="22"/>
              </w:rPr>
            </w:pPr>
            <w:r>
              <w:rPr>
                <w:spacing w:val="6"/>
                <w:sz w:val="22"/>
                <w:szCs w:val="22"/>
              </w:rPr>
              <w:t>矿石量(万吨)</w:t>
            </w:r>
          </w:p>
        </w:tc>
        <w:tc>
          <w:tcPr>
            <w:tcW w:w="1688" w:type="dxa"/>
            <w:vAlign w:val="top"/>
          </w:tcPr>
          <w:p w14:paraId="76C53AF0">
            <w:pPr>
              <w:pStyle w:val="6"/>
              <w:spacing w:before="60" w:line="220" w:lineRule="auto"/>
              <w:ind w:left="236"/>
              <w:rPr>
                <w:sz w:val="22"/>
                <w:szCs w:val="22"/>
              </w:rPr>
            </w:pPr>
            <w:r>
              <w:rPr>
                <w:spacing w:val="6"/>
                <w:sz w:val="22"/>
                <w:szCs w:val="22"/>
              </w:rPr>
              <w:t>平均品位(%)</w:t>
            </w:r>
          </w:p>
        </w:tc>
        <w:tc>
          <w:tcPr>
            <w:tcW w:w="1573" w:type="dxa"/>
            <w:vAlign w:val="top"/>
          </w:tcPr>
          <w:p w14:paraId="561D2823">
            <w:pPr>
              <w:pStyle w:val="6"/>
              <w:spacing w:before="61" w:line="221" w:lineRule="auto"/>
              <w:ind w:left="229"/>
              <w:rPr>
                <w:sz w:val="22"/>
                <w:szCs w:val="22"/>
              </w:rPr>
            </w:pPr>
            <w:r>
              <w:rPr>
                <w:spacing w:val="8"/>
                <w:sz w:val="22"/>
                <w:szCs w:val="22"/>
              </w:rPr>
              <w:t>金属量(吨)</w:t>
            </w:r>
          </w:p>
        </w:tc>
      </w:tr>
      <w:tr w14:paraId="689C9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restart"/>
            <w:tcBorders>
              <w:bottom w:val="nil"/>
            </w:tcBorders>
            <w:vAlign w:val="top"/>
          </w:tcPr>
          <w:p w14:paraId="44BA8482">
            <w:pPr>
              <w:spacing w:line="258" w:lineRule="auto"/>
              <w:rPr>
                <w:rFonts w:ascii="Arial"/>
                <w:sz w:val="21"/>
              </w:rPr>
            </w:pPr>
          </w:p>
          <w:p w14:paraId="6AEC6FA9">
            <w:pPr>
              <w:spacing w:line="259" w:lineRule="auto"/>
              <w:rPr>
                <w:rFonts w:ascii="Arial"/>
                <w:sz w:val="21"/>
              </w:rPr>
            </w:pPr>
          </w:p>
          <w:p w14:paraId="6B9A2B92">
            <w:pPr>
              <w:pStyle w:val="6"/>
              <w:spacing w:before="71" w:line="220" w:lineRule="auto"/>
              <w:ind w:left="475"/>
              <w:rPr>
                <w:sz w:val="22"/>
                <w:szCs w:val="22"/>
              </w:rPr>
            </w:pPr>
            <w:r>
              <w:rPr>
                <w:spacing w:val="16"/>
                <w:sz w:val="22"/>
                <w:szCs w:val="22"/>
              </w:rPr>
              <w:t>锌(</w:t>
            </w:r>
            <w:r>
              <w:rPr>
                <w:sz w:val="22"/>
                <w:szCs w:val="22"/>
              </w:rPr>
              <w:t>Zn</w:t>
            </w:r>
            <w:r>
              <w:rPr>
                <w:spacing w:val="16"/>
                <w:sz w:val="22"/>
                <w:szCs w:val="22"/>
              </w:rPr>
              <w:t>)</w:t>
            </w:r>
          </w:p>
        </w:tc>
        <w:tc>
          <w:tcPr>
            <w:tcW w:w="1997" w:type="dxa"/>
            <w:vAlign w:val="top"/>
          </w:tcPr>
          <w:p w14:paraId="3026F0EF">
            <w:pPr>
              <w:pStyle w:val="6"/>
              <w:spacing w:before="119" w:line="176" w:lineRule="auto"/>
              <w:ind w:left="882"/>
              <w:rPr>
                <w:sz w:val="22"/>
                <w:szCs w:val="22"/>
              </w:rPr>
            </w:pPr>
            <w:r>
              <w:rPr>
                <w:spacing w:val="-2"/>
                <w:sz w:val="22"/>
                <w:szCs w:val="22"/>
              </w:rPr>
              <w:t>TM</w:t>
            </w:r>
          </w:p>
        </w:tc>
        <w:tc>
          <w:tcPr>
            <w:tcW w:w="1808" w:type="dxa"/>
            <w:vAlign w:val="top"/>
          </w:tcPr>
          <w:p w14:paraId="09A1F541">
            <w:pPr>
              <w:pStyle w:val="6"/>
              <w:spacing w:before="83" w:line="206" w:lineRule="auto"/>
              <w:ind w:left="675"/>
              <w:rPr>
                <w:sz w:val="22"/>
                <w:szCs w:val="22"/>
              </w:rPr>
            </w:pPr>
            <w:r>
              <w:rPr>
                <w:spacing w:val="-3"/>
                <w:sz w:val="22"/>
                <w:szCs w:val="22"/>
              </w:rPr>
              <w:t>7.46</w:t>
            </w:r>
          </w:p>
        </w:tc>
        <w:tc>
          <w:tcPr>
            <w:tcW w:w="1688" w:type="dxa"/>
            <w:vAlign w:val="top"/>
          </w:tcPr>
          <w:p w14:paraId="69E501E5">
            <w:pPr>
              <w:pStyle w:val="6"/>
              <w:spacing w:before="83" w:line="206" w:lineRule="auto"/>
              <w:ind w:left="566"/>
              <w:rPr>
                <w:sz w:val="22"/>
                <w:szCs w:val="22"/>
              </w:rPr>
            </w:pPr>
            <w:r>
              <w:rPr>
                <w:spacing w:val="-1"/>
                <w:sz w:val="22"/>
                <w:szCs w:val="22"/>
              </w:rPr>
              <w:t>4.97%</w:t>
            </w:r>
          </w:p>
        </w:tc>
        <w:tc>
          <w:tcPr>
            <w:tcW w:w="1573" w:type="dxa"/>
            <w:vAlign w:val="top"/>
          </w:tcPr>
          <w:p w14:paraId="1C02BC56">
            <w:pPr>
              <w:pStyle w:val="6"/>
              <w:spacing w:before="58" w:line="216" w:lineRule="auto"/>
              <w:ind w:left="338"/>
              <w:rPr>
                <w:sz w:val="22"/>
                <w:szCs w:val="22"/>
              </w:rPr>
            </w:pPr>
            <w:r>
              <w:rPr>
                <w:spacing w:val="-2"/>
                <w:sz w:val="22"/>
                <w:szCs w:val="22"/>
              </w:rPr>
              <w:t>3,706.00</w:t>
            </w:r>
          </w:p>
        </w:tc>
      </w:tr>
      <w:tr w14:paraId="1102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bottom w:val="nil"/>
            </w:tcBorders>
            <w:vAlign w:val="top"/>
          </w:tcPr>
          <w:p w14:paraId="2C52A1EF">
            <w:pPr>
              <w:rPr>
                <w:rFonts w:ascii="Arial"/>
                <w:sz w:val="21"/>
              </w:rPr>
            </w:pPr>
          </w:p>
        </w:tc>
        <w:tc>
          <w:tcPr>
            <w:tcW w:w="1997" w:type="dxa"/>
            <w:vAlign w:val="top"/>
          </w:tcPr>
          <w:p w14:paraId="615C03A5">
            <w:pPr>
              <w:pStyle w:val="6"/>
              <w:spacing w:before="120" w:line="175" w:lineRule="auto"/>
              <w:ind w:left="882"/>
              <w:rPr>
                <w:sz w:val="22"/>
                <w:szCs w:val="22"/>
              </w:rPr>
            </w:pPr>
            <w:r>
              <w:rPr>
                <w:spacing w:val="-2"/>
                <w:sz w:val="22"/>
                <w:szCs w:val="22"/>
              </w:rPr>
              <w:t>KZ</w:t>
            </w:r>
          </w:p>
        </w:tc>
        <w:tc>
          <w:tcPr>
            <w:tcW w:w="1808" w:type="dxa"/>
            <w:vAlign w:val="top"/>
          </w:tcPr>
          <w:p w14:paraId="7924A864">
            <w:pPr>
              <w:pStyle w:val="6"/>
              <w:spacing w:before="83" w:line="206" w:lineRule="auto"/>
              <w:ind w:left="624"/>
              <w:rPr>
                <w:sz w:val="22"/>
                <w:szCs w:val="22"/>
              </w:rPr>
            </w:pPr>
            <w:r>
              <w:rPr>
                <w:spacing w:val="-2"/>
                <w:sz w:val="22"/>
                <w:szCs w:val="22"/>
              </w:rPr>
              <w:t>41.06</w:t>
            </w:r>
          </w:p>
        </w:tc>
        <w:tc>
          <w:tcPr>
            <w:tcW w:w="1688" w:type="dxa"/>
            <w:vAlign w:val="top"/>
          </w:tcPr>
          <w:p w14:paraId="7A68C33C">
            <w:pPr>
              <w:pStyle w:val="6"/>
              <w:spacing w:before="83" w:line="206" w:lineRule="auto"/>
              <w:ind w:left="566"/>
              <w:rPr>
                <w:sz w:val="22"/>
                <w:szCs w:val="22"/>
              </w:rPr>
            </w:pPr>
            <w:r>
              <w:rPr>
                <w:spacing w:val="-1"/>
                <w:sz w:val="22"/>
                <w:szCs w:val="22"/>
              </w:rPr>
              <w:t>4.74%</w:t>
            </w:r>
          </w:p>
        </w:tc>
        <w:tc>
          <w:tcPr>
            <w:tcW w:w="1573" w:type="dxa"/>
            <w:vAlign w:val="top"/>
          </w:tcPr>
          <w:p w14:paraId="602F730C">
            <w:pPr>
              <w:pStyle w:val="6"/>
              <w:spacing w:before="58" w:line="216" w:lineRule="auto"/>
              <w:ind w:left="289"/>
              <w:rPr>
                <w:sz w:val="22"/>
                <w:szCs w:val="22"/>
              </w:rPr>
            </w:pPr>
            <w:r>
              <w:rPr>
                <w:spacing w:val="-3"/>
                <w:sz w:val="22"/>
                <w:szCs w:val="22"/>
              </w:rPr>
              <w:t>19,448.85</w:t>
            </w:r>
          </w:p>
        </w:tc>
      </w:tr>
      <w:tr w14:paraId="287E5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bottom w:val="nil"/>
            </w:tcBorders>
            <w:vAlign w:val="top"/>
          </w:tcPr>
          <w:p w14:paraId="48BF7425">
            <w:pPr>
              <w:rPr>
                <w:rFonts w:ascii="Arial"/>
                <w:sz w:val="21"/>
              </w:rPr>
            </w:pPr>
          </w:p>
        </w:tc>
        <w:tc>
          <w:tcPr>
            <w:tcW w:w="1997" w:type="dxa"/>
            <w:vAlign w:val="top"/>
          </w:tcPr>
          <w:p w14:paraId="3E27FAAB">
            <w:pPr>
              <w:pStyle w:val="6"/>
              <w:spacing w:before="121" w:line="174" w:lineRule="auto"/>
              <w:ind w:left="882"/>
              <w:rPr>
                <w:sz w:val="22"/>
                <w:szCs w:val="22"/>
              </w:rPr>
            </w:pPr>
            <w:r>
              <w:rPr>
                <w:spacing w:val="-2"/>
                <w:sz w:val="22"/>
                <w:szCs w:val="22"/>
              </w:rPr>
              <w:t>TD</w:t>
            </w:r>
          </w:p>
        </w:tc>
        <w:tc>
          <w:tcPr>
            <w:tcW w:w="1808" w:type="dxa"/>
            <w:vAlign w:val="top"/>
          </w:tcPr>
          <w:p w14:paraId="7CA98758">
            <w:pPr>
              <w:pStyle w:val="6"/>
              <w:spacing w:before="84" w:line="205" w:lineRule="auto"/>
              <w:ind w:left="624"/>
              <w:rPr>
                <w:sz w:val="22"/>
                <w:szCs w:val="22"/>
              </w:rPr>
            </w:pPr>
            <w:r>
              <w:rPr>
                <w:spacing w:val="-3"/>
                <w:sz w:val="22"/>
                <w:szCs w:val="22"/>
              </w:rPr>
              <w:t>38.05</w:t>
            </w:r>
          </w:p>
        </w:tc>
        <w:tc>
          <w:tcPr>
            <w:tcW w:w="1688" w:type="dxa"/>
            <w:vAlign w:val="top"/>
          </w:tcPr>
          <w:p w14:paraId="04DD7F36">
            <w:pPr>
              <w:pStyle w:val="6"/>
              <w:spacing w:before="84" w:line="205" w:lineRule="auto"/>
              <w:ind w:left="566"/>
              <w:rPr>
                <w:sz w:val="22"/>
                <w:szCs w:val="22"/>
              </w:rPr>
            </w:pPr>
            <w:r>
              <w:rPr>
                <w:sz w:val="22"/>
                <w:szCs w:val="22"/>
              </w:rPr>
              <w:t>4.16%</w:t>
            </w:r>
          </w:p>
        </w:tc>
        <w:tc>
          <w:tcPr>
            <w:tcW w:w="1573" w:type="dxa"/>
            <w:vAlign w:val="top"/>
          </w:tcPr>
          <w:p w14:paraId="3EDF2A70">
            <w:pPr>
              <w:pStyle w:val="6"/>
              <w:spacing w:before="60" w:line="216" w:lineRule="auto"/>
              <w:ind w:left="289"/>
              <w:rPr>
                <w:sz w:val="22"/>
                <w:szCs w:val="22"/>
              </w:rPr>
            </w:pPr>
            <w:r>
              <w:rPr>
                <w:spacing w:val="-3"/>
                <w:sz w:val="22"/>
                <w:szCs w:val="22"/>
              </w:rPr>
              <w:t>15,829.89</w:t>
            </w:r>
          </w:p>
        </w:tc>
      </w:tr>
      <w:tr w14:paraId="178F7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tcBorders>
            <w:vAlign w:val="top"/>
          </w:tcPr>
          <w:p w14:paraId="6BE24FB8">
            <w:pPr>
              <w:rPr>
                <w:rFonts w:ascii="Arial"/>
                <w:sz w:val="21"/>
              </w:rPr>
            </w:pPr>
          </w:p>
        </w:tc>
        <w:tc>
          <w:tcPr>
            <w:tcW w:w="1997" w:type="dxa"/>
            <w:vAlign w:val="top"/>
          </w:tcPr>
          <w:p w14:paraId="7B6594FC">
            <w:pPr>
              <w:pStyle w:val="6"/>
              <w:spacing w:before="65" w:line="221" w:lineRule="auto"/>
              <w:ind w:left="771"/>
              <w:rPr>
                <w:sz w:val="22"/>
                <w:szCs w:val="22"/>
              </w:rPr>
            </w:pPr>
            <w:r>
              <w:rPr>
                <w:spacing w:val="4"/>
                <w:sz w:val="22"/>
                <w:szCs w:val="22"/>
              </w:rPr>
              <w:t>小计</w:t>
            </w:r>
          </w:p>
        </w:tc>
        <w:tc>
          <w:tcPr>
            <w:tcW w:w="1808" w:type="dxa"/>
            <w:vAlign w:val="top"/>
          </w:tcPr>
          <w:p w14:paraId="722CCAB2">
            <w:pPr>
              <w:pStyle w:val="6"/>
              <w:spacing w:before="85" w:line="204" w:lineRule="auto"/>
              <w:ind w:left="624"/>
              <w:rPr>
                <w:sz w:val="22"/>
                <w:szCs w:val="22"/>
              </w:rPr>
            </w:pPr>
            <w:r>
              <w:rPr>
                <w:spacing w:val="-2"/>
                <w:sz w:val="22"/>
                <w:szCs w:val="22"/>
              </w:rPr>
              <w:t>86.58</w:t>
            </w:r>
          </w:p>
        </w:tc>
        <w:tc>
          <w:tcPr>
            <w:tcW w:w="1688" w:type="dxa"/>
            <w:vAlign w:val="top"/>
          </w:tcPr>
          <w:p w14:paraId="7E6CAF2D">
            <w:pPr>
              <w:pStyle w:val="6"/>
              <w:spacing w:before="85" w:line="204" w:lineRule="auto"/>
              <w:ind w:left="566"/>
              <w:rPr>
                <w:sz w:val="22"/>
                <w:szCs w:val="22"/>
              </w:rPr>
            </w:pPr>
            <w:r>
              <w:rPr>
                <w:spacing w:val="-1"/>
                <w:sz w:val="22"/>
                <w:szCs w:val="22"/>
              </w:rPr>
              <w:t>4.50%</w:t>
            </w:r>
          </w:p>
        </w:tc>
        <w:tc>
          <w:tcPr>
            <w:tcW w:w="1573" w:type="dxa"/>
            <w:vAlign w:val="top"/>
          </w:tcPr>
          <w:p w14:paraId="79F77E56">
            <w:pPr>
              <w:pStyle w:val="6"/>
              <w:spacing w:before="61" w:line="216" w:lineRule="auto"/>
              <w:ind w:left="289"/>
              <w:rPr>
                <w:sz w:val="22"/>
                <w:szCs w:val="22"/>
              </w:rPr>
            </w:pPr>
            <w:r>
              <w:rPr>
                <w:spacing w:val="-2"/>
                <w:sz w:val="22"/>
                <w:szCs w:val="22"/>
              </w:rPr>
              <w:t>38,984.74</w:t>
            </w:r>
          </w:p>
        </w:tc>
      </w:tr>
      <w:tr w14:paraId="30EC6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restart"/>
            <w:tcBorders>
              <w:bottom w:val="nil"/>
            </w:tcBorders>
            <w:vAlign w:val="top"/>
          </w:tcPr>
          <w:p w14:paraId="164061D9">
            <w:pPr>
              <w:spacing w:line="260" w:lineRule="auto"/>
              <w:rPr>
                <w:rFonts w:ascii="Arial"/>
                <w:sz w:val="21"/>
              </w:rPr>
            </w:pPr>
          </w:p>
          <w:p w14:paraId="310D2DC5">
            <w:pPr>
              <w:spacing w:line="260" w:lineRule="auto"/>
              <w:rPr>
                <w:rFonts w:ascii="Arial"/>
                <w:sz w:val="21"/>
              </w:rPr>
            </w:pPr>
          </w:p>
          <w:p w14:paraId="7972B96A">
            <w:pPr>
              <w:pStyle w:val="6"/>
              <w:spacing w:before="71" w:line="219" w:lineRule="auto"/>
              <w:ind w:left="255"/>
              <w:rPr>
                <w:sz w:val="22"/>
                <w:szCs w:val="22"/>
              </w:rPr>
            </w:pPr>
            <w:r>
              <w:rPr>
                <w:spacing w:val="9"/>
                <w:sz w:val="22"/>
                <w:szCs w:val="22"/>
              </w:rPr>
              <w:t>伴生铅(</w:t>
            </w:r>
            <w:r>
              <w:rPr>
                <w:sz w:val="22"/>
                <w:szCs w:val="22"/>
              </w:rPr>
              <w:t>Pb</w:t>
            </w:r>
            <w:r>
              <w:rPr>
                <w:spacing w:val="9"/>
                <w:sz w:val="22"/>
                <w:szCs w:val="22"/>
              </w:rPr>
              <w:t>)</w:t>
            </w:r>
          </w:p>
        </w:tc>
        <w:tc>
          <w:tcPr>
            <w:tcW w:w="1997" w:type="dxa"/>
            <w:vAlign w:val="top"/>
          </w:tcPr>
          <w:p w14:paraId="7FC3FA94">
            <w:pPr>
              <w:pStyle w:val="6"/>
              <w:spacing w:before="122" w:line="173" w:lineRule="auto"/>
              <w:ind w:left="882"/>
              <w:rPr>
                <w:sz w:val="22"/>
                <w:szCs w:val="22"/>
              </w:rPr>
            </w:pPr>
            <w:r>
              <w:rPr>
                <w:spacing w:val="-2"/>
                <w:sz w:val="22"/>
                <w:szCs w:val="22"/>
              </w:rPr>
              <w:t>TM</w:t>
            </w:r>
          </w:p>
        </w:tc>
        <w:tc>
          <w:tcPr>
            <w:tcW w:w="1808" w:type="dxa"/>
            <w:vAlign w:val="top"/>
          </w:tcPr>
          <w:p w14:paraId="0F458AD9">
            <w:pPr>
              <w:pStyle w:val="6"/>
              <w:spacing w:before="87" w:line="203" w:lineRule="auto"/>
              <w:ind w:left="675"/>
              <w:rPr>
                <w:sz w:val="22"/>
                <w:szCs w:val="22"/>
              </w:rPr>
            </w:pPr>
            <w:r>
              <w:rPr>
                <w:spacing w:val="-3"/>
                <w:sz w:val="22"/>
                <w:szCs w:val="22"/>
              </w:rPr>
              <w:t>5.39</w:t>
            </w:r>
          </w:p>
        </w:tc>
        <w:tc>
          <w:tcPr>
            <w:tcW w:w="1688" w:type="dxa"/>
            <w:vAlign w:val="top"/>
          </w:tcPr>
          <w:p w14:paraId="40A13FBA">
            <w:pPr>
              <w:pStyle w:val="6"/>
              <w:spacing w:before="87" w:line="203" w:lineRule="auto"/>
              <w:ind w:left="566"/>
              <w:rPr>
                <w:sz w:val="22"/>
                <w:szCs w:val="22"/>
              </w:rPr>
            </w:pPr>
            <w:r>
              <w:rPr>
                <w:spacing w:val="-3"/>
                <w:sz w:val="22"/>
                <w:szCs w:val="22"/>
              </w:rPr>
              <w:t>0.47%</w:t>
            </w:r>
          </w:p>
        </w:tc>
        <w:tc>
          <w:tcPr>
            <w:tcW w:w="1573" w:type="dxa"/>
            <w:vAlign w:val="top"/>
          </w:tcPr>
          <w:p w14:paraId="1AED1C65">
            <w:pPr>
              <w:pStyle w:val="6"/>
              <w:spacing w:before="87" w:line="203" w:lineRule="auto"/>
              <w:ind w:left="449"/>
              <w:rPr>
                <w:sz w:val="22"/>
                <w:szCs w:val="22"/>
              </w:rPr>
            </w:pPr>
            <w:r>
              <w:rPr>
                <w:spacing w:val="-2"/>
                <w:sz w:val="22"/>
                <w:szCs w:val="22"/>
              </w:rPr>
              <w:t>250.75</w:t>
            </w:r>
          </w:p>
        </w:tc>
      </w:tr>
      <w:tr w14:paraId="5A2D0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bottom w:val="nil"/>
            </w:tcBorders>
            <w:vAlign w:val="top"/>
          </w:tcPr>
          <w:p w14:paraId="1914B673">
            <w:pPr>
              <w:rPr>
                <w:rFonts w:ascii="Arial"/>
                <w:sz w:val="21"/>
              </w:rPr>
            </w:pPr>
          </w:p>
        </w:tc>
        <w:tc>
          <w:tcPr>
            <w:tcW w:w="1997" w:type="dxa"/>
            <w:vAlign w:val="top"/>
          </w:tcPr>
          <w:p w14:paraId="3F7F287A">
            <w:pPr>
              <w:pStyle w:val="6"/>
              <w:spacing w:before="124" w:line="172" w:lineRule="auto"/>
              <w:ind w:left="882"/>
              <w:rPr>
                <w:sz w:val="22"/>
                <w:szCs w:val="22"/>
              </w:rPr>
            </w:pPr>
            <w:r>
              <w:rPr>
                <w:spacing w:val="-2"/>
                <w:sz w:val="22"/>
                <w:szCs w:val="22"/>
              </w:rPr>
              <w:t>KZ</w:t>
            </w:r>
          </w:p>
        </w:tc>
        <w:tc>
          <w:tcPr>
            <w:tcW w:w="1808" w:type="dxa"/>
            <w:vAlign w:val="top"/>
          </w:tcPr>
          <w:p w14:paraId="69803179">
            <w:pPr>
              <w:pStyle w:val="6"/>
              <w:spacing w:before="88" w:line="202" w:lineRule="auto"/>
              <w:ind w:left="624"/>
              <w:rPr>
                <w:sz w:val="22"/>
                <w:szCs w:val="22"/>
              </w:rPr>
            </w:pPr>
            <w:r>
              <w:rPr>
                <w:spacing w:val="-2"/>
                <w:sz w:val="22"/>
                <w:szCs w:val="22"/>
              </w:rPr>
              <w:t>29.30</w:t>
            </w:r>
          </w:p>
        </w:tc>
        <w:tc>
          <w:tcPr>
            <w:tcW w:w="1688" w:type="dxa"/>
            <w:vAlign w:val="top"/>
          </w:tcPr>
          <w:p w14:paraId="01DA81A4">
            <w:pPr>
              <w:pStyle w:val="6"/>
              <w:spacing w:before="88" w:line="202" w:lineRule="auto"/>
              <w:ind w:left="566"/>
              <w:rPr>
                <w:sz w:val="22"/>
                <w:szCs w:val="22"/>
              </w:rPr>
            </w:pPr>
            <w:r>
              <w:rPr>
                <w:spacing w:val="-2"/>
                <w:sz w:val="22"/>
                <w:szCs w:val="22"/>
              </w:rPr>
              <w:t>0.60%</w:t>
            </w:r>
          </w:p>
        </w:tc>
        <w:tc>
          <w:tcPr>
            <w:tcW w:w="1573" w:type="dxa"/>
            <w:vAlign w:val="top"/>
          </w:tcPr>
          <w:p w14:paraId="52A1AD8B">
            <w:pPr>
              <w:pStyle w:val="6"/>
              <w:spacing w:before="63" w:line="216" w:lineRule="auto"/>
              <w:ind w:left="338"/>
              <w:rPr>
                <w:sz w:val="22"/>
                <w:szCs w:val="22"/>
              </w:rPr>
            </w:pPr>
            <w:r>
              <w:rPr>
                <w:spacing w:val="-4"/>
                <w:sz w:val="22"/>
                <w:szCs w:val="22"/>
              </w:rPr>
              <w:t>1,768.85</w:t>
            </w:r>
          </w:p>
        </w:tc>
      </w:tr>
      <w:tr w14:paraId="70DA0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bottom w:val="nil"/>
            </w:tcBorders>
            <w:vAlign w:val="top"/>
          </w:tcPr>
          <w:p w14:paraId="2BD3BDD2">
            <w:pPr>
              <w:rPr>
                <w:rFonts w:ascii="Arial"/>
                <w:sz w:val="21"/>
              </w:rPr>
            </w:pPr>
          </w:p>
        </w:tc>
        <w:tc>
          <w:tcPr>
            <w:tcW w:w="1997" w:type="dxa"/>
            <w:vAlign w:val="top"/>
          </w:tcPr>
          <w:p w14:paraId="06B56B1F">
            <w:pPr>
              <w:pStyle w:val="6"/>
              <w:spacing w:before="125" w:line="171" w:lineRule="auto"/>
              <w:ind w:left="882"/>
              <w:rPr>
                <w:sz w:val="22"/>
                <w:szCs w:val="22"/>
              </w:rPr>
            </w:pPr>
            <w:r>
              <w:rPr>
                <w:spacing w:val="-2"/>
                <w:sz w:val="22"/>
                <w:szCs w:val="22"/>
              </w:rPr>
              <w:t>TD</w:t>
            </w:r>
          </w:p>
        </w:tc>
        <w:tc>
          <w:tcPr>
            <w:tcW w:w="1808" w:type="dxa"/>
            <w:vAlign w:val="top"/>
          </w:tcPr>
          <w:p w14:paraId="0C9563FD">
            <w:pPr>
              <w:pStyle w:val="6"/>
              <w:spacing w:before="89" w:line="201" w:lineRule="auto"/>
              <w:ind w:left="624"/>
              <w:rPr>
                <w:sz w:val="22"/>
                <w:szCs w:val="22"/>
              </w:rPr>
            </w:pPr>
            <w:r>
              <w:rPr>
                <w:spacing w:val="-2"/>
                <w:sz w:val="22"/>
                <w:szCs w:val="22"/>
              </w:rPr>
              <w:t>24.85</w:t>
            </w:r>
          </w:p>
        </w:tc>
        <w:tc>
          <w:tcPr>
            <w:tcW w:w="1688" w:type="dxa"/>
            <w:vAlign w:val="top"/>
          </w:tcPr>
          <w:p w14:paraId="62196A0F">
            <w:pPr>
              <w:pStyle w:val="6"/>
              <w:spacing w:before="89" w:line="201" w:lineRule="auto"/>
              <w:ind w:left="566"/>
              <w:rPr>
                <w:sz w:val="22"/>
                <w:szCs w:val="22"/>
              </w:rPr>
            </w:pPr>
            <w:r>
              <w:rPr>
                <w:spacing w:val="-2"/>
                <w:sz w:val="22"/>
                <w:szCs w:val="22"/>
              </w:rPr>
              <w:t>0.72%</w:t>
            </w:r>
          </w:p>
        </w:tc>
        <w:tc>
          <w:tcPr>
            <w:tcW w:w="1573" w:type="dxa"/>
            <w:vAlign w:val="top"/>
          </w:tcPr>
          <w:p w14:paraId="0C39D691">
            <w:pPr>
              <w:pStyle w:val="6"/>
              <w:spacing w:before="63" w:line="216" w:lineRule="auto"/>
              <w:ind w:left="338"/>
              <w:rPr>
                <w:sz w:val="22"/>
                <w:szCs w:val="22"/>
              </w:rPr>
            </w:pPr>
            <w:r>
              <w:rPr>
                <w:spacing w:val="-4"/>
                <w:sz w:val="22"/>
                <w:szCs w:val="22"/>
              </w:rPr>
              <w:t>1,790.10</w:t>
            </w:r>
          </w:p>
        </w:tc>
      </w:tr>
      <w:tr w14:paraId="534C0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23" w:type="dxa"/>
            <w:vMerge w:val="continue"/>
            <w:tcBorders>
              <w:top w:val="nil"/>
            </w:tcBorders>
            <w:vAlign w:val="top"/>
          </w:tcPr>
          <w:p w14:paraId="04D9A389">
            <w:pPr>
              <w:rPr>
                <w:rFonts w:ascii="Arial"/>
                <w:sz w:val="21"/>
              </w:rPr>
            </w:pPr>
          </w:p>
        </w:tc>
        <w:tc>
          <w:tcPr>
            <w:tcW w:w="1997" w:type="dxa"/>
            <w:vAlign w:val="top"/>
          </w:tcPr>
          <w:p w14:paraId="6E7CF801">
            <w:pPr>
              <w:pStyle w:val="6"/>
              <w:spacing w:before="69" w:line="219" w:lineRule="auto"/>
              <w:ind w:left="771"/>
              <w:rPr>
                <w:sz w:val="22"/>
                <w:szCs w:val="22"/>
              </w:rPr>
            </w:pPr>
            <w:r>
              <w:rPr>
                <w:spacing w:val="4"/>
                <w:sz w:val="22"/>
                <w:szCs w:val="22"/>
              </w:rPr>
              <w:t>小计</w:t>
            </w:r>
          </w:p>
        </w:tc>
        <w:tc>
          <w:tcPr>
            <w:tcW w:w="1808" w:type="dxa"/>
            <w:vAlign w:val="top"/>
          </w:tcPr>
          <w:p w14:paraId="4F64D7CF">
            <w:pPr>
              <w:pStyle w:val="6"/>
              <w:spacing w:before="90" w:line="201" w:lineRule="auto"/>
              <w:ind w:left="624"/>
              <w:rPr>
                <w:sz w:val="22"/>
                <w:szCs w:val="22"/>
              </w:rPr>
            </w:pPr>
            <w:r>
              <w:rPr>
                <w:spacing w:val="-3"/>
                <w:sz w:val="22"/>
                <w:szCs w:val="22"/>
              </w:rPr>
              <w:t>59.54</w:t>
            </w:r>
          </w:p>
        </w:tc>
        <w:tc>
          <w:tcPr>
            <w:tcW w:w="1688" w:type="dxa"/>
            <w:vAlign w:val="top"/>
          </w:tcPr>
          <w:p w14:paraId="4260940A">
            <w:pPr>
              <w:pStyle w:val="6"/>
              <w:spacing w:before="90" w:line="201" w:lineRule="auto"/>
              <w:ind w:left="566"/>
              <w:rPr>
                <w:sz w:val="22"/>
                <w:szCs w:val="22"/>
              </w:rPr>
            </w:pPr>
            <w:r>
              <w:rPr>
                <w:spacing w:val="-2"/>
                <w:sz w:val="22"/>
                <w:szCs w:val="22"/>
              </w:rPr>
              <w:t>0.64%</w:t>
            </w:r>
          </w:p>
        </w:tc>
        <w:tc>
          <w:tcPr>
            <w:tcW w:w="1573" w:type="dxa"/>
            <w:vAlign w:val="top"/>
          </w:tcPr>
          <w:p w14:paraId="62093849">
            <w:pPr>
              <w:pStyle w:val="6"/>
              <w:spacing w:before="64" w:line="216" w:lineRule="auto"/>
              <w:ind w:left="338"/>
              <w:rPr>
                <w:sz w:val="22"/>
                <w:szCs w:val="22"/>
              </w:rPr>
            </w:pPr>
            <w:r>
              <w:rPr>
                <w:spacing w:val="-2"/>
                <w:sz w:val="22"/>
                <w:szCs w:val="22"/>
              </w:rPr>
              <w:t>3,809.70</w:t>
            </w:r>
          </w:p>
        </w:tc>
      </w:tr>
      <w:tr w14:paraId="77123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23" w:type="dxa"/>
            <w:vMerge w:val="restart"/>
            <w:tcBorders>
              <w:bottom w:val="nil"/>
            </w:tcBorders>
            <w:vAlign w:val="top"/>
          </w:tcPr>
          <w:p w14:paraId="28EB1C46">
            <w:pPr>
              <w:spacing w:line="261" w:lineRule="auto"/>
              <w:rPr>
                <w:rFonts w:ascii="Arial"/>
                <w:sz w:val="21"/>
              </w:rPr>
            </w:pPr>
          </w:p>
          <w:p w14:paraId="2F5AE7E4">
            <w:pPr>
              <w:spacing w:line="262" w:lineRule="auto"/>
              <w:rPr>
                <w:rFonts w:ascii="Arial"/>
                <w:sz w:val="21"/>
              </w:rPr>
            </w:pPr>
          </w:p>
          <w:p w14:paraId="23306E64">
            <w:pPr>
              <w:pStyle w:val="6"/>
              <w:spacing w:before="71" w:line="219" w:lineRule="auto"/>
              <w:ind w:left="255"/>
              <w:rPr>
                <w:sz w:val="22"/>
                <w:szCs w:val="22"/>
              </w:rPr>
            </w:pPr>
            <w:r>
              <w:rPr>
                <w:spacing w:val="9"/>
                <w:sz w:val="22"/>
                <w:szCs w:val="22"/>
              </w:rPr>
              <w:t>伴生镉(</w:t>
            </w:r>
            <w:r>
              <w:rPr>
                <w:sz w:val="22"/>
                <w:szCs w:val="22"/>
              </w:rPr>
              <w:t>Cd</w:t>
            </w:r>
            <w:r>
              <w:rPr>
                <w:spacing w:val="9"/>
                <w:sz w:val="22"/>
                <w:szCs w:val="22"/>
              </w:rPr>
              <w:t>)</w:t>
            </w:r>
          </w:p>
        </w:tc>
        <w:tc>
          <w:tcPr>
            <w:tcW w:w="1997" w:type="dxa"/>
            <w:vAlign w:val="top"/>
          </w:tcPr>
          <w:p w14:paraId="25798F26">
            <w:pPr>
              <w:pStyle w:val="6"/>
              <w:spacing w:before="126" w:line="171" w:lineRule="auto"/>
              <w:ind w:left="882"/>
              <w:rPr>
                <w:sz w:val="22"/>
                <w:szCs w:val="22"/>
              </w:rPr>
            </w:pPr>
            <w:r>
              <w:rPr>
                <w:spacing w:val="-2"/>
                <w:sz w:val="22"/>
                <w:szCs w:val="22"/>
              </w:rPr>
              <w:t>TM</w:t>
            </w:r>
          </w:p>
        </w:tc>
        <w:tc>
          <w:tcPr>
            <w:tcW w:w="1808" w:type="dxa"/>
            <w:vAlign w:val="top"/>
          </w:tcPr>
          <w:p w14:paraId="0F300503">
            <w:pPr>
              <w:pStyle w:val="6"/>
              <w:spacing w:before="90" w:line="201" w:lineRule="auto"/>
              <w:ind w:left="675"/>
              <w:rPr>
                <w:sz w:val="22"/>
                <w:szCs w:val="22"/>
              </w:rPr>
            </w:pPr>
            <w:r>
              <w:rPr>
                <w:spacing w:val="-3"/>
                <w:sz w:val="22"/>
                <w:szCs w:val="22"/>
              </w:rPr>
              <w:t>7.46</w:t>
            </w:r>
          </w:p>
        </w:tc>
        <w:tc>
          <w:tcPr>
            <w:tcW w:w="1688" w:type="dxa"/>
            <w:vAlign w:val="top"/>
          </w:tcPr>
          <w:p w14:paraId="5B67CFB6">
            <w:pPr>
              <w:pStyle w:val="6"/>
              <w:spacing w:before="90" w:line="201" w:lineRule="auto"/>
              <w:ind w:left="507"/>
              <w:rPr>
                <w:sz w:val="22"/>
                <w:szCs w:val="22"/>
              </w:rPr>
            </w:pPr>
            <w:r>
              <w:rPr>
                <w:spacing w:val="-1"/>
                <w:sz w:val="22"/>
                <w:szCs w:val="22"/>
              </w:rPr>
              <w:t>0.110%</w:t>
            </w:r>
          </w:p>
        </w:tc>
        <w:tc>
          <w:tcPr>
            <w:tcW w:w="1573" w:type="dxa"/>
            <w:vAlign w:val="top"/>
          </w:tcPr>
          <w:p w14:paraId="774854A1">
            <w:pPr>
              <w:pStyle w:val="6"/>
              <w:spacing w:before="90" w:line="201" w:lineRule="auto"/>
              <w:ind w:left="509"/>
              <w:rPr>
                <w:sz w:val="22"/>
                <w:szCs w:val="22"/>
              </w:rPr>
            </w:pPr>
            <w:r>
              <w:rPr>
                <w:spacing w:val="-3"/>
                <w:sz w:val="22"/>
                <w:szCs w:val="22"/>
              </w:rPr>
              <w:t>79.90</w:t>
            </w:r>
          </w:p>
        </w:tc>
      </w:tr>
      <w:tr w14:paraId="37FFC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623" w:type="dxa"/>
            <w:vMerge w:val="continue"/>
            <w:tcBorders>
              <w:top w:val="nil"/>
              <w:bottom w:val="nil"/>
            </w:tcBorders>
            <w:vAlign w:val="top"/>
          </w:tcPr>
          <w:p w14:paraId="00F26ABB">
            <w:pPr>
              <w:rPr>
                <w:rFonts w:ascii="Arial"/>
                <w:sz w:val="21"/>
              </w:rPr>
            </w:pPr>
          </w:p>
        </w:tc>
        <w:tc>
          <w:tcPr>
            <w:tcW w:w="1997" w:type="dxa"/>
            <w:vAlign w:val="top"/>
          </w:tcPr>
          <w:p w14:paraId="12E74F33">
            <w:pPr>
              <w:pStyle w:val="6"/>
              <w:spacing w:before="126" w:line="170" w:lineRule="auto"/>
              <w:ind w:left="882"/>
              <w:rPr>
                <w:sz w:val="22"/>
                <w:szCs w:val="22"/>
              </w:rPr>
            </w:pPr>
            <w:r>
              <w:rPr>
                <w:spacing w:val="-2"/>
                <w:sz w:val="22"/>
                <w:szCs w:val="22"/>
              </w:rPr>
              <w:t>KZ</w:t>
            </w:r>
          </w:p>
        </w:tc>
        <w:tc>
          <w:tcPr>
            <w:tcW w:w="1808" w:type="dxa"/>
            <w:vAlign w:val="top"/>
          </w:tcPr>
          <w:p w14:paraId="45CEFE02">
            <w:pPr>
              <w:pStyle w:val="6"/>
              <w:spacing w:before="89" w:line="201" w:lineRule="auto"/>
              <w:ind w:left="624"/>
              <w:rPr>
                <w:sz w:val="22"/>
                <w:szCs w:val="22"/>
              </w:rPr>
            </w:pPr>
            <w:r>
              <w:rPr>
                <w:spacing w:val="-2"/>
                <w:sz w:val="22"/>
                <w:szCs w:val="22"/>
              </w:rPr>
              <w:t>41.06</w:t>
            </w:r>
          </w:p>
        </w:tc>
        <w:tc>
          <w:tcPr>
            <w:tcW w:w="1688" w:type="dxa"/>
            <w:vAlign w:val="top"/>
          </w:tcPr>
          <w:p w14:paraId="79247C6C">
            <w:pPr>
              <w:pStyle w:val="6"/>
              <w:spacing w:before="89" w:line="201" w:lineRule="auto"/>
              <w:ind w:left="507"/>
              <w:rPr>
                <w:sz w:val="22"/>
                <w:szCs w:val="22"/>
              </w:rPr>
            </w:pPr>
            <w:r>
              <w:rPr>
                <w:spacing w:val="-1"/>
                <w:sz w:val="22"/>
                <w:szCs w:val="22"/>
              </w:rPr>
              <w:t>0.100%</w:t>
            </w:r>
          </w:p>
        </w:tc>
        <w:tc>
          <w:tcPr>
            <w:tcW w:w="1573" w:type="dxa"/>
            <w:vAlign w:val="top"/>
          </w:tcPr>
          <w:p w14:paraId="2AAB1482">
            <w:pPr>
              <w:pStyle w:val="6"/>
              <w:spacing w:before="89" w:line="201" w:lineRule="auto"/>
              <w:ind w:left="449"/>
              <w:rPr>
                <w:sz w:val="22"/>
                <w:szCs w:val="22"/>
              </w:rPr>
            </w:pPr>
            <w:r>
              <w:rPr>
                <w:spacing w:val="-2"/>
                <w:sz w:val="22"/>
                <w:szCs w:val="22"/>
              </w:rPr>
              <w:t>417.35</w:t>
            </w:r>
          </w:p>
        </w:tc>
      </w:tr>
      <w:tr w14:paraId="36113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23" w:type="dxa"/>
            <w:vMerge w:val="continue"/>
            <w:tcBorders>
              <w:top w:val="nil"/>
              <w:bottom w:val="nil"/>
            </w:tcBorders>
            <w:vAlign w:val="top"/>
          </w:tcPr>
          <w:p w14:paraId="18AC4FB1">
            <w:pPr>
              <w:rPr>
                <w:rFonts w:ascii="Arial"/>
                <w:sz w:val="21"/>
              </w:rPr>
            </w:pPr>
          </w:p>
        </w:tc>
        <w:tc>
          <w:tcPr>
            <w:tcW w:w="1997" w:type="dxa"/>
            <w:vAlign w:val="top"/>
          </w:tcPr>
          <w:p w14:paraId="0D1EA614">
            <w:pPr>
              <w:pStyle w:val="6"/>
              <w:spacing w:before="127" w:line="170" w:lineRule="auto"/>
              <w:ind w:left="882"/>
              <w:rPr>
                <w:sz w:val="22"/>
                <w:szCs w:val="22"/>
              </w:rPr>
            </w:pPr>
            <w:r>
              <w:rPr>
                <w:spacing w:val="-2"/>
                <w:sz w:val="22"/>
                <w:szCs w:val="22"/>
              </w:rPr>
              <w:t>TD</w:t>
            </w:r>
          </w:p>
        </w:tc>
        <w:tc>
          <w:tcPr>
            <w:tcW w:w="1808" w:type="dxa"/>
            <w:vAlign w:val="top"/>
          </w:tcPr>
          <w:p w14:paraId="0A17EFFA">
            <w:pPr>
              <w:pStyle w:val="6"/>
              <w:spacing w:before="90" w:line="201" w:lineRule="auto"/>
              <w:ind w:left="624"/>
              <w:rPr>
                <w:sz w:val="22"/>
                <w:szCs w:val="22"/>
              </w:rPr>
            </w:pPr>
            <w:r>
              <w:rPr>
                <w:spacing w:val="-3"/>
                <w:sz w:val="22"/>
                <w:szCs w:val="22"/>
              </w:rPr>
              <w:t>38.05</w:t>
            </w:r>
          </w:p>
        </w:tc>
        <w:tc>
          <w:tcPr>
            <w:tcW w:w="1688" w:type="dxa"/>
            <w:vAlign w:val="top"/>
          </w:tcPr>
          <w:p w14:paraId="35AB3BAD">
            <w:pPr>
              <w:pStyle w:val="6"/>
              <w:spacing w:before="90" w:line="201" w:lineRule="auto"/>
              <w:ind w:left="507"/>
              <w:rPr>
                <w:sz w:val="22"/>
                <w:szCs w:val="22"/>
              </w:rPr>
            </w:pPr>
            <w:r>
              <w:rPr>
                <w:spacing w:val="-1"/>
                <w:sz w:val="22"/>
                <w:szCs w:val="22"/>
              </w:rPr>
              <w:t>0.160%</w:t>
            </w:r>
          </w:p>
        </w:tc>
        <w:tc>
          <w:tcPr>
            <w:tcW w:w="1573" w:type="dxa"/>
            <w:vAlign w:val="top"/>
          </w:tcPr>
          <w:p w14:paraId="1CB6BDEF">
            <w:pPr>
              <w:pStyle w:val="6"/>
              <w:spacing w:before="90" w:line="201" w:lineRule="auto"/>
              <w:ind w:left="449"/>
              <w:rPr>
                <w:sz w:val="22"/>
                <w:szCs w:val="22"/>
              </w:rPr>
            </w:pPr>
            <w:r>
              <w:rPr>
                <w:spacing w:val="-2"/>
                <w:sz w:val="22"/>
                <w:szCs w:val="22"/>
              </w:rPr>
              <w:t>599.25</w:t>
            </w:r>
          </w:p>
        </w:tc>
      </w:tr>
      <w:tr w14:paraId="59C39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23" w:type="dxa"/>
            <w:vMerge w:val="continue"/>
            <w:tcBorders>
              <w:top w:val="nil"/>
            </w:tcBorders>
            <w:vAlign w:val="top"/>
          </w:tcPr>
          <w:p w14:paraId="1EDA309F">
            <w:pPr>
              <w:rPr>
                <w:rFonts w:ascii="Arial"/>
                <w:sz w:val="21"/>
              </w:rPr>
            </w:pPr>
          </w:p>
        </w:tc>
        <w:tc>
          <w:tcPr>
            <w:tcW w:w="1997" w:type="dxa"/>
            <w:vAlign w:val="top"/>
          </w:tcPr>
          <w:p w14:paraId="2A9648CA">
            <w:pPr>
              <w:pStyle w:val="6"/>
              <w:spacing w:before="70" w:line="221" w:lineRule="auto"/>
              <w:ind w:left="771"/>
              <w:rPr>
                <w:sz w:val="22"/>
                <w:szCs w:val="22"/>
              </w:rPr>
            </w:pPr>
            <w:r>
              <w:rPr>
                <w:spacing w:val="4"/>
                <w:sz w:val="22"/>
                <w:szCs w:val="22"/>
              </w:rPr>
              <w:t>小计</w:t>
            </w:r>
          </w:p>
        </w:tc>
        <w:tc>
          <w:tcPr>
            <w:tcW w:w="1808" w:type="dxa"/>
            <w:vAlign w:val="top"/>
          </w:tcPr>
          <w:p w14:paraId="6F3E89C0">
            <w:pPr>
              <w:pStyle w:val="6"/>
              <w:spacing w:before="90" w:line="204" w:lineRule="auto"/>
              <w:ind w:left="624"/>
              <w:rPr>
                <w:sz w:val="22"/>
                <w:szCs w:val="22"/>
              </w:rPr>
            </w:pPr>
            <w:r>
              <w:rPr>
                <w:spacing w:val="-2"/>
                <w:sz w:val="22"/>
                <w:szCs w:val="22"/>
              </w:rPr>
              <w:t>86.58</w:t>
            </w:r>
          </w:p>
        </w:tc>
        <w:tc>
          <w:tcPr>
            <w:tcW w:w="1688" w:type="dxa"/>
            <w:vAlign w:val="top"/>
          </w:tcPr>
          <w:p w14:paraId="26BDBF05">
            <w:pPr>
              <w:pStyle w:val="6"/>
              <w:spacing w:before="90" w:line="204" w:lineRule="auto"/>
              <w:ind w:left="507"/>
              <w:rPr>
                <w:sz w:val="22"/>
                <w:szCs w:val="22"/>
              </w:rPr>
            </w:pPr>
            <w:r>
              <w:rPr>
                <w:spacing w:val="-1"/>
                <w:sz w:val="22"/>
                <w:szCs w:val="22"/>
              </w:rPr>
              <w:t>0.127%</w:t>
            </w:r>
          </w:p>
        </w:tc>
        <w:tc>
          <w:tcPr>
            <w:tcW w:w="1573" w:type="dxa"/>
            <w:vAlign w:val="top"/>
          </w:tcPr>
          <w:p w14:paraId="7A686D11">
            <w:pPr>
              <w:pStyle w:val="6"/>
              <w:spacing w:before="66" w:line="216" w:lineRule="auto"/>
              <w:ind w:left="338"/>
              <w:rPr>
                <w:sz w:val="22"/>
                <w:szCs w:val="22"/>
              </w:rPr>
            </w:pPr>
            <w:r>
              <w:rPr>
                <w:spacing w:val="-4"/>
                <w:sz w:val="22"/>
                <w:szCs w:val="22"/>
              </w:rPr>
              <w:t>1,096.50</w:t>
            </w:r>
          </w:p>
        </w:tc>
      </w:tr>
    </w:tbl>
    <w:p w14:paraId="332808EB">
      <w:pPr>
        <w:spacing w:before="245" w:line="219" w:lineRule="auto"/>
        <w:ind w:left="614"/>
        <w:outlineLvl w:val="1"/>
        <w:rPr>
          <w:rFonts w:ascii="宋体" w:hAnsi="宋体" w:eastAsia="宋体" w:cs="宋体"/>
          <w:sz w:val="24"/>
          <w:szCs w:val="24"/>
        </w:rPr>
      </w:pPr>
      <w:bookmarkStart w:id="44" w:name="bookmark30"/>
      <w:bookmarkEnd w:id="44"/>
      <w:r>
        <w:rPr>
          <w:rFonts w:ascii="宋体" w:hAnsi="宋体" w:eastAsia="宋体" w:cs="宋体"/>
          <w:spacing w:val="10"/>
          <w:sz w:val="24"/>
          <w:szCs w:val="24"/>
        </w:rPr>
        <w:t>10.7生产规模</w:t>
      </w:r>
    </w:p>
    <w:p w14:paraId="1FCBD10F">
      <w:pPr>
        <w:spacing w:before="212" w:line="426" w:lineRule="auto"/>
        <w:ind w:left="134" w:right="221" w:firstLine="480"/>
        <w:jc w:val="both"/>
        <w:rPr>
          <w:rFonts w:ascii="宋体" w:hAnsi="宋体" w:eastAsia="宋体" w:cs="宋体"/>
          <w:sz w:val="24"/>
          <w:szCs w:val="24"/>
        </w:rPr>
      </w:pPr>
      <w:r>
        <w:rPr>
          <w:rFonts w:ascii="宋体" w:hAnsi="宋体" w:eastAsia="宋体" w:cs="宋体"/>
          <w:sz w:val="24"/>
          <w:szCs w:val="24"/>
        </w:rPr>
        <w:t>根据《矿业权出让收益评估应用指南(试行)》及《</w:t>
      </w:r>
      <w:r>
        <w:rPr>
          <w:rFonts w:ascii="宋体" w:hAnsi="宋体" w:eastAsia="宋体" w:cs="宋体"/>
          <w:spacing w:val="-1"/>
          <w:sz w:val="24"/>
          <w:szCs w:val="24"/>
        </w:rPr>
        <w:t>矿业权评估参数确定确定</w:t>
      </w:r>
      <w:r>
        <w:rPr>
          <w:rFonts w:ascii="宋体" w:hAnsi="宋体" w:eastAsia="宋体" w:cs="宋体"/>
          <w:sz w:val="24"/>
          <w:szCs w:val="24"/>
        </w:rPr>
        <w:t xml:space="preserve"> </w:t>
      </w:r>
      <w:r>
        <w:rPr>
          <w:rFonts w:ascii="宋体" w:hAnsi="宋体" w:eastAsia="宋体" w:cs="宋体"/>
          <w:spacing w:val="4"/>
          <w:sz w:val="24"/>
          <w:szCs w:val="24"/>
        </w:rPr>
        <w:t>指导意见》,生产矿山(包括改扩建项目)矿业权评估，应按下述</w:t>
      </w:r>
      <w:r>
        <w:rPr>
          <w:rFonts w:ascii="宋体" w:hAnsi="宋体" w:eastAsia="宋体" w:cs="宋体"/>
          <w:spacing w:val="3"/>
          <w:sz w:val="24"/>
          <w:szCs w:val="24"/>
        </w:rPr>
        <w:t>方法确定评估用</w:t>
      </w:r>
      <w:r>
        <w:rPr>
          <w:rFonts w:ascii="宋体" w:hAnsi="宋体" w:eastAsia="宋体" w:cs="宋体"/>
          <w:sz w:val="24"/>
          <w:szCs w:val="24"/>
        </w:rPr>
        <w:t xml:space="preserve"> 矿山生产能力：</w:t>
      </w:r>
    </w:p>
    <w:p w14:paraId="2B81FF13">
      <w:pPr>
        <w:spacing w:line="218" w:lineRule="auto"/>
        <w:ind w:left="755"/>
        <w:rPr>
          <w:rFonts w:ascii="宋体" w:hAnsi="宋体" w:eastAsia="宋体" w:cs="宋体"/>
          <w:sz w:val="24"/>
          <w:szCs w:val="24"/>
        </w:rPr>
      </w:pPr>
      <w:r>
        <w:rPr>
          <w:rFonts w:ascii="宋体" w:hAnsi="宋体" w:eastAsia="宋体" w:cs="宋体"/>
          <w:spacing w:val="4"/>
          <w:sz w:val="24"/>
          <w:szCs w:val="24"/>
        </w:rPr>
        <w:t>(1)根据采矿许可证载明的生产规模确定；</w:t>
      </w:r>
    </w:p>
    <w:p w14:paraId="3649DA2D">
      <w:pPr>
        <w:spacing w:before="217" w:line="219" w:lineRule="auto"/>
        <w:ind w:left="755"/>
        <w:rPr>
          <w:rFonts w:ascii="宋体" w:hAnsi="宋体" w:eastAsia="宋体" w:cs="宋体"/>
          <w:sz w:val="24"/>
          <w:szCs w:val="24"/>
        </w:rPr>
      </w:pPr>
      <w:r>
        <w:rPr>
          <w:rFonts w:ascii="宋体" w:hAnsi="宋体" w:eastAsia="宋体" w:cs="宋体"/>
          <w:sz w:val="24"/>
          <w:szCs w:val="24"/>
        </w:rPr>
        <w:t>(2)根据经批准的矿产资源开发利用方案确定或者管理部门核准生产能力文</w:t>
      </w:r>
    </w:p>
    <w:p w14:paraId="43E6183B">
      <w:pPr>
        <w:spacing w:before="295" w:line="219" w:lineRule="auto"/>
        <w:ind w:left="134"/>
        <w:rPr>
          <w:rFonts w:ascii="宋体" w:hAnsi="宋体" w:eastAsia="宋体" w:cs="宋体"/>
          <w:sz w:val="24"/>
          <w:szCs w:val="24"/>
        </w:rPr>
      </w:pPr>
      <w:r>
        <w:rPr>
          <w:rFonts w:ascii="宋体" w:hAnsi="宋体" w:eastAsia="宋体" w:cs="宋体"/>
          <w:spacing w:val="2"/>
          <w:sz w:val="24"/>
          <w:szCs w:val="24"/>
        </w:rPr>
        <w:t>件等确定。</w:t>
      </w:r>
    </w:p>
    <w:p w14:paraId="1CA31410">
      <w:pPr>
        <w:spacing w:before="206" w:line="388" w:lineRule="auto"/>
        <w:ind w:left="134" w:right="124" w:firstLine="480"/>
        <w:rPr>
          <w:rFonts w:ascii="宋体" w:hAnsi="宋体" w:eastAsia="宋体" w:cs="宋体"/>
          <w:sz w:val="25"/>
          <w:szCs w:val="25"/>
        </w:rPr>
      </w:pPr>
      <w:r>
        <w:rPr>
          <w:rFonts w:ascii="宋体" w:hAnsi="宋体" w:eastAsia="宋体" w:cs="宋体"/>
          <w:spacing w:val="-6"/>
          <w:sz w:val="25"/>
          <w:szCs w:val="25"/>
        </w:rPr>
        <w:t>采矿许可证载明生产规模为10万吨/年，“开发利用方案”设计生产能力为</w:t>
      </w:r>
      <w:r>
        <w:rPr>
          <w:rFonts w:ascii="宋体" w:hAnsi="宋体" w:eastAsia="宋体" w:cs="宋体"/>
          <w:sz w:val="25"/>
          <w:szCs w:val="25"/>
        </w:rPr>
        <w:t xml:space="preserve">  </w:t>
      </w:r>
      <w:r>
        <w:rPr>
          <w:rFonts w:ascii="宋体" w:hAnsi="宋体" w:eastAsia="宋体" w:cs="宋体"/>
          <w:spacing w:val="-2"/>
          <w:sz w:val="25"/>
          <w:szCs w:val="25"/>
        </w:rPr>
        <w:t>10万吨/年(详见附件十：</w:t>
      </w:r>
      <w:r>
        <w:rPr>
          <w:rFonts w:ascii="Times New Roman" w:hAnsi="Times New Roman" w:eastAsia="Times New Roman" w:cs="Times New Roman"/>
          <w:spacing w:val="-2"/>
          <w:sz w:val="25"/>
          <w:szCs w:val="25"/>
        </w:rPr>
        <w:t>P37),</w:t>
      </w:r>
      <w:r>
        <w:rPr>
          <w:rFonts w:ascii="Times New Roman" w:hAnsi="Times New Roman" w:eastAsia="Times New Roman" w:cs="Times New Roman"/>
          <w:spacing w:val="29"/>
          <w:w w:val="101"/>
          <w:sz w:val="25"/>
          <w:szCs w:val="25"/>
        </w:rPr>
        <w:t xml:space="preserve">  </w:t>
      </w:r>
      <w:r>
        <w:rPr>
          <w:rFonts w:ascii="宋体" w:hAnsi="宋体" w:eastAsia="宋体" w:cs="宋体"/>
          <w:spacing w:val="-2"/>
          <w:sz w:val="25"/>
          <w:szCs w:val="25"/>
        </w:rPr>
        <w:t>因此本次评估确定矿山生产规模为10万吨/年。</w:t>
      </w:r>
    </w:p>
    <w:p w14:paraId="744E2AEE">
      <w:pPr>
        <w:spacing w:before="47" w:line="412" w:lineRule="auto"/>
        <w:ind w:left="134" w:right="218" w:firstLine="480"/>
        <w:rPr>
          <w:rFonts w:ascii="宋体" w:hAnsi="宋体" w:eastAsia="宋体" w:cs="宋体"/>
          <w:sz w:val="24"/>
          <w:szCs w:val="24"/>
        </w:rPr>
      </w:pPr>
      <w:r>
        <w:rPr>
          <w:rFonts w:ascii="宋体" w:hAnsi="宋体" w:eastAsia="宋体" w:cs="宋体"/>
          <w:spacing w:val="4"/>
          <w:sz w:val="24"/>
          <w:szCs w:val="24"/>
        </w:rPr>
        <w:t xml:space="preserve">锌矿、伴生镉矿生产规模为10万吨/年。根据伴生铅可采资源储量计算，伴 </w:t>
      </w:r>
      <w:r>
        <w:rPr>
          <w:rFonts w:ascii="宋体" w:hAnsi="宋体" w:eastAsia="宋体" w:cs="宋体"/>
          <w:spacing w:val="-1"/>
          <w:sz w:val="24"/>
          <w:szCs w:val="24"/>
        </w:rPr>
        <w:t>生铅矿的生产规模为：</w:t>
      </w:r>
    </w:p>
    <w:p w14:paraId="3F59828E">
      <w:pPr>
        <w:spacing w:before="1" w:line="219" w:lineRule="auto"/>
        <w:ind w:left="614"/>
        <w:rPr>
          <w:rFonts w:ascii="宋体" w:hAnsi="宋体" w:eastAsia="宋体" w:cs="宋体"/>
          <w:sz w:val="24"/>
          <w:szCs w:val="24"/>
        </w:rPr>
      </w:pPr>
      <w:r>
        <w:rPr>
          <w:rFonts w:ascii="宋体" w:hAnsi="宋体" w:eastAsia="宋体" w:cs="宋体"/>
          <w:spacing w:val="11"/>
          <w:sz w:val="24"/>
          <w:szCs w:val="24"/>
        </w:rPr>
        <w:t>伴生铅矿生产规模=59.54÷86.58×10=6.88万</w:t>
      </w:r>
      <w:r>
        <w:rPr>
          <w:rFonts w:ascii="宋体" w:hAnsi="宋体" w:eastAsia="宋体" w:cs="宋体"/>
          <w:spacing w:val="10"/>
          <w:sz w:val="24"/>
          <w:szCs w:val="24"/>
        </w:rPr>
        <w:t>吨/年</w:t>
      </w:r>
    </w:p>
    <w:p w14:paraId="6E6F4436">
      <w:pPr>
        <w:spacing w:line="219" w:lineRule="auto"/>
        <w:rPr>
          <w:rFonts w:ascii="宋体" w:hAnsi="宋体" w:eastAsia="宋体" w:cs="宋体"/>
          <w:sz w:val="24"/>
          <w:szCs w:val="24"/>
        </w:rPr>
        <w:sectPr>
          <w:headerReference r:id="rId84" w:type="default"/>
          <w:footerReference r:id="rId85" w:type="default"/>
          <w:pgSz w:w="11900" w:h="16830"/>
          <w:pgMar w:top="1227" w:right="1340" w:bottom="1310" w:left="1785" w:header="950" w:footer="968" w:gutter="0"/>
          <w:cols w:space="720" w:num="1"/>
        </w:sectPr>
      </w:pPr>
    </w:p>
    <w:p w14:paraId="1D103680">
      <w:pPr>
        <w:pStyle w:val="2"/>
        <w:spacing w:line="372" w:lineRule="auto"/>
      </w:pPr>
    </w:p>
    <w:p w14:paraId="3D09876D">
      <w:pPr>
        <w:spacing w:before="78" w:line="219" w:lineRule="auto"/>
        <w:ind w:left="624"/>
        <w:outlineLvl w:val="1"/>
        <w:rPr>
          <w:rFonts w:ascii="宋体" w:hAnsi="宋体" w:eastAsia="宋体" w:cs="宋体"/>
          <w:sz w:val="24"/>
          <w:szCs w:val="24"/>
        </w:rPr>
      </w:pPr>
      <w:bookmarkStart w:id="45" w:name="bookmark31"/>
      <w:bookmarkEnd w:id="45"/>
      <w:r>
        <w:rPr>
          <w:rFonts w:ascii="宋体" w:hAnsi="宋体" w:eastAsia="宋体" w:cs="宋体"/>
          <w:spacing w:val="1"/>
          <w:sz w:val="24"/>
          <w:szCs w:val="24"/>
        </w:rPr>
        <w:t>10.8矿山服务年限的确定</w:t>
      </w:r>
    </w:p>
    <w:p w14:paraId="0EB6FC4B">
      <w:pPr>
        <w:spacing w:before="195" w:line="219" w:lineRule="auto"/>
        <w:ind w:left="604"/>
        <w:rPr>
          <w:rFonts w:ascii="宋体" w:hAnsi="宋体" w:eastAsia="宋体" w:cs="宋体"/>
          <w:sz w:val="24"/>
          <w:szCs w:val="24"/>
        </w:rPr>
      </w:pPr>
      <w:r>
        <w:rPr>
          <w:rFonts w:ascii="宋体" w:hAnsi="宋体" w:eastAsia="宋体" w:cs="宋体"/>
          <w:spacing w:val="-5"/>
          <w:sz w:val="24"/>
          <w:szCs w:val="24"/>
        </w:rPr>
        <w:t>矿山服务年限计算公式为：</w:t>
      </w:r>
    </w:p>
    <w:p w14:paraId="4EE88897">
      <w:pPr>
        <w:spacing w:before="85" w:line="680" w:lineRule="exact"/>
        <w:ind w:firstLine="1614"/>
      </w:pPr>
      <w:r>
        <w:rPr>
          <w:position w:val="-13"/>
        </w:rPr>
        <w:drawing>
          <wp:inline distT="0" distB="0" distL="0" distR="0">
            <wp:extent cx="965200" cy="431165"/>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51"/>
                    <a:stretch>
                      <a:fillRect/>
                    </a:stretch>
                  </pic:blipFill>
                  <pic:spPr>
                    <a:xfrm>
                      <a:off x="0" y="0"/>
                      <a:ext cx="965267" cy="431757"/>
                    </a:xfrm>
                    <a:prstGeom prst="rect">
                      <a:avLst/>
                    </a:prstGeom>
                  </pic:spPr>
                </pic:pic>
              </a:graphicData>
            </a:graphic>
          </wp:inline>
        </w:drawing>
      </w:r>
    </w:p>
    <w:p w14:paraId="17BC1A6B">
      <w:pPr>
        <w:spacing w:before="310" w:line="219" w:lineRule="auto"/>
        <w:ind w:left="604"/>
        <w:rPr>
          <w:rFonts w:ascii="宋体" w:hAnsi="宋体" w:eastAsia="宋体" w:cs="宋体"/>
          <w:sz w:val="24"/>
          <w:szCs w:val="24"/>
        </w:rPr>
      </w:pPr>
      <w:r>
        <w:rPr>
          <w:rFonts w:ascii="宋体" w:hAnsi="宋体" w:eastAsia="宋体" w:cs="宋体"/>
          <w:spacing w:val="-6"/>
          <w:sz w:val="24"/>
          <w:szCs w:val="24"/>
        </w:rPr>
        <w:t>式中：</w:t>
      </w:r>
      <w:r>
        <w:rPr>
          <w:rFonts w:ascii="Times New Roman" w:hAnsi="Times New Roman" w:eastAsia="Times New Roman" w:cs="Times New Roman"/>
          <w:spacing w:val="-6"/>
          <w:sz w:val="24"/>
          <w:szCs w:val="24"/>
        </w:rPr>
        <w:t>T——</w:t>
      </w:r>
      <w:r>
        <w:rPr>
          <w:rFonts w:ascii="宋体" w:hAnsi="宋体" w:eastAsia="宋体" w:cs="宋体"/>
          <w:spacing w:val="-6"/>
          <w:sz w:val="24"/>
          <w:szCs w:val="24"/>
        </w:rPr>
        <w:t>矿山服务年限；</w:t>
      </w:r>
    </w:p>
    <w:p w14:paraId="5B1BE59C">
      <w:pPr>
        <w:spacing w:before="162" w:line="212" w:lineRule="auto"/>
        <w:ind w:left="1334"/>
        <w:rPr>
          <w:rFonts w:ascii="宋体" w:hAnsi="宋体" w:eastAsia="宋体" w:cs="宋体"/>
          <w:sz w:val="24"/>
          <w:szCs w:val="24"/>
        </w:rPr>
      </w:pPr>
      <w:r>
        <w:rPr>
          <w:rFonts w:ascii="Times New Roman" w:hAnsi="Times New Roman" w:eastAsia="Times New Roman" w:cs="Times New Roman"/>
          <w:spacing w:val="-11"/>
          <w:sz w:val="24"/>
          <w:szCs w:val="24"/>
        </w:rPr>
        <w:t>Q——</w:t>
      </w:r>
      <w:r>
        <w:rPr>
          <w:rFonts w:ascii="宋体" w:hAnsi="宋体" w:eastAsia="宋体" w:cs="宋体"/>
          <w:spacing w:val="-11"/>
          <w:sz w:val="24"/>
          <w:szCs w:val="24"/>
        </w:rPr>
        <w:t>可采储量；</w:t>
      </w:r>
    </w:p>
    <w:p w14:paraId="7E9B365A">
      <w:pPr>
        <w:spacing w:before="207" w:line="219" w:lineRule="auto"/>
        <w:ind w:left="1324"/>
        <w:rPr>
          <w:rFonts w:ascii="宋体" w:hAnsi="宋体" w:eastAsia="宋体" w:cs="宋体"/>
          <w:sz w:val="24"/>
          <w:szCs w:val="24"/>
        </w:rPr>
      </w:pPr>
      <w:r>
        <w:rPr>
          <w:rFonts w:ascii="Times New Roman" w:hAnsi="Times New Roman" w:eastAsia="Times New Roman" w:cs="Times New Roman"/>
          <w:spacing w:val="-9"/>
          <w:sz w:val="24"/>
          <w:szCs w:val="24"/>
        </w:rPr>
        <w:t>A——</w:t>
      </w:r>
      <w:r>
        <w:rPr>
          <w:rFonts w:ascii="宋体" w:hAnsi="宋体" w:eastAsia="宋体" w:cs="宋体"/>
          <w:spacing w:val="-9"/>
          <w:sz w:val="24"/>
          <w:szCs w:val="24"/>
        </w:rPr>
        <w:t>矿山生产能力；</w:t>
      </w:r>
    </w:p>
    <w:p w14:paraId="7D1B36F4">
      <w:pPr>
        <w:spacing w:before="158" w:line="212" w:lineRule="auto"/>
        <w:ind w:left="1405"/>
        <w:rPr>
          <w:rFonts w:ascii="宋体" w:hAnsi="宋体" w:eastAsia="宋体" w:cs="宋体"/>
          <w:sz w:val="24"/>
          <w:szCs w:val="24"/>
        </w:rPr>
      </w:pPr>
      <w:r>
        <w:rPr>
          <w:rFonts w:ascii="Times New Roman" w:hAnsi="Times New Roman" w:eastAsia="Times New Roman" w:cs="Times New Roman"/>
          <w:spacing w:val="-4"/>
          <w:sz w:val="24"/>
          <w:szCs w:val="24"/>
        </w:rPr>
        <w:t>p——</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矿石贫化率。</w:t>
      </w:r>
    </w:p>
    <w:p w14:paraId="43450C0B">
      <w:pPr>
        <w:spacing w:before="249" w:line="384" w:lineRule="auto"/>
        <w:ind w:left="124" w:right="149" w:firstLine="500"/>
        <w:rPr>
          <w:rFonts w:ascii="宋体" w:hAnsi="宋体" w:eastAsia="宋体" w:cs="宋体"/>
          <w:sz w:val="24"/>
          <w:szCs w:val="24"/>
        </w:rPr>
      </w:pPr>
      <w:r>
        <w:rPr>
          <w:rFonts w:ascii="宋体" w:hAnsi="宋体" w:eastAsia="宋体" w:cs="宋体"/>
          <w:spacing w:val="-5"/>
          <w:sz w:val="24"/>
          <w:szCs w:val="24"/>
        </w:rPr>
        <w:t>可采储量、贫化率及矿山生产能力的取值在前面已得</w:t>
      </w:r>
      <w:r>
        <w:rPr>
          <w:rFonts w:ascii="宋体" w:hAnsi="宋体" w:eastAsia="宋体" w:cs="宋体"/>
          <w:spacing w:val="-6"/>
          <w:sz w:val="24"/>
          <w:szCs w:val="24"/>
        </w:rPr>
        <w:t>出。将评估用可采储量、</w:t>
      </w:r>
      <w:r>
        <w:rPr>
          <w:rFonts w:ascii="宋体" w:hAnsi="宋体" w:eastAsia="宋体" w:cs="宋体"/>
          <w:sz w:val="24"/>
          <w:szCs w:val="24"/>
        </w:rPr>
        <w:t xml:space="preserve"> </w:t>
      </w:r>
      <w:r>
        <w:rPr>
          <w:rFonts w:ascii="宋体" w:hAnsi="宋体" w:eastAsia="宋体" w:cs="宋体"/>
          <w:spacing w:val="-1"/>
          <w:sz w:val="24"/>
          <w:szCs w:val="24"/>
        </w:rPr>
        <w:t>矿山生产能力和矿石贫化率代入公式后求得合理的矿山服务年限。</w:t>
      </w:r>
    </w:p>
    <w:p w14:paraId="0255DC95">
      <w:pPr>
        <w:spacing w:before="2" w:line="382" w:lineRule="auto"/>
        <w:ind w:left="144" w:right="195" w:firstLine="480"/>
        <w:jc w:val="both"/>
        <w:rPr>
          <w:rFonts w:ascii="宋体" w:hAnsi="宋体" w:eastAsia="宋体" w:cs="宋体"/>
          <w:sz w:val="24"/>
          <w:szCs w:val="24"/>
        </w:rPr>
      </w:pPr>
      <w:r>
        <w:rPr>
          <w:rFonts w:ascii="宋体" w:hAnsi="宋体" w:eastAsia="宋体" w:cs="宋体"/>
          <w:spacing w:val="10"/>
          <w:sz w:val="24"/>
          <w:szCs w:val="24"/>
        </w:rPr>
        <w:t>富乐铅锌矿评估利用可采储量(锌、伴生镉)为86.58万吨，贫化率为12%,</w:t>
      </w:r>
      <w:r>
        <w:rPr>
          <w:rFonts w:ascii="宋体" w:hAnsi="宋体" w:eastAsia="宋体" w:cs="宋体"/>
          <w:spacing w:val="3"/>
          <w:sz w:val="24"/>
          <w:szCs w:val="24"/>
        </w:rPr>
        <w:t xml:space="preserve"> </w:t>
      </w:r>
      <w:r>
        <w:rPr>
          <w:rFonts w:ascii="宋体" w:hAnsi="宋体" w:eastAsia="宋体" w:cs="宋体"/>
          <w:spacing w:val="12"/>
          <w:sz w:val="24"/>
          <w:szCs w:val="24"/>
        </w:rPr>
        <w:t>生产能力为10万吨/年。可采储量(伴生铅)59.54万吨，</w:t>
      </w:r>
      <w:r>
        <w:rPr>
          <w:rFonts w:ascii="宋体" w:hAnsi="宋体" w:eastAsia="宋体" w:cs="宋体"/>
          <w:spacing w:val="11"/>
          <w:sz w:val="24"/>
          <w:szCs w:val="24"/>
        </w:rPr>
        <w:t>贫化率12%,生产能力</w:t>
      </w:r>
      <w:r>
        <w:rPr>
          <w:rFonts w:ascii="宋体" w:hAnsi="宋体" w:eastAsia="宋体" w:cs="宋体"/>
          <w:sz w:val="24"/>
          <w:szCs w:val="24"/>
        </w:rPr>
        <w:t xml:space="preserve"> </w:t>
      </w:r>
      <w:r>
        <w:rPr>
          <w:rFonts w:ascii="宋体" w:hAnsi="宋体" w:eastAsia="宋体" w:cs="宋体"/>
          <w:spacing w:val="10"/>
          <w:sz w:val="24"/>
          <w:szCs w:val="24"/>
        </w:rPr>
        <w:t>为6.88万吨/年。</w:t>
      </w:r>
    </w:p>
    <w:p w14:paraId="51D85403">
      <w:pPr>
        <w:spacing w:before="2" w:line="374" w:lineRule="auto"/>
        <w:ind w:left="175" w:right="217" w:firstLine="449"/>
        <w:rPr>
          <w:rFonts w:ascii="宋体" w:hAnsi="宋体" w:eastAsia="宋体" w:cs="宋体"/>
          <w:sz w:val="24"/>
          <w:szCs w:val="24"/>
        </w:rPr>
      </w:pPr>
      <w:r>
        <w:rPr>
          <w:rFonts w:ascii="宋体" w:hAnsi="宋体" w:eastAsia="宋体" w:cs="宋体"/>
          <w:sz w:val="24"/>
          <w:szCs w:val="24"/>
        </w:rPr>
        <w:t>将评估利用可采储量、矿山生产能力和矿石贫化率代入</w:t>
      </w:r>
      <w:r>
        <w:rPr>
          <w:rFonts w:ascii="宋体" w:hAnsi="宋体" w:eastAsia="宋体" w:cs="宋体"/>
          <w:spacing w:val="-1"/>
          <w:sz w:val="24"/>
          <w:szCs w:val="24"/>
        </w:rPr>
        <w:t>公式后求得合理的矿</w:t>
      </w:r>
      <w:r>
        <w:rPr>
          <w:rFonts w:ascii="宋体" w:hAnsi="宋体" w:eastAsia="宋体" w:cs="宋体"/>
          <w:sz w:val="24"/>
          <w:szCs w:val="24"/>
        </w:rPr>
        <w:t xml:space="preserve"> </w:t>
      </w:r>
      <w:r>
        <w:rPr>
          <w:rFonts w:ascii="宋体" w:hAnsi="宋体" w:eastAsia="宋体" w:cs="宋体"/>
          <w:spacing w:val="-9"/>
          <w:sz w:val="24"/>
          <w:szCs w:val="24"/>
        </w:rPr>
        <w:t>山服务年限：</w:t>
      </w:r>
    </w:p>
    <w:p w14:paraId="06FEEF4A">
      <w:pPr>
        <w:spacing w:before="1" w:line="388" w:lineRule="auto"/>
        <w:ind w:left="4024" w:right="1932" w:hanging="3400"/>
        <w:rPr>
          <w:rFonts w:ascii="宋体" w:hAnsi="宋体" w:eastAsia="宋体" w:cs="宋体"/>
          <w:sz w:val="24"/>
          <w:szCs w:val="24"/>
        </w:rPr>
      </w:pPr>
      <w:r>
        <w:rPr>
          <w:rFonts w:ascii="宋体" w:hAnsi="宋体" w:eastAsia="宋体" w:cs="宋体"/>
          <w:spacing w:val="12"/>
          <w:sz w:val="24"/>
          <w:szCs w:val="24"/>
        </w:rPr>
        <w:t xml:space="preserve">矿山服务年限T </w:t>
      </w:r>
      <w:r>
        <w:rPr>
          <w:rFonts w:ascii="Times New Roman" w:hAnsi="Times New Roman" w:eastAsia="Times New Roman" w:cs="Times New Roman"/>
          <w:spacing w:val="12"/>
          <w:sz w:val="24"/>
          <w:szCs w:val="24"/>
        </w:rPr>
        <w:t xml:space="preserve">( </w:t>
      </w:r>
      <w:r>
        <w:rPr>
          <w:rFonts w:ascii="宋体" w:hAnsi="宋体" w:eastAsia="宋体" w:cs="宋体"/>
          <w:spacing w:val="12"/>
          <w:sz w:val="24"/>
          <w:szCs w:val="24"/>
        </w:rPr>
        <w:t>锌、伴生镉)=86.58÷[10×(1—1</w:t>
      </w:r>
      <w:r>
        <w:rPr>
          <w:rFonts w:ascii="宋体" w:hAnsi="宋体" w:eastAsia="宋体" w:cs="宋体"/>
          <w:spacing w:val="11"/>
          <w:sz w:val="24"/>
          <w:szCs w:val="24"/>
        </w:rPr>
        <w:t>2%)]</w:t>
      </w:r>
      <w:r>
        <w:rPr>
          <w:rFonts w:ascii="宋体" w:hAnsi="宋体" w:eastAsia="宋体" w:cs="宋体"/>
          <w:sz w:val="24"/>
          <w:szCs w:val="24"/>
        </w:rPr>
        <w:t xml:space="preserve"> </w:t>
      </w:r>
      <w:r>
        <w:rPr>
          <w:rFonts w:ascii="宋体" w:hAnsi="宋体" w:eastAsia="宋体" w:cs="宋体"/>
          <w:spacing w:val="18"/>
          <w:sz w:val="24"/>
          <w:szCs w:val="24"/>
        </w:rPr>
        <w:t>=9</w:t>
      </w:r>
      <w:r>
        <w:rPr>
          <w:rFonts w:ascii="宋体" w:hAnsi="宋体" w:eastAsia="宋体" w:cs="宋体"/>
          <w:spacing w:val="-69"/>
          <w:sz w:val="24"/>
          <w:szCs w:val="24"/>
        </w:rPr>
        <w:t xml:space="preserve"> </w:t>
      </w:r>
      <w:r>
        <w:rPr>
          <w:rFonts w:ascii="宋体" w:hAnsi="宋体" w:eastAsia="宋体" w:cs="宋体"/>
          <w:spacing w:val="18"/>
          <w:sz w:val="24"/>
          <w:szCs w:val="24"/>
        </w:rPr>
        <w:t>.84年</w:t>
      </w:r>
    </w:p>
    <w:p w14:paraId="73E0875C">
      <w:pPr>
        <w:spacing w:before="1" w:line="212" w:lineRule="auto"/>
        <w:ind w:left="634"/>
        <w:rPr>
          <w:rFonts w:ascii="宋体" w:hAnsi="宋体" w:eastAsia="宋体" w:cs="宋体"/>
          <w:sz w:val="24"/>
          <w:szCs w:val="24"/>
        </w:rPr>
      </w:pPr>
      <w:r>
        <w:rPr>
          <w:rFonts w:ascii="宋体" w:hAnsi="宋体" w:eastAsia="宋体" w:cs="宋体"/>
          <w:spacing w:val="13"/>
          <w:sz w:val="24"/>
          <w:szCs w:val="24"/>
        </w:rPr>
        <w:t xml:space="preserve">矿山服务年限T </w:t>
      </w:r>
      <w:r>
        <w:rPr>
          <w:rFonts w:ascii="Times New Roman" w:hAnsi="Times New Roman" w:eastAsia="Times New Roman" w:cs="Times New Roman"/>
          <w:spacing w:val="13"/>
          <w:sz w:val="24"/>
          <w:szCs w:val="24"/>
        </w:rPr>
        <w:t xml:space="preserve">( </w:t>
      </w:r>
      <w:r>
        <w:rPr>
          <w:rFonts w:ascii="宋体" w:hAnsi="宋体" w:eastAsia="宋体" w:cs="宋体"/>
          <w:spacing w:val="13"/>
          <w:sz w:val="24"/>
          <w:szCs w:val="24"/>
        </w:rPr>
        <w:t>铅)=59.54÷[6.88×(1—12%)]</w:t>
      </w:r>
    </w:p>
    <w:p w14:paraId="02371205">
      <w:pPr>
        <w:spacing w:before="221" w:line="219" w:lineRule="auto"/>
        <w:ind w:left="3074"/>
        <w:rPr>
          <w:rFonts w:ascii="宋体" w:hAnsi="宋体" w:eastAsia="宋体" w:cs="宋体"/>
          <w:sz w:val="24"/>
          <w:szCs w:val="24"/>
        </w:rPr>
      </w:pPr>
      <w:r>
        <w:rPr>
          <w:rFonts w:ascii="宋体" w:hAnsi="宋体" w:eastAsia="宋体" w:cs="宋体"/>
          <w:spacing w:val="21"/>
          <w:sz w:val="24"/>
          <w:szCs w:val="24"/>
        </w:rPr>
        <w:t>=9</w:t>
      </w:r>
      <w:r>
        <w:rPr>
          <w:rFonts w:ascii="宋体" w:hAnsi="宋体" w:eastAsia="宋体" w:cs="宋体"/>
          <w:spacing w:val="-67"/>
          <w:sz w:val="24"/>
          <w:szCs w:val="24"/>
        </w:rPr>
        <w:t xml:space="preserve"> </w:t>
      </w:r>
      <w:r>
        <w:rPr>
          <w:rFonts w:ascii="宋体" w:hAnsi="宋体" w:eastAsia="宋体" w:cs="宋体"/>
          <w:spacing w:val="21"/>
          <w:sz w:val="24"/>
          <w:szCs w:val="24"/>
        </w:rPr>
        <w:t>.84年</w:t>
      </w:r>
    </w:p>
    <w:p w14:paraId="31A40BD0">
      <w:pPr>
        <w:spacing w:before="230" w:line="386" w:lineRule="auto"/>
        <w:ind w:left="134" w:right="109" w:firstLine="490"/>
        <w:jc w:val="both"/>
        <w:rPr>
          <w:rFonts w:ascii="宋体" w:hAnsi="宋体" w:eastAsia="宋体" w:cs="宋体"/>
          <w:sz w:val="24"/>
          <w:szCs w:val="24"/>
        </w:rPr>
      </w:pPr>
      <w:r>
        <w:rPr>
          <w:rFonts w:ascii="宋体" w:hAnsi="宋体" w:eastAsia="宋体" w:cs="宋体"/>
          <w:spacing w:val="-10"/>
          <w:sz w:val="24"/>
          <w:szCs w:val="24"/>
        </w:rPr>
        <w:t>根据“开发利用方案”、“开发利用方案修编”(</w:t>
      </w:r>
      <w:r>
        <w:rPr>
          <w:rFonts w:ascii="宋体" w:hAnsi="宋体" w:eastAsia="宋体" w:cs="宋体"/>
          <w:spacing w:val="-11"/>
          <w:sz w:val="24"/>
          <w:szCs w:val="24"/>
        </w:rPr>
        <w:t>详见附件十：</w:t>
      </w:r>
      <w:r>
        <w:rPr>
          <w:rFonts w:ascii="Times New Roman" w:hAnsi="Times New Roman" w:eastAsia="Times New Roman" w:cs="Times New Roman"/>
          <w:spacing w:val="-11"/>
          <w:sz w:val="24"/>
          <w:szCs w:val="24"/>
        </w:rPr>
        <w:t>P57,</w:t>
      </w:r>
      <w:r>
        <w:rPr>
          <w:rFonts w:ascii="Times New Roman" w:hAnsi="Times New Roman" w:eastAsia="Times New Roman" w:cs="Times New Roman"/>
          <w:spacing w:val="25"/>
          <w:sz w:val="24"/>
          <w:szCs w:val="24"/>
        </w:rPr>
        <w:t xml:space="preserve">  </w:t>
      </w:r>
      <w:r>
        <w:rPr>
          <w:rFonts w:ascii="宋体" w:hAnsi="宋体" w:eastAsia="宋体" w:cs="宋体"/>
          <w:spacing w:val="-11"/>
          <w:sz w:val="24"/>
          <w:szCs w:val="24"/>
        </w:rPr>
        <w:t>附件十一：</w:t>
      </w:r>
      <w:r>
        <w:rPr>
          <w:rFonts w:ascii="宋体" w:hAnsi="宋体" w:eastAsia="宋体" w:cs="宋体"/>
          <w:sz w:val="24"/>
          <w:szCs w:val="24"/>
        </w:rPr>
        <w:t xml:space="preserve"> </w:t>
      </w:r>
      <w:r>
        <w:rPr>
          <w:rFonts w:ascii="Times New Roman" w:hAnsi="Times New Roman" w:eastAsia="Times New Roman" w:cs="Times New Roman"/>
          <w:spacing w:val="16"/>
          <w:sz w:val="24"/>
          <w:szCs w:val="24"/>
        </w:rPr>
        <w:t xml:space="preserve">P10)  </w:t>
      </w:r>
      <w:r>
        <w:rPr>
          <w:rFonts w:ascii="宋体" w:hAnsi="宋体" w:eastAsia="宋体" w:cs="宋体"/>
          <w:spacing w:val="16"/>
          <w:sz w:val="24"/>
          <w:szCs w:val="24"/>
        </w:rPr>
        <w:t>矿山基建期3个月，自2022年10-12</w:t>
      </w:r>
      <w:r>
        <w:rPr>
          <w:rFonts w:ascii="宋体" w:hAnsi="宋体" w:eastAsia="宋体" w:cs="宋体"/>
          <w:spacing w:val="15"/>
          <w:sz w:val="24"/>
          <w:szCs w:val="24"/>
        </w:rPr>
        <w:t>月；新增尾矿库建设期1年(详见附</w:t>
      </w:r>
      <w:r>
        <w:rPr>
          <w:rFonts w:ascii="宋体" w:hAnsi="宋体" w:eastAsia="宋体" w:cs="宋体"/>
          <w:sz w:val="24"/>
          <w:szCs w:val="24"/>
        </w:rPr>
        <w:t xml:space="preserve"> </w:t>
      </w:r>
      <w:r>
        <w:rPr>
          <w:rFonts w:ascii="宋体" w:hAnsi="宋体" w:eastAsia="宋体" w:cs="宋体"/>
          <w:spacing w:val="12"/>
          <w:sz w:val="24"/>
          <w:szCs w:val="24"/>
        </w:rPr>
        <w:t>件十一：</w:t>
      </w:r>
      <w:r>
        <w:rPr>
          <w:rFonts w:ascii="Times New Roman" w:hAnsi="Times New Roman" w:eastAsia="Times New Roman" w:cs="Times New Roman"/>
          <w:spacing w:val="12"/>
          <w:sz w:val="24"/>
          <w:szCs w:val="24"/>
        </w:rPr>
        <w:t xml:space="preserve">P12,  </w:t>
      </w:r>
      <w:r>
        <w:rPr>
          <w:rFonts w:ascii="宋体" w:hAnsi="宋体" w:eastAsia="宋体" w:cs="宋体"/>
          <w:spacing w:val="12"/>
          <w:sz w:val="24"/>
          <w:szCs w:val="24"/>
        </w:rPr>
        <w:t>自2025年8月至2026年7月。富乐铅锌</w:t>
      </w:r>
      <w:r>
        <w:rPr>
          <w:rFonts w:ascii="宋体" w:hAnsi="宋体" w:eastAsia="宋体" w:cs="宋体"/>
          <w:spacing w:val="11"/>
          <w:sz w:val="24"/>
          <w:szCs w:val="24"/>
        </w:rPr>
        <w:t>矿矿山服务年限9.84年，</w:t>
      </w:r>
      <w:r>
        <w:rPr>
          <w:rFonts w:ascii="宋体" w:hAnsi="宋体" w:eastAsia="宋体" w:cs="宋体"/>
          <w:sz w:val="24"/>
          <w:szCs w:val="24"/>
        </w:rPr>
        <w:t xml:space="preserve"> </w:t>
      </w:r>
      <w:r>
        <w:rPr>
          <w:rFonts w:ascii="宋体" w:hAnsi="宋体" w:eastAsia="宋体" w:cs="宋体"/>
          <w:spacing w:val="28"/>
          <w:sz w:val="24"/>
          <w:szCs w:val="24"/>
        </w:rPr>
        <w:t>自2023年1月至2032年11月。</w:t>
      </w:r>
    </w:p>
    <w:p w14:paraId="00968581">
      <w:pPr>
        <w:spacing w:before="7" w:line="219" w:lineRule="auto"/>
        <w:ind w:left="664"/>
        <w:rPr>
          <w:rFonts w:ascii="宋体" w:hAnsi="宋体" w:eastAsia="宋体" w:cs="宋体"/>
          <w:sz w:val="24"/>
          <w:szCs w:val="24"/>
        </w:rPr>
      </w:pPr>
      <w:r>
        <w:rPr>
          <w:rFonts w:ascii="宋体" w:hAnsi="宋体" w:eastAsia="宋体" w:cs="宋体"/>
          <w:spacing w:val="-5"/>
          <w:sz w:val="24"/>
          <w:szCs w:val="24"/>
        </w:rPr>
        <w:t>详见附表二、附表三。</w:t>
      </w:r>
    </w:p>
    <w:p w14:paraId="15D64DEA">
      <w:pPr>
        <w:spacing w:before="179" w:line="212" w:lineRule="auto"/>
        <w:ind w:left="664"/>
        <w:outlineLvl w:val="1"/>
        <w:rPr>
          <w:rFonts w:ascii="Times New Roman" w:hAnsi="Times New Roman" w:eastAsia="Times New Roman" w:cs="Times New Roman"/>
          <w:sz w:val="24"/>
          <w:szCs w:val="24"/>
        </w:rPr>
      </w:pPr>
      <w:bookmarkStart w:id="46" w:name="bookmark32"/>
      <w:bookmarkEnd w:id="46"/>
      <w:r>
        <w:rPr>
          <w:rFonts w:ascii="宋体" w:hAnsi="宋体" w:eastAsia="宋体" w:cs="宋体"/>
          <w:spacing w:val="3"/>
          <w:sz w:val="24"/>
          <w:szCs w:val="24"/>
        </w:rPr>
        <w:t>10.9评估计算年限内的评估利用资源储量</w:t>
      </w:r>
      <w:r>
        <w:rPr>
          <w:rFonts w:ascii="宋体" w:hAnsi="宋体" w:eastAsia="宋体" w:cs="宋体"/>
          <w:spacing w:val="-42"/>
          <w:sz w:val="24"/>
          <w:szCs w:val="24"/>
        </w:rPr>
        <w:t xml:space="preserve"> </w:t>
      </w:r>
      <w:r>
        <w:rPr>
          <w:rFonts w:ascii="Times New Roman" w:hAnsi="Times New Roman" w:eastAsia="Times New Roman" w:cs="Times New Roman"/>
          <w:spacing w:val="3"/>
          <w:sz w:val="24"/>
          <w:szCs w:val="24"/>
        </w:rPr>
        <w:t>(Q₁)</w:t>
      </w:r>
    </w:p>
    <w:p w14:paraId="08A2CFD9">
      <w:pPr>
        <w:spacing w:before="260" w:line="218" w:lineRule="auto"/>
        <w:ind w:left="644"/>
        <w:rPr>
          <w:rFonts w:ascii="宋体" w:hAnsi="宋体" w:eastAsia="宋体" w:cs="宋体"/>
          <w:sz w:val="24"/>
          <w:szCs w:val="24"/>
        </w:rPr>
      </w:pPr>
      <w:r>
        <w:rPr>
          <w:rFonts w:ascii="宋体" w:hAnsi="宋体" w:eastAsia="宋体" w:cs="宋体"/>
          <w:spacing w:val="5"/>
          <w:sz w:val="24"/>
          <w:szCs w:val="24"/>
        </w:rPr>
        <w:t>本次评估计算年限为9.84年，评估计算年限内参与评估</w:t>
      </w:r>
      <w:r>
        <w:rPr>
          <w:rFonts w:ascii="宋体" w:hAnsi="宋体" w:eastAsia="宋体" w:cs="宋体"/>
          <w:spacing w:val="4"/>
          <w:sz w:val="24"/>
          <w:szCs w:val="24"/>
        </w:rPr>
        <w:t>的保有资源储量</w:t>
      </w:r>
    </w:p>
    <w:p w14:paraId="342E9E65">
      <w:pPr>
        <w:spacing w:before="207" w:line="385" w:lineRule="auto"/>
        <w:ind w:left="185" w:right="207"/>
        <w:rPr>
          <w:rFonts w:ascii="宋体" w:hAnsi="宋体" w:eastAsia="宋体" w:cs="宋体"/>
          <w:sz w:val="24"/>
          <w:szCs w:val="24"/>
        </w:rPr>
      </w:pPr>
      <w:r>
        <w:rPr>
          <w:rFonts w:ascii="宋体" w:hAnsi="宋体" w:eastAsia="宋体" w:cs="宋体"/>
          <w:spacing w:val="7"/>
          <w:sz w:val="24"/>
          <w:szCs w:val="24"/>
        </w:rPr>
        <w:t>140.31万吨，锌金属量60957.00吨；伴生铅金属量6015.00吨；伴生镉金属量</w:t>
      </w:r>
      <w:r>
        <w:rPr>
          <w:rFonts w:ascii="宋体" w:hAnsi="宋体" w:eastAsia="宋体" w:cs="宋体"/>
          <w:spacing w:val="10"/>
          <w:sz w:val="24"/>
          <w:szCs w:val="24"/>
        </w:rPr>
        <w:t xml:space="preserve"> </w:t>
      </w:r>
      <w:r>
        <w:rPr>
          <w:rFonts w:ascii="宋体" w:hAnsi="宋体" w:eastAsia="宋体" w:cs="宋体"/>
          <w:spacing w:val="5"/>
          <w:sz w:val="24"/>
          <w:szCs w:val="24"/>
        </w:rPr>
        <w:t>1888.00吨。根据《矿业权出让收益评估应用指南(试行)》(中国矿业权评估师</w:t>
      </w:r>
    </w:p>
    <w:p w14:paraId="31100D64">
      <w:pPr>
        <w:spacing w:line="385" w:lineRule="auto"/>
        <w:rPr>
          <w:rFonts w:ascii="宋体" w:hAnsi="宋体" w:eastAsia="宋体" w:cs="宋体"/>
          <w:sz w:val="24"/>
          <w:szCs w:val="24"/>
        </w:rPr>
        <w:sectPr>
          <w:headerReference r:id="rId86" w:type="default"/>
          <w:footerReference r:id="rId87" w:type="default"/>
          <w:pgSz w:w="11900" w:h="16830"/>
          <w:pgMar w:top="1256" w:right="1360" w:bottom="1290" w:left="1785" w:header="980" w:footer="938" w:gutter="0"/>
          <w:cols w:space="720" w:num="1"/>
        </w:sectPr>
      </w:pPr>
    </w:p>
    <w:p w14:paraId="1D9D3044">
      <w:pPr>
        <w:pStyle w:val="2"/>
        <w:spacing w:line="374" w:lineRule="auto"/>
      </w:pPr>
    </w:p>
    <w:p w14:paraId="7E132F16">
      <w:pPr>
        <w:spacing w:before="78" w:line="393" w:lineRule="auto"/>
        <w:ind w:left="84" w:right="327"/>
        <w:jc w:val="both"/>
        <w:rPr>
          <w:rFonts w:ascii="宋体" w:hAnsi="宋体" w:eastAsia="宋体" w:cs="宋体"/>
          <w:sz w:val="24"/>
          <w:szCs w:val="24"/>
        </w:rPr>
      </w:pPr>
      <w:r>
        <w:rPr>
          <w:rFonts w:ascii="宋体" w:hAnsi="宋体" w:eastAsia="宋体" w:cs="宋体"/>
          <w:spacing w:val="8"/>
          <w:sz w:val="24"/>
          <w:szCs w:val="24"/>
        </w:rPr>
        <w:t>协会公告2017年第3号发布),评估计算年限内的评估利用资源储量</w:t>
      </w:r>
      <w:r>
        <w:rPr>
          <w:rFonts w:ascii="宋体" w:hAnsi="宋体" w:eastAsia="宋体" w:cs="宋体"/>
          <w:spacing w:val="-30"/>
          <w:sz w:val="24"/>
          <w:szCs w:val="24"/>
        </w:rPr>
        <w:t xml:space="preserve"> </w:t>
      </w:r>
      <w:r>
        <w:rPr>
          <w:rFonts w:ascii="宋体" w:hAnsi="宋体" w:eastAsia="宋体" w:cs="宋体"/>
          <w:spacing w:val="8"/>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8"/>
          <w:sz w:val="24"/>
          <w:szCs w:val="24"/>
        </w:rPr>
        <w:t>Q</w:t>
      </w:r>
      <w:r>
        <w:rPr>
          <w:rFonts w:ascii="Times New Roman" w:hAnsi="Times New Roman" w:eastAsia="Times New Roman" w:cs="Times New Roman"/>
          <w:spacing w:val="7"/>
          <w:sz w:val="24"/>
          <w:szCs w:val="24"/>
        </w:rPr>
        <w:t>₁)</w:t>
      </w:r>
      <w:r>
        <w:rPr>
          <w:rFonts w:ascii="Times New Roman" w:hAnsi="Times New Roman" w:eastAsia="Times New Roman" w:cs="Times New Roman"/>
          <w:spacing w:val="34"/>
          <w:sz w:val="24"/>
          <w:szCs w:val="24"/>
        </w:rPr>
        <w:t xml:space="preserve"> </w:t>
      </w:r>
      <w:r>
        <w:rPr>
          <w:rFonts w:ascii="宋体" w:hAnsi="宋体" w:eastAsia="宋体" w:cs="宋体"/>
          <w:spacing w:val="7"/>
          <w:sz w:val="24"/>
          <w:szCs w:val="24"/>
        </w:rPr>
        <w:t>即为</w:t>
      </w:r>
      <w:r>
        <w:rPr>
          <w:rFonts w:ascii="宋体" w:hAnsi="宋体" w:eastAsia="宋体" w:cs="宋体"/>
          <w:sz w:val="24"/>
          <w:szCs w:val="24"/>
        </w:rPr>
        <w:t xml:space="preserve"> </w:t>
      </w:r>
      <w:r>
        <w:rPr>
          <w:rFonts w:ascii="宋体" w:hAnsi="宋体" w:eastAsia="宋体" w:cs="宋体"/>
          <w:spacing w:val="4"/>
          <w:sz w:val="24"/>
          <w:szCs w:val="24"/>
        </w:rPr>
        <w:t>评估计算年限内参与评估的保有资源储量140.31万吨，锌</w:t>
      </w:r>
      <w:r>
        <w:rPr>
          <w:rFonts w:ascii="宋体" w:hAnsi="宋体" w:eastAsia="宋体" w:cs="宋体"/>
          <w:spacing w:val="3"/>
          <w:sz w:val="24"/>
          <w:szCs w:val="24"/>
        </w:rPr>
        <w:t>金属量60957.00吨；</w:t>
      </w:r>
      <w:r>
        <w:rPr>
          <w:rFonts w:ascii="宋体" w:hAnsi="宋体" w:eastAsia="宋体" w:cs="宋体"/>
          <w:sz w:val="24"/>
          <w:szCs w:val="24"/>
        </w:rPr>
        <w:t xml:space="preserve"> </w:t>
      </w:r>
      <w:r>
        <w:rPr>
          <w:rFonts w:ascii="宋体" w:hAnsi="宋体" w:eastAsia="宋体" w:cs="宋体"/>
          <w:spacing w:val="7"/>
          <w:sz w:val="24"/>
          <w:szCs w:val="24"/>
        </w:rPr>
        <w:t>伴生铅金属量6015.00吨；伴生镉金属量1888.00吨。</w:t>
      </w:r>
    </w:p>
    <w:p w14:paraId="1648E160">
      <w:pPr>
        <w:spacing w:before="5" w:line="219" w:lineRule="auto"/>
        <w:ind w:left="585"/>
        <w:outlineLvl w:val="1"/>
        <w:rPr>
          <w:rFonts w:ascii="宋体" w:hAnsi="宋体" w:eastAsia="宋体" w:cs="宋体"/>
          <w:sz w:val="24"/>
          <w:szCs w:val="24"/>
        </w:rPr>
      </w:pPr>
      <w:bookmarkStart w:id="47" w:name="bookmark33"/>
      <w:bookmarkEnd w:id="47"/>
      <w:r>
        <w:rPr>
          <w:rFonts w:ascii="宋体" w:hAnsi="宋体" w:eastAsia="宋体" w:cs="宋体"/>
          <w:spacing w:val="7"/>
          <w:sz w:val="24"/>
          <w:szCs w:val="24"/>
        </w:rPr>
        <w:t>10.10销售收入</w:t>
      </w:r>
    </w:p>
    <w:p w14:paraId="070BC3B0">
      <w:pPr>
        <w:spacing w:before="215" w:line="219" w:lineRule="auto"/>
        <w:ind w:left="585"/>
        <w:rPr>
          <w:rFonts w:ascii="宋体" w:hAnsi="宋体" w:eastAsia="宋体" w:cs="宋体"/>
          <w:sz w:val="24"/>
          <w:szCs w:val="24"/>
        </w:rPr>
      </w:pPr>
      <w:r>
        <w:rPr>
          <w:rFonts w:ascii="宋体" w:hAnsi="宋体" w:eastAsia="宋体" w:cs="宋体"/>
          <w:spacing w:val="5"/>
          <w:sz w:val="24"/>
          <w:szCs w:val="24"/>
        </w:rPr>
        <w:t>10.10.1销售产量</w:t>
      </w:r>
    </w:p>
    <w:p w14:paraId="6F01B68A">
      <w:pPr>
        <w:spacing w:before="203" w:line="385" w:lineRule="auto"/>
        <w:ind w:left="84" w:right="231" w:firstLine="500"/>
        <w:rPr>
          <w:rFonts w:ascii="宋体" w:hAnsi="宋体" w:eastAsia="宋体" w:cs="宋体"/>
          <w:sz w:val="24"/>
          <w:szCs w:val="24"/>
        </w:rPr>
      </w:pPr>
      <w:r>
        <w:rPr>
          <w:rFonts w:ascii="宋体" w:hAnsi="宋体" w:eastAsia="宋体" w:cs="宋体"/>
          <w:sz w:val="24"/>
          <w:szCs w:val="24"/>
        </w:rPr>
        <w:t>按上述评估设定生产规模、产品方案和采选矿</w:t>
      </w:r>
      <w:r>
        <w:rPr>
          <w:rFonts w:ascii="宋体" w:hAnsi="宋体" w:eastAsia="宋体" w:cs="宋体"/>
          <w:spacing w:val="-1"/>
          <w:sz w:val="24"/>
          <w:szCs w:val="24"/>
        </w:rPr>
        <w:t>技术指标。正常达产年份产量</w:t>
      </w:r>
      <w:r>
        <w:rPr>
          <w:rFonts w:ascii="宋体" w:hAnsi="宋体" w:eastAsia="宋体" w:cs="宋体"/>
          <w:sz w:val="24"/>
          <w:szCs w:val="24"/>
        </w:rPr>
        <w:t xml:space="preserve"> </w:t>
      </w:r>
      <w:r>
        <w:rPr>
          <w:rFonts w:ascii="宋体" w:hAnsi="宋体" w:eastAsia="宋体" w:cs="宋体"/>
          <w:spacing w:val="20"/>
          <w:sz w:val="24"/>
          <w:szCs w:val="24"/>
        </w:rPr>
        <w:t>为(以2023年为例):</w:t>
      </w:r>
    </w:p>
    <w:p w14:paraId="38C2E9D5">
      <w:pPr>
        <w:spacing w:line="381" w:lineRule="auto"/>
        <w:ind w:left="84" w:right="307" w:firstLine="500"/>
        <w:rPr>
          <w:rFonts w:ascii="宋体" w:hAnsi="宋体" w:eastAsia="宋体" w:cs="宋体"/>
          <w:sz w:val="24"/>
          <w:szCs w:val="24"/>
        </w:rPr>
      </w:pPr>
      <w:r>
        <w:rPr>
          <w:rFonts w:ascii="宋体" w:hAnsi="宋体" w:eastAsia="宋体" w:cs="宋体"/>
          <w:spacing w:val="11"/>
          <w:sz w:val="24"/>
          <w:szCs w:val="24"/>
        </w:rPr>
        <w:t>锌精矿含锌(品位48.20%)产量=原矿产</w:t>
      </w:r>
      <w:r>
        <w:rPr>
          <w:rFonts w:ascii="宋体" w:hAnsi="宋体" w:eastAsia="宋体" w:cs="宋体"/>
          <w:spacing w:val="10"/>
          <w:sz w:val="24"/>
          <w:szCs w:val="24"/>
        </w:rPr>
        <w:t>量×平均地质品位×(1一贫化率)</w:t>
      </w:r>
      <w:r>
        <w:rPr>
          <w:rFonts w:ascii="宋体" w:hAnsi="宋体" w:eastAsia="宋体" w:cs="宋体"/>
          <w:sz w:val="24"/>
          <w:szCs w:val="24"/>
        </w:rPr>
        <w:t xml:space="preserve"> </w:t>
      </w:r>
      <w:r>
        <w:rPr>
          <w:rFonts w:ascii="宋体" w:hAnsi="宋体" w:eastAsia="宋体" w:cs="宋体"/>
          <w:spacing w:val="-2"/>
          <w:sz w:val="24"/>
          <w:szCs w:val="24"/>
        </w:rPr>
        <w:t>×选矿回收率</w:t>
      </w:r>
    </w:p>
    <w:p w14:paraId="427DD016">
      <w:pPr>
        <w:spacing w:before="1" w:line="191" w:lineRule="auto"/>
        <w:ind w:left="3745"/>
        <w:rPr>
          <w:rFonts w:ascii="Times New Roman" w:hAnsi="Times New Roman" w:eastAsia="Times New Roman" w:cs="Times New Roman"/>
          <w:sz w:val="24"/>
          <w:szCs w:val="24"/>
        </w:rPr>
      </w:pPr>
      <w:r>
        <w:rPr>
          <w:rFonts w:ascii="Times New Roman" w:hAnsi="Times New Roman" w:eastAsia="Times New Roman" w:cs="Times New Roman"/>
          <w:sz w:val="24"/>
          <w:szCs w:val="24"/>
        </w:rPr>
        <w:t>=10×10000×4.50%×(1-12.0</w:t>
      </w:r>
      <w:r>
        <w:rPr>
          <w:rFonts w:ascii="Times New Roman" w:hAnsi="Times New Roman" w:eastAsia="Times New Roman" w:cs="Times New Roman"/>
          <w:spacing w:val="-1"/>
          <w:sz w:val="24"/>
          <w:szCs w:val="24"/>
        </w:rPr>
        <w:t>0%)×81%</w:t>
      </w:r>
    </w:p>
    <w:p w14:paraId="0B272E60">
      <w:pPr>
        <w:spacing w:before="280" w:line="221" w:lineRule="auto"/>
        <w:ind w:left="3745"/>
        <w:rPr>
          <w:rFonts w:ascii="宋体" w:hAnsi="宋体" w:eastAsia="宋体" w:cs="宋体"/>
          <w:sz w:val="24"/>
          <w:szCs w:val="24"/>
        </w:rPr>
      </w:pPr>
      <w:r>
        <w:rPr>
          <w:rFonts w:ascii="宋体" w:hAnsi="宋体" w:eastAsia="宋体" w:cs="宋体"/>
          <w:spacing w:val="12"/>
          <w:sz w:val="24"/>
          <w:szCs w:val="24"/>
        </w:rPr>
        <w:t>=</w:t>
      </w:r>
      <w:r>
        <w:rPr>
          <w:rFonts w:ascii="宋体" w:hAnsi="宋体" w:eastAsia="宋体" w:cs="宋体"/>
          <w:spacing w:val="-15"/>
          <w:sz w:val="24"/>
          <w:szCs w:val="24"/>
        </w:rPr>
        <w:t xml:space="preserve"> </w:t>
      </w:r>
      <w:r>
        <w:rPr>
          <w:rFonts w:ascii="宋体" w:hAnsi="宋体" w:eastAsia="宋体" w:cs="宋体"/>
          <w:spacing w:val="12"/>
          <w:sz w:val="24"/>
          <w:szCs w:val="24"/>
        </w:rPr>
        <w:t>3207.60(金属吨)</w:t>
      </w:r>
    </w:p>
    <w:p w14:paraId="740E9E7D">
      <w:pPr>
        <w:spacing w:before="220" w:line="378" w:lineRule="auto"/>
        <w:ind w:left="84" w:right="307" w:firstLine="500"/>
        <w:rPr>
          <w:rFonts w:ascii="宋体" w:hAnsi="宋体" w:eastAsia="宋体" w:cs="宋体"/>
          <w:sz w:val="24"/>
          <w:szCs w:val="24"/>
        </w:rPr>
      </w:pPr>
      <w:r>
        <w:rPr>
          <w:rFonts w:ascii="宋体" w:hAnsi="宋体" w:eastAsia="宋体" w:cs="宋体"/>
          <w:spacing w:val="11"/>
          <w:sz w:val="24"/>
          <w:szCs w:val="24"/>
        </w:rPr>
        <w:t>铅精矿含铅(品位55.20%)产量=原矿产</w:t>
      </w:r>
      <w:r>
        <w:rPr>
          <w:rFonts w:ascii="宋体" w:hAnsi="宋体" w:eastAsia="宋体" w:cs="宋体"/>
          <w:spacing w:val="10"/>
          <w:sz w:val="24"/>
          <w:szCs w:val="24"/>
        </w:rPr>
        <w:t>量×平均地质品位×(1一贫化率)</w:t>
      </w:r>
      <w:r>
        <w:rPr>
          <w:rFonts w:ascii="宋体" w:hAnsi="宋体" w:eastAsia="宋体" w:cs="宋体"/>
          <w:sz w:val="24"/>
          <w:szCs w:val="24"/>
        </w:rPr>
        <w:t xml:space="preserve"> </w:t>
      </w:r>
      <w:r>
        <w:rPr>
          <w:rFonts w:ascii="宋体" w:hAnsi="宋体" w:eastAsia="宋体" w:cs="宋体"/>
          <w:spacing w:val="-2"/>
          <w:sz w:val="24"/>
          <w:szCs w:val="24"/>
        </w:rPr>
        <w:t>×选矿回收率</w:t>
      </w:r>
    </w:p>
    <w:p w14:paraId="0BED2037">
      <w:pPr>
        <w:spacing w:line="387" w:lineRule="auto"/>
        <w:ind w:left="3745" w:right="968"/>
        <w:rPr>
          <w:rFonts w:ascii="宋体" w:hAnsi="宋体" w:eastAsia="宋体" w:cs="宋体"/>
          <w:sz w:val="25"/>
          <w:szCs w:val="25"/>
        </w:rPr>
      </w:pPr>
      <w:r>
        <w:rPr>
          <w:rFonts w:ascii="Times New Roman" w:hAnsi="Times New Roman" w:eastAsia="Times New Roman" w:cs="Times New Roman"/>
          <w:sz w:val="25"/>
          <w:szCs w:val="25"/>
        </w:rPr>
        <w:t>=6.88×10000×0.64%×(1-12.0</w:t>
      </w:r>
      <w:r>
        <w:rPr>
          <w:rFonts w:ascii="Times New Roman" w:hAnsi="Times New Roman" w:eastAsia="Times New Roman" w:cs="Times New Roman"/>
          <w:spacing w:val="-1"/>
          <w:sz w:val="25"/>
          <w:szCs w:val="25"/>
        </w:rPr>
        <w:t>0%)×88%</w:t>
      </w:r>
      <w:r>
        <w:rPr>
          <w:rFonts w:ascii="Times New Roman" w:hAnsi="Times New Roman" w:eastAsia="Times New Roman" w:cs="Times New Roman"/>
          <w:sz w:val="25"/>
          <w:szCs w:val="25"/>
        </w:rPr>
        <w:t xml:space="preserve"> </w:t>
      </w:r>
      <w:r>
        <w:rPr>
          <w:rFonts w:ascii="宋体" w:hAnsi="宋体" w:eastAsia="宋体" w:cs="宋体"/>
          <w:spacing w:val="8"/>
          <w:sz w:val="25"/>
          <w:szCs w:val="25"/>
        </w:rPr>
        <w:t>=</w:t>
      </w:r>
      <w:r>
        <w:rPr>
          <w:rFonts w:ascii="宋体" w:hAnsi="宋体" w:eastAsia="宋体" w:cs="宋体"/>
          <w:spacing w:val="-23"/>
          <w:sz w:val="25"/>
          <w:szCs w:val="25"/>
        </w:rPr>
        <w:t xml:space="preserve"> </w:t>
      </w:r>
      <w:r>
        <w:rPr>
          <w:rFonts w:ascii="宋体" w:hAnsi="宋体" w:eastAsia="宋体" w:cs="宋体"/>
          <w:spacing w:val="8"/>
          <w:sz w:val="25"/>
          <w:szCs w:val="25"/>
        </w:rPr>
        <w:t>340.85(金属吨)</w:t>
      </w:r>
    </w:p>
    <w:p w14:paraId="00390416">
      <w:pPr>
        <w:spacing w:before="2" w:line="392" w:lineRule="auto"/>
        <w:ind w:left="84" w:right="213" w:firstLine="500"/>
        <w:rPr>
          <w:rFonts w:ascii="宋体" w:hAnsi="宋体" w:eastAsia="宋体" w:cs="宋体"/>
          <w:sz w:val="24"/>
          <w:szCs w:val="24"/>
        </w:rPr>
      </w:pPr>
      <w:r>
        <w:rPr>
          <w:rFonts w:ascii="宋体" w:hAnsi="宋体" w:eastAsia="宋体" w:cs="宋体"/>
          <w:spacing w:val="13"/>
          <w:sz w:val="24"/>
          <w:szCs w:val="24"/>
        </w:rPr>
        <w:t>锌精矿含镉(品位1.7%)产量=原矿产量×平均地质品位×(1一贫化率)×</w:t>
      </w:r>
      <w:r>
        <w:rPr>
          <w:rFonts w:ascii="宋体" w:hAnsi="宋体" w:eastAsia="宋体" w:cs="宋体"/>
          <w:spacing w:val="17"/>
          <w:sz w:val="24"/>
          <w:szCs w:val="24"/>
        </w:rPr>
        <w:t xml:space="preserve"> </w:t>
      </w:r>
      <w:r>
        <w:rPr>
          <w:rFonts w:ascii="宋体" w:hAnsi="宋体" w:eastAsia="宋体" w:cs="宋体"/>
          <w:spacing w:val="4"/>
          <w:sz w:val="24"/>
          <w:szCs w:val="24"/>
        </w:rPr>
        <w:t>选矿回收率</w:t>
      </w:r>
    </w:p>
    <w:p w14:paraId="6C73BD04">
      <w:pPr>
        <w:spacing w:before="1" w:line="191" w:lineRule="auto"/>
        <w:ind w:left="3745"/>
        <w:rPr>
          <w:rFonts w:ascii="Times New Roman" w:hAnsi="Times New Roman" w:eastAsia="Times New Roman" w:cs="Times New Roman"/>
          <w:sz w:val="24"/>
          <w:szCs w:val="24"/>
        </w:rPr>
      </w:pPr>
      <w:r>
        <w:rPr>
          <w:rFonts w:ascii="Times New Roman" w:hAnsi="Times New Roman" w:eastAsia="Times New Roman" w:cs="Times New Roman"/>
          <w:sz w:val="24"/>
          <w:szCs w:val="24"/>
        </w:rPr>
        <w:t>=10×10000×0.127%×(1-12.0</w:t>
      </w:r>
      <w:r>
        <w:rPr>
          <w:rFonts w:ascii="Times New Roman" w:hAnsi="Times New Roman" w:eastAsia="Times New Roman" w:cs="Times New Roman"/>
          <w:spacing w:val="-1"/>
          <w:sz w:val="24"/>
          <w:szCs w:val="24"/>
        </w:rPr>
        <w:t>0%)×81%</w:t>
      </w:r>
    </w:p>
    <w:p w14:paraId="5195B920">
      <w:pPr>
        <w:spacing w:before="270" w:line="221" w:lineRule="auto"/>
        <w:ind w:left="3745"/>
        <w:rPr>
          <w:rFonts w:ascii="宋体" w:hAnsi="宋体" w:eastAsia="宋体" w:cs="宋体"/>
          <w:sz w:val="24"/>
          <w:szCs w:val="24"/>
        </w:rPr>
      </w:pPr>
      <w:r>
        <w:rPr>
          <w:rFonts w:ascii="宋体" w:hAnsi="宋体" w:eastAsia="宋体" w:cs="宋体"/>
          <w:spacing w:val="24"/>
          <w:sz w:val="24"/>
          <w:szCs w:val="24"/>
        </w:rPr>
        <w:t>=90.53(金属吨)</w:t>
      </w:r>
    </w:p>
    <w:p w14:paraId="0AF79C89">
      <w:pPr>
        <w:spacing w:before="240" w:line="218" w:lineRule="auto"/>
        <w:ind w:left="585"/>
        <w:rPr>
          <w:rFonts w:ascii="宋体" w:hAnsi="宋体" w:eastAsia="宋体" w:cs="宋体"/>
          <w:sz w:val="24"/>
          <w:szCs w:val="24"/>
        </w:rPr>
      </w:pPr>
      <w:r>
        <w:rPr>
          <w:rFonts w:ascii="宋体" w:hAnsi="宋体" w:eastAsia="宋体" w:cs="宋体"/>
          <w:spacing w:val="-1"/>
          <w:sz w:val="24"/>
          <w:szCs w:val="24"/>
        </w:rPr>
        <w:t>评估假设所有产品全部实现销售。</w:t>
      </w:r>
    </w:p>
    <w:p w14:paraId="4D3A9268">
      <w:pPr>
        <w:spacing w:before="197" w:line="219" w:lineRule="auto"/>
        <w:ind w:left="585"/>
        <w:rPr>
          <w:rFonts w:ascii="宋体" w:hAnsi="宋体" w:eastAsia="宋体" w:cs="宋体"/>
          <w:sz w:val="24"/>
          <w:szCs w:val="24"/>
        </w:rPr>
      </w:pPr>
      <w:r>
        <w:rPr>
          <w:rFonts w:ascii="宋体" w:hAnsi="宋体" w:eastAsia="宋体" w:cs="宋体"/>
          <w:spacing w:val="-2"/>
          <w:sz w:val="24"/>
          <w:szCs w:val="24"/>
        </w:rPr>
        <w:t>详见附表六。</w:t>
      </w:r>
    </w:p>
    <w:p w14:paraId="6BCA4878">
      <w:pPr>
        <w:spacing w:before="225" w:line="218" w:lineRule="auto"/>
        <w:ind w:left="585"/>
        <w:rPr>
          <w:rFonts w:ascii="宋体" w:hAnsi="宋体" w:eastAsia="宋体" w:cs="宋体"/>
          <w:sz w:val="24"/>
          <w:szCs w:val="24"/>
        </w:rPr>
      </w:pPr>
      <w:r>
        <w:rPr>
          <w:rFonts w:ascii="宋体" w:hAnsi="宋体" w:eastAsia="宋体" w:cs="宋体"/>
          <w:spacing w:val="7"/>
          <w:sz w:val="24"/>
          <w:szCs w:val="24"/>
        </w:rPr>
        <w:t>10.10.2销售价格</w:t>
      </w:r>
    </w:p>
    <w:p w14:paraId="4C6E4B4C">
      <w:pPr>
        <w:spacing w:before="217" w:line="362" w:lineRule="auto"/>
        <w:ind w:left="84" w:right="109" w:firstLine="500"/>
        <w:rPr>
          <w:rFonts w:ascii="宋体" w:hAnsi="宋体" w:eastAsia="宋体" w:cs="宋体"/>
          <w:sz w:val="24"/>
          <w:szCs w:val="24"/>
        </w:rPr>
      </w:pPr>
      <w:r>
        <w:rPr>
          <w:rFonts w:ascii="宋体" w:hAnsi="宋体" w:eastAsia="宋体" w:cs="宋体"/>
          <w:sz w:val="24"/>
          <w:szCs w:val="24"/>
        </w:rPr>
        <w:t>根据《矿业权评估参数确定指导意见》,矿业权评估</w:t>
      </w:r>
      <w:r>
        <w:rPr>
          <w:rFonts w:ascii="宋体" w:hAnsi="宋体" w:eastAsia="宋体" w:cs="宋体"/>
          <w:spacing w:val="-1"/>
          <w:sz w:val="24"/>
          <w:szCs w:val="24"/>
        </w:rPr>
        <w:t>用的产品价格是选用一定</w:t>
      </w:r>
      <w:r>
        <w:rPr>
          <w:rFonts w:ascii="宋体" w:hAnsi="宋体" w:eastAsia="宋体" w:cs="宋体"/>
          <w:sz w:val="24"/>
          <w:szCs w:val="24"/>
        </w:rPr>
        <w:t xml:space="preserve"> </w:t>
      </w:r>
      <w:r>
        <w:rPr>
          <w:rFonts w:ascii="宋体" w:hAnsi="宋体" w:eastAsia="宋体" w:cs="宋体"/>
          <w:spacing w:val="3"/>
          <w:sz w:val="24"/>
          <w:szCs w:val="24"/>
        </w:rPr>
        <w:t>的预测方法，按照产品市场价格选取原则，获得充分的历史价格信</w:t>
      </w:r>
      <w:r>
        <w:rPr>
          <w:rFonts w:ascii="宋体" w:hAnsi="宋体" w:eastAsia="宋体" w:cs="宋体"/>
          <w:spacing w:val="2"/>
          <w:sz w:val="24"/>
          <w:szCs w:val="24"/>
        </w:rPr>
        <w:t>息资料，并分</w:t>
      </w:r>
      <w:r>
        <w:rPr>
          <w:rFonts w:ascii="宋体" w:hAnsi="宋体" w:eastAsia="宋体" w:cs="宋体"/>
          <w:sz w:val="24"/>
          <w:szCs w:val="24"/>
        </w:rPr>
        <w:t xml:space="preserve"> </w:t>
      </w:r>
      <w:r>
        <w:rPr>
          <w:rFonts w:ascii="宋体" w:hAnsi="宋体" w:eastAsia="宋体" w:cs="宋体"/>
          <w:spacing w:val="3"/>
          <w:sz w:val="24"/>
          <w:szCs w:val="24"/>
        </w:rPr>
        <w:t>析未来变动趋势，确定与产品方案口径相一致的、评估计算的服务年限内的矿产</w:t>
      </w:r>
      <w:r>
        <w:rPr>
          <w:rFonts w:ascii="宋体" w:hAnsi="宋体" w:eastAsia="宋体" w:cs="宋体"/>
          <w:spacing w:val="18"/>
          <w:sz w:val="24"/>
          <w:szCs w:val="24"/>
        </w:rPr>
        <w:t xml:space="preserve"> </w:t>
      </w:r>
      <w:r>
        <w:rPr>
          <w:rFonts w:ascii="宋体" w:hAnsi="宋体" w:eastAsia="宋体" w:cs="宋体"/>
          <w:spacing w:val="3"/>
          <w:sz w:val="24"/>
          <w:szCs w:val="24"/>
        </w:rPr>
        <w:t>品市场价格，不论采用何种方式确定的产品市场价格，其结果均视为未来矿产品</w:t>
      </w:r>
      <w:r>
        <w:rPr>
          <w:rFonts w:ascii="宋体" w:hAnsi="宋体" w:eastAsia="宋体" w:cs="宋体"/>
          <w:spacing w:val="8"/>
          <w:sz w:val="24"/>
          <w:szCs w:val="24"/>
        </w:rPr>
        <w:t xml:space="preserve"> </w:t>
      </w:r>
      <w:r>
        <w:rPr>
          <w:rFonts w:ascii="宋体" w:hAnsi="宋体" w:eastAsia="宋体" w:cs="宋体"/>
          <w:sz w:val="24"/>
          <w:szCs w:val="24"/>
        </w:rPr>
        <w:t>市场价格的判断结果。</w:t>
      </w:r>
    </w:p>
    <w:p w14:paraId="3BF53131">
      <w:pPr>
        <w:spacing w:before="35" w:line="216" w:lineRule="auto"/>
        <w:ind w:left="585"/>
        <w:rPr>
          <w:rFonts w:ascii="宋体" w:hAnsi="宋体" w:eastAsia="宋体" w:cs="宋体"/>
          <w:sz w:val="24"/>
          <w:szCs w:val="24"/>
        </w:rPr>
      </w:pPr>
      <w:r>
        <w:rPr>
          <w:rFonts w:ascii="宋体" w:hAnsi="宋体" w:eastAsia="宋体" w:cs="宋体"/>
          <w:sz w:val="24"/>
          <w:szCs w:val="24"/>
        </w:rPr>
        <w:t>根据《出让收益评估应用指南》,产品销售价格参照</w:t>
      </w:r>
      <w:r>
        <w:rPr>
          <w:rFonts w:ascii="宋体" w:hAnsi="宋体" w:eastAsia="宋体" w:cs="宋体"/>
          <w:spacing w:val="-1"/>
          <w:sz w:val="24"/>
          <w:szCs w:val="24"/>
        </w:rPr>
        <w:t>《矿业权评估参数确定指</w:t>
      </w:r>
    </w:p>
    <w:p w14:paraId="4E0FFF66">
      <w:pPr>
        <w:spacing w:line="216" w:lineRule="auto"/>
        <w:rPr>
          <w:rFonts w:ascii="宋体" w:hAnsi="宋体" w:eastAsia="宋体" w:cs="宋体"/>
          <w:sz w:val="24"/>
          <w:szCs w:val="24"/>
        </w:rPr>
        <w:sectPr>
          <w:headerReference r:id="rId88" w:type="default"/>
          <w:footerReference r:id="rId89" w:type="default"/>
          <w:pgSz w:w="11900" w:h="16830"/>
          <w:pgMar w:top="1186" w:right="1390" w:bottom="1279" w:left="1785" w:header="910" w:footer="928" w:gutter="0"/>
          <w:cols w:space="720" w:num="1"/>
        </w:sectPr>
      </w:pPr>
    </w:p>
    <w:p w14:paraId="10AC4E67">
      <w:pPr>
        <w:pStyle w:val="2"/>
        <w:spacing w:line="399" w:lineRule="auto"/>
      </w:pPr>
    </w:p>
    <w:p w14:paraId="2D1BEAB7">
      <w:pPr>
        <w:tabs>
          <w:tab w:val="left" w:pos="235"/>
        </w:tabs>
        <w:spacing w:before="78" w:line="361" w:lineRule="auto"/>
        <w:ind w:left="114" w:right="218"/>
        <w:jc w:val="both"/>
        <w:rPr>
          <w:rFonts w:ascii="宋体" w:hAnsi="宋体" w:eastAsia="宋体" w:cs="宋体"/>
          <w:sz w:val="24"/>
          <w:szCs w:val="24"/>
        </w:rPr>
      </w:pPr>
      <w:bookmarkStart w:id="48" w:name="bookmark62"/>
      <w:bookmarkEnd w:id="48"/>
      <w:r>
        <w:rPr>
          <w:rFonts w:ascii="宋体" w:hAnsi="宋体" w:eastAsia="宋体" w:cs="宋体"/>
          <w:spacing w:val="-2"/>
          <w:sz w:val="24"/>
          <w:szCs w:val="24"/>
        </w:rPr>
        <w:t>导意见》,采用一定时段的历史价格平均值确定。参考《矿业权价款评估应用指南</w:t>
      </w:r>
      <w:r>
        <w:rPr>
          <w:rFonts w:ascii="宋体" w:hAnsi="宋体" w:eastAsia="宋体" w:cs="宋体"/>
          <w:spacing w:val="3"/>
          <w:sz w:val="24"/>
          <w:szCs w:val="24"/>
        </w:rPr>
        <w:t xml:space="preserve"> </w:t>
      </w:r>
      <w:r>
        <w:rPr>
          <w:rFonts w:ascii="宋体" w:hAnsi="宋体" w:eastAsia="宋体" w:cs="宋体"/>
          <w:sz w:val="24"/>
          <w:szCs w:val="24"/>
        </w:rPr>
        <w:tab/>
      </w:r>
      <w:r>
        <w:rPr>
          <w:rFonts w:ascii="宋体" w:hAnsi="宋体" w:eastAsia="宋体" w:cs="宋体"/>
          <w:spacing w:val="-2"/>
          <w:sz w:val="24"/>
          <w:szCs w:val="24"/>
        </w:rPr>
        <w:t>(</w:t>
      </w:r>
      <w:r>
        <w:rPr>
          <w:rFonts w:ascii="Times New Roman" w:hAnsi="Times New Roman" w:eastAsia="Times New Roman" w:cs="Times New Roman"/>
          <w:spacing w:val="-2"/>
          <w:sz w:val="24"/>
          <w:szCs w:val="24"/>
        </w:rPr>
        <w:t>CMVS20100-2008)</w:t>
      </w:r>
      <w:r>
        <w:rPr>
          <w:rFonts w:ascii="宋体" w:hAnsi="宋体" w:eastAsia="宋体" w:cs="宋体"/>
          <w:spacing w:val="-2"/>
          <w:sz w:val="24"/>
          <w:szCs w:val="24"/>
        </w:rPr>
        <w:t>》</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rPr>
        <w:t xml:space="preserve"> </w:t>
      </w:r>
      <w:r>
        <w:rPr>
          <w:rFonts w:ascii="宋体" w:hAnsi="宋体" w:eastAsia="宋体" w:cs="宋体"/>
          <w:spacing w:val="-2"/>
          <w:sz w:val="24"/>
          <w:szCs w:val="24"/>
        </w:rPr>
        <w:t>可以评估基准日前三个年度的价格平均值或回归分析后确</w:t>
      </w:r>
      <w:r>
        <w:rPr>
          <w:rFonts w:ascii="宋体" w:hAnsi="宋体" w:eastAsia="宋体" w:cs="宋体"/>
          <w:sz w:val="24"/>
          <w:szCs w:val="24"/>
        </w:rPr>
        <w:t xml:space="preserve"> </w:t>
      </w:r>
      <w:r>
        <w:rPr>
          <w:rFonts w:ascii="宋体" w:hAnsi="宋体" w:eastAsia="宋体" w:cs="宋体"/>
          <w:spacing w:val="2"/>
          <w:sz w:val="24"/>
          <w:szCs w:val="24"/>
        </w:rPr>
        <w:t>定评估用的产品价格；对产品价格波动较大、服务年限较</w:t>
      </w:r>
      <w:r>
        <w:rPr>
          <w:rFonts w:ascii="宋体" w:hAnsi="宋体" w:eastAsia="宋体" w:cs="宋体"/>
          <w:spacing w:val="1"/>
          <w:sz w:val="24"/>
          <w:szCs w:val="24"/>
        </w:rPr>
        <w:t>长的大中型矿山，可以</w:t>
      </w:r>
      <w:r>
        <w:rPr>
          <w:rFonts w:ascii="宋体" w:hAnsi="宋体" w:eastAsia="宋体" w:cs="宋体"/>
          <w:sz w:val="24"/>
          <w:szCs w:val="24"/>
        </w:rPr>
        <w:t xml:space="preserve"> </w:t>
      </w:r>
      <w:r>
        <w:rPr>
          <w:rFonts w:ascii="宋体" w:hAnsi="宋体" w:eastAsia="宋体" w:cs="宋体"/>
          <w:spacing w:val="2"/>
          <w:sz w:val="24"/>
          <w:szCs w:val="24"/>
        </w:rPr>
        <w:t>评估基准日前五个年度内价格平均值确定评估用的产</w:t>
      </w:r>
      <w:r>
        <w:rPr>
          <w:rFonts w:ascii="宋体" w:hAnsi="宋体" w:eastAsia="宋体" w:cs="宋体"/>
          <w:spacing w:val="1"/>
          <w:sz w:val="24"/>
          <w:szCs w:val="24"/>
        </w:rPr>
        <w:t>品价格；对服务年限短的小</w:t>
      </w:r>
      <w:r>
        <w:rPr>
          <w:rFonts w:ascii="宋体" w:hAnsi="宋体" w:eastAsia="宋体" w:cs="宋体"/>
          <w:sz w:val="24"/>
          <w:szCs w:val="24"/>
        </w:rPr>
        <w:t xml:space="preserve"> </w:t>
      </w:r>
      <w:r>
        <w:rPr>
          <w:rFonts w:ascii="宋体" w:hAnsi="宋体" w:eastAsia="宋体" w:cs="宋体"/>
          <w:spacing w:val="-2"/>
          <w:sz w:val="24"/>
          <w:szCs w:val="24"/>
        </w:rPr>
        <w:t>型矿山，可以采用评估基准日当年价格的平均值确定评估用的产品价格。</w:t>
      </w:r>
    </w:p>
    <w:p w14:paraId="5520248F">
      <w:pPr>
        <w:spacing w:before="94" w:line="218" w:lineRule="auto"/>
        <w:ind w:left="724"/>
        <w:rPr>
          <w:rFonts w:ascii="宋体" w:hAnsi="宋体" w:eastAsia="宋体" w:cs="宋体"/>
          <w:sz w:val="24"/>
          <w:szCs w:val="24"/>
        </w:rPr>
      </w:pPr>
      <w:r>
        <w:rPr>
          <w:rFonts w:ascii="宋体" w:hAnsi="宋体" w:eastAsia="宋体" w:cs="宋体"/>
          <w:spacing w:val="17"/>
          <w:sz w:val="24"/>
          <w:szCs w:val="24"/>
        </w:rPr>
        <w:t>(1)锌精矿价格</w:t>
      </w:r>
    </w:p>
    <w:p w14:paraId="288851D5">
      <w:pPr>
        <w:spacing w:before="177" w:line="378" w:lineRule="auto"/>
        <w:ind w:left="114" w:right="284" w:firstLine="500"/>
        <w:rPr>
          <w:rFonts w:ascii="仿宋" w:hAnsi="仿宋" w:eastAsia="仿宋" w:cs="仿宋"/>
          <w:sz w:val="24"/>
          <w:szCs w:val="24"/>
        </w:rPr>
      </w:pPr>
      <w:r>
        <w:rPr>
          <w:rFonts w:ascii="宋体" w:hAnsi="宋体" w:eastAsia="宋体" w:cs="宋体"/>
          <w:spacing w:val="6"/>
          <w:sz w:val="24"/>
          <w:szCs w:val="24"/>
        </w:rPr>
        <w:t>本次评估以评估基准日前三年上海有色金属网1#锌现货月均价为基础确定</w:t>
      </w:r>
      <w:r>
        <w:rPr>
          <w:rFonts w:ascii="宋体" w:hAnsi="宋体" w:eastAsia="宋体" w:cs="宋体"/>
          <w:spacing w:val="16"/>
          <w:sz w:val="24"/>
          <w:szCs w:val="24"/>
        </w:rPr>
        <w:t xml:space="preserve"> </w:t>
      </w:r>
      <w:r>
        <w:rPr>
          <w:rFonts w:ascii="宋体" w:hAnsi="宋体" w:eastAsia="宋体" w:cs="宋体"/>
          <w:spacing w:val="12"/>
          <w:sz w:val="24"/>
          <w:szCs w:val="24"/>
        </w:rPr>
        <w:t>锌精矿价格。根据同花顺统计数据，评估基准日前三年(即2021年10月-2022</w:t>
      </w:r>
      <w:r>
        <w:rPr>
          <w:rFonts w:ascii="宋体" w:hAnsi="宋体" w:eastAsia="宋体" w:cs="宋体"/>
          <w:spacing w:val="5"/>
          <w:sz w:val="24"/>
          <w:szCs w:val="24"/>
        </w:rPr>
        <w:t xml:space="preserve"> </w:t>
      </w:r>
      <w:r>
        <w:rPr>
          <w:rFonts w:ascii="宋体" w:hAnsi="宋体" w:eastAsia="宋体" w:cs="宋体"/>
          <w:spacing w:val="12"/>
          <w:sz w:val="24"/>
          <w:szCs w:val="24"/>
        </w:rPr>
        <w:t>年9月)上海有色金属网1#锌锭现货均价21,</w:t>
      </w:r>
      <w:r>
        <w:rPr>
          <w:rFonts w:ascii="仿宋" w:hAnsi="仿宋" w:eastAsia="仿宋" w:cs="仿宋"/>
          <w:spacing w:val="12"/>
          <w:sz w:val="24"/>
          <w:szCs w:val="24"/>
        </w:rPr>
        <w:t>398.46元/吨。</w:t>
      </w:r>
    </w:p>
    <w:p w14:paraId="02180D3D">
      <w:pPr>
        <w:spacing w:line="212" w:lineRule="auto"/>
        <w:ind w:left="565"/>
        <w:rPr>
          <w:rFonts w:ascii="Times New Roman" w:hAnsi="Times New Roman" w:eastAsia="Times New Roman" w:cs="Times New Roman"/>
          <w:sz w:val="24"/>
          <w:szCs w:val="24"/>
        </w:rPr>
      </w:pPr>
      <w:r>
        <w:rPr>
          <w:rFonts w:ascii="宋体" w:hAnsi="宋体" w:eastAsia="宋体" w:cs="宋体"/>
          <w:spacing w:val="4"/>
          <w:sz w:val="24"/>
          <w:szCs w:val="24"/>
        </w:rPr>
        <w:t xml:space="preserve">根据采矿权人提供的2021年硫化锌精矿购销合同(详见附件十四， </w:t>
      </w:r>
      <w:r>
        <w:rPr>
          <w:rFonts w:ascii="Times New Roman" w:hAnsi="Times New Roman" w:eastAsia="Times New Roman" w:cs="Times New Roman"/>
          <w:spacing w:val="4"/>
          <w:sz w:val="24"/>
          <w:szCs w:val="24"/>
        </w:rPr>
        <w:t>P1-2),</w:t>
      </w:r>
    </w:p>
    <w:p w14:paraId="7E9328EA">
      <w:pPr>
        <w:spacing w:before="247" w:line="383" w:lineRule="auto"/>
        <w:ind w:left="114" w:right="254"/>
        <w:rPr>
          <w:rFonts w:ascii="宋体" w:hAnsi="宋体" w:eastAsia="宋体" w:cs="宋体"/>
          <w:sz w:val="24"/>
          <w:szCs w:val="24"/>
        </w:rPr>
      </w:pPr>
      <w:r>
        <w:rPr>
          <w:rFonts w:ascii="宋体" w:hAnsi="宋体" w:eastAsia="宋体" w:cs="宋体"/>
          <w:spacing w:val="6"/>
          <w:sz w:val="24"/>
          <w:szCs w:val="24"/>
        </w:rPr>
        <w:t>锌精矿含锌基准品位为50%,锌精矿含锌单价=基准价-扣减价，基准价为上海有</w:t>
      </w:r>
      <w:r>
        <w:rPr>
          <w:rFonts w:ascii="宋体" w:hAnsi="宋体" w:eastAsia="宋体" w:cs="宋体"/>
          <w:spacing w:val="9"/>
          <w:sz w:val="24"/>
          <w:szCs w:val="24"/>
        </w:rPr>
        <w:t xml:space="preserve"> </w:t>
      </w:r>
      <w:r>
        <w:rPr>
          <w:rFonts w:ascii="宋体" w:hAnsi="宋体" w:eastAsia="宋体" w:cs="宋体"/>
          <w:spacing w:val="12"/>
          <w:sz w:val="24"/>
          <w:szCs w:val="24"/>
        </w:rPr>
        <w:t>色网公布1#锌锭平均价，扣减价=5800</w:t>
      </w:r>
      <w:r>
        <w:rPr>
          <w:rFonts w:ascii="宋体" w:hAnsi="宋体" w:eastAsia="宋体" w:cs="宋体"/>
          <w:spacing w:val="11"/>
          <w:sz w:val="24"/>
          <w:szCs w:val="24"/>
        </w:rPr>
        <w:t>+(基准价—15000)×20%元/金吨。48%</w:t>
      </w:r>
      <w:r>
        <w:rPr>
          <w:rFonts w:ascii="宋体" w:hAnsi="宋体" w:eastAsia="宋体" w:cs="宋体"/>
          <w:sz w:val="24"/>
          <w:szCs w:val="24"/>
        </w:rPr>
        <w:t xml:space="preserve"> </w:t>
      </w:r>
      <w:r>
        <w:rPr>
          <w:rFonts w:ascii="黑体" w:hAnsi="黑体" w:eastAsia="黑体" w:cs="黑体"/>
          <w:spacing w:val="10"/>
          <w:sz w:val="24"/>
          <w:szCs w:val="24"/>
        </w:rPr>
        <w:t>≤</w:t>
      </w:r>
      <w:r>
        <w:rPr>
          <w:rFonts w:ascii="黑体" w:hAnsi="黑体" w:eastAsia="黑体" w:cs="黑体"/>
          <w:spacing w:val="-50"/>
          <w:sz w:val="24"/>
          <w:szCs w:val="24"/>
        </w:rPr>
        <w:t xml:space="preserve"> </w:t>
      </w:r>
      <w:r>
        <w:rPr>
          <w:rFonts w:ascii="黑体" w:hAnsi="黑体" w:eastAsia="黑体" w:cs="黑体"/>
          <w:spacing w:val="10"/>
          <w:sz w:val="24"/>
          <w:szCs w:val="24"/>
        </w:rPr>
        <w:t>锌</w:t>
      </w:r>
      <w:r>
        <w:rPr>
          <w:rFonts w:ascii="黑体" w:hAnsi="黑体" w:eastAsia="黑体" w:cs="黑体"/>
          <w:spacing w:val="-50"/>
          <w:sz w:val="24"/>
          <w:szCs w:val="24"/>
        </w:rPr>
        <w:t xml:space="preserve"> </w:t>
      </w:r>
      <w:r>
        <w:rPr>
          <w:rFonts w:ascii="黑体" w:hAnsi="黑体" w:eastAsia="黑体" w:cs="黑体"/>
          <w:spacing w:val="10"/>
          <w:sz w:val="24"/>
          <w:szCs w:val="24"/>
        </w:rPr>
        <w:t>&lt;</w:t>
      </w:r>
      <w:r>
        <w:rPr>
          <w:rFonts w:ascii="宋体" w:hAnsi="宋体" w:eastAsia="宋体" w:cs="宋体"/>
          <w:spacing w:val="10"/>
          <w:sz w:val="24"/>
          <w:szCs w:val="24"/>
        </w:rPr>
        <w:t>50%,锌品位每降低0.1%,单价降3元/</w:t>
      </w:r>
      <w:r>
        <w:rPr>
          <w:rFonts w:ascii="宋体" w:hAnsi="宋体" w:eastAsia="宋体" w:cs="宋体"/>
          <w:spacing w:val="9"/>
          <w:sz w:val="24"/>
          <w:szCs w:val="24"/>
        </w:rPr>
        <w:t>金属吨。运费由供方承担。</w:t>
      </w:r>
    </w:p>
    <w:p w14:paraId="3C73EC92">
      <w:pPr>
        <w:spacing w:before="1" w:line="380" w:lineRule="auto"/>
        <w:ind w:left="114" w:right="241" w:firstLine="460"/>
        <w:jc w:val="both"/>
        <w:rPr>
          <w:rFonts w:ascii="Times New Roman" w:hAnsi="Times New Roman" w:eastAsia="Times New Roman" w:cs="Times New Roman"/>
          <w:sz w:val="22"/>
          <w:szCs w:val="22"/>
        </w:rPr>
      </w:pPr>
      <w:r>
        <w:rPr>
          <w:rFonts w:ascii="宋体" w:hAnsi="宋体" w:eastAsia="宋体" w:cs="宋体"/>
          <w:spacing w:val="3"/>
          <w:sz w:val="25"/>
          <w:szCs w:val="25"/>
        </w:rPr>
        <w:t>运输距离100公里，每公里0.7元/吨，扣除运费</w:t>
      </w:r>
      <w:r>
        <w:rPr>
          <w:rFonts w:ascii="宋体" w:hAnsi="宋体" w:eastAsia="宋体" w:cs="宋体"/>
          <w:spacing w:val="2"/>
          <w:sz w:val="25"/>
          <w:szCs w:val="25"/>
        </w:rPr>
        <w:t>后锌精矿(品位48.20%)销</w:t>
      </w:r>
      <w:r>
        <w:rPr>
          <w:rFonts w:ascii="宋体" w:hAnsi="宋体" w:eastAsia="宋体" w:cs="宋体"/>
          <w:sz w:val="25"/>
          <w:szCs w:val="25"/>
        </w:rPr>
        <w:t xml:space="preserve"> </w:t>
      </w:r>
      <w:r>
        <w:rPr>
          <w:rFonts w:ascii="仿宋" w:hAnsi="仿宋" w:eastAsia="仿宋" w:cs="仿宋"/>
          <w:spacing w:val="5"/>
          <w:sz w:val="25"/>
          <w:szCs w:val="25"/>
        </w:rPr>
        <w:t>售价格=(21,398.46-5800—(21,398.46-15000)×20%—(50%-48.2%)÷0.1%</w:t>
      </w:r>
      <w:r>
        <w:rPr>
          <w:rFonts w:ascii="仿宋" w:hAnsi="仿宋" w:eastAsia="仿宋" w:cs="仿宋"/>
          <w:spacing w:val="10"/>
          <w:sz w:val="25"/>
          <w:szCs w:val="25"/>
        </w:rPr>
        <w:t xml:space="preserve"> </w:t>
      </w:r>
      <w:r>
        <w:rPr>
          <w:rFonts w:ascii="Times New Roman" w:hAnsi="Times New Roman" w:eastAsia="Times New Roman" w:cs="Times New Roman"/>
          <w:spacing w:val="-1"/>
          <w:sz w:val="22"/>
          <w:szCs w:val="22"/>
        </w:rPr>
        <w:t>×3)÷1.13-100×0.7÷48.20%÷1.09</w:t>
      </w:r>
    </w:p>
    <w:p w14:paraId="4397AAF2">
      <w:pPr>
        <w:spacing w:before="125" w:line="216" w:lineRule="auto"/>
        <w:ind w:left="845"/>
        <w:rPr>
          <w:rFonts w:ascii="宋体" w:hAnsi="宋体" w:eastAsia="宋体" w:cs="宋体"/>
          <w:sz w:val="22"/>
          <w:szCs w:val="22"/>
        </w:rPr>
      </w:pPr>
      <w:r>
        <w:rPr>
          <w:rFonts w:ascii="宋体" w:hAnsi="宋体" w:eastAsia="宋体" w:cs="宋体"/>
          <w:spacing w:val="26"/>
          <w:sz w:val="22"/>
          <w:szCs w:val="22"/>
        </w:rPr>
        <w:t>=12,490.45元/吨</w:t>
      </w:r>
    </w:p>
    <w:p w14:paraId="633D5738">
      <w:pPr>
        <w:spacing w:before="224" w:line="218" w:lineRule="auto"/>
        <w:ind w:left="775"/>
        <w:rPr>
          <w:rFonts w:ascii="宋体" w:hAnsi="宋体" w:eastAsia="宋体" w:cs="宋体"/>
          <w:sz w:val="24"/>
          <w:szCs w:val="24"/>
        </w:rPr>
      </w:pPr>
      <w:r>
        <w:rPr>
          <w:rFonts w:ascii="宋体" w:hAnsi="宋体" w:eastAsia="宋体" w:cs="宋体"/>
          <w:spacing w:val="17"/>
          <w:sz w:val="24"/>
          <w:szCs w:val="24"/>
        </w:rPr>
        <w:t>(2)铅精矿价格</w:t>
      </w:r>
    </w:p>
    <w:p w14:paraId="2C8BA4DD">
      <w:pPr>
        <w:spacing w:before="178" w:line="383" w:lineRule="auto"/>
        <w:ind w:left="114" w:right="224" w:firstLine="530"/>
        <w:rPr>
          <w:rFonts w:ascii="宋体" w:hAnsi="宋体" w:eastAsia="宋体" w:cs="宋体"/>
          <w:sz w:val="24"/>
          <w:szCs w:val="24"/>
        </w:rPr>
      </w:pPr>
      <w:r>
        <w:rPr>
          <w:rFonts w:ascii="宋体" w:hAnsi="宋体" w:eastAsia="宋体" w:cs="宋体"/>
          <w:spacing w:val="7"/>
          <w:sz w:val="24"/>
          <w:szCs w:val="24"/>
        </w:rPr>
        <w:t>本次评估以评估基准日前三年上海有色金属网1#铅现货月均价为基础确定</w:t>
      </w:r>
      <w:r>
        <w:rPr>
          <w:rFonts w:ascii="宋体" w:hAnsi="宋体" w:eastAsia="宋体" w:cs="宋体"/>
          <w:spacing w:val="13"/>
          <w:sz w:val="24"/>
          <w:szCs w:val="24"/>
        </w:rPr>
        <w:t xml:space="preserve"> 铅精矿价格。根据同花顺统计数据，评估基准日前三年(即2021年10月-2022</w:t>
      </w:r>
      <w:r>
        <w:rPr>
          <w:rFonts w:ascii="宋体" w:hAnsi="宋体" w:eastAsia="宋体" w:cs="宋体"/>
          <w:spacing w:val="7"/>
          <w:sz w:val="24"/>
          <w:szCs w:val="24"/>
        </w:rPr>
        <w:t xml:space="preserve"> </w:t>
      </w:r>
      <w:r>
        <w:rPr>
          <w:rFonts w:ascii="宋体" w:hAnsi="宋体" w:eastAsia="宋体" w:cs="宋体"/>
          <w:spacing w:val="12"/>
          <w:sz w:val="24"/>
          <w:szCs w:val="24"/>
        </w:rPr>
        <w:t>年9月)上海有色金属网1#铅锭现货平均价格15,056.38元/吨。</w:t>
      </w:r>
    </w:p>
    <w:p w14:paraId="18892EF6">
      <w:pPr>
        <w:spacing w:before="1" w:line="387" w:lineRule="auto"/>
        <w:ind w:left="114" w:right="197" w:firstLine="540"/>
        <w:jc w:val="both"/>
        <w:rPr>
          <w:rFonts w:ascii="宋体" w:hAnsi="宋体" w:eastAsia="宋体" w:cs="宋体"/>
          <w:sz w:val="24"/>
          <w:szCs w:val="24"/>
        </w:rPr>
      </w:pPr>
      <w:r>
        <w:rPr>
          <w:rFonts w:ascii="宋体" w:hAnsi="宋体" w:eastAsia="宋体" w:cs="宋体"/>
          <w:spacing w:val="4"/>
          <w:sz w:val="24"/>
          <w:szCs w:val="24"/>
        </w:rPr>
        <w:t xml:space="preserve">根据采矿权人提供的2021年铅精矿购销合同(详见附件十四， </w:t>
      </w:r>
      <w:r>
        <w:rPr>
          <w:rFonts w:ascii="Times New Roman" w:hAnsi="Times New Roman" w:eastAsia="Times New Roman" w:cs="Times New Roman"/>
          <w:spacing w:val="4"/>
          <w:sz w:val="24"/>
          <w:szCs w:val="24"/>
        </w:rPr>
        <w:t>P5-</w:t>
      </w:r>
      <w:r>
        <w:rPr>
          <w:rFonts w:ascii="Times New Roman" w:hAnsi="Times New Roman" w:eastAsia="Times New Roman" w:cs="Times New Roman"/>
          <w:spacing w:val="3"/>
          <w:sz w:val="24"/>
          <w:szCs w:val="24"/>
        </w:rPr>
        <w:t>6),</w:t>
      </w:r>
      <w:r>
        <w:rPr>
          <w:rFonts w:ascii="Times New Roman" w:hAnsi="Times New Roman" w:eastAsia="Times New Roman" w:cs="Times New Roman"/>
          <w:sz w:val="24"/>
          <w:szCs w:val="24"/>
        </w:rPr>
        <w:t xml:space="preserve">    </w:t>
      </w:r>
      <w:r>
        <w:rPr>
          <w:rFonts w:ascii="宋体" w:hAnsi="宋体" w:eastAsia="宋体" w:cs="宋体"/>
          <w:spacing w:val="3"/>
          <w:sz w:val="24"/>
          <w:szCs w:val="24"/>
        </w:rPr>
        <w:t>铅精</w:t>
      </w:r>
      <w:r>
        <w:rPr>
          <w:rFonts w:ascii="宋体" w:hAnsi="宋体" w:eastAsia="宋体" w:cs="宋体"/>
          <w:sz w:val="24"/>
          <w:szCs w:val="24"/>
        </w:rPr>
        <w:t xml:space="preserve"> </w:t>
      </w:r>
      <w:r>
        <w:rPr>
          <w:rFonts w:ascii="宋体" w:hAnsi="宋体" w:eastAsia="宋体" w:cs="宋体"/>
          <w:spacing w:val="10"/>
          <w:sz w:val="24"/>
          <w:szCs w:val="24"/>
        </w:rPr>
        <w:t>矿含铅基准品位为55%,铅精矿含铅单价=基准价-1450元/吨，基准价为上海有</w:t>
      </w:r>
      <w:r>
        <w:rPr>
          <w:rFonts w:ascii="宋体" w:hAnsi="宋体" w:eastAsia="宋体" w:cs="宋体"/>
          <w:spacing w:val="1"/>
          <w:sz w:val="24"/>
          <w:szCs w:val="24"/>
        </w:rPr>
        <w:t xml:space="preserve"> </w:t>
      </w:r>
      <w:r>
        <w:rPr>
          <w:rFonts w:ascii="宋体" w:hAnsi="宋体" w:eastAsia="宋体" w:cs="宋体"/>
          <w:spacing w:val="10"/>
          <w:sz w:val="24"/>
          <w:szCs w:val="24"/>
        </w:rPr>
        <w:t>色网公布1#铅锭平均价。55%&lt;铅精矿含</w:t>
      </w:r>
      <w:r>
        <w:rPr>
          <w:rFonts w:ascii="宋体" w:hAnsi="宋体" w:eastAsia="宋体" w:cs="宋体"/>
          <w:spacing w:val="9"/>
          <w:sz w:val="24"/>
          <w:szCs w:val="24"/>
        </w:rPr>
        <w:t>铅品位≤60%,铅品位每增加0.1%,单价</w:t>
      </w:r>
      <w:r>
        <w:rPr>
          <w:rFonts w:ascii="宋体" w:hAnsi="宋体" w:eastAsia="宋体" w:cs="宋体"/>
          <w:sz w:val="24"/>
          <w:szCs w:val="24"/>
        </w:rPr>
        <w:t xml:space="preserve"> </w:t>
      </w:r>
      <w:r>
        <w:rPr>
          <w:rFonts w:ascii="宋体" w:hAnsi="宋体" w:eastAsia="宋体" w:cs="宋体"/>
          <w:spacing w:val="8"/>
          <w:sz w:val="24"/>
          <w:szCs w:val="24"/>
        </w:rPr>
        <w:t>加2元/金属吨。交货地点为选矿厂。</w:t>
      </w:r>
    </w:p>
    <w:p w14:paraId="7A2A75C0">
      <w:pPr>
        <w:pStyle w:val="2"/>
        <w:spacing w:before="1" w:line="427" w:lineRule="auto"/>
        <w:ind w:left="114" w:right="155" w:firstLine="490"/>
        <w:rPr>
          <w:sz w:val="22"/>
          <w:szCs w:val="22"/>
        </w:rPr>
      </w:pPr>
      <w:r>
        <w:rPr>
          <w:rFonts w:ascii="宋体" w:hAnsi="宋体" w:eastAsia="宋体" w:cs="宋体"/>
          <w:spacing w:val="20"/>
          <w:sz w:val="24"/>
          <w:szCs w:val="24"/>
        </w:rPr>
        <w:t>则铅精矿(品位55.20%)销售价格=(15,056.38-1450+(55.20</w:t>
      </w:r>
      <w:r>
        <w:rPr>
          <w:rFonts w:ascii="宋体" w:hAnsi="宋体" w:eastAsia="宋体" w:cs="宋体"/>
          <w:spacing w:val="19"/>
          <w:sz w:val="24"/>
          <w:szCs w:val="24"/>
        </w:rPr>
        <w:t>%-55%)÷</w:t>
      </w:r>
      <w:r>
        <w:rPr>
          <w:rFonts w:ascii="宋体" w:hAnsi="宋体" w:eastAsia="宋体" w:cs="宋体"/>
          <w:sz w:val="24"/>
          <w:szCs w:val="24"/>
        </w:rPr>
        <w:t xml:space="preserve"> </w:t>
      </w:r>
      <w:r>
        <w:rPr>
          <w:spacing w:val="-4"/>
          <w:sz w:val="22"/>
          <w:szCs w:val="22"/>
        </w:rPr>
        <w:t>0. 1%×2)÷1.13</w:t>
      </w:r>
    </w:p>
    <w:p w14:paraId="1194A983">
      <w:pPr>
        <w:spacing w:before="4" w:line="216" w:lineRule="auto"/>
        <w:ind w:left="4345"/>
        <w:rPr>
          <w:rFonts w:ascii="宋体" w:hAnsi="宋体" w:eastAsia="宋体" w:cs="宋体"/>
          <w:sz w:val="24"/>
          <w:szCs w:val="24"/>
        </w:rPr>
      </w:pPr>
      <w:r>
        <w:rPr>
          <w:rFonts w:ascii="宋体" w:hAnsi="宋体" w:eastAsia="宋体" w:cs="宋体"/>
          <w:spacing w:val="5"/>
          <w:sz w:val="24"/>
          <w:szCs w:val="24"/>
        </w:rPr>
        <w:t>=12,</w:t>
      </w:r>
      <w:r>
        <w:rPr>
          <w:rFonts w:ascii="宋体" w:hAnsi="宋体" w:eastAsia="宋体" w:cs="宋体"/>
          <w:spacing w:val="-24"/>
          <w:sz w:val="24"/>
          <w:szCs w:val="24"/>
        </w:rPr>
        <w:t xml:space="preserve"> </w:t>
      </w:r>
      <w:r>
        <w:rPr>
          <w:rFonts w:ascii="宋体" w:hAnsi="宋体" w:eastAsia="宋体" w:cs="宋体"/>
          <w:spacing w:val="5"/>
          <w:sz w:val="24"/>
          <w:szCs w:val="24"/>
        </w:rPr>
        <w:t>044.58元/吨</w:t>
      </w:r>
    </w:p>
    <w:p w14:paraId="48F7B07F">
      <w:pPr>
        <w:spacing w:line="216" w:lineRule="auto"/>
        <w:rPr>
          <w:rFonts w:ascii="宋体" w:hAnsi="宋体" w:eastAsia="宋体" w:cs="宋体"/>
          <w:sz w:val="24"/>
          <w:szCs w:val="24"/>
        </w:rPr>
        <w:sectPr>
          <w:headerReference r:id="rId90" w:type="default"/>
          <w:footerReference r:id="rId91" w:type="default"/>
          <w:pgSz w:w="11900" w:h="16830"/>
          <w:pgMar w:top="1147" w:right="1319" w:bottom="1299" w:left="1785" w:header="870" w:footer="958" w:gutter="0"/>
          <w:cols w:space="720" w:num="1"/>
        </w:sectPr>
      </w:pPr>
    </w:p>
    <w:p w14:paraId="16F73504">
      <w:pPr>
        <w:pStyle w:val="2"/>
        <w:spacing w:line="410" w:lineRule="auto"/>
      </w:pPr>
    </w:p>
    <w:p w14:paraId="02F3BC21">
      <w:pPr>
        <w:spacing w:before="78" w:line="218" w:lineRule="auto"/>
        <w:ind w:left="765"/>
        <w:rPr>
          <w:rFonts w:ascii="宋体" w:hAnsi="宋体" w:eastAsia="宋体" w:cs="宋体"/>
          <w:sz w:val="24"/>
          <w:szCs w:val="24"/>
        </w:rPr>
      </w:pPr>
      <w:r>
        <w:rPr>
          <w:rFonts w:ascii="宋体" w:hAnsi="宋体" w:eastAsia="宋体" w:cs="宋体"/>
          <w:spacing w:val="11"/>
          <w:sz w:val="24"/>
          <w:szCs w:val="24"/>
        </w:rPr>
        <w:t>(3)锌精矿含镉价格</w:t>
      </w:r>
    </w:p>
    <w:p w14:paraId="7FABFC57">
      <w:pPr>
        <w:spacing w:before="206" w:line="381" w:lineRule="auto"/>
        <w:ind w:left="124" w:right="203" w:firstLine="490"/>
        <w:rPr>
          <w:rFonts w:ascii="宋体" w:hAnsi="宋体" w:eastAsia="宋体" w:cs="宋体"/>
          <w:sz w:val="24"/>
          <w:szCs w:val="24"/>
        </w:rPr>
      </w:pPr>
      <w:r>
        <w:rPr>
          <w:rFonts w:ascii="宋体" w:hAnsi="宋体" w:eastAsia="宋体" w:cs="宋体"/>
          <w:spacing w:val="6"/>
          <w:sz w:val="24"/>
          <w:szCs w:val="24"/>
        </w:rPr>
        <w:t>锌精矿含镉企业实际销售未单独计价，经矿业权人介绍2020年至2022年期</w:t>
      </w:r>
      <w:r>
        <w:rPr>
          <w:rFonts w:ascii="宋体" w:hAnsi="宋体" w:eastAsia="宋体" w:cs="宋体"/>
          <w:spacing w:val="9"/>
          <w:sz w:val="24"/>
          <w:szCs w:val="24"/>
        </w:rPr>
        <w:t xml:space="preserve"> </w:t>
      </w:r>
      <w:r>
        <w:rPr>
          <w:rFonts w:ascii="宋体" w:hAnsi="宋体" w:eastAsia="宋体" w:cs="宋体"/>
          <w:spacing w:val="-1"/>
          <w:sz w:val="24"/>
          <w:szCs w:val="24"/>
        </w:rPr>
        <w:t>间，锌精矿含镉下游产品仅有镉饼。根据镉饼采</w:t>
      </w:r>
      <w:r>
        <w:rPr>
          <w:rFonts w:ascii="宋体" w:hAnsi="宋体" w:eastAsia="宋体" w:cs="宋体"/>
          <w:spacing w:val="-2"/>
          <w:sz w:val="24"/>
          <w:szCs w:val="24"/>
        </w:rPr>
        <w:t>购合同(详见附件十四：</w:t>
      </w:r>
      <w:r>
        <w:rPr>
          <w:rFonts w:ascii="Times New Roman" w:hAnsi="Times New Roman" w:eastAsia="Times New Roman" w:cs="Times New Roman"/>
          <w:spacing w:val="-2"/>
          <w:sz w:val="24"/>
          <w:szCs w:val="24"/>
        </w:rPr>
        <w:t>P7),</w:t>
      </w:r>
      <w:r>
        <w:rPr>
          <w:rFonts w:ascii="Times New Roman" w:hAnsi="Times New Roman" w:eastAsia="Times New Roman" w:cs="Times New Roman"/>
          <w:spacing w:val="41"/>
          <w:sz w:val="24"/>
          <w:szCs w:val="24"/>
        </w:rPr>
        <w:t xml:space="preserve"> </w:t>
      </w:r>
      <w:r>
        <w:rPr>
          <w:rFonts w:ascii="宋体" w:hAnsi="宋体" w:eastAsia="宋体" w:cs="宋体"/>
          <w:spacing w:val="-2"/>
          <w:sz w:val="24"/>
          <w:szCs w:val="24"/>
        </w:rPr>
        <w:t>镉</w:t>
      </w:r>
      <w:r>
        <w:rPr>
          <w:rFonts w:ascii="宋体" w:hAnsi="宋体" w:eastAsia="宋体" w:cs="宋体"/>
          <w:sz w:val="24"/>
          <w:szCs w:val="24"/>
        </w:rPr>
        <w:t xml:space="preserve">  </w:t>
      </w:r>
      <w:r>
        <w:rPr>
          <w:rFonts w:ascii="宋体" w:hAnsi="宋体" w:eastAsia="宋体" w:cs="宋体"/>
          <w:spacing w:val="4"/>
          <w:sz w:val="24"/>
          <w:szCs w:val="24"/>
        </w:rPr>
        <w:t>饼结算单价为上海有色网1#镉锭的平均价格扣减4220元/吨。</w:t>
      </w:r>
    </w:p>
    <w:p w14:paraId="509A5455">
      <w:pPr>
        <w:spacing w:before="13" w:line="383" w:lineRule="auto"/>
        <w:ind w:left="124" w:right="167" w:firstLine="490"/>
        <w:jc w:val="both"/>
        <w:rPr>
          <w:rFonts w:ascii="宋体" w:hAnsi="宋体" w:eastAsia="宋体" w:cs="宋体"/>
          <w:sz w:val="24"/>
          <w:szCs w:val="24"/>
        </w:rPr>
      </w:pPr>
      <w:r>
        <w:rPr>
          <w:rFonts w:ascii="宋体" w:hAnsi="宋体" w:eastAsia="宋体" w:cs="宋体"/>
          <w:spacing w:val="7"/>
          <w:sz w:val="24"/>
          <w:szCs w:val="24"/>
        </w:rPr>
        <w:t>本次评估以评估基准日前三年上海有色金属网</w:t>
      </w:r>
      <w:r>
        <w:rPr>
          <w:rFonts w:ascii="宋体" w:hAnsi="宋体" w:eastAsia="宋体" w:cs="宋体"/>
          <w:spacing w:val="6"/>
          <w:sz w:val="24"/>
          <w:szCs w:val="24"/>
        </w:rPr>
        <w:t>1#镉锭现货为基础确定镉饼</w:t>
      </w:r>
      <w:r>
        <w:rPr>
          <w:rFonts w:ascii="宋体" w:hAnsi="宋体" w:eastAsia="宋体" w:cs="宋体"/>
          <w:sz w:val="24"/>
          <w:szCs w:val="24"/>
        </w:rPr>
        <w:t xml:space="preserve"> </w:t>
      </w:r>
      <w:r>
        <w:rPr>
          <w:rFonts w:ascii="仿宋" w:hAnsi="仿宋" w:eastAsia="仿宋" w:cs="仿宋"/>
          <w:spacing w:val="13"/>
          <w:sz w:val="24"/>
          <w:szCs w:val="24"/>
        </w:rPr>
        <w:t>价格。</w:t>
      </w:r>
      <w:r>
        <w:rPr>
          <w:rFonts w:ascii="宋体" w:hAnsi="宋体" w:eastAsia="宋体" w:cs="宋体"/>
          <w:spacing w:val="13"/>
          <w:sz w:val="24"/>
          <w:szCs w:val="24"/>
        </w:rPr>
        <w:t>根据同花顺统计数据，评估基准日前三年(即2021年10月</w:t>
      </w:r>
      <w:r>
        <w:rPr>
          <w:rFonts w:ascii="宋体" w:hAnsi="宋体" w:eastAsia="宋体" w:cs="宋体"/>
          <w:spacing w:val="12"/>
          <w:sz w:val="24"/>
          <w:szCs w:val="24"/>
        </w:rPr>
        <w:t>-2022年9月)</w:t>
      </w:r>
      <w:r>
        <w:rPr>
          <w:rFonts w:ascii="宋体" w:hAnsi="宋体" w:eastAsia="宋体" w:cs="宋体"/>
          <w:sz w:val="24"/>
          <w:szCs w:val="24"/>
        </w:rPr>
        <w:t xml:space="preserve"> </w:t>
      </w:r>
      <w:r>
        <w:rPr>
          <w:rFonts w:ascii="宋体" w:hAnsi="宋体" w:eastAsia="宋体" w:cs="宋体"/>
          <w:spacing w:val="5"/>
          <w:sz w:val="24"/>
          <w:szCs w:val="24"/>
        </w:rPr>
        <w:t>上海有色金属网1#镉锭现货平均价17,185.21元/吨。</w:t>
      </w:r>
    </w:p>
    <w:p w14:paraId="45EEC9EC">
      <w:pPr>
        <w:spacing w:before="15" w:line="216" w:lineRule="auto"/>
        <w:ind w:left="614"/>
        <w:rPr>
          <w:rFonts w:ascii="宋体" w:hAnsi="宋体" w:eastAsia="宋体" w:cs="宋体"/>
          <w:sz w:val="24"/>
          <w:szCs w:val="24"/>
        </w:rPr>
      </w:pPr>
      <w:r>
        <w:rPr>
          <w:rFonts w:ascii="宋体" w:hAnsi="宋体" w:eastAsia="宋体" w:cs="宋体"/>
          <w:spacing w:val="12"/>
          <w:sz w:val="24"/>
          <w:szCs w:val="24"/>
        </w:rPr>
        <w:t>经计算，镉饼不含税价格为11,473.64吨(=(17,185.21-4220)÷1.13)。</w:t>
      </w:r>
    </w:p>
    <w:p w14:paraId="66D21288">
      <w:pPr>
        <w:spacing w:before="187" w:line="393" w:lineRule="auto"/>
        <w:ind w:left="124" w:right="207" w:firstLine="490"/>
        <w:rPr>
          <w:rFonts w:ascii="宋体" w:hAnsi="宋体" w:eastAsia="宋体" w:cs="宋体"/>
          <w:sz w:val="24"/>
          <w:szCs w:val="24"/>
        </w:rPr>
      </w:pPr>
      <w:r>
        <w:rPr>
          <w:rFonts w:ascii="宋体" w:hAnsi="宋体" w:eastAsia="宋体" w:cs="宋体"/>
          <w:spacing w:val="3"/>
          <w:sz w:val="24"/>
          <w:szCs w:val="24"/>
        </w:rPr>
        <w:t>根据《2021年镉系统成本表》(详见附件十</w:t>
      </w:r>
      <w:r>
        <w:rPr>
          <w:rFonts w:ascii="宋体" w:hAnsi="宋体" w:eastAsia="宋体" w:cs="宋体"/>
          <w:spacing w:val="2"/>
          <w:sz w:val="24"/>
          <w:szCs w:val="24"/>
        </w:rPr>
        <w:t xml:space="preserve">四： </w:t>
      </w:r>
      <w:r>
        <w:rPr>
          <w:rFonts w:ascii="Times New Roman" w:hAnsi="Times New Roman" w:eastAsia="Times New Roman" w:cs="Times New Roman"/>
          <w:spacing w:val="2"/>
          <w:sz w:val="24"/>
          <w:szCs w:val="24"/>
        </w:rPr>
        <w:t>P11),</w:t>
      </w:r>
      <w:r>
        <w:rPr>
          <w:rFonts w:ascii="Times New Roman" w:hAnsi="Times New Roman" w:eastAsia="Times New Roman" w:cs="Times New Roman"/>
          <w:spacing w:val="30"/>
          <w:w w:val="101"/>
          <w:sz w:val="24"/>
          <w:szCs w:val="24"/>
        </w:rPr>
        <w:t xml:space="preserve"> </w:t>
      </w:r>
      <w:r>
        <w:rPr>
          <w:rFonts w:ascii="宋体" w:hAnsi="宋体" w:eastAsia="宋体" w:cs="宋体"/>
          <w:spacing w:val="2"/>
          <w:sz w:val="24"/>
          <w:szCs w:val="24"/>
        </w:rPr>
        <w:t>云南罗平锌电股份有</w:t>
      </w:r>
      <w:r>
        <w:rPr>
          <w:rFonts w:ascii="宋体" w:hAnsi="宋体" w:eastAsia="宋体" w:cs="宋体"/>
          <w:sz w:val="24"/>
          <w:szCs w:val="24"/>
        </w:rPr>
        <w:t xml:space="preserve"> </w:t>
      </w:r>
      <w:r>
        <w:rPr>
          <w:rFonts w:ascii="宋体" w:hAnsi="宋体" w:eastAsia="宋体" w:cs="宋体"/>
          <w:spacing w:val="5"/>
          <w:sz w:val="24"/>
          <w:szCs w:val="24"/>
        </w:rPr>
        <w:t>限公司镉饼产量为327.03吨，镉饼制造成本为3238989.58元，2021年单位成本</w:t>
      </w:r>
      <w:r>
        <w:rPr>
          <w:rFonts w:ascii="宋体" w:hAnsi="宋体" w:eastAsia="宋体" w:cs="宋体"/>
          <w:spacing w:val="9"/>
          <w:sz w:val="24"/>
          <w:szCs w:val="24"/>
        </w:rPr>
        <w:t xml:space="preserve"> 为9904.27元/吨。</w:t>
      </w:r>
    </w:p>
    <w:p w14:paraId="7451D0AC">
      <w:pPr>
        <w:spacing w:before="12" w:line="350" w:lineRule="auto"/>
        <w:ind w:left="124" w:right="206" w:firstLine="490"/>
        <w:rPr>
          <w:rFonts w:ascii="宋体" w:hAnsi="宋体" w:eastAsia="宋体" w:cs="宋体"/>
          <w:sz w:val="24"/>
          <w:szCs w:val="24"/>
        </w:rPr>
      </w:pPr>
      <w:r>
        <w:rPr>
          <w:rFonts w:ascii="宋体" w:hAnsi="宋体" w:eastAsia="宋体" w:cs="宋体"/>
          <w:spacing w:val="3"/>
          <w:sz w:val="24"/>
          <w:szCs w:val="24"/>
        </w:rPr>
        <w:t xml:space="preserve">同时，根据云南罗平锌电股份有限公司提供的关于镉回收率的情况说明(详 </w:t>
      </w:r>
      <w:r>
        <w:rPr>
          <w:rFonts w:ascii="宋体" w:hAnsi="宋体" w:eastAsia="宋体" w:cs="宋体"/>
          <w:spacing w:val="2"/>
          <w:sz w:val="24"/>
          <w:szCs w:val="24"/>
        </w:rPr>
        <w:t>见附件十四，</w:t>
      </w:r>
      <w:r>
        <w:rPr>
          <w:rFonts w:ascii="Times New Roman" w:hAnsi="Times New Roman" w:eastAsia="Times New Roman" w:cs="Times New Roman"/>
          <w:spacing w:val="2"/>
          <w:sz w:val="24"/>
          <w:szCs w:val="24"/>
        </w:rPr>
        <w:t xml:space="preserve">P12),   </w:t>
      </w:r>
      <w:r>
        <w:rPr>
          <w:rFonts w:ascii="宋体" w:hAnsi="宋体" w:eastAsia="宋体" w:cs="宋体"/>
          <w:spacing w:val="2"/>
          <w:sz w:val="24"/>
          <w:szCs w:val="24"/>
        </w:rPr>
        <w:t>本次评估锌精</w:t>
      </w:r>
      <w:r>
        <w:rPr>
          <w:rFonts w:ascii="宋体" w:hAnsi="宋体" w:eastAsia="宋体" w:cs="宋体"/>
          <w:spacing w:val="1"/>
          <w:sz w:val="24"/>
          <w:szCs w:val="24"/>
        </w:rPr>
        <w:t>矿含镉冶炼回收率确定为79%。</w:t>
      </w:r>
    </w:p>
    <w:p w14:paraId="76923E11">
      <w:pPr>
        <w:spacing w:before="68" w:line="368" w:lineRule="auto"/>
        <w:ind w:left="124" w:right="191" w:firstLine="490"/>
        <w:jc w:val="both"/>
        <w:rPr>
          <w:rFonts w:ascii="宋体" w:hAnsi="宋体" w:eastAsia="宋体" w:cs="宋体"/>
          <w:sz w:val="24"/>
          <w:szCs w:val="24"/>
        </w:rPr>
      </w:pPr>
      <w:r>
        <w:rPr>
          <w:rFonts w:ascii="宋体" w:hAnsi="宋体" w:eastAsia="宋体" w:cs="宋体"/>
          <w:spacing w:val="14"/>
          <w:sz w:val="24"/>
          <w:szCs w:val="24"/>
        </w:rPr>
        <w:t>根据上述参数，镉锭扣除成本后的价值为1569.37元/吨(=11,473.64—</w:t>
      </w:r>
      <w:r>
        <w:rPr>
          <w:rFonts w:ascii="宋体" w:hAnsi="宋体" w:eastAsia="宋体" w:cs="宋体"/>
          <w:spacing w:val="15"/>
          <w:sz w:val="24"/>
          <w:szCs w:val="24"/>
        </w:rPr>
        <w:t xml:space="preserve"> </w:t>
      </w:r>
      <w:r>
        <w:rPr>
          <w:rFonts w:ascii="宋体" w:hAnsi="宋体" w:eastAsia="宋体" w:cs="宋体"/>
          <w:spacing w:val="9"/>
          <w:sz w:val="24"/>
          <w:szCs w:val="24"/>
        </w:rPr>
        <w:t>9904.27),冶炼回收率为79%,则锌精矿</w:t>
      </w:r>
      <w:r>
        <w:rPr>
          <w:rFonts w:ascii="宋体" w:hAnsi="宋体" w:eastAsia="宋体" w:cs="宋体"/>
          <w:spacing w:val="8"/>
          <w:sz w:val="24"/>
          <w:szCs w:val="24"/>
        </w:rPr>
        <w:t>含镉的价格确定为1239.80 元</w:t>
      </w:r>
      <w:r>
        <w:rPr>
          <w:rFonts w:ascii="宋体" w:hAnsi="宋体" w:eastAsia="宋体" w:cs="宋体"/>
          <w:spacing w:val="-49"/>
          <w:sz w:val="24"/>
          <w:szCs w:val="24"/>
        </w:rPr>
        <w:t xml:space="preserve"> </w:t>
      </w:r>
      <w:r>
        <w:rPr>
          <w:rFonts w:ascii="宋体" w:hAnsi="宋体" w:eastAsia="宋体" w:cs="宋体"/>
          <w:spacing w:val="8"/>
          <w:sz w:val="24"/>
          <w:szCs w:val="24"/>
        </w:rPr>
        <w:t>/</w:t>
      </w:r>
      <w:r>
        <w:rPr>
          <w:rFonts w:ascii="宋体" w:hAnsi="宋体" w:eastAsia="宋体" w:cs="宋体"/>
          <w:spacing w:val="-37"/>
          <w:sz w:val="24"/>
          <w:szCs w:val="24"/>
        </w:rPr>
        <w:t xml:space="preserve"> </w:t>
      </w:r>
      <w:r>
        <w:rPr>
          <w:rFonts w:ascii="宋体" w:hAnsi="宋体" w:eastAsia="宋体" w:cs="宋体"/>
          <w:spacing w:val="8"/>
          <w:sz w:val="24"/>
          <w:szCs w:val="24"/>
        </w:rPr>
        <w:t>吨 (</w:t>
      </w:r>
      <w:r>
        <w:rPr>
          <w:rFonts w:ascii="宋体" w:hAnsi="宋体" w:eastAsia="宋体" w:cs="宋体"/>
          <w:spacing w:val="-50"/>
          <w:sz w:val="24"/>
          <w:szCs w:val="24"/>
        </w:rPr>
        <w:t xml:space="preserve"> </w:t>
      </w:r>
      <w:r>
        <w:rPr>
          <w:rFonts w:ascii="宋体" w:hAnsi="宋体" w:eastAsia="宋体" w:cs="宋体"/>
          <w:spacing w:val="8"/>
          <w:sz w:val="24"/>
          <w:szCs w:val="24"/>
        </w:rPr>
        <w:t>=</w:t>
      </w:r>
      <w:r>
        <w:rPr>
          <w:rFonts w:ascii="宋体" w:hAnsi="宋体" w:eastAsia="宋体" w:cs="宋体"/>
          <w:sz w:val="24"/>
          <w:szCs w:val="24"/>
        </w:rPr>
        <w:t xml:space="preserve"> </w:t>
      </w:r>
      <w:r>
        <w:rPr>
          <w:rFonts w:ascii="Times New Roman" w:hAnsi="Times New Roman" w:eastAsia="Times New Roman" w:cs="Times New Roman"/>
          <w:spacing w:val="-3"/>
          <w:sz w:val="24"/>
          <w:szCs w:val="24"/>
        </w:rPr>
        <w:t>1569.37×79%)</w:t>
      </w:r>
      <w:r>
        <w:rPr>
          <w:rFonts w:ascii="宋体" w:hAnsi="宋体" w:eastAsia="宋体" w:cs="宋体"/>
          <w:spacing w:val="-3"/>
          <w:sz w:val="24"/>
          <w:szCs w:val="24"/>
        </w:rPr>
        <w:t>。</w:t>
      </w:r>
    </w:p>
    <w:p w14:paraId="58038BD8">
      <w:pPr>
        <w:spacing w:before="57" w:line="219" w:lineRule="auto"/>
        <w:ind w:left="614"/>
        <w:rPr>
          <w:rFonts w:ascii="宋体" w:hAnsi="宋体" w:eastAsia="宋体" w:cs="宋体"/>
          <w:sz w:val="24"/>
          <w:szCs w:val="24"/>
        </w:rPr>
      </w:pPr>
      <w:r>
        <w:rPr>
          <w:rFonts w:ascii="宋体" w:hAnsi="宋体" w:eastAsia="宋体" w:cs="宋体"/>
          <w:spacing w:val="8"/>
          <w:sz w:val="24"/>
          <w:szCs w:val="24"/>
        </w:rPr>
        <w:t>10.10.3销售收入</w:t>
      </w:r>
    </w:p>
    <w:p w14:paraId="024673C6">
      <w:pPr>
        <w:spacing w:before="254" w:line="411" w:lineRule="auto"/>
        <w:ind w:left="124" w:right="165" w:firstLine="490"/>
        <w:rPr>
          <w:rFonts w:ascii="宋体" w:hAnsi="宋体" w:eastAsia="宋体" w:cs="宋体"/>
          <w:sz w:val="24"/>
          <w:szCs w:val="24"/>
        </w:rPr>
      </w:pPr>
      <w:r>
        <w:rPr>
          <w:rFonts w:ascii="宋体" w:hAnsi="宋体" w:eastAsia="宋体" w:cs="宋体"/>
          <w:spacing w:val="11"/>
          <w:sz w:val="24"/>
          <w:szCs w:val="24"/>
        </w:rPr>
        <w:t>假定未来生产期生产的产品全部销售，则评估对象年销售收入为(以2023</w:t>
      </w:r>
      <w:r>
        <w:rPr>
          <w:rFonts w:ascii="宋体" w:hAnsi="宋体" w:eastAsia="宋体" w:cs="宋体"/>
          <w:spacing w:val="9"/>
          <w:sz w:val="24"/>
          <w:szCs w:val="24"/>
        </w:rPr>
        <w:t xml:space="preserve"> </w:t>
      </w:r>
      <w:r>
        <w:rPr>
          <w:rFonts w:ascii="宋体" w:hAnsi="宋体" w:eastAsia="宋体" w:cs="宋体"/>
          <w:spacing w:val="-3"/>
          <w:sz w:val="24"/>
          <w:szCs w:val="24"/>
        </w:rPr>
        <w:t>年):</w:t>
      </w:r>
    </w:p>
    <w:p w14:paraId="58CC971E">
      <w:pPr>
        <w:spacing w:before="10" w:line="416" w:lineRule="auto"/>
        <w:ind w:left="124" w:right="186" w:firstLine="490"/>
        <w:rPr>
          <w:rFonts w:ascii="宋体" w:hAnsi="宋体" w:eastAsia="宋体" w:cs="宋体"/>
          <w:sz w:val="24"/>
          <w:szCs w:val="24"/>
        </w:rPr>
      </w:pPr>
      <w:r>
        <w:rPr>
          <w:rFonts w:ascii="宋体" w:hAnsi="宋体" w:eastAsia="宋体" w:cs="宋体"/>
          <w:spacing w:val="7"/>
          <w:sz w:val="24"/>
          <w:szCs w:val="24"/>
        </w:rPr>
        <w:t>年销售收入=铅精矿含铅年产量×铅精矿含铅售价+锌精矿含锌年产量×锌</w:t>
      </w:r>
      <w:r>
        <w:rPr>
          <w:rFonts w:ascii="宋体" w:hAnsi="宋体" w:eastAsia="宋体" w:cs="宋体"/>
          <w:spacing w:val="11"/>
          <w:sz w:val="24"/>
          <w:szCs w:val="24"/>
        </w:rPr>
        <w:t xml:space="preserve"> </w:t>
      </w:r>
      <w:r>
        <w:rPr>
          <w:rFonts w:ascii="宋体" w:hAnsi="宋体" w:eastAsia="宋体" w:cs="宋体"/>
          <w:spacing w:val="6"/>
          <w:sz w:val="24"/>
          <w:szCs w:val="24"/>
        </w:rPr>
        <w:t>精矿含锌售价+锌精矿含镉年产量×锌精矿含镉售价</w:t>
      </w:r>
    </w:p>
    <w:p w14:paraId="2D92C12D">
      <w:pPr>
        <w:spacing w:before="1" w:line="404" w:lineRule="auto"/>
        <w:ind w:left="124" w:right="166" w:firstLine="490"/>
        <w:rPr>
          <w:rFonts w:ascii="仿宋" w:hAnsi="仿宋" w:eastAsia="仿宋" w:cs="仿宋"/>
          <w:sz w:val="24"/>
          <w:szCs w:val="24"/>
        </w:rPr>
      </w:pPr>
      <w:r>
        <w:rPr>
          <w:rFonts w:ascii="宋体" w:hAnsi="宋体" w:eastAsia="宋体" w:cs="宋体"/>
          <w:spacing w:val="11"/>
          <w:sz w:val="24"/>
          <w:szCs w:val="24"/>
        </w:rPr>
        <w:t>铅精矿(含铅品位55.20%)年销售收入=铅</w:t>
      </w:r>
      <w:r>
        <w:rPr>
          <w:rFonts w:ascii="宋体" w:hAnsi="宋体" w:eastAsia="宋体" w:cs="宋体"/>
          <w:spacing w:val="10"/>
          <w:sz w:val="24"/>
          <w:szCs w:val="24"/>
        </w:rPr>
        <w:t>精矿含铅年产量×铅精矿含铅售</w:t>
      </w:r>
      <w:r>
        <w:rPr>
          <w:rFonts w:ascii="宋体" w:hAnsi="宋体" w:eastAsia="宋体" w:cs="宋体"/>
          <w:sz w:val="24"/>
          <w:szCs w:val="24"/>
        </w:rPr>
        <w:t xml:space="preserve"> </w:t>
      </w:r>
      <w:r>
        <w:rPr>
          <w:rFonts w:ascii="仿宋" w:hAnsi="仿宋" w:eastAsia="仿宋" w:cs="仿宋"/>
          <w:sz w:val="24"/>
          <w:szCs w:val="24"/>
        </w:rPr>
        <w:t>价</w:t>
      </w:r>
    </w:p>
    <w:p w14:paraId="5A8BA568">
      <w:pPr>
        <w:spacing w:before="66" w:line="188" w:lineRule="auto"/>
        <w:ind w:left="477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=340.85×12,044.58÷10000</w:t>
      </w:r>
    </w:p>
    <w:p w14:paraId="2BBB2E4E">
      <w:pPr>
        <w:spacing w:before="288" w:line="220" w:lineRule="auto"/>
        <w:ind w:left="4764"/>
        <w:rPr>
          <w:rFonts w:ascii="宋体" w:hAnsi="宋体" w:eastAsia="宋体" w:cs="宋体"/>
          <w:sz w:val="24"/>
          <w:szCs w:val="24"/>
        </w:rPr>
      </w:pPr>
      <w:r>
        <w:rPr>
          <w:rFonts w:ascii="宋体" w:hAnsi="宋体" w:eastAsia="宋体" w:cs="宋体"/>
          <w:spacing w:val="22"/>
          <w:sz w:val="24"/>
          <w:szCs w:val="24"/>
        </w:rPr>
        <w:t>=410.54(万元)</w:t>
      </w:r>
    </w:p>
    <w:p w14:paraId="3025FE05">
      <w:pPr>
        <w:spacing w:before="252" w:line="397" w:lineRule="auto"/>
        <w:ind w:left="124" w:right="167" w:firstLine="490"/>
        <w:rPr>
          <w:rFonts w:ascii="仿宋" w:hAnsi="仿宋" w:eastAsia="仿宋" w:cs="仿宋"/>
          <w:sz w:val="24"/>
          <w:szCs w:val="24"/>
        </w:rPr>
      </w:pPr>
      <w:r>
        <w:rPr>
          <w:rFonts w:ascii="宋体" w:hAnsi="宋体" w:eastAsia="宋体" w:cs="宋体"/>
          <w:spacing w:val="11"/>
          <w:sz w:val="24"/>
          <w:szCs w:val="24"/>
        </w:rPr>
        <w:t>锌精矿(含锌品位48.20%)年销售收入=</w:t>
      </w:r>
      <w:r>
        <w:rPr>
          <w:rFonts w:ascii="宋体" w:hAnsi="宋体" w:eastAsia="宋体" w:cs="宋体"/>
          <w:spacing w:val="10"/>
          <w:sz w:val="24"/>
          <w:szCs w:val="24"/>
        </w:rPr>
        <w:t>锌精矿含锌年产量×锌精矿含锌售</w:t>
      </w:r>
      <w:r>
        <w:rPr>
          <w:rFonts w:ascii="宋体" w:hAnsi="宋体" w:eastAsia="宋体" w:cs="宋体"/>
          <w:sz w:val="24"/>
          <w:szCs w:val="24"/>
        </w:rPr>
        <w:t xml:space="preserve"> </w:t>
      </w:r>
      <w:r>
        <w:rPr>
          <w:rFonts w:ascii="仿宋" w:hAnsi="仿宋" w:eastAsia="仿宋" w:cs="仿宋"/>
          <w:sz w:val="24"/>
          <w:szCs w:val="24"/>
        </w:rPr>
        <w:t>价</w:t>
      </w:r>
    </w:p>
    <w:p w14:paraId="0719DF2E">
      <w:pPr>
        <w:spacing w:line="397" w:lineRule="auto"/>
        <w:rPr>
          <w:rFonts w:ascii="仿宋" w:hAnsi="仿宋" w:eastAsia="仿宋" w:cs="仿宋"/>
          <w:sz w:val="24"/>
          <w:szCs w:val="24"/>
        </w:rPr>
        <w:sectPr>
          <w:headerReference r:id="rId92" w:type="default"/>
          <w:footerReference r:id="rId93" w:type="default"/>
          <w:pgSz w:w="11900" w:h="16830"/>
          <w:pgMar w:top="1177" w:right="1390" w:bottom="1279" w:left="1785" w:header="900" w:footer="938" w:gutter="0"/>
          <w:cols w:space="720" w:num="1"/>
        </w:sectPr>
      </w:pPr>
    </w:p>
    <w:p w14:paraId="3D0B3286">
      <w:pPr>
        <w:pStyle w:val="2"/>
        <w:spacing w:line="476" w:lineRule="auto"/>
      </w:pPr>
    </w:p>
    <w:p w14:paraId="45413F10">
      <w:pPr>
        <w:spacing w:before="69" w:line="188" w:lineRule="auto"/>
        <w:ind w:left="612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=3207.60×12,490.45÷10000</w:t>
      </w:r>
    </w:p>
    <w:p w14:paraId="6B131E08">
      <w:pPr>
        <w:spacing w:before="294" w:line="216" w:lineRule="auto"/>
        <w:ind w:left="6120"/>
        <w:rPr>
          <w:rFonts w:ascii="宋体" w:hAnsi="宋体" w:eastAsia="宋体" w:cs="宋体"/>
          <w:sz w:val="24"/>
          <w:szCs w:val="24"/>
        </w:rPr>
      </w:pPr>
      <w:r>
        <w:rPr>
          <w:rFonts w:ascii="宋体" w:hAnsi="宋体" w:eastAsia="宋体" w:cs="宋体"/>
          <w:spacing w:val="20"/>
          <w:sz w:val="24"/>
          <w:szCs w:val="24"/>
        </w:rPr>
        <w:t>=4,006.44(万元)</w:t>
      </w:r>
    </w:p>
    <w:p w14:paraId="6F4A38F5">
      <w:pPr>
        <w:spacing w:before="262" w:line="404" w:lineRule="auto"/>
        <w:ind w:left="1539" w:right="261" w:firstLine="490"/>
        <w:rPr>
          <w:rFonts w:ascii="仿宋" w:hAnsi="仿宋" w:eastAsia="仿宋" w:cs="仿宋"/>
          <w:sz w:val="24"/>
          <w:szCs w:val="24"/>
        </w:rPr>
      </w:pPr>
      <w:r>
        <w:rPr>
          <w:rFonts w:ascii="宋体" w:hAnsi="宋体" w:eastAsia="宋体" w:cs="宋体"/>
          <w:spacing w:val="13"/>
          <w:sz w:val="24"/>
          <w:szCs w:val="24"/>
        </w:rPr>
        <w:t>锌精矿(含镉品位1.70%)年销售收入=锌精矿含镉年产量×锌精矿</w:t>
      </w:r>
      <w:r>
        <w:rPr>
          <w:rFonts w:ascii="宋体" w:hAnsi="宋体" w:eastAsia="宋体" w:cs="宋体"/>
          <w:spacing w:val="12"/>
          <w:sz w:val="24"/>
          <w:szCs w:val="24"/>
        </w:rPr>
        <w:t>含镉售</w:t>
      </w:r>
      <w:r>
        <w:rPr>
          <w:rFonts w:ascii="宋体" w:hAnsi="宋体" w:eastAsia="宋体" w:cs="宋体"/>
          <w:sz w:val="24"/>
          <w:szCs w:val="24"/>
        </w:rPr>
        <w:t xml:space="preserve"> </w:t>
      </w:r>
      <w:r>
        <w:rPr>
          <w:rFonts w:ascii="仿宋" w:hAnsi="仿宋" w:eastAsia="仿宋" w:cs="仿宋"/>
          <w:sz w:val="24"/>
          <w:szCs w:val="24"/>
        </w:rPr>
        <w:t>价</w:t>
      </w:r>
    </w:p>
    <w:p w14:paraId="56719051">
      <w:pPr>
        <w:spacing w:before="55" w:line="188" w:lineRule="auto"/>
        <w:ind w:left="6120"/>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=90.53×1,239.80÷10000</w:t>
      </w:r>
    </w:p>
    <w:p w14:paraId="66379D9E">
      <w:pPr>
        <w:spacing w:before="299" w:line="220" w:lineRule="auto"/>
        <w:ind w:left="6120"/>
        <w:rPr>
          <w:rFonts w:ascii="宋体" w:hAnsi="宋体" w:eastAsia="宋体" w:cs="宋体"/>
          <w:sz w:val="24"/>
          <w:szCs w:val="24"/>
        </w:rPr>
      </w:pPr>
      <w:r>
        <w:rPr>
          <w:rFonts w:ascii="宋体" w:hAnsi="宋体" w:eastAsia="宋体" w:cs="宋体"/>
          <w:spacing w:val="25"/>
          <w:sz w:val="24"/>
          <w:szCs w:val="24"/>
        </w:rPr>
        <w:t>=11.22(万元)</w:t>
      </w:r>
    </w:p>
    <w:p w14:paraId="1FB46B9C">
      <w:pPr>
        <w:spacing w:before="250" w:line="216" w:lineRule="auto"/>
        <w:ind w:left="2030"/>
        <w:rPr>
          <w:rFonts w:ascii="宋体" w:hAnsi="宋体" w:eastAsia="宋体" w:cs="宋体"/>
          <w:sz w:val="24"/>
          <w:szCs w:val="24"/>
        </w:rPr>
      </w:pPr>
      <w:r>
        <w:rPr>
          <w:rFonts w:ascii="宋体" w:hAnsi="宋体" w:eastAsia="宋体" w:cs="宋体"/>
          <w:spacing w:val="4"/>
          <w:sz w:val="24"/>
          <w:szCs w:val="24"/>
        </w:rPr>
        <w:t>合计年销售收入为4,428.20万元。</w:t>
      </w:r>
    </w:p>
    <w:p w14:paraId="273126FC">
      <w:pPr>
        <w:spacing w:before="251" w:line="219" w:lineRule="auto"/>
        <w:ind w:left="2030"/>
        <w:rPr>
          <w:rFonts w:ascii="宋体" w:hAnsi="宋体" w:eastAsia="宋体" w:cs="宋体"/>
          <w:sz w:val="24"/>
          <w:szCs w:val="24"/>
        </w:rPr>
      </w:pPr>
      <w:r>
        <w:rPr>
          <w:rFonts w:ascii="宋体" w:hAnsi="宋体" w:eastAsia="宋体" w:cs="宋体"/>
          <w:spacing w:val="-3"/>
          <w:sz w:val="24"/>
          <w:szCs w:val="24"/>
        </w:rPr>
        <w:t>详见附表六。</w:t>
      </w:r>
    </w:p>
    <w:p w14:paraId="337AD904">
      <w:pPr>
        <w:spacing w:before="264" w:line="218" w:lineRule="auto"/>
        <w:ind w:left="2030"/>
        <w:outlineLvl w:val="1"/>
        <w:rPr>
          <w:rFonts w:ascii="宋体" w:hAnsi="宋体" w:eastAsia="宋体" w:cs="宋体"/>
          <w:sz w:val="24"/>
          <w:szCs w:val="24"/>
        </w:rPr>
      </w:pPr>
      <w:bookmarkStart w:id="49" w:name="bookmark34"/>
      <w:bookmarkEnd w:id="49"/>
      <w:r>
        <w:rPr>
          <w:rFonts w:ascii="宋体" w:hAnsi="宋体" w:eastAsia="宋体" w:cs="宋体"/>
          <w:spacing w:val="6"/>
          <w:sz w:val="24"/>
          <w:szCs w:val="24"/>
        </w:rPr>
        <w:t>10.11投资估算</w:t>
      </w:r>
    </w:p>
    <w:p w14:paraId="7A6A7D21">
      <w:pPr>
        <w:spacing w:before="227" w:line="218" w:lineRule="auto"/>
        <w:ind w:left="2030"/>
        <w:rPr>
          <w:rFonts w:ascii="宋体" w:hAnsi="宋体" w:eastAsia="宋体" w:cs="宋体"/>
          <w:sz w:val="24"/>
          <w:szCs w:val="24"/>
        </w:rPr>
      </w:pPr>
      <w:r>
        <w:rPr>
          <w:rFonts w:ascii="宋体" w:hAnsi="宋体" w:eastAsia="宋体" w:cs="宋体"/>
          <w:spacing w:val="2"/>
          <w:sz w:val="24"/>
          <w:szCs w:val="24"/>
        </w:rPr>
        <w:t>10.11.1固定资产投资估算</w:t>
      </w:r>
    </w:p>
    <w:p w14:paraId="62722C1F">
      <w:pPr>
        <w:spacing w:before="229" w:line="220" w:lineRule="auto"/>
        <w:ind w:left="2160"/>
        <w:rPr>
          <w:rFonts w:ascii="宋体" w:hAnsi="宋体" w:eastAsia="宋体" w:cs="宋体"/>
          <w:sz w:val="24"/>
          <w:szCs w:val="24"/>
        </w:rPr>
      </w:pPr>
      <w:r>
        <w:rPr>
          <w:rFonts w:ascii="宋体" w:hAnsi="宋体" w:eastAsia="宋体" w:cs="宋体"/>
          <w:spacing w:val="11"/>
          <w:sz w:val="24"/>
          <w:szCs w:val="24"/>
        </w:rPr>
        <w:t>(1)开发利用方案投资</w:t>
      </w:r>
    </w:p>
    <w:p w14:paraId="777524EF">
      <w:pPr>
        <w:spacing w:before="211" w:line="217" w:lineRule="auto"/>
        <w:ind w:left="2030"/>
        <w:rPr>
          <w:rFonts w:ascii="宋体" w:hAnsi="宋体" w:eastAsia="宋体" w:cs="宋体"/>
          <w:sz w:val="24"/>
          <w:szCs w:val="24"/>
        </w:rPr>
      </w:pPr>
      <w:r>
        <w:rPr>
          <w:rFonts w:ascii="宋体" w:hAnsi="宋体" w:eastAsia="宋体" w:cs="宋体"/>
          <w:spacing w:val="2"/>
          <w:sz w:val="24"/>
          <w:szCs w:val="24"/>
        </w:rPr>
        <w:t>①利用已形成的固定资产</w:t>
      </w:r>
    </w:p>
    <w:p w14:paraId="569B5595">
      <w:pPr>
        <w:spacing w:before="158" w:line="377" w:lineRule="auto"/>
        <w:ind w:left="1539" w:right="148" w:firstLine="370"/>
        <w:jc w:val="both"/>
        <w:rPr>
          <w:rFonts w:ascii="宋体" w:hAnsi="宋体" w:eastAsia="宋体" w:cs="宋体"/>
          <w:sz w:val="24"/>
          <w:szCs w:val="24"/>
        </w:rPr>
      </w:pPr>
      <w:r>
        <w:drawing>
          <wp:anchor distT="0" distB="0" distL="0" distR="0" simplePos="0" relativeHeight="251833344" behindDoc="0" locked="0" layoutInCell="1" allowOverlap="1">
            <wp:simplePos x="0" y="0"/>
            <wp:positionH relativeFrom="column">
              <wp:posOffset>0</wp:posOffset>
            </wp:positionH>
            <wp:positionV relativeFrom="paragraph">
              <wp:posOffset>687070</wp:posOffset>
            </wp:positionV>
            <wp:extent cx="158750" cy="323850"/>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152"/>
                    <a:stretch>
                      <a:fillRect/>
                    </a:stretch>
                  </pic:blipFill>
                  <pic:spPr>
                    <a:xfrm>
                      <a:off x="0" y="0"/>
                      <a:ext cx="158762" cy="323817"/>
                    </a:xfrm>
                    <a:prstGeom prst="rect">
                      <a:avLst/>
                    </a:prstGeom>
                  </pic:spPr>
                </pic:pic>
              </a:graphicData>
            </a:graphic>
          </wp:anchor>
        </w:drawing>
      </w:r>
      <w:r>
        <w:rPr>
          <w:rFonts w:ascii="宋体" w:hAnsi="宋体" w:eastAsia="宋体" w:cs="宋体"/>
          <w:spacing w:val="11"/>
          <w:sz w:val="24"/>
          <w:szCs w:val="24"/>
        </w:rPr>
        <w:t>根据“开发利用方案修编”(详见附件十一：P26), 截止2022年4月30日已</w:t>
      </w:r>
      <w:r>
        <w:rPr>
          <w:rFonts w:ascii="宋体" w:hAnsi="宋体" w:eastAsia="宋体" w:cs="宋体"/>
          <w:spacing w:val="15"/>
          <w:sz w:val="24"/>
          <w:szCs w:val="24"/>
        </w:rPr>
        <w:t xml:space="preserve"> </w:t>
      </w:r>
      <w:r>
        <w:rPr>
          <w:rFonts w:ascii="宋体" w:hAnsi="宋体" w:eastAsia="宋体" w:cs="宋体"/>
          <w:spacing w:val="8"/>
          <w:sz w:val="24"/>
          <w:szCs w:val="24"/>
        </w:rPr>
        <w:t>形成采矿系统固定资产原值3,177.66万元，净值1,911.04万元；选矿系统固定</w:t>
      </w:r>
      <w:r>
        <w:rPr>
          <w:rFonts w:ascii="宋体" w:hAnsi="宋体" w:eastAsia="宋体" w:cs="宋体"/>
          <w:sz w:val="24"/>
          <w:szCs w:val="24"/>
        </w:rPr>
        <w:t xml:space="preserve"> </w:t>
      </w:r>
      <w:r>
        <w:rPr>
          <w:rFonts w:ascii="宋体" w:hAnsi="宋体" w:eastAsia="宋体" w:cs="宋体"/>
          <w:spacing w:val="8"/>
          <w:sz w:val="24"/>
          <w:szCs w:val="24"/>
        </w:rPr>
        <w:t>资产原值4,775.11万元，净值2,967.48万元。详见下表10-8:</w:t>
      </w:r>
    </w:p>
    <w:p w14:paraId="4268D26F">
      <w:pPr>
        <w:spacing w:before="103" w:line="210" w:lineRule="auto"/>
        <w:ind w:left="3360"/>
        <w:rPr>
          <w:rFonts w:ascii="宋体" w:hAnsi="宋体" w:eastAsia="宋体" w:cs="宋体"/>
          <w:sz w:val="25"/>
          <w:szCs w:val="25"/>
        </w:rPr>
      </w:pPr>
      <w:r>
        <w:rPr>
          <w:rFonts w:ascii="宋体" w:hAnsi="宋体" w:eastAsia="宋体" w:cs="宋体"/>
          <w:spacing w:val="2"/>
          <w:sz w:val="25"/>
          <w:szCs w:val="25"/>
        </w:rPr>
        <w:t>表10-8设计利用原有固定资产投资(单位：万元)</w:t>
      </w:r>
    </w:p>
    <w:tbl>
      <w:tblPr>
        <w:tblStyle w:val="5"/>
        <w:tblW w:w="8729" w:type="dxa"/>
        <w:tblInd w:w="1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2"/>
        <w:gridCol w:w="1119"/>
        <w:gridCol w:w="1238"/>
        <w:gridCol w:w="1049"/>
        <w:gridCol w:w="1058"/>
        <w:gridCol w:w="1059"/>
        <w:gridCol w:w="1044"/>
      </w:tblGrid>
      <w:tr w14:paraId="0501B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162" w:type="dxa"/>
            <w:vMerge w:val="restart"/>
            <w:tcBorders>
              <w:bottom w:val="nil"/>
            </w:tcBorders>
            <w:vAlign w:val="top"/>
          </w:tcPr>
          <w:p w14:paraId="6491F878">
            <w:pPr>
              <w:pStyle w:val="6"/>
              <w:spacing w:before="244" w:line="220" w:lineRule="auto"/>
              <w:ind w:left="125"/>
            </w:pPr>
            <w:r>
              <w:rPr>
                <w:spacing w:val="1"/>
              </w:rPr>
              <w:t>工程项目和费用名称</w:t>
            </w:r>
          </w:p>
        </w:tc>
        <w:tc>
          <w:tcPr>
            <w:tcW w:w="2357" w:type="dxa"/>
            <w:gridSpan w:val="2"/>
            <w:vAlign w:val="top"/>
          </w:tcPr>
          <w:p w14:paraId="075143E9">
            <w:pPr>
              <w:pStyle w:val="6"/>
              <w:spacing w:before="63" w:line="219" w:lineRule="auto"/>
              <w:ind w:left="943"/>
            </w:pPr>
            <w:r>
              <w:rPr>
                <w:spacing w:val="13"/>
              </w:rPr>
              <w:t>矿山</w:t>
            </w:r>
          </w:p>
        </w:tc>
        <w:tc>
          <w:tcPr>
            <w:tcW w:w="2107" w:type="dxa"/>
            <w:gridSpan w:val="2"/>
            <w:vAlign w:val="top"/>
          </w:tcPr>
          <w:p w14:paraId="5BCC766C">
            <w:pPr>
              <w:pStyle w:val="6"/>
              <w:spacing w:before="64" w:line="220" w:lineRule="auto"/>
              <w:ind w:left="806"/>
            </w:pPr>
            <w:r>
              <w:rPr>
                <w:spacing w:val="-2"/>
              </w:rPr>
              <w:t>选厂</w:t>
            </w:r>
          </w:p>
        </w:tc>
        <w:tc>
          <w:tcPr>
            <w:tcW w:w="2103" w:type="dxa"/>
            <w:gridSpan w:val="2"/>
            <w:vAlign w:val="top"/>
          </w:tcPr>
          <w:p w14:paraId="52C4BE8F">
            <w:pPr>
              <w:pStyle w:val="6"/>
              <w:spacing w:before="64" w:line="221" w:lineRule="auto"/>
              <w:ind w:left="838"/>
            </w:pPr>
            <w:r>
              <w:rPr>
                <w:spacing w:val="-3"/>
              </w:rPr>
              <w:t>合计</w:t>
            </w:r>
          </w:p>
        </w:tc>
      </w:tr>
      <w:tr w14:paraId="36676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162" w:type="dxa"/>
            <w:vMerge w:val="continue"/>
            <w:tcBorders>
              <w:top w:val="nil"/>
            </w:tcBorders>
            <w:vAlign w:val="top"/>
          </w:tcPr>
          <w:p w14:paraId="484FB795">
            <w:pPr>
              <w:rPr>
                <w:rFonts w:ascii="Arial"/>
                <w:sz w:val="21"/>
              </w:rPr>
            </w:pPr>
          </w:p>
        </w:tc>
        <w:tc>
          <w:tcPr>
            <w:tcW w:w="1119" w:type="dxa"/>
            <w:vAlign w:val="top"/>
          </w:tcPr>
          <w:p w14:paraId="6034098D">
            <w:pPr>
              <w:pStyle w:val="6"/>
              <w:spacing w:before="70" w:line="219" w:lineRule="auto"/>
              <w:ind w:left="343"/>
            </w:pPr>
            <w:r>
              <w:rPr>
                <w:spacing w:val="4"/>
              </w:rPr>
              <w:t>原值</w:t>
            </w:r>
          </w:p>
        </w:tc>
        <w:tc>
          <w:tcPr>
            <w:tcW w:w="1238" w:type="dxa"/>
            <w:vAlign w:val="top"/>
          </w:tcPr>
          <w:p w14:paraId="06876A86">
            <w:pPr>
              <w:pStyle w:val="6"/>
              <w:spacing w:before="70" w:line="219" w:lineRule="auto"/>
              <w:ind w:left="404"/>
            </w:pPr>
            <w:r>
              <w:rPr>
                <w:spacing w:val="-3"/>
              </w:rPr>
              <w:t>净值</w:t>
            </w:r>
          </w:p>
        </w:tc>
        <w:tc>
          <w:tcPr>
            <w:tcW w:w="1049" w:type="dxa"/>
            <w:vAlign w:val="top"/>
          </w:tcPr>
          <w:p w14:paraId="0B65AA50">
            <w:pPr>
              <w:pStyle w:val="6"/>
              <w:spacing w:before="70" w:line="219" w:lineRule="auto"/>
              <w:ind w:left="305"/>
            </w:pPr>
            <w:r>
              <w:rPr>
                <w:spacing w:val="4"/>
              </w:rPr>
              <w:t>原值</w:t>
            </w:r>
          </w:p>
        </w:tc>
        <w:tc>
          <w:tcPr>
            <w:tcW w:w="1058" w:type="dxa"/>
            <w:vAlign w:val="top"/>
          </w:tcPr>
          <w:p w14:paraId="0C4B0107">
            <w:pPr>
              <w:pStyle w:val="6"/>
              <w:spacing w:before="70" w:line="219" w:lineRule="auto"/>
              <w:ind w:left="317"/>
            </w:pPr>
            <w:r>
              <w:rPr>
                <w:spacing w:val="-3"/>
              </w:rPr>
              <w:t>净值</w:t>
            </w:r>
          </w:p>
        </w:tc>
        <w:tc>
          <w:tcPr>
            <w:tcW w:w="1059" w:type="dxa"/>
            <w:vAlign w:val="top"/>
          </w:tcPr>
          <w:p w14:paraId="55059E2A">
            <w:pPr>
              <w:pStyle w:val="6"/>
              <w:spacing w:before="70" w:line="219" w:lineRule="auto"/>
              <w:ind w:left="319"/>
            </w:pPr>
            <w:r>
              <w:rPr>
                <w:spacing w:val="4"/>
              </w:rPr>
              <w:t>原值</w:t>
            </w:r>
          </w:p>
        </w:tc>
        <w:tc>
          <w:tcPr>
            <w:tcW w:w="1044" w:type="dxa"/>
            <w:vAlign w:val="top"/>
          </w:tcPr>
          <w:p w14:paraId="75234A6F">
            <w:pPr>
              <w:pStyle w:val="6"/>
              <w:spacing w:before="70" w:line="219" w:lineRule="auto"/>
              <w:ind w:left="310"/>
            </w:pPr>
            <w:r>
              <w:rPr>
                <w:spacing w:val="-3"/>
              </w:rPr>
              <w:t>净值</w:t>
            </w:r>
          </w:p>
        </w:tc>
      </w:tr>
      <w:tr w14:paraId="21374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2162" w:type="dxa"/>
            <w:vAlign w:val="top"/>
          </w:tcPr>
          <w:p w14:paraId="5D664A95">
            <w:pPr>
              <w:pStyle w:val="6"/>
              <w:spacing w:before="72" w:line="220" w:lineRule="auto"/>
              <w:ind w:left="654"/>
            </w:pPr>
            <w:r>
              <w:rPr>
                <w:spacing w:val="-2"/>
              </w:rPr>
              <w:t>井巷工程</w:t>
            </w:r>
          </w:p>
        </w:tc>
        <w:tc>
          <w:tcPr>
            <w:tcW w:w="1119" w:type="dxa"/>
            <w:vAlign w:val="top"/>
          </w:tcPr>
          <w:p w14:paraId="71DA8CD9">
            <w:pPr>
              <w:pStyle w:val="6"/>
              <w:spacing w:before="92" w:line="207" w:lineRule="auto"/>
              <w:ind w:left="232"/>
            </w:pPr>
            <w:r>
              <w:rPr>
                <w:spacing w:val="-2"/>
              </w:rPr>
              <w:t>939.95</w:t>
            </w:r>
          </w:p>
        </w:tc>
        <w:tc>
          <w:tcPr>
            <w:tcW w:w="1238" w:type="dxa"/>
            <w:vAlign w:val="top"/>
          </w:tcPr>
          <w:p w14:paraId="54351137">
            <w:pPr>
              <w:pStyle w:val="6"/>
              <w:spacing w:before="92" w:line="207" w:lineRule="auto"/>
              <w:ind w:left="293"/>
            </w:pPr>
            <w:r>
              <w:rPr>
                <w:spacing w:val="-2"/>
              </w:rPr>
              <w:t>719.96</w:t>
            </w:r>
          </w:p>
        </w:tc>
        <w:tc>
          <w:tcPr>
            <w:tcW w:w="1049" w:type="dxa"/>
            <w:vAlign w:val="top"/>
          </w:tcPr>
          <w:p w14:paraId="20591424">
            <w:pPr>
              <w:rPr>
                <w:rFonts w:ascii="Arial"/>
                <w:sz w:val="21"/>
              </w:rPr>
            </w:pPr>
          </w:p>
        </w:tc>
        <w:tc>
          <w:tcPr>
            <w:tcW w:w="1058" w:type="dxa"/>
            <w:vAlign w:val="top"/>
          </w:tcPr>
          <w:p w14:paraId="59ABC07F">
            <w:pPr>
              <w:rPr>
                <w:rFonts w:ascii="Arial"/>
                <w:sz w:val="21"/>
              </w:rPr>
            </w:pPr>
          </w:p>
        </w:tc>
        <w:tc>
          <w:tcPr>
            <w:tcW w:w="1059" w:type="dxa"/>
            <w:vAlign w:val="top"/>
          </w:tcPr>
          <w:p w14:paraId="4428D86E">
            <w:pPr>
              <w:pStyle w:val="6"/>
              <w:spacing w:before="92" w:line="207" w:lineRule="auto"/>
              <w:ind w:left="209"/>
            </w:pPr>
            <w:r>
              <w:rPr>
                <w:spacing w:val="-2"/>
              </w:rPr>
              <w:t>939.95</w:t>
            </w:r>
          </w:p>
        </w:tc>
        <w:tc>
          <w:tcPr>
            <w:tcW w:w="1044" w:type="dxa"/>
            <w:vAlign w:val="top"/>
          </w:tcPr>
          <w:p w14:paraId="2972A463">
            <w:pPr>
              <w:pStyle w:val="6"/>
              <w:spacing w:before="92" w:line="207" w:lineRule="auto"/>
              <w:ind w:left="200"/>
            </w:pPr>
            <w:r>
              <w:rPr>
                <w:spacing w:val="-2"/>
              </w:rPr>
              <w:t>719.96</w:t>
            </w:r>
          </w:p>
        </w:tc>
      </w:tr>
      <w:tr w14:paraId="31C3E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162" w:type="dxa"/>
            <w:vAlign w:val="top"/>
          </w:tcPr>
          <w:p w14:paraId="4E4C7D8F">
            <w:pPr>
              <w:pStyle w:val="6"/>
              <w:spacing w:before="74" w:line="220" w:lineRule="auto"/>
              <w:ind w:left="125"/>
            </w:pPr>
            <w:r>
              <w:rPr>
                <w:spacing w:val="-1"/>
              </w:rPr>
              <w:t>房屋建筑物及构筑物</w:t>
            </w:r>
          </w:p>
        </w:tc>
        <w:tc>
          <w:tcPr>
            <w:tcW w:w="1119" w:type="dxa"/>
            <w:vAlign w:val="top"/>
          </w:tcPr>
          <w:p w14:paraId="6780F3FC">
            <w:pPr>
              <w:pStyle w:val="6"/>
              <w:spacing w:before="94" w:line="206" w:lineRule="auto"/>
              <w:ind w:left="232"/>
            </w:pPr>
            <w:r>
              <w:rPr>
                <w:spacing w:val="-4"/>
              </w:rPr>
              <w:t>1019.9</w:t>
            </w:r>
          </w:p>
        </w:tc>
        <w:tc>
          <w:tcPr>
            <w:tcW w:w="1238" w:type="dxa"/>
            <w:vAlign w:val="top"/>
          </w:tcPr>
          <w:p w14:paraId="3020FAEE">
            <w:pPr>
              <w:pStyle w:val="6"/>
              <w:spacing w:before="94" w:line="206" w:lineRule="auto"/>
              <w:ind w:left="293"/>
            </w:pPr>
            <w:r>
              <w:rPr>
                <w:spacing w:val="-2"/>
              </w:rPr>
              <w:t>836.96</w:t>
            </w:r>
          </w:p>
        </w:tc>
        <w:tc>
          <w:tcPr>
            <w:tcW w:w="1049" w:type="dxa"/>
            <w:vAlign w:val="top"/>
          </w:tcPr>
          <w:p w14:paraId="3CFA46E2">
            <w:pPr>
              <w:pStyle w:val="6"/>
              <w:spacing w:before="94" w:line="206" w:lineRule="auto"/>
              <w:ind w:left="146"/>
            </w:pPr>
            <w:r>
              <w:rPr>
                <w:spacing w:val="-3"/>
              </w:rPr>
              <w:t>1274.64</w:t>
            </w:r>
          </w:p>
        </w:tc>
        <w:tc>
          <w:tcPr>
            <w:tcW w:w="1058" w:type="dxa"/>
            <w:vAlign w:val="top"/>
          </w:tcPr>
          <w:p w14:paraId="198B99A3">
            <w:pPr>
              <w:pStyle w:val="6"/>
              <w:spacing w:before="94" w:line="206" w:lineRule="auto"/>
              <w:ind w:left="207"/>
            </w:pPr>
            <w:r>
              <w:rPr>
                <w:spacing w:val="-2"/>
              </w:rPr>
              <w:t>472.09</w:t>
            </w:r>
          </w:p>
        </w:tc>
        <w:tc>
          <w:tcPr>
            <w:tcW w:w="1059" w:type="dxa"/>
            <w:vAlign w:val="top"/>
          </w:tcPr>
          <w:p w14:paraId="20070CAB">
            <w:pPr>
              <w:pStyle w:val="6"/>
              <w:spacing w:before="94" w:line="206" w:lineRule="auto"/>
              <w:ind w:left="159"/>
            </w:pPr>
            <w:r>
              <w:rPr>
                <w:spacing w:val="-2"/>
              </w:rPr>
              <w:t>2294.54</w:t>
            </w:r>
          </w:p>
        </w:tc>
        <w:tc>
          <w:tcPr>
            <w:tcW w:w="1044" w:type="dxa"/>
            <w:vAlign w:val="top"/>
          </w:tcPr>
          <w:p w14:paraId="6ABC2BDB">
            <w:pPr>
              <w:pStyle w:val="6"/>
              <w:spacing w:before="94" w:line="206" w:lineRule="auto"/>
              <w:ind w:left="150"/>
            </w:pPr>
            <w:r>
              <w:rPr>
                <w:spacing w:val="-3"/>
              </w:rPr>
              <w:t>1309.05</w:t>
            </w:r>
          </w:p>
        </w:tc>
      </w:tr>
      <w:tr w14:paraId="61167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162" w:type="dxa"/>
            <w:vAlign w:val="top"/>
          </w:tcPr>
          <w:p w14:paraId="729BFBEC">
            <w:pPr>
              <w:pStyle w:val="6"/>
              <w:spacing w:before="74" w:line="219" w:lineRule="auto"/>
              <w:ind w:left="545"/>
            </w:pPr>
            <w:r>
              <w:rPr>
                <w:spacing w:val="2"/>
              </w:rPr>
              <w:t>设备类资产</w:t>
            </w:r>
          </w:p>
        </w:tc>
        <w:tc>
          <w:tcPr>
            <w:tcW w:w="1119" w:type="dxa"/>
            <w:vAlign w:val="top"/>
          </w:tcPr>
          <w:p w14:paraId="51F34E13">
            <w:pPr>
              <w:pStyle w:val="6"/>
              <w:spacing w:before="95" w:line="205" w:lineRule="auto"/>
              <w:ind w:left="183"/>
            </w:pPr>
            <w:r>
              <w:rPr>
                <w:spacing w:val="-3"/>
              </w:rPr>
              <w:t>1217.81</w:t>
            </w:r>
          </w:p>
        </w:tc>
        <w:tc>
          <w:tcPr>
            <w:tcW w:w="1238" w:type="dxa"/>
            <w:vAlign w:val="top"/>
          </w:tcPr>
          <w:p w14:paraId="230DF51C">
            <w:pPr>
              <w:pStyle w:val="6"/>
              <w:spacing w:before="95" w:line="205" w:lineRule="auto"/>
              <w:ind w:left="293"/>
            </w:pPr>
            <w:r>
              <w:rPr>
                <w:spacing w:val="-2"/>
              </w:rPr>
              <w:t>354.12</w:t>
            </w:r>
          </w:p>
        </w:tc>
        <w:tc>
          <w:tcPr>
            <w:tcW w:w="1049" w:type="dxa"/>
            <w:vAlign w:val="top"/>
          </w:tcPr>
          <w:p w14:paraId="2FAD87E2">
            <w:pPr>
              <w:pStyle w:val="6"/>
              <w:spacing w:before="95" w:line="205" w:lineRule="auto"/>
              <w:ind w:left="146"/>
            </w:pPr>
            <w:r>
              <w:rPr>
                <w:spacing w:val="-3"/>
              </w:rPr>
              <w:t>1116.86</w:t>
            </w:r>
          </w:p>
        </w:tc>
        <w:tc>
          <w:tcPr>
            <w:tcW w:w="1058" w:type="dxa"/>
            <w:vAlign w:val="top"/>
          </w:tcPr>
          <w:p w14:paraId="2CE9301D">
            <w:pPr>
              <w:pStyle w:val="6"/>
              <w:spacing w:before="95" w:line="205" w:lineRule="auto"/>
              <w:ind w:left="207"/>
            </w:pPr>
            <w:r>
              <w:rPr>
                <w:spacing w:val="-2"/>
              </w:rPr>
              <w:t>446.39</w:t>
            </w:r>
          </w:p>
        </w:tc>
        <w:tc>
          <w:tcPr>
            <w:tcW w:w="1059" w:type="dxa"/>
            <w:vAlign w:val="top"/>
          </w:tcPr>
          <w:p w14:paraId="3F2BD1DA">
            <w:pPr>
              <w:pStyle w:val="6"/>
              <w:spacing w:before="95" w:line="205" w:lineRule="auto"/>
              <w:ind w:left="159"/>
            </w:pPr>
            <w:r>
              <w:rPr>
                <w:spacing w:val="-2"/>
              </w:rPr>
              <w:t>2334.67</w:t>
            </w:r>
          </w:p>
        </w:tc>
        <w:tc>
          <w:tcPr>
            <w:tcW w:w="1044" w:type="dxa"/>
            <w:vAlign w:val="top"/>
          </w:tcPr>
          <w:p w14:paraId="7ED23DA6">
            <w:pPr>
              <w:pStyle w:val="6"/>
              <w:spacing w:before="95" w:line="205" w:lineRule="auto"/>
              <w:ind w:left="200"/>
            </w:pPr>
            <w:r>
              <w:rPr>
                <w:spacing w:val="-2"/>
              </w:rPr>
              <w:t>800.51</w:t>
            </w:r>
          </w:p>
        </w:tc>
      </w:tr>
      <w:tr w14:paraId="6EEA0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2162" w:type="dxa"/>
            <w:vAlign w:val="top"/>
          </w:tcPr>
          <w:p w14:paraId="1E812635">
            <w:pPr>
              <w:pStyle w:val="6"/>
              <w:spacing w:before="75" w:line="219" w:lineRule="auto"/>
              <w:ind w:left="755"/>
            </w:pPr>
            <w:r>
              <w:rPr>
                <w:spacing w:val="4"/>
              </w:rPr>
              <w:t>尾矿库</w:t>
            </w:r>
          </w:p>
        </w:tc>
        <w:tc>
          <w:tcPr>
            <w:tcW w:w="1119" w:type="dxa"/>
            <w:vAlign w:val="top"/>
          </w:tcPr>
          <w:p w14:paraId="47AABDF1">
            <w:pPr>
              <w:rPr>
                <w:rFonts w:ascii="Arial"/>
                <w:sz w:val="21"/>
              </w:rPr>
            </w:pPr>
          </w:p>
        </w:tc>
        <w:tc>
          <w:tcPr>
            <w:tcW w:w="1238" w:type="dxa"/>
            <w:vAlign w:val="top"/>
          </w:tcPr>
          <w:p w14:paraId="1E24669C">
            <w:pPr>
              <w:rPr>
                <w:rFonts w:ascii="Arial"/>
                <w:sz w:val="21"/>
              </w:rPr>
            </w:pPr>
          </w:p>
        </w:tc>
        <w:tc>
          <w:tcPr>
            <w:tcW w:w="1049" w:type="dxa"/>
            <w:vAlign w:val="top"/>
          </w:tcPr>
          <w:p w14:paraId="307D2C5C">
            <w:pPr>
              <w:pStyle w:val="6"/>
              <w:spacing w:before="97" w:line="203" w:lineRule="auto"/>
              <w:ind w:left="146"/>
            </w:pPr>
            <w:r>
              <w:rPr>
                <w:spacing w:val="-2"/>
              </w:rPr>
              <w:t>2383.61</w:t>
            </w:r>
          </w:p>
        </w:tc>
        <w:tc>
          <w:tcPr>
            <w:tcW w:w="1058" w:type="dxa"/>
            <w:vAlign w:val="top"/>
          </w:tcPr>
          <w:p w14:paraId="04C32D1A">
            <w:pPr>
              <w:pStyle w:val="6"/>
              <w:spacing w:before="97" w:line="203" w:lineRule="auto"/>
              <w:ind w:left="156"/>
            </w:pPr>
            <w:r>
              <w:rPr>
                <w:spacing w:val="-2"/>
              </w:rPr>
              <w:t>2049.00</w:t>
            </w:r>
          </w:p>
        </w:tc>
        <w:tc>
          <w:tcPr>
            <w:tcW w:w="1059" w:type="dxa"/>
            <w:vAlign w:val="top"/>
          </w:tcPr>
          <w:p w14:paraId="6D824C14">
            <w:pPr>
              <w:pStyle w:val="6"/>
              <w:spacing w:before="97" w:line="203" w:lineRule="auto"/>
              <w:ind w:left="159"/>
            </w:pPr>
            <w:r>
              <w:rPr>
                <w:spacing w:val="-2"/>
              </w:rPr>
              <w:t>2383.61</w:t>
            </w:r>
          </w:p>
        </w:tc>
        <w:tc>
          <w:tcPr>
            <w:tcW w:w="1044" w:type="dxa"/>
            <w:vAlign w:val="top"/>
          </w:tcPr>
          <w:p w14:paraId="34210296">
            <w:pPr>
              <w:pStyle w:val="6"/>
              <w:spacing w:before="97" w:line="203" w:lineRule="auto"/>
              <w:ind w:left="150"/>
            </w:pPr>
            <w:r>
              <w:rPr>
                <w:spacing w:val="-2"/>
              </w:rPr>
              <w:t>2049.00</w:t>
            </w:r>
          </w:p>
        </w:tc>
      </w:tr>
      <w:tr w14:paraId="6CA22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162" w:type="dxa"/>
            <w:vAlign w:val="top"/>
          </w:tcPr>
          <w:p w14:paraId="220992E6">
            <w:pPr>
              <w:pStyle w:val="6"/>
              <w:spacing w:before="78" w:line="221" w:lineRule="auto"/>
              <w:ind w:left="865"/>
            </w:pPr>
            <w:r>
              <w:rPr>
                <w:spacing w:val="-3"/>
              </w:rPr>
              <w:t>合计</w:t>
            </w:r>
          </w:p>
        </w:tc>
        <w:tc>
          <w:tcPr>
            <w:tcW w:w="1119" w:type="dxa"/>
            <w:vAlign w:val="top"/>
          </w:tcPr>
          <w:p w14:paraId="359B2419">
            <w:pPr>
              <w:pStyle w:val="6"/>
              <w:spacing w:before="98" w:line="207" w:lineRule="auto"/>
              <w:ind w:left="183"/>
            </w:pPr>
            <w:r>
              <w:rPr>
                <w:spacing w:val="-2"/>
              </w:rPr>
              <w:t>3177.66</w:t>
            </w:r>
          </w:p>
        </w:tc>
        <w:tc>
          <w:tcPr>
            <w:tcW w:w="1238" w:type="dxa"/>
            <w:vAlign w:val="top"/>
          </w:tcPr>
          <w:p w14:paraId="61C5ABE4">
            <w:pPr>
              <w:pStyle w:val="6"/>
              <w:spacing w:before="98" w:line="207" w:lineRule="auto"/>
              <w:ind w:left="244"/>
            </w:pPr>
            <w:r>
              <w:rPr>
                <w:spacing w:val="-3"/>
              </w:rPr>
              <w:t>1911.04</w:t>
            </w:r>
          </w:p>
        </w:tc>
        <w:tc>
          <w:tcPr>
            <w:tcW w:w="1049" w:type="dxa"/>
            <w:vAlign w:val="top"/>
          </w:tcPr>
          <w:p w14:paraId="7D5A5934">
            <w:pPr>
              <w:pStyle w:val="6"/>
              <w:spacing w:before="98" w:line="207" w:lineRule="auto"/>
              <w:ind w:left="146"/>
            </w:pPr>
            <w:r>
              <w:rPr>
                <w:spacing w:val="-1"/>
              </w:rPr>
              <w:t>4775.11</w:t>
            </w:r>
          </w:p>
        </w:tc>
        <w:tc>
          <w:tcPr>
            <w:tcW w:w="1058" w:type="dxa"/>
            <w:vAlign w:val="top"/>
          </w:tcPr>
          <w:p w14:paraId="5161FA63">
            <w:pPr>
              <w:pStyle w:val="6"/>
              <w:spacing w:before="98" w:line="207" w:lineRule="auto"/>
              <w:ind w:left="156"/>
            </w:pPr>
            <w:r>
              <w:rPr>
                <w:spacing w:val="-2"/>
              </w:rPr>
              <w:t>2967.48</w:t>
            </w:r>
          </w:p>
        </w:tc>
        <w:tc>
          <w:tcPr>
            <w:tcW w:w="1059" w:type="dxa"/>
            <w:vAlign w:val="top"/>
          </w:tcPr>
          <w:p w14:paraId="3A5DC8E4">
            <w:pPr>
              <w:pStyle w:val="6"/>
              <w:spacing w:before="98" w:line="207" w:lineRule="auto"/>
              <w:ind w:left="159"/>
            </w:pPr>
            <w:r>
              <w:rPr>
                <w:spacing w:val="-2"/>
              </w:rPr>
              <w:t>7952.77</w:t>
            </w:r>
          </w:p>
        </w:tc>
        <w:tc>
          <w:tcPr>
            <w:tcW w:w="1044" w:type="dxa"/>
            <w:vAlign w:val="top"/>
          </w:tcPr>
          <w:p w14:paraId="7E18E090">
            <w:pPr>
              <w:pStyle w:val="6"/>
              <w:spacing w:before="98" w:line="207" w:lineRule="auto"/>
              <w:ind w:left="150"/>
            </w:pPr>
            <w:r>
              <w:rPr>
                <w:spacing w:val="-1"/>
              </w:rPr>
              <w:t>4878.52</w:t>
            </w:r>
          </w:p>
        </w:tc>
      </w:tr>
    </w:tbl>
    <w:p w14:paraId="3A6DA27B">
      <w:pPr>
        <w:spacing w:before="142" w:line="217" w:lineRule="auto"/>
        <w:ind w:left="2030"/>
        <w:rPr>
          <w:rFonts w:ascii="宋体" w:hAnsi="宋体" w:eastAsia="宋体" w:cs="宋体"/>
          <w:sz w:val="24"/>
          <w:szCs w:val="24"/>
        </w:rPr>
      </w:pPr>
      <w:r>
        <w:rPr>
          <w:rFonts w:ascii="宋体" w:hAnsi="宋体" w:eastAsia="宋体" w:cs="宋体"/>
          <w:spacing w:val="2"/>
          <w:sz w:val="24"/>
          <w:szCs w:val="24"/>
        </w:rPr>
        <w:t>②开发利用方案新增投资</w:t>
      </w:r>
    </w:p>
    <w:p w14:paraId="0F4954E2">
      <w:pPr>
        <w:spacing w:before="185" w:line="392" w:lineRule="auto"/>
        <w:ind w:left="1539" w:right="110" w:firstLine="490"/>
        <w:rPr>
          <w:rFonts w:ascii="宋体" w:hAnsi="宋体" w:eastAsia="宋体" w:cs="宋体"/>
          <w:sz w:val="24"/>
          <w:szCs w:val="24"/>
        </w:rPr>
      </w:pPr>
      <w:r>
        <w:rPr>
          <w:rFonts w:ascii="宋体" w:hAnsi="宋体" w:eastAsia="宋体" w:cs="宋体"/>
          <w:spacing w:val="6"/>
          <w:sz w:val="24"/>
          <w:szCs w:val="24"/>
        </w:rPr>
        <w:t>根据“开发利用方案修编”(详见附件十一：</w:t>
      </w:r>
      <w:r>
        <w:rPr>
          <w:rFonts w:ascii="Times New Roman" w:hAnsi="Times New Roman" w:eastAsia="Times New Roman" w:cs="Times New Roman"/>
          <w:spacing w:val="6"/>
          <w:sz w:val="24"/>
          <w:szCs w:val="24"/>
        </w:rPr>
        <w:t xml:space="preserve">P25),     </w:t>
      </w:r>
      <w:r>
        <w:rPr>
          <w:rFonts w:ascii="宋体" w:hAnsi="宋体" w:eastAsia="宋体" w:cs="宋体"/>
          <w:spacing w:val="6"/>
          <w:sz w:val="24"/>
          <w:szCs w:val="24"/>
        </w:rPr>
        <w:t>新增固定资产2832.80</w:t>
      </w:r>
      <w:r>
        <w:rPr>
          <w:rFonts w:ascii="宋体" w:hAnsi="宋体" w:eastAsia="宋体" w:cs="宋体"/>
          <w:spacing w:val="9"/>
          <w:sz w:val="24"/>
          <w:szCs w:val="24"/>
        </w:rPr>
        <w:t xml:space="preserve"> 万元，其中：井巷工程472.72万元，房屋建筑物71.33</w:t>
      </w:r>
      <w:r>
        <w:rPr>
          <w:rFonts w:ascii="宋体" w:hAnsi="宋体" w:eastAsia="宋体" w:cs="宋体"/>
          <w:spacing w:val="8"/>
          <w:sz w:val="24"/>
          <w:szCs w:val="24"/>
        </w:rPr>
        <w:t>万元，尾矿库1760.00万</w:t>
      </w:r>
      <w:r>
        <w:rPr>
          <w:rFonts w:ascii="宋体" w:hAnsi="宋体" w:eastAsia="宋体" w:cs="宋体"/>
          <w:sz w:val="24"/>
          <w:szCs w:val="24"/>
        </w:rPr>
        <w:t xml:space="preserve"> </w:t>
      </w:r>
      <w:r>
        <w:rPr>
          <w:rFonts w:ascii="宋体" w:hAnsi="宋体" w:eastAsia="宋体" w:cs="宋体"/>
          <w:spacing w:val="8"/>
          <w:sz w:val="24"/>
          <w:szCs w:val="24"/>
        </w:rPr>
        <w:t>元，机器设备及安装488.43万元，其他费用40.32万元。</w:t>
      </w:r>
    </w:p>
    <w:p w14:paraId="5E5354EC">
      <w:pPr>
        <w:spacing w:before="13" w:line="373" w:lineRule="auto"/>
        <w:ind w:left="1539" w:right="108" w:firstLine="490"/>
        <w:rPr>
          <w:rFonts w:ascii="宋体" w:hAnsi="宋体" w:eastAsia="宋体" w:cs="宋体"/>
          <w:sz w:val="24"/>
          <w:szCs w:val="24"/>
        </w:rPr>
      </w:pPr>
      <w:r>
        <w:rPr>
          <w:rFonts w:ascii="宋体" w:hAnsi="宋体" w:eastAsia="宋体" w:cs="宋体"/>
          <w:spacing w:val="7"/>
          <w:sz w:val="24"/>
          <w:szCs w:val="24"/>
        </w:rPr>
        <w:t>依据《收益途径评估方法规范》及《矿业权评估参数确定指导意见》,固定</w:t>
      </w:r>
      <w:r>
        <w:rPr>
          <w:rFonts w:ascii="宋体" w:hAnsi="宋体" w:eastAsia="宋体" w:cs="宋体"/>
          <w:spacing w:val="14"/>
          <w:sz w:val="24"/>
          <w:szCs w:val="24"/>
        </w:rPr>
        <w:t xml:space="preserve"> </w:t>
      </w:r>
      <w:r>
        <w:rPr>
          <w:rFonts w:ascii="宋体" w:hAnsi="宋体" w:eastAsia="宋体" w:cs="宋体"/>
          <w:spacing w:val="4"/>
          <w:sz w:val="24"/>
          <w:szCs w:val="24"/>
        </w:rPr>
        <w:t>资产投资按井巷工程、房屋建筑物和机器设备三大类固</w:t>
      </w:r>
      <w:r>
        <w:rPr>
          <w:rFonts w:ascii="宋体" w:hAnsi="宋体" w:eastAsia="宋体" w:cs="宋体"/>
          <w:spacing w:val="3"/>
          <w:sz w:val="24"/>
          <w:szCs w:val="24"/>
        </w:rPr>
        <w:t>定资产归集，工程建设其</w:t>
      </w:r>
    </w:p>
    <w:p w14:paraId="36916B58">
      <w:pPr>
        <w:spacing w:line="373" w:lineRule="auto"/>
        <w:rPr>
          <w:rFonts w:ascii="宋体" w:hAnsi="宋体" w:eastAsia="宋体" w:cs="宋体"/>
          <w:sz w:val="24"/>
          <w:szCs w:val="24"/>
        </w:rPr>
        <w:sectPr>
          <w:headerReference r:id="rId94" w:type="default"/>
          <w:footerReference r:id="rId95" w:type="default"/>
          <w:pgSz w:w="11900" w:h="16830"/>
          <w:pgMar w:top="1177" w:right="1335" w:bottom="1269" w:left="379" w:header="900" w:footer="925" w:gutter="0"/>
          <w:cols w:space="720" w:num="1"/>
        </w:sectPr>
      </w:pPr>
    </w:p>
    <w:p w14:paraId="39CE40C4">
      <w:pPr>
        <w:pStyle w:val="2"/>
        <w:spacing w:line="351" w:lineRule="auto"/>
      </w:pPr>
    </w:p>
    <w:p w14:paraId="5A0027F8">
      <w:pPr>
        <w:spacing w:before="78" w:line="219" w:lineRule="auto"/>
        <w:ind w:left="114"/>
        <w:rPr>
          <w:rFonts w:ascii="宋体" w:hAnsi="宋体" w:eastAsia="宋体" w:cs="宋体"/>
          <w:sz w:val="24"/>
          <w:szCs w:val="24"/>
        </w:rPr>
      </w:pPr>
      <w:bookmarkStart w:id="50" w:name="bookmark63"/>
      <w:bookmarkEnd w:id="50"/>
      <w:r>
        <w:rPr>
          <w:rFonts w:ascii="宋体" w:hAnsi="宋体" w:eastAsia="宋体" w:cs="宋体"/>
          <w:spacing w:val="-2"/>
          <w:sz w:val="24"/>
          <w:szCs w:val="24"/>
        </w:rPr>
        <w:t>他费用按比例分摊至井巷工程、房屋建筑物和机</w:t>
      </w:r>
      <w:r>
        <w:rPr>
          <w:rFonts w:ascii="宋体" w:hAnsi="宋体" w:eastAsia="宋体" w:cs="宋体"/>
          <w:spacing w:val="-3"/>
          <w:sz w:val="24"/>
          <w:szCs w:val="24"/>
        </w:rPr>
        <w:t>器设备三类资产中。</w:t>
      </w:r>
    </w:p>
    <w:p w14:paraId="06DE09B8">
      <w:pPr>
        <w:spacing w:before="193" w:line="373" w:lineRule="auto"/>
        <w:ind w:left="114" w:right="278" w:firstLine="490"/>
        <w:rPr>
          <w:rFonts w:ascii="宋体" w:hAnsi="宋体" w:eastAsia="宋体" w:cs="宋体"/>
          <w:sz w:val="25"/>
          <w:szCs w:val="25"/>
        </w:rPr>
      </w:pPr>
      <w:r>
        <w:rPr>
          <w:rFonts w:ascii="宋体" w:hAnsi="宋体" w:eastAsia="宋体" w:cs="宋体"/>
          <w:spacing w:val="-3"/>
          <w:sz w:val="25"/>
          <w:szCs w:val="25"/>
        </w:rPr>
        <w:t>其他费用经分摊后，新增固定资产2832.80万元，其中：井巷工</w:t>
      </w:r>
      <w:r>
        <w:rPr>
          <w:rFonts w:ascii="宋体" w:hAnsi="宋体" w:eastAsia="宋体" w:cs="宋体"/>
          <w:spacing w:val="-4"/>
          <w:sz w:val="25"/>
          <w:szCs w:val="25"/>
        </w:rPr>
        <w:t>程479.55,</w:t>
      </w:r>
      <w:r>
        <w:rPr>
          <w:rFonts w:ascii="宋体" w:hAnsi="宋体" w:eastAsia="宋体" w:cs="宋体"/>
          <w:sz w:val="25"/>
          <w:szCs w:val="25"/>
        </w:rPr>
        <w:t xml:space="preserve"> </w:t>
      </w:r>
      <w:r>
        <w:rPr>
          <w:rFonts w:ascii="宋体" w:hAnsi="宋体" w:eastAsia="宋体" w:cs="宋体"/>
          <w:spacing w:val="1"/>
          <w:sz w:val="25"/>
          <w:szCs w:val="25"/>
        </w:rPr>
        <w:t>房屋建筑物72.36万元，尾矿库1785.41万元，机器设备495</w:t>
      </w:r>
      <w:r>
        <w:rPr>
          <w:rFonts w:ascii="宋体" w:hAnsi="宋体" w:eastAsia="宋体" w:cs="宋体"/>
          <w:sz w:val="25"/>
          <w:szCs w:val="25"/>
        </w:rPr>
        <w:t>.48万元。</w:t>
      </w:r>
    </w:p>
    <w:p w14:paraId="1CB519D3">
      <w:pPr>
        <w:spacing w:before="10" w:line="218" w:lineRule="auto"/>
        <w:ind w:left="745"/>
        <w:rPr>
          <w:rFonts w:ascii="宋体" w:hAnsi="宋体" w:eastAsia="宋体" w:cs="宋体"/>
          <w:sz w:val="24"/>
          <w:szCs w:val="24"/>
        </w:rPr>
      </w:pPr>
      <w:r>
        <w:rPr>
          <w:rFonts w:ascii="宋体" w:hAnsi="宋体" w:eastAsia="宋体" w:cs="宋体"/>
          <w:spacing w:val="8"/>
          <w:sz w:val="24"/>
          <w:szCs w:val="24"/>
        </w:rPr>
        <w:t>(2)本次评估确定固定资产</w:t>
      </w:r>
    </w:p>
    <w:p w14:paraId="24CC5B6C">
      <w:pPr>
        <w:spacing w:before="216" w:line="217" w:lineRule="auto"/>
        <w:ind w:left="604"/>
        <w:rPr>
          <w:rFonts w:ascii="宋体" w:hAnsi="宋体" w:eastAsia="宋体" w:cs="宋体"/>
          <w:sz w:val="24"/>
          <w:szCs w:val="24"/>
        </w:rPr>
      </w:pPr>
      <w:r>
        <w:rPr>
          <w:rFonts w:ascii="宋体" w:hAnsi="宋体" w:eastAsia="宋体" w:cs="宋体"/>
          <w:spacing w:val="-1"/>
          <w:sz w:val="24"/>
          <w:szCs w:val="24"/>
        </w:rPr>
        <w:t>①利用原有固定资产</w:t>
      </w:r>
    </w:p>
    <w:p w14:paraId="4A90CF33">
      <w:pPr>
        <w:spacing w:before="217" w:line="381" w:lineRule="auto"/>
        <w:ind w:left="105" w:right="144" w:firstLine="499"/>
        <w:jc w:val="both"/>
        <w:rPr>
          <w:rFonts w:ascii="宋体" w:hAnsi="宋体" w:eastAsia="宋体" w:cs="宋体"/>
          <w:sz w:val="24"/>
          <w:szCs w:val="24"/>
        </w:rPr>
      </w:pPr>
      <w:r>
        <w:rPr>
          <w:rFonts w:ascii="宋体" w:hAnsi="宋体" w:eastAsia="宋体" w:cs="宋体"/>
          <w:spacing w:val="11"/>
          <w:sz w:val="24"/>
          <w:szCs w:val="24"/>
        </w:rPr>
        <w:t>上述“开发利用方案修编”设计利用原有固定资产为截止2022年4月30日</w:t>
      </w:r>
      <w:r>
        <w:rPr>
          <w:rFonts w:ascii="宋体" w:hAnsi="宋体" w:eastAsia="宋体" w:cs="宋体"/>
          <w:spacing w:val="17"/>
          <w:sz w:val="24"/>
          <w:szCs w:val="24"/>
        </w:rPr>
        <w:t xml:space="preserve"> </w:t>
      </w:r>
      <w:r>
        <w:rPr>
          <w:rFonts w:ascii="宋体" w:hAnsi="宋体" w:eastAsia="宋体" w:cs="宋体"/>
          <w:spacing w:val="12"/>
          <w:sz w:val="24"/>
          <w:szCs w:val="24"/>
        </w:rPr>
        <w:t>时点相关资产。本次评估基准日为2022年9月3</w:t>
      </w:r>
      <w:r>
        <w:rPr>
          <w:rFonts w:ascii="宋体" w:hAnsi="宋体" w:eastAsia="宋体" w:cs="宋体"/>
          <w:spacing w:val="11"/>
          <w:sz w:val="24"/>
          <w:szCs w:val="24"/>
        </w:rPr>
        <w:t>0日，利用原有固定资产应包含</w:t>
      </w:r>
      <w:r>
        <w:rPr>
          <w:rFonts w:ascii="宋体" w:hAnsi="宋体" w:eastAsia="宋体" w:cs="宋体"/>
          <w:sz w:val="24"/>
          <w:szCs w:val="24"/>
        </w:rPr>
        <w:t xml:space="preserve"> </w:t>
      </w:r>
      <w:r>
        <w:rPr>
          <w:rFonts w:ascii="宋体" w:hAnsi="宋体" w:eastAsia="宋体" w:cs="宋体"/>
          <w:spacing w:val="12"/>
          <w:sz w:val="24"/>
          <w:szCs w:val="24"/>
        </w:rPr>
        <w:t>“开发利用方案修编”利用的2022年4月30日已形成的相关固定资产及2022年</w:t>
      </w:r>
      <w:r>
        <w:rPr>
          <w:rFonts w:ascii="宋体" w:hAnsi="宋体" w:eastAsia="宋体" w:cs="宋体"/>
          <w:spacing w:val="1"/>
          <w:sz w:val="24"/>
          <w:szCs w:val="24"/>
        </w:rPr>
        <w:t xml:space="preserve"> </w:t>
      </w:r>
      <w:r>
        <w:rPr>
          <w:rFonts w:ascii="宋体" w:hAnsi="宋体" w:eastAsia="宋体" w:cs="宋体"/>
          <w:spacing w:val="18"/>
          <w:sz w:val="24"/>
          <w:szCs w:val="24"/>
        </w:rPr>
        <w:t>5月1日至2022年9月30日期间增加的固定资产两部分。</w:t>
      </w:r>
    </w:p>
    <w:p w14:paraId="5EE599BD">
      <w:pPr>
        <w:spacing w:before="33" w:line="376" w:lineRule="auto"/>
        <w:ind w:left="114" w:right="137" w:firstLine="490"/>
        <w:jc w:val="both"/>
        <w:rPr>
          <w:rFonts w:ascii="宋体" w:hAnsi="宋体" w:eastAsia="宋体" w:cs="宋体"/>
          <w:sz w:val="24"/>
          <w:szCs w:val="24"/>
        </w:rPr>
      </w:pPr>
      <w:r>
        <w:rPr>
          <w:rFonts w:ascii="宋体" w:hAnsi="宋体" w:eastAsia="宋体" w:cs="宋体"/>
          <w:spacing w:val="3"/>
          <w:sz w:val="24"/>
          <w:szCs w:val="24"/>
        </w:rPr>
        <w:t>根据企业提供的固定资产明细表，“开发利用方案修编”中利用原有</w:t>
      </w:r>
      <w:r>
        <w:rPr>
          <w:rFonts w:ascii="宋体" w:hAnsi="宋体" w:eastAsia="宋体" w:cs="宋体"/>
          <w:spacing w:val="2"/>
          <w:sz w:val="24"/>
          <w:szCs w:val="24"/>
        </w:rPr>
        <w:t>固定资</w:t>
      </w:r>
      <w:r>
        <w:rPr>
          <w:rFonts w:ascii="宋体" w:hAnsi="宋体" w:eastAsia="宋体" w:cs="宋体"/>
          <w:sz w:val="24"/>
          <w:szCs w:val="24"/>
        </w:rPr>
        <w:t xml:space="preserve"> </w:t>
      </w:r>
      <w:r>
        <w:rPr>
          <w:rFonts w:ascii="宋体" w:hAnsi="宋体" w:eastAsia="宋体" w:cs="宋体"/>
          <w:spacing w:val="15"/>
          <w:sz w:val="24"/>
          <w:szCs w:val="24"/>
        </w:rPr>
        <w:t>产采矿系统固定资产原值3177.66万元，</w:t>
      </w:r>
      <w:r>
        <w:rPr>
          <w:rFonts w:ascii="宋体" w:hAnsi="宋体" w:eastAsia="宋体" w:cs="宋体"/>
          <w:spacing w:val="14"/>
          <w:sz w:val="24"/>
          <w:szCs w:val="24"/>
        </w:rPr>
        <w:t>截止2022年9月30日固定资产净值为</w:t>
      </w:r>
      <w:r>
        <w:rPr>
          <w:rFonts w:ascii="宋体" w:hAnsi="宋体" w:eastAsia="宋体" w:cs="宋体"/>
          <w:sz w:val="24"/>
          <w:szCs w:val="24"/>
        </w:rPr>
        <w:t xml:space="preserve"> </w:t>
      </w:r>
      <w:r>
        <w:rPr>
          <w:rFonts w:ascii="宋体" w:hAnsi="宋体" w:eastAsia="宋体" w:cs="宋体"/>
          <w:spacing w:val="13"/>
          <w:sz w:val="24"/>
          <w:szCs w:val="24"/>
        </w:rPr>
        <w:t>1853.43万元；选矿系统固定资产原值4,775</w:t>
      </w:r>
      <w:r>
        <w:rPr>
          <w:rFonts w:ascii="宋体" w:hAnsi="宋体" w:eastAsia="宋体" w:cs="宋体"/>
          <w:spacing w:val="12"/>
          <w:sz w:val="24"/>
          <w:szCs w:val="24"/>
        </w:rPr>
        <w:t>.11万元，截止2022年9月30日固</w:t>
      </w:r>
      <w:r>
        <w:rPr>
          <w:rFonts w:ascii="宋体" w:hAnsi="宋体" w:eastAsia="宋体" w:cs="宋体"/>
          <w:sz w:val="24"/>
          <w:szCs w:val="24"/>
        </w:rPr>
        <w:t xml:space="preserve"> </w:t>
      </w:r>
      <w:r>
        <w:rPr>
          <w:rFonts w:ascii="宋体" w:hAnsi="宋体" w:eastAsia="宋体" w:cs="宋体"/>
          <w:spacing w:val="6"/>
          <w:sz w:val="24"/>
          <w:szCs w:val="24"/>
        </w:rPr>
        <w:t>定资产净值为2,900.37万元。</w:t>
      </w:r>
    </w:p>
    <w:p w14:paraId="2F2CB912">
      <w:pPr>
        <w:spacing w:before="42" w:line="372" w:lineRule="auto"/>
        <w:ind w:left="114" w:right="111" w:firstLine="490"/>
        <w:rPr>
          <w:rFonts w:ascii="宋体" w:hAnsi="宋体" w:eastAsia="宋体" w:cs="宋体"/>
          <w:sz w:val="24"/>
          <w:szCs w:val="24"/>
        </w:rPr>
      </w:pPr>
      <w:r>
        <w:rPr>
          <w:rFonts w:ascii="宋体" w:hAnsi="宋体" w:eastAsia="宋体" w:cs="宋体"/>
          <w:spacing w:val="15"/>
          <w:sz w:val="24"/>
          <w:szCs w:val="24"/>
        </w:rPr>
        <w:t>2022年5月至2022年9月采矿系统新增固定资产原值5.87万元，净值5.79</w:t>
      </w:r>
      <w:r>
        <w:rPr>
          <w:rFonts w:ascii="宋体" w:hAnsi="宋体" w:eastAsia="宋体" w:cs="宋体"/>
          <w:spacing w:val="2"/>
          <w:sz w:val="24"/>
          <w:szCs w:val="24"/>
        </w:rPr>
        <w:t xml:space="preserve"> </w:t>
      </w:r>
      <w:r>
        <w:rPr>
          <w:rFonts w:ascii="宋体" w:hAnsi="宋体" w:eastAsia="宋体" w:cs="宋体"/>
          <w:spacing w:val="7"/>
          <w:sz w:val="24"/>
          <w:szCs w:val="24"/>
        </w:rPr>
        <w:t>万元；选矿系统固定资产原值13.34万元，净值10.29万元。</w:t>
      </w:r>
    </w:p>
    <w:p w14:paraId="64C5DA56">
      <w:pPr>
        <w:spacing w:before="1" w:line="374" w:lineRule="auto"/>
        <w:ind w:left="114" w:right="139" w:firstLine="490"/>
        <w:jc w:val="both"/>
        <w:rPr>
          <w:rFonts w:ascii="宋体" w:hAnsi="宋体" w:eastAsia="宋体" w:cs="宋体"/>
          <w:sz w:val="24"/>
          <w:szCs w:val="24"/>
        </w:rPr>
      </w:pPr>
      <w:r>
        <w:rPr>
          <w:rFonts w:ascii="宋体" w:hAnsi="宋体" w:eastAsia="宋体" w:cs="宋体"/>
          <w:spacing w:val="-3"/>
          <w:sz w:val="25"/>
          <w:szCs w:val="25"/>
        </w:rPr>
        <w:t>综上，截止2022年9月30日，利用已形成的采矿系统固定资产原值3,183.53</w:t>
      </w:r>
      <w:r>
        <w:rPr>
          <w:rFonts w:ascii="宋体" w:hAnsi="宋体" w:eastAsia="宋体" w:cs="宋体"/>
          <w:spacing w:val="9"/>
          <w:sz w:val="25"/>
          <w:szCs w:val="25"/>
        </w:rPr>
        <w:t xml:space="preserve"> </w:t>
      </w:r>
      <w:r>
        <w:rPr>
          <w:rFonts w:ascii="宋体" w:hAnsi="宋体" w:eastAsia="宋体" w:cs="宋体"/>
          <w:spacing w:val="18"/>
          <w:sz w:val="25"/>
          <w:szCs w:val="25"/>
        </w:rPr>
        <w:t>万元(=3177.66+5.87),</w:t>
      </w:r>
      <w:r>
        <w:rPr>
          <w:rFonts w:ascii="仿宋" w:hAnsi="仿宋" w:eastAsia="仿宋" w:cs="仿宋"/>
          <w:spacing w:val="18"/>
          <w:sz w:val="25"/>
          <w:szCs w:val="25"/>
        </w:rPr>
        <w:t>净值1,85</w:t>
      </w:r>
      <w:r>
        <w:rPr>
          <w:rFonts w:ascii="仿宋" w:hAnsi="仿宋" w:eastAsia="仿宋" w:cs="仿宋"/>
          <w:spacing w:val="17"/>
          <w:sz w:val="25"/>
          <w:szCs w:val="25"/>
        </w:rPr>
        <w:t>9.22万元(=1853.43+5.79)。选矿系统</w:t>
      </w:r>
      <w:r>
        <w:rPr>
          <w:rFonts w:ascii="仿宋" w:hAnsi="仿宋" w:eastAsia="仿宋" w:cs="仿宋"/>
          <w:sz w:val="25"/>
          <w:szCs w:val="25"/>
        </w:rPr>
        <w:t xml:space="preserve"> </w:t>
      </w:r>
      <w:r>
        <w:rPr>
          <w:rFonts w:ascii="宋体" w:hAnsi="宋体" w:eastAsia="宋体" w:cs="宋体"/>
          <w:spacing w:val="12"/>
          <w:sz w:val="25"/>
          <w:szCs w:val="25"/>
        </w:rPr>
        <w:t>固定资产原值4,788.45万元(=4,7</w:t>
      </w:r>
      <w:r>
        <w:rPr>
          <w:rFonts w:ascii="宋体" w:hAnsi="宋体" w:eastAsia="宋体" w:cs="宋体"/>
          <w:spacing w:val="11"/>
          <w:sz w:val="25"/>
          <w:szCs w:val="25"/>
        </w:rPr>
        <w:t>75.11+13.34),净值2,910.66 万</w:t>
      </w:r>
      <w:r>
        <w:rPr>
          <w:rFonts w:ascii="宋体" w:hAnsi="宋体" w:eastAsia="宋体" w:cs="宋体"/>
          <w:spacing w:val="-55"/>
          <w:sz w:val="25"/>
          <w:szCs w:val="25"/>
        </w:rPr>
        <w:t xml:space="preserve"> </w:t>
      </w:r>
      <w:r>
        <w:rPr>
          <w:rFonts w:ascii="宋体" w:hAnsi="宋体" w:eastAsia="宋体" w:cs="宋体"/>
          <w:spacing w:val="11"/>
          <w:sz w:val="25"/>
          <w:szCs w:val="25"/>
        </w:rPr>
        <w:t>元 (</w:t>
      </w:r>
      <w:r>
        <w:rPr>
          <w:rFonts w:ascii="宋体" w:hAnsi="宋体" w:eastAsia="宋体" w:cs="宋体"/>
          <w:spacing w:val="-59"/>
          <w:sz w:val="25"/>
          <w:szCs w:val="25"/>
        </w:rPr>
        <w:t xml:space="preserve"> </w:t>
      </w:r>
      <w:r>
        <w:rPr>
          <w:rFonts w:ascii="宋体" w:hAnsi="宋体" w:eastAsia="宋体" w:cs="宋体"/>
          <w:spacing w:val="11"/>
          <w:sz w:val="25"/>
          <w:szCs w:val="25"/>
        </w:rPr>
        <w:t>=</w:t>
      </w:r>
      <w:r>
        <w:rPr>
          <w:rFonts w:ascii="宋体" w:hAnsi="宋体" w:eastAsia="宋体" w:cs="宋体"/>
          <w:sz w:val="25"/>
          <w:szCs w:val="25"/>
        </w:rPr>
        <w:t xml:space="preserve"> </w:t>
      </w:r>
      <w:r>
        <w:rPr>
          <w:rFonts w:ascii="宋体" w:hAnsi="宋体" w:eastAsia="宋体" w:cs="宋体"/>
          <w:spacing w:val="17"/>
          <w:sz w:val="24"/>
          <w:szCs w:val="24"/>
        </w:rPr>
        <w:t>2,900.37+10.29),详见下表10-9。</w:t>
      </w:r>
    </w:p>
    <w:p w14:paraId="77C0DDC3">
      <w:pPr>
        <w:spacing w:before="8" w:line="219" w:lineRule="auto"/>
        <w:ind w:left="1785"/>
        <w:rPr>
          <w:rFonts w:ascii="宋体" w:hAnsi="宋体" w:eastAsia="宋体" w:cs="宋体"/>
          <w:sz w:val="24"/>
          <w:szCs w:val="24"/>
        </w:rPr>
      </w:pPr>
      <w:r>
        <w:rPr>
          <w:rFonts w:ascii="宋体" w:hAnsi="宋体" w:eastAsia="宋体" w:cs="宋体"/>
          <w:spacing w:val="20"/>
          <w:sz w:val="24"/>
          <w:szCs w:val="24"/>
        </w:rPr>
        <w:t>表10-9截止2022年9月30日已形成的固定资产</w:t>
      </w:r>
      <w:r>
        <w:rPr>
          <w:rFonts w:ascii="宋体" w:hAnsi="宋体" w:eastAsia="宋体" w:cs="宋体"/>
          <w:spacing w:val="19"/>
          <w:sz w:val="24"/>
          <w:szCs w:val="24"/>
        </w:rPr>
        <w:t>原值</w:t>
      </w:r>
    </w:p>
    <w:p w14:paraId="22B7A13D">
      <w:pPr>
        <w:spacing w:line="100" w:lineRule="exact"/>
      </w:pPr>
    </w:p>
    <w:tbl>
      <w:tblPr>
        <w:tblStyle w:val="5"/>
        <w:tblW w:w="87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888"/>
        <w:gridCol w:w="1528"/>
        <w:gridCol w:w="1518"/>
        <w:gridCol w:w="1528"/>
        <w:gridCol w:w="1513"/>
      </w:tblGrid>
      <w:tr w14:paraId="0E9FA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774" w:type="dxa"/>
            <w:vMerge w:val="restart"/>
            <w:tcBorders>
              <w:bottom w:val="nil"/>
            </w:tcBorders>
            <w:vAlign w:val="top"/>
          </w:tcPr>
          <w:p w14:paraId="262AECD0">
            <w:pPr>
              <w:spacing w:line="255" w:lineRule="auto"/>
              <w:rPr>
                <w:rFonts w:ascii="Arial"/>
                <w:sz w:val="21"/>
              </w:rPr>
            </w:pPr>
          </w:p>
          <w:p w14:paraId="7C63E75C">
            <w:pPr>
              <w:spacing w:line="255" w:lineRule="auto"/>
              <w:rPr>
                <w:rFonts w:ascii="Arial"/>
                <w:sz w:val="21"/>
              </w:rPr>
            </w:pPr>
          </w:p>
          <w:p w14:paraId="72544D67">
            <w:pPr>
              <w:pStyle w:val="6"/>
              <w:spacing w:before="72" w:line="221" w:lineRule="auto"/>
              <w:ind w:left="155"/>
              <w:rPr>
                <w:sz w:val="22"/>
                <w:szCs w:val="22"/>
              </w:rPr>
            </w:pPr>
            <w:r>
              <w:rPr>
                <w:spacing w:val="6"/>
                <w:sz w:val="22"/>
                <w:szCs w:val="22"/>
              </w:rPr>
              <w:t>序号</w:t>
            </w:r>
          </w:p>
        </w:tc>
        <w:tc>
          <w:tcPr>
            <w:tcW w:w="1888" w:type="dxa"/>
            <w:vMerge w:val="restart"/>
            <w:tcBorders>
              <w:bottom w:val="nil"/>
            </w:tcBorders>
            <w:vAlign w:val="top"/>
          </w:tcPr>
          <w:p w14:paraId="00B6802A">
            <w:pPr>
              <w:spacing w:line="254" w:lineRule="auto"/>
              <w:rPr>
                <w:rFonts w:ascii="Arial"/>
                <w:sz w:val="21"/>
              </w:rPr>
            </w:pPr>
          </w:p>
          <w:p w14:paraId="2A053F5C">
            <w:pPr>
              <w:spacing w:line="255" w:lineRule="auto"/>
              <w:rPr>
                <w:rFonts w:ascii="Arial"/>
                <w:sz w:val="21"/>
              </w:rPr>
            </w:pPr>
          </w:p>
          <w:p w14:paraId="358EC085">
            <w:pPr>
              <w:pStyle w:val="6"/>
              <w:spacing w:before="71" w:line="219" w:lineRule="auto"/>
              <w:ind w:left="331"/>
              <w:rPr>
                <w:sz w:val="22"/>
                <w:szCs w:val="22"/>
              </w:rPr>
            </w:pPr>
            <w:r>
              <w:rPr>
                <w:spacing w:val="3"/>
                <w:sz w:val="22"/>
                <w:szCs w:val="22"/>
              </w:rPr>
              <w:t>固定资产类别</w:t>
            </w:r>
          </w:p>
        </w:tc>
        <w:tc>
          <w:tcPr>
            <w:tcW w:w="6087" w:type="dxa"/>
            <w:gridSpan w:val="4"/>
            <w:vAlign w:val="top"/>
          </w:tcPr>
          <w:p w14:paraId="678646E3">
            <w:pPr>
              <w:pStyle w:val="6"/>
              <w:spacing w:before="94" w:line="219" w:lineRule="auto"/>
              <w:ind w:left="2212"/>
              <w:rPr>
                <w:sz w:val="22"/>
                <w:szCs w:val="22"/>
              </w:rPr>
            </w:pPr>
            <w:r>
              <w:rPr>
                <w:spacing w:val="1"/>
                <w:sz w:val="22"/>
                <w:szCs w:val="22"/>
              </w:rPr>
              <w:t>已形成的固定资产</w:t>
            </w:r>
          </w:p>
        </w:tc>
      </w:tr>
      <w:tr w14:paraId="19F8A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74" w:type="dxa"/>
            <w:vMerge w:val="continue"/>
            <w:tcBorders>
              <w:top w:val="nil"/>
              <w:bottom w:val="nil"/>
            </w:tcBorders>
            <w:vAlign w:val="top"/>
          </w:tcPr>
          <w:p w14:paraId="5D8439ED">
            <w:pPr>
              <w:rPr>
                <w:rFonts w:ascii="Arial"/>
                <w:sz w:val="21"/>
              </w:rPr>
            </w:pPr>
          </w:p>
        </w:tc>
        <w:tc>
          <w:tcPr>
            <w:tcW w:w="1888" w:type="dxa"/>
            <w:vMerge w:val="continue"/>
            <w:tcBorders>
              <w:top w:val="nil"/>
              <w:bottom w:val="nil"/>
            </w:tcBorders>
            <w:vAlign w:val="top"/>
          </w:tcPr>
          <w:p w14:paraId="4713EF25">
            <w:pPr>
              <w:rPr>
                <w:rFonts w:ascii="Arial"/>
                <w:sz w:val="21"/>
              </w:rPr>
            </w:pPr>
          </w:p>
        </w:tc>
        <w:tc>
          <w:tcPr>
            <w:tcW w:w="3046" w:type="dxa"/>
            <w:gridSpan w:val="2"/>
            <w:vAlign w:val="top"/>
          </w:tcPr>
          <w:p w14:paraId="3362D911">
            <w:pPr>
              <w:pStyle w:val="6"/>
              <w:spacing w:before="40" w:line="217" w:lineRule="auto"/>
              <w:ind w:left="1242" w:right="189" w:hanging="1049"/>
              <w:rPr>
                <w:sz w:val="22"/>
                <w:szCs w:val="22"/>
              </w:rPr>
            </w:pPr>
            <w:r>
              <w:rPr>
                <w:sz w:val="22"/>
                <w:szCs w:val="22"/>
              </w:rPr>
              <w:t>已形成固定资产(矿山)10万</w:t>
            </w:r>
            <w:r>
              <w:rPr>
                <w:spacing w:val="12"/>
                <w:sz w:val="22"/>
                <w:szCs w:val="22"/>
              </w:rPr>
              <w:t xml:space="preserve"> </w:t>
            </w:r>
            <w:r>
              <w:rPr>
                <w:spacing w:val="3"/>
                <w:sz w:val="22"/>
                <w:szCs w:val="22"/>
              </w:rPr>
              <w:t>吨/年</w:t>
            </w:r>
          </w:p>
        </w:tc>
        <w:tc>
          <w:tcPr>
            <w:tcW w:w="3041" w:type="dxa"/>
            <w:gridSpan w:val="2"/>
            <w:vAlign w:val="top"/>
          </w:tcPr>
          <w:p w14:paraId="6712BBCB">
            <w:pPr>
              <w:pStyle w:val="6"/>
              <w:spacing w:before="50" w:line="213" w:lineRule="auto"/>
              <w:ind w:left="1236" w:right="180" w:hanging="1039"/>
              <w:rPr>
                <w:sz w:val="22"/>
                <w:szCs w:val="22"/>
              </w:rPr>
            </w:pPr>
            <w:r>
              <w:rPr>
                <w:sz w:val="22"/>
                <w:szCs w:val="22"/>
              </w:rPr>
              <w:t>已形成固定资产(选矿)12万</w:t>
            </w:r>
            <w:r>
              <w:rPr>
                <w:spacing w:val="12"/>
                <w:sz w:val="22"/>
                <w:szCs w:val="22"/>
              </w:rPr>
              <w:t xml:space="preserve"> </w:t>
            </w:r>
            <w:r>
              <w:rPr>
                <w:spacing w:val="3"/>
                <w:sz w:val="22"/>
                <w:szCs w:val="22"/>
              </w:rPr>
              <w:t>吨/年</w:t>
            </w:r>
          </w:p>
        </w:tc>
      </w:tr>
      <w:tr w14:paraId="36FE1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74" w:type="dxa"/>
            <w:vMerge w:val="continue"/>
            <w:tcBorders>
              <w:top w:val="nil"/>
            </w:tcBorders>
            <w:vAlign w:val="top"/>
          </w:tcPr>
          <w:p w14:paraId="61335FE4">
            <w:pPr>
              <w:rPr>
                <w:rFonts w:ascii="Arial"/>
                <w:sz w:val="21"/>
              </w:rPr>
            </w:pPr>
          </w:p>
        </w:tc>
        <w:tc>
          <w:tcPr>
            <w:tcW w:w="1888" w:type="dxa"/>
            <w:vMerge w:val="continue"/>
            <w:tcBorders>
              <w:top w:val="nil"/>
            </w:tcBorders>
            <w:vAlign w:val="top"/>
          </w:tcPr>
          <w:p w14:paraId="2E833DC4">
            <w:pPr>
              <w:rPr>
                <w:rFonts w:ascii="Arial"/>
                <w:sz w:val="21"/>
              </w:rPr>
            </w:pPr>
          </w:p>
        </w:tc>
        <w:tc>
          <w:tcPr>
            <w:tcW w:w="1528" w:type="dxa"/>
            <w:vAlign w:val="top"/>
          </w:tcPr>
          <w:p w14:paraId="619829B2">
            <w:pPr>
              <w:pStyle w:val="6"/>
              <w:spacing w:before="93" w:line="219" w:lineRule="auto"/>
              <w:ind w:left="533"/>
              <w:rPr>
                <w:sz w:val="22"/>
                <w:szCs w:val="22"/>
              </w:rPr>
            </w:pPr>
            <w:r>
              <w:rPr>
                <w:spacing w:val="4"/>
                <w:sz w:val="22"/>
                <w:szCs w:val="22"/>
              </w:rPr>
              <w:t>原值</w:t>
            </w:r>
          </w:p>
        </w:tc>
        <w:tc>
          <w:tcPr>
            <w:tcW w:w="1518" w:type="dxa"/>
            <w:vAlign w:val="top"/>
          </w:tcPr>
          <w:p w14:paraId="73FC5E66">
            <w:pPr>
              <w:pStyle w:val="6"/>
              <w:spacing w:before="93" w:line="219" w:lineRule="auto"/>
              <w:ind w:left="535"/>
              <w:rPr>
                <w:sz w:val="22"/>
                <w:szCs w:val="22"/>
              </w:rPr>
            </w:pPr>
            <w:r>
              <w:rPr>
                <w:spacing w:val="-3"/>
                <w:sz w:val="22"/>
                <w:szCs w:val="22"/>
              </w:rPr>
              <w:t>净值</w:t>
            </w:r>
          </w:p>
        </w:tc>
        <w:tc>
          <w:tcPr>
            <w:tcW w:w="1528" w:type="dxa"/>
            <w:vAlign w:val="top"/>
          </w:tcPr>
          <w:p w14:paraId="4E8A82EF">
            <w:pPr>
              <w:pStyle w:val="6"/>
              <w:spacing w:before="93" w:line="219" w:lineRule="auto"/>
              <w:ind w:left="536"/>
              <w:rPr>
                <w:sz w:val="22"/>
                <w:szCs w:val="22"/>
              </w:rPr>
            </w:pPr>
            <w:r>
              <w:rPr>
                <w:spacing w:val="4"/>
                <w:sz w:val="22"/>
                <w:szCs w:val="22"/>
              </w:rPr>
              <w:t>原值</w:t>
            </w:r>
          </w:p>
        </w:tc>
        <w:tc>
          <w:tcPr>
            <w:tcW w:w="1513" w:type="dxa"/>
            <w:vAlign w:val="top"/>
          </w:tcPr>
          <w:p w14:paraId="7EDD4975">
            <w:pPr>
              <w:pStyle w:val="6"/>
              <w:spacing w:before="93" w:line="219" w:lineRule="auto"/>
              <w:ind w:left="528"/>
              <w:rPr>
                <w:sz w:val="22"/>
                <w:szCs w:val="22"/>
              </w:rPr>
            </w:pPr>
            <w:r>
              <w:rPr>
                <w:spacing w:val="-3"/>
                <w:sz w:val="22"/>
                <w:szCs w:val="22"/>
              </w:rPr>
              <w:t>净值</w:t>
            </w:r>
          </w:p>
        </w:tc>
      </w:tr>
      <w:tr w14:paraId="5A724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74" w:type="dxa"/>
            <w:vMerge w:val="restart"/>
            <w:tcBorders>
              <w:bottom w:val="nil"/>
            </w:tcBorders>
            <w:vAlign w:val="top"/>
          </w:tcPr>
          <w:p w14:paraId="050674CE">
            <w:pPr>
              <w:spacing w:line="252" w:lineRule="auto"/>
              <w:rPr>
                <w:rFonts w:ascii="Arial"/>
                <w:sz w:val="21"/>
              </w:rPr>
            </w:pPr>
          </w:p>
          <w:p w14:paraId="7635CA1C">
            <w:pPr>
              <w:pStyle w:val="6"/>
              <w:spacing w:before="72" w:line="241" w:lineRule="auto"/>
              <w:ind w:left="324"/>
              <w:rPr>
                <w:sz w:val="22"/>
                <w:szCs w:val="22"/>
              </w:rPr>
            </w:pPr>
            <w:r>
              <w:rPr>
                <w:sz w:val="22"/>
                <w:szCs w:val="22"/>
              </w:rPr>
              <w:t>1</w:t>
            </w:r>
          </w:p>
        </w:tc>
        <w:tc>
          <w:tcPr>
            <w:tcW w:w="1888" w:type="dxa"/>
            <w:vAlign w:val="top"/>
          </w:tcPr>
          <w:p w14:paraId="167E7639">
            <w:pPr>
              <w:pStyle w:val="6"/>
              <w:spacing w:before="94" w:line="220" w:lineRule="auto"/>
              <w:ind w:left="111"/>
              <w:rPr>
                <w:sz w:val="22"/>
                <w:szCs w:val="22"/>
              </w:rPr>
            </w:pPr>
            <w:r>
              <w:rPr>
                <w:spacing w:val="-2"/>
                <w:sz w:val="22"/>
                <w:szCs w:val="22"/>
              </w:rPr>
              <w:t>井巷工程</w:t>
            </w:r>
          </w:p>
        </w:tc>
        <w:tc>
          <w:tcPr>
            <w:tcW w:w="1528" w:type="dxa"/>
            <w:vAlign w:val="top"/>
          </w:tcPr>
          <w:p w14:paraId="39D152B9">
            <w:pPr>
              <w:pStyle w:val="6"/>
              <w:spacing w:before="116" w:line="229" w:lineRule="auto"/>
              <w:ind w:left="422"/>
              <w:rPr>
                <w:sz w:val="22"/>
                <w:szCs w:val="22"/>
              </w:rPr>
            </w:pPr>
            <w:r>
              <w:rPr>
                <w:spacing w:val="-2"/>
                <w:sz w:val="22"/>
                <w:szCs w:val="22"/>
              </w:rPr>
              <w:t>939.95</w:t>
            </w:r>
          </w:p>
        </w:tc>
        <w:tc>
          <w:tcPr>
            <w:tcW w:w="1518" w:type="dxa"/>
            <w:vAlign w:val="top"/>
          </w:tcPr>
          <w:p w14:paraId="72FD3119">
            <w:pPr>
              <w:pStyle w:val="6"/>
              <w:spacing w:before="116" w:line="229" w:lineRule="auto"/>
              <w:ind w:left="425"/>
              <w:rPr>
                <w:sz w:val="22"/>
                <w:szCs w:val="22"/>
              </w:rPr>
            </w:pPr>
            <w:r>
              <w:rPr>
                <w:spacing w:val="-2"/>
                <w:sz w:val="22"/>
                <w:szCs w:val="22"/>
              </w:rPr>
              <w:t>710.00</w:t>
            </w:r>
          </w:p>
        </w:tc>
        <w:tc>
          <w:tcPr>
            <w:tcW w:w="1528" w:type="dxa"/>
            <w:vAlign w:val="top"/>
          </w:tcPr>
          <w:p w14:paraId="6A95FAB6">
            <w:pPr>
              <w:rPr>
                <w:rFonts w:ascii="Arial"/>
                <w:sz w:val="21"/>
              </w:rPr>
            </w:pPr>
          </w:p>
        </w:tc>
        <w:tc>
          <w:tcPr>
            <w:tcW w:w="1513" w:type="dxa"/>
            <w:vAlign w:val="top"/>
          </w:tcPr>
          <w:p w14:paraId="15126BA9">
            <w:pPr>
              <w:rPr>
                <w:rFonts w:ascii="Arial"/>
                <w:sz w:val="21"/>
              </w:rPr>
            </w:pPr>
          </w:p>
        </w:tc>
      </w:tr>
      <w:tr w14:paraId="49192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74" w:type="dxa"/>
            <w:vMerge w:val="continue"/>
            <w:tcBorders>
              <w:top w:val="nil"/>
            </w:tcBorders>
            <w:vAlign w:val="top"/>
          </w:tcPr>
          <w:p w14:paraId="7050B427">
            <w:pPr>
              <w:rPr>
                <w:rFonts w:ascii="Arial"/>
                <w:sz w:val="21"/>
              </w:rPr>
            </w:pPr>
          </w:p>
        </w:tc>
        <w:tc>
          <w:tcPr>
            <w:tcW w:w="1888" w:type="dxa"/>
            <w:vAlign w:val="top"/>
          </w:tcPr>
          <w:p w14:paraId="5AD53FC7">
            <w:pPr>
              <w:pStyle w:val="6"/>
              <w:spacing w:before="95" w:line="219" w:lineRule="auto"/>
              <w:ind w:left="111"/>
              <w:rPr>
                <w:sz w:val="22"/>
                <w:szCs w:val="22"/>
              </w:rPr>
            </w:pPr>
            <w:r>
              <w:rPr>
                <w:spacing w:val="-2"/>
                <w:sz w:val="22"/>
                <w:szCs w:val="22"/>
              </w:rPr>
              <w:t>其中：增值税</w:t>
            </w:r>
          </w:p>
        </w:tc>
        <w:tc>
          <w:tcPr>
            <w:tcW w:w="1528" w:type="dxa"/>
            <w:vAlign w:val="top"/>
          </w:tcPr>
          <w:p w14:paraId="72F2C0FE">
            <w:pPr>
              <w:rPr>
                <w:rFonts w:ascii="Arial"/>
                <w:sz w:val="21"/>
              </w:rPr>
            </w:pPr>
          </w:p>
        </w:tc>
        <w:tc>
          <w:tcPr>
            <w:tcW w:w="1518" w:type="dxa"/>
            <w:vAlign w:val="top"/>
          </w:tcPr>
          <w:p w14:paraId="441E9504">
            <w:pPr>
              <w:rPr>
                <w:rFonts w:ascii="Arial"/>
                <w:sz w:val="21"/>
              </w:rPr>
            </w:pPr>
          </w:p>
        </w:tc>
        <w:tc>
          <w:tcPr>
            <w:tcW w:w="1528" w:type="dxa"/>
            <w:vAlign w:val="top"/>
          </w:tcPr>
          <w:p w14:paraId="2CBD49EB">
            <w:pPr>
              <w:rPr>
                <w:rFonts w:ascii="Arial"/>
                <w:sz w:val="21"/>
              </w:rPr>
            </w:pPr>
          </w:p>
        </w:tc>
        <w:tc>
          <w:tcPr>
            <w:tcW w:w="1513" w:type="dxa"/>
            <w:vAlign w:val="top"/>
          </w:tcPr>
          <w:p w14:paraId="356D8BFB">
            <w:pPr>
              <w:rPr>
                <w:rFonts w:ascii="Arial"/>
                <w:sz w:val="21"/>
              </w:rPr>
            </w:pPr>
          </w:p>
        </w:tc>
      </w:tr>
      <w:tr w14:paraId="1330E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74" w:type="dxa"/>
            <w:vMerge w:val="restart"/>
            <w:tcBorders>
              <w:bottom w:val="nil"/>
            </w:tcBorders>
            <w:vAlign w:val="top"/>
          </w:tcPr>
          <w:p w14:paraId="6598628D">
            <w:pPr>
              <w:spacing w:line="244" w:lineRule="auto"/>
              <w:rPr>
                <w:rFonts w:ascii="Arial"/>
                <w:sz w:val="21"/>
              </w:rPr>
            </w:pPr>
          </w:p>
          <w:p w14:paraId="1B2018AD">
            <w:pPr>
              <w:pStyle w:val="6"/>
              <w:spacing w:before="72" w:line="241" w:lineRule="auto"/>
              <w:ind w:left="324"/>
              <w:rPr>
                <w:sz w:val="22"/>
                <w:szCs w:val="22"/>
              </w:rPr>
            </w:pPr>
            <w:r>
              <w:rPr>
                <w:sz w:val="22"/>
                <w:szCs w:val="22"/>
              </w:rPr>
              <w:t>2</w:t>
            </w:r>
          </w:p>
        </w:tc>
        <w:tc>
          <w:tcPr>
            <w:tcW w:w="1888" w:type="dxa"/>
            <w:vAlign w:val="top"/>
          </w:tcPr>
          <w:p w14:paraId="6284EF93">
            <w:pPr>
              <w:pStyle w:val="6"/>
              <w:spacing w:before="96" w:line="220" w:lineRule="auto"/>
              <w:ind w:left="111"/>
              <w:rPr>
                <w:sz w:val="22"/>
                <w:szCs w:val="22"/>
              </w:rPr>
            </w:pPr>
            <w:r>
              <w:rPr>
                <w:spacing w:val="2"/>
                <w:sz w:val="22"/>
                <w:szCs w:val="22"/>
              </w:rPr>
              <w:t>房屋建筑物</w:t>
            </w:r>
          </w:p>
        </w:tc>
        <w:tc>
          <w:tcPr>
            <w:tcW w:w="1528" w:type="dxa"/>
            <w:vAlign w:val="top"/>
          </w:tcPr>
          <w:p w14:paraId="3055AC9E">
            <w:pPr>
              <w:pStyle w:val="6"/>
              <w:spacing w:before="92" w:line="216" w:lineRule="auto"/>
              <w:ind w:left="312"/>
              <w:rPr>
                <w:sz w:val="22"/>
                <w:szCs w:val="22"/>
              </w:rPr>
            </w:pPr>
            <w:r>
              <w:rPr>
                <w:spacing w:val="-4"/>
                <w:sz w:val="22"/>
                <w:szCs w:val="22"/>
              </w:rPr>
              <w:t>1,019.90</w:t>
            </w:r>
          </w:p>
        </w:tc>
        <w:tc>
          <w:tcPr>
            <w:tcW w:w="1518" w:type="dxa"/>
            <w:vAlign w:val="top"/>
          </w:tcPr>
          <w:p w14:paraId="7453DB69">
            <w:pPr>
              <w:pStyle w:val="6"/>
              <w:spacing w:before="118" w:line="219" w:lineRule="auto"/>
              <w:ind w:left="425"/>
              <w:rPr>
                <w:sz w:val="22"/>
                <w:szCs w:val="22"/>
              </w:rPr>
            </w:pPr>
            <w:r>
              <w:rPr>
                <w:spacing w:val="-2"/>
                <w:sz w:val="22"/>
                <w:szCs w:val="22"/>
              </w:rPr>
              <w:t>815.92</w:t>
            </w:r>
          </w:p>
        </w:tc>
        <w:tc>
          <w:tcPr>
            <w:tcW w:w="1528" w:type="dxa"/>
            <w:vAlign w:val="top"/>
          </w:tcPr>
          <w:p w14:paraId="15E83AB2">
            <w:pPr>
              <w:pStyle w:val="6"/>
              <w:spacing w:before="92" w:line="216" w:lineRule="auto"/>
              <w:ind w:left="316"/>
              <w:rPr>
                <w:sz w:val="22"/>
                <w:szCs w:val="22"/>
              </w:rPr>
            </w:pPr>
            <w:r>
              <w:rPr>
                <w:spacing w:val="-4"/>
                <w:sz w:val="22"/>
                <w:szCs w:val="22"/>
              </w:rPr>
              <w:t>1,274.64</w:t>
            </w:r>
          </w:p>
        </w:tc>
        <w:tc>
          <w:tcPr>
            <w:tcW w:w="1513" w:type="dxa"/>
            <w:vAlign w:val="top"/>
          </w:tcPr>
          <w:p w14:paraId="2187319D">
            <w:pPr>
              <w:pStyle w:val="6"/>
              <w:spacing w:before="118" w:line="219" w:lineRule="auto"/>
              <w:ind w:left="419"/>
              <w:rPr>
                <w:sz w:val="22"/>
                <w:szCs w:val="22"/>
              </w:rPr>
            </w:pPr>
            <w:r>
              <w:rPr>
                <w:spacing w:val="-2"/>
                <w:sz w:val="22"/>
                <w:szCs w:val="22"/>
              </w:rPr>
              <w:t>456.52</w:t>
            </w:r>
          </w:p>
        </w:tc>
      </w:tr>
      <w:tr w14:paraId="2FCEE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74" w:type="dxa"/>
            <w:vMerge w:val="continue"/>
            <w:tcBorders>
              <w:top w:val="nil"/>
            </w:tcBorders>
            <w:vAlign w:val="top"/>
          </w:tcPr>
          <w:p w14:paraId="5DB9BD27">
            <w:pPr>
              <w:rPr>
                <w:rFonts w:ascii="Arial"/>
                <w:sz w:val="21"/>
              </w:rPr>
            </w:pPr>
          </w:p>
        </w:tc>
        <w:tc>
          <w:tcPr>
            <w:tcW w:w="1888" w:type="dxa"/>
            <w:vAlign w:val="top"/>
          </w:tcPr>
          <w:p w14:paraId="37280437">
            <w:pPr>
              <w:pStyle w:val="6"/>
              <w:spacing w:before="97" w:line="219" w:lineRule="auto"/>
              <w:ind w:left="111"/>
              <w:rPr>
                <w:sz w:val="22"/>
                <w:szCs w:val="22"/>
              </w:rPr>
            </w:pPr>
            <w:r>
              <w:rPr>
                <w:spacing w:val="-2"/>
                <w:sz w:val="22"/>
                <w:szCs w:val="22"/>
              </w:rPr>
              <w:t>其中：增值税</w:t>
            </w:r>
          </w:p>
        </w:tc>
        <w:tc>
          <w:tcPr>
            <w:tcW w:w="1528" w:type="dxa"/>
            <w:vAlign w:val="top"/>
          </w:tcPr>
          <w:p w14:paraId="135D76BB">
            <w:pPr>
              <w:rPr>
                <w:rFonts w:ascii="Arial"/>
                <w:sz w:val="21"/>
              </w:rPr>
            </w:pPr>
          </w:p>
        </w:tc>
        <w:tc>
          <w:tcPr>
            <w:tcW w:w="1518" w:type="dxa"/>
            <w:vAlign w:val="top"/>
          </w:tcPr>
          <w:p w14:paraId="54BD6884">
            <w:pPr>
              <w:rPr>
                <w:rFonts w:ascii="Arial"/>
                <w:sz w:val="21"/>
              </w:rPr>
            </w:pPr>
          </w:p>
        </w:tc>
        <w:tc>
          <w:tcPr>
            <w:tcW w:w="1528" w:type="dxa"/>
            <w:vAlign w:val="top"/>
          </w:tcPr>
          <w:p w14:paraId="476B689A">
            <w:pPr>
              <w:rPr>
                <w:rFonts w:ascii="Arial"/>
                <w:sz w:val="21"/>
              </w:rPr>
            </w:pPr>
          </w:p>
        </w:tc>
        <w:tc>
          <w:tcPr>
            <w:tcW w:w="1513" w:type="dxa"/>
            <w:vAlign w:val="top"/>
          </w:tcPr>
          <w:p w14:paraId="1D922300">
            <w:pPr>
              <w:rPr>
                <w:rFonts w:ascii="Arial"/>
                <w:sz w:val="21"/>
              </w:rPr>
            </w:pPr>
          </w:p>
        </w:tc>
      </w:tr>
      <w:tr w14:paraId="7ED63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74" w:type="dxa"/>
            <w:vMerge w:val="restart"/>
            <w:tcBorders>
              <w:bottom w:val="nil"/>
            </w:tcBorders>
            <w:vAlign w:val="top"/>
          </w:tcPr>
          <w:p w14:paraId="6AA80EBE">
            <w:pPr>
              <w:spacing w:line="246" w:lineRule="auto"/>
              <w:rPr>
                <w:rFonts w:ascii="Arial"/>
                <w:sz w:val="21"/>
              </w:rPr>
            </w:pPr>
          </w:p>
          <w:p w14:paraId="19BE12AA">
            <w:pPr>
              <w:pStyle w:val="6"/>
              <w:spacing w:before="71"/>
              <w:ind w:left="324"/>
              <w:rPr>
                <w:sz w:val="22"/>
                <w:szCs w:val="22"/>
              </w:rPr>
            </w:pPr>
            <w:r>
              <w:rPr>
                <w:sz w:val="22"/>
                <w:szCs w:val="22"/>
              </w:rPr>
              <w:t>3</w:t>
            </w:r>
          </w:p>
        </w:tc>
        <w:tc>
          <w:tcPr>
            <w:tcW w:w="1888" w:type="dxa"/>
            <w:vAlign w:val="top"/>
          </w:tcPr>
          <w:p w14:paraId="13D543BA">
            <w:pPr>
              <w:pStyle w:val="6"/>
              <w:spacing w:before="98" w:line="219" w:lineRule="auto"/>
              <w:ind w:left="111"/>
              <w:rPr>
                <w:sz w:val="22"/>
                <w:szCs w:val="22"/>
              </w:rPr>
            </w:pPr>
            <w:r>
              <w:rPr>
                <w:spacing w:val="4"/>
                <w:sz w:val="22"/>
                <w:szCs w:val="22"/>
              </w:rPr>
              <w:t>尾矿库</w:t>
            </w:r>
          </w:p>
        </w:tc>
        <w:tc>
          <w:tcPr>
            <w:tcW w:w="1528" w:type="dxa"/>
            <w:vAlign w:val="top"/>
          </w:tcPr>
          <w:p w14:paraId="545E8C97">
            <w:pPr>
              <w:rPr>
                <w:rFonts w:ascii="Arial"/>
                <w:sz w:val="21"/>
              </w:rPr>
            </w:pPr>
          </w:p>
        </w:tc>
        <w:tc>
          <w:tcPr>
            <w:tcW w:w="1518" w:type="dxa"/>
            <w:vAlign w:val="top"/>
          </w:tcPr>
          <w:p w14:paraId="68FF1606">
            <w:pPr>
              <w:rPr>
                <w:rFonts w:ascii="Arial"/>
                <w:sz w:val="21"/>
              </w:rPr>
            </w:pPr>
          </w:p>
        </w:tc>
        <w:tc>
          <w:tcPr>
            <w:tcW w:w="1528" w:type="dxa"/>
            <w:vAlign w:val="top"/>
          </w:tcPr>
          <w:p w14:paraId="45A3972A">
            <w:pPr>
              <w:pStyle w:val="6"/>
              <w:spacing w:before="94" w:line="216" w:lineRule="auto"/>
              <w:ind w:left="316"/>
              <w:rPr>
                <w:sz w:val="22"/>
                <w:szCs w:val="22"/>
              </w:rPr>
            </w:pPr>
            <w:r>
              <w:rPr>
                <w:spacing w:val="-2"/>
                <w:sz w:val="22"/>
                <w:szCs w:val="22"/>
              </w:rPr>
              <w:t>2,383.61</w:t>
            </w:r>
          </w:p>
        </w:tc>
        <w:tc>
          <w:tcPr>
            <w:tcW w:w="1513" w:type="dxa"/>
            <w:vAlign w:val="top"/>
          </w:tcPr>
          <w:p w14:paraId="46FEB5AE">
            <w:pPr>
              <w:pStyle w:val="6"/>
              <w:spacing w:before="94" w:line="216" w:lineRule="auto"/>
              <w:ind w:left="308"/>
              <w:rPr>
                <w:sz w:val="22"/>
                <w:szCs w:val="22"/>
              </w:rPr>
            </w:pPr>
            <w:r>
              <w:rPr>
                <w:spacing w:val="-2"/>
                <w:sz w:val="22"/>
                <w:szCs w:val="22"/>
              </w:rPr>
              <w:t>2,021.25</w:t>
            </w:r>
          </w:p>
        </w:tc>
      </w:tr>
      <w:tr w14:paraId="4BAD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774" w:type="dxa"/>
            <w:vMerge w:val="continue"/>
            <w:tcBorders>
              <w:top w:val="nil"/>
            </w:tcBorders>
            <w:vAlign w:val="top"/>
          </w:tcPr>
          <w:p w14:paraId="7A223A1E">
            <w:pPr>
              <w:rPr>
                <w:rFonts w:ascii="Arial"/>
                <w:sz w:val="21"/>
              </w:rPr>
            </w:pPr>
          </w:p>
        </w:tc>
        <w:tc>
          <w:tcPr>
            <w:tcW w:w="1888" w:type="dxa"/>
            <w:vAlign w:val="top"/>
          </w:tcPr>
          <w:p w14:paraId="218FD090">
            <w:pPr>
              <w:pStyle w:val="6"/>
              <w:spacing w:before="99" w:line="219" w:lineRule="auto"/>
              <w:ind w:left="111"/>
              <w:rPr>
                <w:sz w:val="22"/>
                <w:szCs w:val="22"/>
              </w:rPr>
            </w:pPr>
            <w:r>
              <w:rPr>
                <w:spacing w:val="-2"/>
                <w:sz w:val="22"/>
                <w:szCs w:val="22"/>
              </w:rPr>
              <w:t>其中：增值税</w:t>
            </w:r>
          </w:p>
        </w:tc>
        <w:tc>
          <w:tcPr>
            <w:tcW w:w="1528" w:type="dxa"/>
            <w:vAlign w:val="top"/>
          </w:tcPr>
          <w:p w14:paraId="2DC6346B">
            <w:pPr>
              <w:rPr>
                <w:rFonts w:ascii="Arial"/>
                <w:sz w:val="21"/>
              </w:rPr>
            </w:pPr>
          </w:p>
        </w:tc>
        <w:tc>
          <w:tcPr>
            <w:tcW w:w="1518" w:type="dxa"/>
            <w:vAlign w:val="top"/>
          </w:tcPr>
          <w:p w14:paraId="577EBBC9">
            <w:pPr>
              <w:rPr>
                <w:rFonts w:ascii="Arial"/>
                <w:sz w:val="21"/>
              </w:rPr>
            </w:pPr>
          </w:p>
        </w:tc>
        <w:tc>
          <w:tcPr>
            <w:tcW w:w="1528" w:type="dxa"/>
            <w:vAlign w:val="top"/>
          </w:tcPr>
          <w:p w14:paraId="5AD2634E">
            <w:pPr>
              <w:rPr>
                <w:rFonts w:ascii="Arial"/>
                <w:sz w:val="21"/>
              </w:rPr>
            </w:pPr>
          </w:p>
        </w:tc>
        <w:tc>
          <w:tcPr>
            <w:tcW w:w="1513" w:type="dxa"/>
            <w:vAlign w:val="top"/>
          </w:tcPr>
          <w:p w14:paraId="09869B2E">
            <w:pPr>
              <w:rPr>
                <w:rFonts w:ascii="Arial"/>
                <w:sz w:val="21"/>
              </w:rPr>
            </w:pPr>
          </w:p>
        </w:tc>
      </w:tr>
    </w:tbl>
    <w:p w14:paraId="6F887061">
      <w:pPr>
        <w:pStyle w:val="2"/>
        <w:spacing w:line="235" w:lineRule="exact"/>
        <w:rPr>
          <w:sz w:val="20"/>
        </w:rPr>
      </w:pPr>
    </w:p>
    <w:p w14:paraId="4BDC0298">
      <w:pPr>
        <w:spacing w:line="235" w:lineRule="exact"/>
        <w:rPr>
          <w:sz w:val="20"/>
          <w:szCs w:val="20"/>
        </w:rPr>
        <w:sectPr>
          <w:headerReference r:id="rId96" w:type="default"/>
          <w:footerReference r:id="rId97" w:type="default"/>
          <w:pgSz w:w="11900" w:h="16830"/>
          <w:pgMar w:top="1166" w:right="1355" w:bottom="1279" w:left="1784" w:header="890" w:footer="938" w:gutter="0"/>
          <w:cols w:space="720" w:num="1"/>
        </w:sectPr>
      </w:pPr>
    </w:p>
    <w:p w14:paraId="178ABAE2">
      <w:pPr>
        <w:spacing w:before="56"/>
      </w:pPr>
    </w:p>
    <w:tbl>
      <w:tblPr>
        <w:tblStyle w:val="5"/>
        <w:tblW w:w="8679" w:type="dxa"/>
        <w:tblInd w:w="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868"/>
        <w:gridCol w:w="1498"/>
        <w:gridCol w:w="1518"/>
        <w:gridCol w:w="1518"/>
        <w:gridCol w:w="1503"/>
      </w:tblGrid>
      <w:tr w14:paraId="6B86E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774" w:type="dxa"/>
            <w:vMerge w:val="restart"/>
            <w:tcBorders>
              <w:bottom w:val="nil"/>
            </w:tcBorders>
            <w:vAlign w:val="top"/>
          </w:tcPr>
          <w:p w14:paraId="3FB96346">
            <w:pPr>
              <w:spacing w:line="255" w:lineRule="auto"/>
              <w:rPr>
                <w:rFonts w:ascii="Arial"/>
                <w:sz w:val="21"/>
              </w:rPr>
            </w:pPr>
          </w:p>
          <w:p w14:paraId="1EB0D42C">
            <w:pPr>
              <w:spacing w:line="255" w:lineRule="auto"/>
              <w:rPr>
                <w:rFonts w:ascii="Arial"/>
                <w:sz w:val="21"/>
              </w:rPr>
            </w:pPr>
          </w:p>
          <w:p w14:paraId="763670B5">
            <w:pPr>
              <w:pStyle w:val="6"/>
              <w:spacing w:before="72" w:line="221" w:lineRule="auto"/>
              <w:ind w:left="155"/>
              <w:rPr>
                <w:sz w:val="22"/>
                <w:szCs w:val="22"/>
              </w:rPr>
            </w:pPr>
            <w:bookmarkStart w:id="51" w:name="bookmark64"/>
            <w:bookmarkEnd w:id="51"/>
            <w:r>
              <w:rPr>
                <w:spacing w:val="6"/>
                <w:sz w:val="22"/>
                <w:szCs w:val="22"/>
              </w:rPr>
              <w:t>序号</w:t>
            </w:r>
          </w:p>
        </w:tc>
        <w:tc>
          <w:tcPr>
            <w:tcW w:w="1868" w:type="dxa"/>
            <w:vMerge w:val="restart"/>
            <w:tcBorders>
              <w:bottom w:val="nil"/>
            </w:tcBorders>
            <w:vAlign w:val="top"/>
          </w:tcPr>
          <w:p w14:paraId="098F809F">
            <w:pPr>
              <w:spacing w:line="254" w:lineRule="auto"/>
              <w:rPr>
                <w:rFonts w:ascii="Arial"/>
                <w:sz w:val="21"/>
              </w:rPr>
            </w:pPr>
          </w:p>
          <w:p w14:paraId="3F1D9FE1">
            <w:pPr>
              <w:spacing w:line="255" w:lineRule="auto"/>
              <w:rPr>
                <w:rFonts w:ascii="Arial"/>
                <w:sz w:val="21"/>
              </w:rPr>
            </w:pPr>
          </w:p>
          <w:p w14:paraId="69F2A0CD">
            <w:pPr>
              <w:pStyle w:val="6"/>
              <w:spacing w:before="72" w:line="219" w:lineRule="auto"/>
              <w:ind w:left="311"/>
              <w:rPr>
                <w:sz w:val="22"/>
                <w:szCs w:val="22"/>
              </w:rPr>
            </w:pPr>
            <w:r>
              <w:rPr>
                <w:spacing w:val="3"/>
                <w:sz w:val="22"/>
                <w:szCs w:val="22"/>
              </w:rPr>
              <w:t>固定资产类别</w:t>
            </w:r>
          </w:p>
        </w:tc>
        <w:tc>
          <w:tcPr>
            <w:tcW w:w="6037" w:type="dxa"/>
            <w:gridSpan w:val="4"/>
            <w:vAlign w:val="top"/>
          </w:tcPr>
          <w:p w14:paraId="5C52F6AA">
            <w:pPr>
              <w:pStyle w:val="6"/>
              <w:spacing w:before="94" w:line="219" w:lineRule="auto"/>
              <w:ind w:left="2172"/>
              <w:rPr>
                <w:sz w:val="22"/>
                <w:szCs w:val="22"/>
              </w:rPr>
            </w:pPr>
            <w:r>
              <w:rPr>
                <w:spacing w:val="1"/>
                <w:sz w:val="22"/>
                <w:szCs w:val="22"/>
              </w:rPr>
              <w:t>已形成的固定资产</w:t>
            </w:r>
          </w:p>
        </w:tc>
      </w:tr>
      <w:tr w14:paraId="39D95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774" w:type="dxa"/>
            <w:vMerge w:val="continue"/>
            <w:tcBorders>
              <w:top w:val="nil"/>
              <w:bottom w:val="nil"/>
            </w:tcBorders>
            <w:vAlign w:val="top"/>
          </w:tcPr>
          <w:p w14:paraId="6EC29D60">
            <w:pPr>
              <w:rPr>
                <w:rFonts w:ascii="Arial"/>
                <w:sz w:val="21"/>
              </w:rPr>
            </w:pPr>
          </w:p>
        </w:tc>
        <w:tc>
          <w:tcPr>
            <w:tcW w:w="1868" w:type="dxa"/>
            <w:vMerge w:val="continue"/>
            <w:tcBorders>
              <w:top w:val="nil"/>
              <w:bottom w:val="nil"/>
            </w:tcBorders>
            <w:vAlign w:val="top"/>
          </w:tcPr>
          <w:p w14:paraId="61CE2DBA">
            <w:pPr>
              <w:rPr>
                <w:rFonts w:ascii="Arial"/>
                <w:sz w:val="21"/>
              </w:rPr>
            </w:pPr>
          </w:p>
        </w:tc>
        <w:tc>
          <w:tcPr>
            <w:tcW w:w="3016" w:type="dxa"/>
            <w:gridSpan w:val="2"/>
            <w:vAlign w:val="top"/>
          </w:tcPr>
          <w:p w14:paraId="2155B891">
            <w:pPr>
              <w:pStyle w:val="6"/>
              <w:spacing w:before="40" w:line="210" w:lineRule="auto"/>
              <w:ind w:left="1222" w:right="169" w:hanging="1039"/>
              <w:rPr>
                <w:sz w:val="22"/>
                <w:szCs w:val="22"/>
              </w:rPr>
            </w:pPr>
            <w:r>
              <w:rPr>
                <w:sz w:val="22"/>
                <w:szCs w:val="22"/>
              </w:rPr>
              <w:t>已形成固定资产(矿山)10万</w:t>
            </w:r>
            <w:r>
              <w:rPr>
                <w:spacing w:val="12"/>
                <w:sz w:val="22"/>
                <w:szCs w:val="22"/>
              </w:rPr>
              <w:t xml:space="preserve"> </w:t>
            </w:r>
            <w:r>
              <w:rPr>
                <w:spacing w:val="3"/>
                <w:sz w:val="22"/>
                <w:szCs w:val="22"/>
              </w:rPr>
              <w:t>吨/年</w:t>
            </w:r>
          </w:p>
        </w:tc>
        <w:tc>
          <w:tcPr>
            <w:tcW w:w="3021" w:type="dxa"/>
            <w:gridSpan w:val="2"/>
            <w:vAlign w:val="top"/>
          </w:tcPr>
          <w:p w14:paraId="6819C2D5">
            <w:pPr>
              <w:pStyle w:val="6"/>
              <w:spacing w:before="40" w:line="210" w:lineRule="auto"/>
              <w:ind w:left="1226" w:right="170" w:hanging="1039"/>
              <w:rPr>
                <w:sz w:val="22"/>
                <w:szCs w:val="22"/>
              </w:rPr>
            </w:pPr>
            <w:r>
              <w:rPr>
                <w:sz w:val="22"/>
                <w:szCs w:val="22"/>
              </w:rPr>
              <w:t>已形成固定资产(选矿)12万</w:t>
            </w:r>
            <w:r>
              <w:rPr>
                <w:spacing w:val="12"/>
                <w:sz w:val="22"/>
                <w:szCs w:val="22"/>
              </w:rPr>
              <w:t xml:space="preserve"> </w:t>
            </w:r>
            <w:r>
              <w:rPr>
                <w:spacing w:val="3"/>
                <w:sz w:val="22"/>
                <w:szCs w:val="22"/>
              </w:rPr>
              <w:t>吨/年</w:t>
            </w:r>
          </w:p>
        </w:tc>
      </w:tr>
      <w:tr w14:paraId="118D5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774" w:type="dxa"/>
            <w:vMerge w:val="continue"/>
            <w:tcBorders>
              <w:top w:val="nil"/>
            </w:tcBorders>
            <w:vAlign w:val="top"/>
          </w:tcPr>
          <w:p w14:paraId="65476074">
            <w:pPr>
              <w:rPr>
                <w:rFonts w:ascii="Arial"/>
                <w:sz w:val="21"/>
              </w:rPr>
            </w:pPr>
          </w:p>
        </w:tc>
        <w:tc>
          <w:tcPr>
            <w:tcW w:w="1868" w:type="dxa"/>
            <w:vMerge w:val="continue"/>
            <w:tcBorders>
              <w:top w:val="nil"/>
            </w:tcBorders>
            <w:vAlign w:val="top"/>
          </w:tcPr>
          <w:p w14:paraId="0FB7EBCA">
            <w:pPr>
              <w:rPr>
                <w:rFonts w:ascii="Arial"/>
                <w:sz w:val="21"/>
              </w:rPr>
            </w:pPr>
          </w:p>
        </w:tc>
        <w:tc>
          <w:tcPr>
            <w:tcW w:w="1498" w:type="dxa"/>
            <w:vAlign w:val="top"/>
          </w:tcPr>
          <w:p w14:paraId="3153DD71">
            <w:pPr>
              <w:pStyle w:val="6"/>
              <w:spacing w:before="92" w:line="219" w:lineRule="auto"/>
              <w:ind w:left="523"/>
              <w:rPr>
                <w:sz w:val="22"/>
                <w:szCs w:val="22"/>
              </w:rPr>
            </w:pPr>
            <w:r>
              <w:rPr>
                <w:spacing w:val="4"/>
                <w:sz w:val="22"/>
                <w:szCs w:val="22"/>
              </w:rPr>
              <w:t>原值</w:t>
            </w:r>
          </w:p>
        </w:tc>
        <w:tc>
          <w:tcPr>
            <w:tcW w:w="1518" w:type="dxa"/>
            <w:vAlign w:val="top"/>
          </w:tcPr>
          <w:p w14:paraId="041BD7EB">
            <w:pPr>
              <w:pStyle w:val="6"/>
              <w:spacing w:before="92" w:line="219" w:lineRule="auto"/>
              <w:ind w:left="535"/>
              <w:rPr>
                <w:sz w:val="22"/>
                <w:szCs w:val="22"/>
              </w:rPr>
            </w:pPr>
            <w:r>
              <w:rPr>
                <w:spacing w:val="-3"/>
                <w:sz w:val="22"/>
                <w:szCs w:val="22"/>
              </w:rPr>
              <w:t>净值</w:t>
            </w:r>
          </w:p>
        </w:tc>
        <w:tc>
          <w:tcPr>
            <w:tcW w:w="1518" w:type="dxa"/>
            <w:vAlign w:val="top"/>
          </w:tcPr>
          <w:p w14:paraId="6B58F940">
            <w:pPr>
              <w:pStyle w:val="6"/>
              <w:spacing w:before="92" w:line="219" w:lineRule="auto"/>
              <w:ind w:left="537"/>
              <w:rPr>
                <w:sz w:val="22"/>
                <w:szCs w:val="22"/>
              </w:rPr>
            </w:pPr>
            <w:r>
              <w:rPr>
                <w:spacing w:val="4"/>
                <w:sz w:val="22"/>
                <w:szCs w:val="22"/>
              </w:rPr>
              <w:t>原值</w:t>
            </w:r>
          </w:p>
        </w:tc>
        <w:tc>
          <w:tcPr>
            <w:tcW w:w="1503" w:type="dxa"/>
            <w:vAlign w:val="top"/>
          </w:tcPr>
          <w:p w14:paraId="5FF52414">
            <w:pPr>
              <w:pStyle w:val="6"/>
              <w:spacing w:before="92" w:line="219" w:lineRule="auto"/>
              <w:ind w:left="529"/>
              <w:rPr>
                <w:sz w:val="22"/>
                <w:szCs w:val="22"/>
              </w:rPr>
            </w:pPr>
            <w:r>
              <w:rPr>
                <w:spacing w:val="-3"/>
                <w:sz w:val="22"/>
                <w:szCs w:val="22"/>
              </w:rPr>
              <w:t>净值</w:t>
            </w:r>
          </w:p>
        </w:tc>
      </w:tr>
      <w:tr w14:paraId="5CC28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74" w:type="dxa"/>
            <w:vMerge w:val="restart"/>
            <w:tcBorders>
              <w:bottom w:val="nil"/>
            </w:tcBorders>
            <w:vAlign w:val="top"/>
          </w:tcPr>
          <w:p w14:paraId="27DC66F9">
            <w:pPr>
              <w:spacing w:line="253" w:lineRule="auto"/>
              <w:rPr>
                <w:rFonts w:ascii="Arial"/>
                <w:sz w:val="21"/>
              </w:rPr>
            </w:pPr>
          </w:p>
          <w:p w14:paraId="0B6278C0">
            <w:pPr>
              <w:pStyle w:val="6"/>
              <w:spacing w:before="71" w:line="241" w:lineRule="auto"/>
              <w:ind w:left="324"/>
              <w:rPr>
                <w:sz w:val="22"/>
                <w:szCs w:val="22"/>
              </w:rPr>
            </w:pPr>
            <w:r>
              <w:rPr>
                <w:sz w:val="22"/>
                <w:szCs w:val="22"/>
              </w:rPr>
              <w:t>4</w:t>
            </w:r>
          </w:p>
        </w:tc>
        <w:tc>
          <w:tcPr>
            <w:tcW w:w="1868" w:type="dxa"/>
            <w:vAlign w:val="top"/>
          </w:tcPr>
          <w:p w14:paraId="164D3E44">
            <w:pPr>
              <w:pStyle w:val="6"/>
              <w:spacing w:before="92" w:line="219" w:lineRule="auto"/>
              <w:ind w:left="111"/>
              <w:rPr>
                <w:sz w:val="22"/>
                <w:szCs w:val="22"/>
              </w:rPr>
            </w:pPr>
            <w:r>
              <w:rPr>
                <w:spacing w:val="-2"/>
                <w:sz w:val="22"/>
                <w:szCs w:val="22"/>
              </w:rPr>
              <w:t>机器设备</w:t>
            </w:r>
          </w:p>
        </w:tc>
        <w:tc>
          <w:tcPr>
            <w:tcW w:w="1498" w:type="dxa"/>
            <w:vAlign w:val="top"/>
          </w:tcPr>
          <w:p w14:paraId="67390C94">
            <w:pPr>
              <w:pStyle w:val="6"/>
              <w:spacing w:before="91" w:line="216" w:lineRule="auto"/>
              <w:ind w:left="303"/>
              <w:rPr>
                <w:sz w:val="22"/>
                <w:szCs w:val="22"/>
              </w:rPr>
            </w:pPr>
            <w:r>
              <w:rPr>
                <w:spacing w:val="-4"/>
                <w:sz w:val="22"/>
                <w:szCs w:val="22"/>
              </w:rPr>
              <w:t>1,223.68</w:t>
            </w:r>
          </w:p>
        </w:tc>
        <w:tc>
          <w:tcPr>
            <w:tcW w:w="1518" w:type="dxa"/>
            <w:vAlign w:val="top"/>
          </w:tcPr>
          <w:p w14:paraId="7150638B">
            <w:pPr>
              <w:pStyle w:val="6"/>
              <w:spacing w:before="116" w:line="228" w:lineRule="auto"/>
              <w:ind w:left="424"/>
              <w:rPr>
                <w:sz w:val="22"/>
                <w:szCs w:val="22"/>
              </w:rPr>
            </w:pPr>
            <w:r>
              <w:rPr>
                <w:spacing w:val="-2"/>
                <w:sz w:val="22"/>
                <w:szCs w:val="22"/>
              </w:rPr>
              <w:t>333.30</w:t>
            </w:r>
          </w:p>
        </w:tc>
        <w:tc>
          <w:tcPr>
            <w:tcW w:w="1518" w:type="dxa"/>
            <w:vAlign w:val="top"/>
          </w:tcPr>
          <w:p w14:paraId="05F11EAB">
            <w:pPr>
              <w:pStyle w:val="6"/>
              <w:spacing w:before="91" w:line="216" w:lineRule="auto"/>
              <w:ind w:left="316"/>
              <w:rPr>
                <w:sz w:val="22"/>
                <w:szCs w:val="22"/>
              </w:rPr>
            </w:pPr>
            <w:r>
              <w:rPr>
                <w:spacing w:val="-4"/>
                <w:sz w:val="22"/>
                <w:szCs w:val="22"/>
              </w:rPr>
              <w:t>1,130.20</w:t>
            </w:r>
          </w:p>
        </w:tc>
        <w:tc>
          <w:tcPr>
            <w:tcW w:w="1503" w:type="dxa"/>
            <w:vAlign w:val="top"/>
          </w:tcPr>
          <w:p w14:paraId="515B00B9">
            <w:pPr>
              <w:pStyle w:val="6"/>
              <w:spacing w:before="116" w:line="228" w:lineRule="auto"/>
              <w:ind w:left="419"/>
              <w:rPr>
                <w:sz w:val="22"/>
                <w:szCs w:val="22"/>
              </w:rPr>
            </w:pPr>
            <w:r>
              <w:rPr>
                <w:spacing w:val="-2"/>
                <w:sz w:val="22"/>
                <w:szCs w:val="22"/>
              </w:rPr>
              <w:t>432.89</w:t>
            </w:r>
          </w:p>
        </w:tc>
      </w:tr>
      <w:tr w14:paraId="29DD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74" w:type="dxa"/>
            <w:vMerge w:val="continue"/>
            <w:tcBorders>
              <w:top w:val="nil"/>
            </w:tcBorders>
            <w:vAlign w:val="top"/>
          </w:tcPr>
          <w:p w14:paraId="3C55D783">
            <w:pPr>
              <w:rPr>
                <w:rFonts w:ascii="Arial"/>
                <w:sz w:val="21"/>
              </w:rPr>
            </w:pPr>
          </w:p>
        </w:tc>
        <w:tc>
          <w:tcPr>
            <w:tcW w:w="1868" w:type="dxa"/>
            <w:vAlign w:val="top"/>
          </w:tcPr>
          <w:p w14:paraId="0FFD24FA">
            <w:pPr>
              <w:pStyle w:val="6"/>
              <w:spacing w:before="96" w:line="219" w:lineRule="auto"/>
              <w:ind w:left="111"/>
              <w:rPr>
                <w:sz w:val="22"/>
                <w:szCs w:val="22"/>
              </w:rPr>
            </w:pPr>
            <w:r>
              <w:rPr>
                <w:spacing w:val="-2"/>
                <w:sz w:val="22"/>
                <w:szCs w:val="22"/>
              </w:rPr>
              <w:t>其中：增值税</w:t>
            </w:r>
          </w:p>
        </w:tc>
        <w:tc>
          <w:tcPr>
            <w:tcW w:w="1498" w:type="dxa"/>
            <w:vAlign w:val="top"/>
          </w:tcPr>
          <w:p w14:paraId="48CB7B9E">
            <w:pPr>
              <w:rPr>
                <w:rFonts w:ascii="Arial"/>
                <w:sz w:val="21"/>
              </w:rPr>
            </w:pPr>
          </w:p>
        </w:tc>
        <w:tc>
          <w:tcPr>
            <w:tcW w:w="1518" w:type="dxa"/>
            <w:vAlign w:val="top"/>
          </w:tcPr>
          <w:p w14:paraId="42235E59">
            <w:pPr>
              <w:rPr>
                <w:rFonts w:ascii="Arial"/>
                <w:sz w:val="21"/>
              </w:rPr>
            </w:pPr>
          </w:p>
        </w:tc>
        <w:tc>
          <w:tcPr>
            <w:tcW w:w="1518" w:type="dxa"/>
            <w:vAlign w:val="top"/>
          </w:tcPr>
          <w:p w14:paraId="7410851C">
            <w:pPr>
              <w:rPr>
                <w:rFonts w:ascii="Arial"/>
                <w:sz w:val="21"/>
              </w:rPr>
            </w:pPr>
          </w:p>
        </w:tc>
        <w:tc>
          <w:tcPr>
            <w:tcW w:w="1503" w:type="dxa"/>
            <w:vAlign w:val="top"/>
          </w:tcPr>
          <w:p w14:paraId="7CF1DA16">
            <w:pPr>
              <w:rPr>
                <w:rFonts w:ascii="Arial"/>
                <w:sz w:val="21"/>
              </w:rPr>
            </w:pPr>
          </w:p>
        </w:tc>
      </w:tr>
      <w:tr w14:paraId="29EF0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642" w:type="dxa"/>
            <w:gridSpan w:val="2"/>
            <w:vAlign w:val="top"/>
          </w:tcPr>
          <w:p w14:paraId="5538F418">
            <w:pPr>
              <w:pStyle w:val="6"/>
              <w:spacing w:before="99" w:line="221" w:lineRule="auto"/>
              <w:ind w:left="1115"/>
              <w:rPr>
                <w:sz w:val="22"/>
                <w:szCs w:val="22"/>
              </w:rPr>
            </w:pPr>
            <w:r>
              <w:rPr>
                <w:spacing w:val="-3"/>
                <w:sz w:val="22"/>
                <w:szCs w:val="22"/>
              </w:rPr>
              <w:t>合计</w:t>
            </w:r>
          </w:p>
        </w:tc>
        <w:tc>
          <w:tcPr>
            <w:tcW w:w="1498" w:type="dxa"/>
            <w:vAlign w:val="top"/>
          </w:tcPr>
          <w:p w14:paraId="75364987">
            <w:pPr>
              <w:pStyle w:val="6"/>
              <w:spacing w:before="95" w:line="216" w:lineRule="auto"/>
              <w:ind w:left="412"/>
              <w:rPr>
                <w:sz w:val="22"/>
                <w:szCs w:val="22"/>
              </w:rPr>
            </w:pPr>
            <w:r>
              <w:rPr>
                <w:spacing w:val="-2"/>
                <w:sz w:val="22"/>
                <w:szCs w:val="22"/>
              </w:rPr>
              <w:t>3,183.53</w:t>
            </w:r>
          </w:p>
        </w:tc>
        <w:tc>
          <w:tcPr>
            <w:tcW w:w="1518" w:type="dxa"/>
            <w:vAlign w:val="top"/>
          </w:tcPr>
          <w:p w14:paraId="34F7155D">
            <w:pPr>
              <w:pStyle w:val="6"/>
              <w:spacing w:before="95" w:line="216" w:lineRule="auto"/>
              <w:ind w:left="435"/>
              <w:rPr>
                <w:sz w:val="22"/>
                <w:szCs w:val="22"/>
              </w:rPr>
            </w:pPr>
            <w:r>
              <w:rPr>
                <w:spacing w:val="-4"/>
                <w:sz w:val="22"/>
                <w:szCs w:val="22"/>
              </w:rPr>
              <w:t>1,859.22</w:t>
            </w:r>
          </w:p>
        </w:tc>
        <w:tc>
          <w:tcPr>
            <w:tcW w:w="1518" w:type="dxa"/>
            <w:vAlign w:val="top"/>
          </w:tcPr>
          <w:p w14:paraId="3BDCD332">
            <w:pPr>
              <w:pStyle w:val="6"/>
              <w:spacing w:before="95" w:line="216" w:lineRule="auto"/>
              <w:ind w:left="316"/>
              <w:rPr>
                <w:sz w:val="22"/>
                <w:szCs w:val="22"/>
              </w:rPr>
            </w:pPr>
            <w:r>
              <w:rPr>
                <w:spacing w:val="-1"/>
                <w:sz w:val="22"/>
                <w:szCs w:val="22"/>
              </w:rPr>
              <w:t>4,788.45</w:t>
            </w:r>
          </w:p>
        </w:tc>
        <w:tc>
          <w:tcPr>
            <w:tcW w:w="1503" w:type="dxa"/>
            <w:vAlign w:val="top"/>
          </w:tcPr>
          <w:p w14:paraId="4B1C4403">
            <w:pPr>
              <w:pStyle w:val="6"/>
              <w:spacing w:before="95" w:line="216" w:lineRule="auto"/>
              <w:ind w:left="419"/>
              <w:rPr>
                <w:sz w:val="22"/>
                <w:szCs w:val="22"/>
              </w:rPr>
            </w:pPr>
            <w:r>
              <w:rPr>
                <w:spacing w:val="-2"/>
                <w:sz w:val="22"/>
                <w:szCs w:val="22"/>
              </w:rPr>
              <w:t>2,910.66</w:t>
            </w:r>
          </w:p>
        </w:tc>
      </w:tr>
    </w:tbl>
    <w:p w14:paraId="4BECF215">
      <w:pPr>
        <w:tabs>
          <w:tab w:val="left" w:pos="535"/>
        </w:tabs>
        <w:spacing w:before="107" w:line="381" w:lineRule="auto"/>
        <w:ind w:left="384" w:right="472" w:firstLine="510"/>
        <w:jc w:val="both"/>
        <w:rPr>
          <w:rFonts w:ascii="宋体" w:hAnsi="宋体" w:eastAsia="宋体" w:cs="宋体"/>
          <w:sz w:val="24"/>
          <w:szCs w:val="24"/>
        </w:rPr>
      </w:pPr>
      <w:r>
        <w:rPr>
          <w:rFonts w:ascii="宋体" w:hAnsi="宋体" w:eastAsia="宋体" w:cs="宋体"/>
          <w:spacing w:val="9"/>
          <w:sz w:val="24"/>
          <w:szCs w:val="24"/>
        </w:rPr>
        <w:t>采矿生产规模为333</w:t>
      </w:r>
      <w:r>
        <w:rPr>
          <w:rFonts w:ascii="Times New Roman" w:hAnsi="Times New Roman" w:eastAsia="Times New Roman" w:cs="Times New Roman"/>
          <w:spacing w:val="9"/>
          <w:sz w:val="24"/>
          <w:szCs w:val="24"/>
        </w:rPr>
        <w:t xml:space="preserve">t/d(10    </w:t>
      </w:r>
      <w:r>
        <w:rPr>
          <w:rFonts w:ascii="宋体" w:hAnsi="宋体" w:eastAsia="宋体" w:cs="宋体"/>
          <w:spacing w:val="9"/>
          <w:sz w:val="24"/>
          <w:szCs w:val="24"/>
        </w:rPr>
        <w:t>万吨/年),选厂生产规模400</w:t>
      </w:r>
      <w:r>
        <w:rPr>
          <w:rFonts w:ascii="Times New Roman" w:hAnsi="Times New Roman" w:eastAsia="Times New Roman" w:cs="Times New Roman"/>
          <w:spacing w:val="9"/>
          <w:sz w:val="24"/>
          <w:szCs w:val="24"/>
        </w:rPr>
        <w:t xml:space="preserve">t/d(12     </w:t>
      </w:r>
      <w:r>
        <w:rPr>
          <w:rFonts w:ascii="宋体" w:hAnsi="宋体" w:eastAsia="宋体" w:cs="宋体"/>
          <w:spacing w:val="9"/>
          <w:sz w:val="24"/>
          <w:szCs w:val="24"/>
        </w:rPr>
        <w:t>万吨/年)</w:t>
      </w:r>
      <w:r>
        <w:rPr>
          <w:rFonts w:ascii="宋体" w:hAnsi="宋体" w:eastAsia="宋体" w:cs="宋体"/>
          <w:spacing w:val="6"/>
          <w:sz w:val="24"/>
          <w:szCs w:val="24"/>
        </w:rPr>
        <w:t xml:space="preserve"> </w:t>
      </w:r>
      <w:r>
        <w:rPr>
          <w:rFonts w:ascii="宋体" w:hAnsi="宋体" w:eastAsia="宋体" w:cs="宋体"/>
          <w:sz w:val="24"/>
          <w:szCs w:val="24"/>
        </w:rPr>
        <w:tab/>
      </w:r>
      <w:r>
        <w:rPr>
          <w:rFonts w:ascii="宋体" w:hAnsi="宋体" w:eastAsia="宋体" w:cs="宋体"/>
          <w:spacing w:val="2"/>
          <w:sz w:val="24"/>
          <w:szCs w:val="24"/>
        </w:rPr>
        <w:t>(详见附件十：</w:t>
      </w:r>
      <w:r>
        <w:rPr>
          <w:rFonts w:ascii="Times New Roman" w:hAnsi="Times New Roman" w:eastAsia="Times New Roman" w:cs="Times New Roman"/>
          <w:spacing w:val="2"/>
          <w:sz w:val="24"/>
          <w:szCs w:val="24"/>
        </w:rPr>
        <w:t xml:space="preserve">P59),     </w:t>
      </w:r>
      <w:r>
        <w:rPr>
          <w:rFonts w:ascii="宋体" w:hAnsi="宋体" w:eastAsia="宋体" w:cs="宋体"/>
          <w:spacing w:val="2"/>
          <w:sz w:val="24"/>
          <w:szCs w:val="24"/>
        </w:rPr>
        <w:t>依据《矿业权评估参数确定指导意见》,本次评估用生产</w:t>
      </w:r>
      <w:r>
        <w:rPr>
          <w:rFonts w:ascii="宋体" w:hAnsi="宋体" w:eastAsia="宋体" w:cs="宋体"/>
          <w:spacing w:val="16"/>
          <w:sz w:val="24"/>
          <w:szCs w:val="24"/>
        </w:rPr>
        <w:t xml:space="preserve"> </w:t>
      </w:r>
      <w:r>
        <w:rPr>
          <w:rFonts w:ascii="宋体" w:hAnsi="宋体" w:eastAsia="宋体" w:cs="宋体"/>
          <w:spacing w:val="-2"/>
          <w:sz w:val="24"/>
          <w:szCs w:val="24"/>
        </w:rPr>
        <w:t>规模指数法确定选厂固定资产投资。其计算公式如下：</w:t>
      </w:r>
    </w:p>
    <w:p w14:paraId="10320C1B">
      <w:pPr>
        <w:spacing w:before="66" w:line="192" w:lineRule="auto"/>
        <w:ind w:left="1645"/>
        <w:rPr>
          <w:rFonts w:ascii="Times New Roman" w:hAnsi="Times New Roman" w:eastAsia="Times New Roman" w:cs="Times New Roman"/>
          <w:sz w:val="30"/>
          <w:szCs w:val="30"/>
        </w:rPr>
      </w:pPr>
      <w:r>
        <w:rPr>
          <w:rFonts w:ascii="Times New Roman" w:hAnsi="Times New Roman" w:eastAsia="Times New Roman" w:cs="Times New Roman"/>
          <w:spacing w:val="-1"/>
          <w:sz w:val="30"/>
          <w:szCs w:val="30"/>
        </w:rPr>
        <w:t>I=I₀×(S₁×S₀)n×η1×η2</w:t>
      </w:r>
    </w:p>
    <w:p w14:paraId="6EBBD571">
      <w:pPr>
        <w:spacing w:before="257" w:line="218" w:lineRule="auto"/>
        <w:ind w:left="895"/>
        <w:rPr>
          <w:rFonts w:ascii="宋体" w:hAnsi="宋体" w:eastAsia="宋体" w:cs="宋体"/>
          <w:sz w:val="24"/>
          <w:szCs w:val="24"/>
        </w:rPr>
      </w:pPr>
      <w:r>
        <w:rPr>
          <w:rFonts w:ascii="宋体" w:hAnsi="宋体" w:eastAsia="宋体" w:cs="宋体"/>
          <w:spacing w:val="-2"/>
          <w:sz w:val="24"/>
          <w:szCs w:val="24"/>
        </w:rPr>
        <w:t>式中：</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58"/>
          <w:w w:val="101"/>
          <w:sz w:val="24"/>
          <w:szCs w:val="24"/>
        </w:rPr>
        <w:t xml:space="preserve"> </w:t>
      </w:r>
      <w:r>
        <w:rPr>
          <w:rFonts w:ascii="宋体" w:hAnsi="宋体" w:eastAsia="宋体" w:cs="宋体"/>
          <w:spacing w:val="-2"/>
          <w:sz w:val="24"/>
          <w:szCs w:val="24"/>
        </w:rPr>
        <w:t>评估对象矿山估算固定资产投资；</w:t>
      </w:r>
    </w:p>
    <w:p w14:paraId="756A71EC">
      <w:pPr>
        <w:spacing w:before="188" w:line="219" w:lineRule="auto"/>
        <w:ind w:left="1645"/>
        <w:rPr>
          <w:rFonts w:ascii="宋体" w:hAnsi="宋体" w:eastAsia="宋体" w:cs="宋体"/>
          <w:sz w:val="24"/>
          <w:szCs w:val="24"/>
        </w:rPr>
      </w:pPr>
      <w:r>
        <w:rPr>
          <w:rFonts w:ascii="Times New Roman" w:hAnsi="Times New Roman" w:eastAsia="Times New Roman" w:cs="Times New Roman"/>
          <w:spacing w:val="-1"/>
          <w:sz w:val="24"/>
          <w:szCs w:val="24"/>
        </w:rPr>
        <w:t>Ia—</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参照矿山单位生产能力投资；</w:t>
      </w:r>
    </w:p>
    <w:p w14:paraId="77BEA522">
      <w:pPr>
        <w:spacing w:before="243" w:line="218" w:lineRule="auto"/>
        <w:ind w:left="1645"/>
        <w:rPr>
          <w:rFonts w:ascii="宋体" w:hAnsi="宋体" w:eastAsia="宋体" w:cs="宋体"/>
          <w:sz w:val="24"/>
          <w:szCs w:val="24"/>
        </w:rPr>
      </w:pPr>
      <w:r>
        <w:rPr>
          <w:rFonts w:ascii="Times New Roman" w:hAnsi="Times New Roman" w:eastAsia="Times New Roman" w:cs="Times New Roman"/>
          <w:spacing w:val="-1"/>
          <w:sz w:val="24"/>
          <w:szCs w:val="24"/>
        </w:rPr>
        <w:t>A—</w:t>
      </w:r>
      <w:r>
        <w:rPr>
          <w:rFonts w:ascii="宋体" w:hAnsi="宋体" w:eastAsia="宋体" w:cs="宋体"/>
          <w:spacing w:val="-1"/>
          <w:sz w:val="24"/>
          <w:szCs w:val="24"/>
        </w:rPr>
        <w:t>评估对象矿山的生产能力；</w:t>
      </w:r>
    </w:p>
    <w:p w14:paraId="152B42F6">
      <w:pPr>
        <w:spacing w:before="226" w:line="218" w:lineRule="auto"/>
        <w:ind w:left="1645"/>
        <w:rPr>
          <w:rFonts w:ascii="宋体" w:hAnsi="宋体" w:eastAsia="宋体" w:cs="宋体"/>
          <w:sz w:val="24"/>
          <w:szCs w:val="24"/>
        </w:rPr>
      </w:pPr>
      <w:r>
        <w:rPr>
          <w:rFonts w:ascii="Times New Roman" w:hAnsi="Times New Roman" w:eastAsia="Times New Roman" w:cs="Times New Roman"/>
          <w:sz w:val="24"/>
          <w:szCs w:val="24"/>
        </w:rPr>
        <w:t>n₁—</w:t>
      </w:r>
      <w:r>
        <w:rPr>
          <w:rFonts w:ascii="宋体" w:hAnsi="宋体" w:eastAsia="宋体" w:cs="宋体"/>
          <w:sz w:val="24"/>
          <w:szCs w:val="24"/>
        </w:rPr>
        <w:t>评估对象矿山相对参照矿山时间差异调</w:t>
      </w:r>
      <w:r>
        <w:rPr>
          <w:rFonts w:ascii="宋体" w:hAnsi="宋体" w:eastAsia="宋体" w:cs="宋体"/>
          <w:spacing w:val="-1"/>
          <w:sz w:val="24"/>
          <w:szCs w:val="24"/>
        </w:rPr>
        <w:t>整系数；</w:t>
      </w:r>
    </w:p>
    <w:p w14:paraId="43EF680C">
      <w:pPr>
        <w:spacing w:before="207" w:line="218" w:lineRule="auto"/>
        <w:ind w:left="1645"/>
        <w:rPr>
          <w:rFonts w:ascii="宋体" w:hAnsi="宋体" w:eastAsia="宋体" w:cs="宋体"/>
          <w:sz w:val="24"/>
          <w:szCs w:val="24"/>
        </w:rPr>
      </w:pPr>
      <w:r>
        <w:rPr>
          <w:rFonts w:ascii="宋体" w:hAnsi="宋体" w:eastAsia="宋体" w:cs="宋体"/>
          <w:spacing w:val="-6"/>
          <w:sz w:val="24"/>
          <w:szCs w:val="24"/>
        </w:rPr>
        <w:t>η2—评估对象矿山相对参照矿山地域差异调整系数。</w:t>
      </w:r>
    </w:p>
    <w:p w14:paraId="433F5DE2">
      <w:pPr>
        <w:spacing w:before="209" w:line="219" w:lineRule="auto"/>
        <w:ind w:left="1645"/>
        <w:rPr>
          <w:rFonts w:ascii="宋体" w:hAnsi="宋体" w:eastAsia="宋体" w:cs="宋体"/>
          <w:sz w:val="24"/>
          <w:szCs w:val="24"/>
        </w:rPr>
      </w:pPr>
      <w:r>
        <w:rPr>
          <w:rFonts w:ascii="Times New Roman" w:hAnsi="Times New Roman" w:eastAsia="Times New Roman" w:cs="Times New Roman"/>
          <w:spacing w:val="-2"/>
          <w:sz w:val="24"/>
          <w:szCs w:val="24"/>
        </w:rPr>
        <w:t>n—</w:t>
      </w:r>
      <w:r>
        <w:rPr>
          <w:rFonts w:ascii="宋体" w:hAnsi="宋体" w:eastAsia="宋体" w:cs="宋体"/>
          <w:spacing w:val="-2"/>
          <w:sz w:val="24"/>
          <w:szCs w:val="24"/>
        </w:rPr>
        <w:t>生产能力指数</w:t>
      </w:r>
    </w:p>
    <w:p w14:paraId="501867A7">
      <w:pPr>
        <w:spacing w:before="164" w:line="380" w:lineRule="auto"/>
        <w:ind w:left="384" w:right="485" w:firstLine="510"/>
        <w:jc w:val="both"/>
        <w:rPr>
          <w:rFonts w:ascii="宋体" w:hAnsi="宋体" w:eastAsia="宋体" w:cs="宋体"/>
          <w:sz w:val="24"/>
          <w:szCs w:val="24"/>
        </w:rPr>
      </w:pPr>
      <w:r>
        <w:rPr>
          <w:rFonts w:ascii="宋体" w:hAnsi="宋体" w:eastAsia="宋体" w:cs="宋体"/>
          <w:spacing w:val="3"/>
          <w:sz w:val="24"/>
          <w:szCs w:val="24"/>
        </w:rPr>
        <w:t>本次评估采矿系统固定资产投资不进行调整，选矿系</w:t>
      </w:r>
      <w:r>
        <w:rPr>
          <w:rFonts w:ascii="宋体" w:hAnsi="宋体" w:eastAsia="宋体" w:cs="宋体"/>
          <w:spacing w:val="2"/>
          <w:sz w:val="24"/>
          <w:szCs w:val="24"/>
        </w:rPr>
        <w:t>统生产规模12 万吨/年</w:t>
      </w:r>
      <w:r>
        <w:rPr>
          <w:rFonts w:ascii="宋体" w:hAnsi="宋体" w:eastAsia="宋体" w:cs="宋体"/>
          <w:sz w:val="24"/>
          <w:szCs w:val="24"/>
        </w:rPr>
        <w:t xml:space="preserve"> </w:t>
      </w:r>
      <w:r>
        <w:rPr>
          <w:rFonts w:ascii="宋体" w:hAnsi="宋体" w:eastAsia="宋体" w:cs="宋体"/>
          <w:spacing w:val="9"/>
          <w:sz w:val="24"/>
          <w:szCs w:val="24"/>
        </w:rPr>
        <w:t>按照与采矿系统投资10万吨/年生产规模进行调整，生产能力比例为0.83,</w:t>
      </w:r>
      <w:r>
        <w:rPr>
          <w:rFonts w:ascii="Times New Roman" w:hAnsi="Times New Roman" w:eastAsia="Times New Roman" w:cs="Times New Roman"/>
          <w:spacing w:val="9"/>
          <w:sz w:val="24"/>
          <w:szCs w:val="24"/>
        </w:rPr>
        <w:t>n</w:t>
      </w:r>
      <w:r>
        <w:rPr>
          <w:rFonts w:ascii="Times New Roman" w:hAnsi="Times New Roman" w:eastAsia="Times New Roman" w:cs="Times New Roman"/>
          <w:spacing w:val="34"/>
          <w:w w:val="101"/>
          <w:sz w:val="24"/>
          <w:szCs w:val="24"/>
        </w:rPr>
        <w:t xml:space="preserve"> </w:t>
      </w:r>
      <w:r>
        <w:rPr>
          <w:rFonts w:ascii="宋体" w:hAnsi="宋体" w:eastAsia="宋体" w:cs="宋体"/>
          <w:spacing w:val="9"/>
          <w:sz w:val="24"/>
          <w:szCs w:val="24"/>
        </w:rPr>
        <w:t>取</w:t>
      </w:r>
      <w:r>
        <w:rPr>
          <w:rFonts w:ascii="宋体" w:hAnsi="宋体" w:eastAsia="宋体" w:cs="宋体"/>
          <w:sz w:val="24"/>
          <w:szCs w:val="24"/>
        </w:rPr>
        <w:t xml:space="preserve"> </w:t>
      </w:r>
      <w:r>
        <w:rPr>
          <w:rFonts w:ascii="仿宋" w:hAnsi="仿宋" w:eastAsia="仿宋" w:cs="仿宋"/>
          <w:spacing w:val="4"/>
          <w:sz w:val="24"/>
          <w:szCs w:val="24"/>
        </w:rPr>
        <w:t>值 1 ;</w:t>
      </w:r>
      <w:r>
        <w:rPr>
          <w:rFonts w:ascii="仿宋" w:hAnsi="仿宋" w:eastAsia="仿宋" w:cs="仿宋"/>
          <w:spacing w:val="-59"/>
          <w:sz w:val="24"/>
          <w:szCs w:val="24"/>
        </w:rPr>
        <w:t xml:space="preserve"> </w:t>
      </w:r>
      <w:r>
        <w:rPr>
          <w:rFonts w:ascii="宋体" w:hAnsi="宋体" w:eastAsia="宋体" w:cs="宋体"/>
          <w:spacing w:val="4"/>
          <w:sz w:val="24"/>
          <w:szCs w:val="24"/>
        </w:rPr>
        <w:t>评估对象矿山与参照矿山为同一矿山，</w:t>
      </w:r>
      <w:r>
        <w:rPr>
          <w:rFonts w:ascii="Times New Roman" w:hAnsi="Times New Roman" w:eastAsia="Times New Roman" w:cs="Times New Roman"/>
          <w:spacing w:val="4"/>
          <w:sz w:val="24"/>
          <w:szCs w:val="24"/>
        </w:rPr>
        <w:t>n₂</w:t>
      </w:r>
      <w:r>
        <w:rPr>
          <w:rFonts w:ascii="Times New Roman" w:hAnsi="Times New Roman" w:eastAsia="Times New Roman" w:cs="Times New Roman"/>
          <w:spacing w:val="30"/>
          <w:sz w:val="24"/>
          <w:szCs w:val="24"/>
        </w:rPr>
        <w:t xml:space="preserve"> </w:t>
      </w:r>
      <w:r>
        <w:rPr>
          <w:rFonts w:ascii="宋体" w:hAnsi="宋体" w:eastAsia="宋体" w:cs="宋体"/>
          <w:spacing w:val="4"/>
          <w:sz w:val="24"/>
          <w:szCs w:val="24"/>
        </w:rPr>
        <w:t>取</w:t>
      </w:r>
      <w:r>
        <w:rPr>
          <w:rFonts w:ascii="宋体" w:hAnsi="宋体" w:eastAsia="宋体" w:cs="宋体"/>
          <w:spacing w:val="3"/>
          <w:sz w:val="24"/>
          <w:szCs w:val="24"/>
        </w:rPr>
        <w:t xml:space="preserve">值为1;时间不调整， </w:t>
      </w:r>
      <w:r>
        <w:rPr>
          <w:rFonts w:ascii="Times New Roman" w:hAnsi="Times New Roman" w:eastAsia="Times New Roman" w:cs="Times New Roman"/>
          <w:spacing w:val="3"/>
          <w:sz w:val="24"/>
          <w:szCs w:val="24"/>
        </w:rPr>
        <w:t>n1</w:t>
      </w:r>
      <w:r>
        <w:rPr>
          <w:rFonts w:ascii="宋体" w:hAnsi="宋体" w:eastAsia="宋体" w:cs="宋体"/>
          <w:spacing w:val="3"/>
          <w:sz w:val="24"/>
          <w:szCs w:val="24"/>
        </w:rPr>
        <w:t>取值</w:t>
      </w:r>
      <w:r>
        <w:rPr>
          <w:rFonts w:ascii="宋体" w:hAnsi="宋体" w:eastAsia="宋体" w:cs="宋体"/>
          <w:sz w:val="24"/>
          <w:szCs w:val="24"/>
        </w:rPr>
        <w:t xml:space="preserve"> </w:t>
      </w:r>
      <w:r>
        <w:rPr>
          <w:rFonts w:ascii="宋体" w:hAnsi="宋体" w:eastAsia="宋体" w:cs="宋体"/>
          <w:spacing w:val="3"/>
          <w:sz w:val="24"/>
          <w:szCs w:val="24"/>
        </w:rPr>
        <w:t>为1。经计算，调整后，已形成固定资产详见下表：10-10。</w:t>
      </w:r>
    </w:p>
    <w:p w14:paraId="65DFB9DE">
      <w:pPr>
        <w:spacing w:before="13" w:line="218" w:lineRule="auto"/>
        <w:ind w:left="2774"/>
        <w:rPr>
          <w:rFonts w:ascii="宋体" w:hAnsi="宋体" w:eastAsia="宋体" w:cs="宋体"/>
          <w:sz w:val="24"/>
          <w:szCs w:val="24"/>
        </w:rPr>
      </w:pPr>
      <w:r>
        <w:rPr>
          <w:rFonts w:ascii="宋体" w:hAnsi="宋体" w:eastAsia="宋体" w:cs="宋体"/>
          <w:spacing w:val="8"/>
          <w:sz w:val="24"/>
          <w:szCs w:val="24"/>
        </w:rPr>
        <w:t>表10-10本次评估利用已形成的固定资产</w:t>
      </w:r>
    </w:p>
    <w:p w14:paraId="3C77F573">
      <w:pPr>
        <w:spacing w:line="94" w:lineRule="exact"/>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207"/>
        <w:gridCol w:w="1119"/>
        <w:gridCol w:w="1139"/>
        <w:gridCol w:w="1139"/>
        <w:gridCol w:w="1129"/>
        <w:gridCol w:w="1059"/>
        <w:gridCol w:w="1054"/>
      </w:tblGrid>
      <w:tr w14:paraId="3EF62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544" w:type="dxa"/>
            <w:vMerge w:val="restart"/>
            <w:tcBorders>
              <w:bottom w:val="nil"/>
            </w:tcBorders>
            <w:textDirection w:val="tbRlV"/>
            <w:vAlign w:val="top"/>
          </w:tcPr>
          <w:p w14:paraId="35A14B08">
            <w:pPr>
              <w:pStyle w:val="6"/>
              <w:spacing w:before="181" w:line="199" w:lineRule="auto"/>
              <w:ind w:left="354"/>
            </w:pPr>
            <w:r>
              <w:t>序</w:t>
            </w:r>
            <w:r>
              <w:rPr>
                <w:spacing w:val="71"/>
              </w:rPr>
              <w:t xml:space="preserve"> </w:t>
            </w:r>
            <w:r>
              <w:t>号</w:t>
            </w:r>
          </w:p>
        </w:tc>
        <w:tc>
          <w:tcPr>
            <w:tcW w:w="2207" w:type="dxa"/>
            <w:vMerge w:val="restart"/>
            <w:tcBorders>
              <w:bottom w:val="nil"/>
            </w:tcBorders>
            <w:vAlign w:val="top"/>
          </w:tcPr>
          <w:p w14:paraId="7F2204F7">
            <w:pPr>
              <w:spacing w:line="246" w:lineRule="auto"/>
              <w:rPr>
                <w:rFonts w:ascii="Arial"/>
                <w:sz w:val="21"/>
              </w:rPr>
            </w:pPr>
          </w:p>
          <w:p w14:paraId="3E2FF177">
            <w:pPr>
              <w:spacing w:line="246" w:lineRule="auto"/>
              <w:rPr>
                <w:rFonts w:ascii="Arial"/>
                <w:sz w:val="21"/>
              </w:rPr>
            </w:pPr>
          </w:p>
          <w:p w14:paraId="78D1C7BC">
            <w:pPr>
              <w:pStyle w:val="6"/>
              <w:spacing w:before="68" w:line="219" w:lineRule="auto"/>
              <w:ind w:left="460"/>
            </w:pPr>
            <w:r>
              <w:rPr>
                <w:spacing w:val="2"/>
              </w:rPr>
              <w:t>固定资产类别</w:t>
            </w:r>
          </w:p>
        </w:tc>
        <w:tc>
          <w:tcPr>
            <w:tcW w:w="2258" w:type="dxa"/>
            <w:gridSpan w:val="2"/>
            <w:vAlign w:val="top"/>
          </w:tcPr>
          <w:p w14:paraId="4FD617B3">
            <w:pPr>
              <w:pStyle w:val="6"/>
              <w:spacing w:before="204" w:line="283" w:lineRule="auto"/>
              <w:ind w:left="493" w:right="224" w:hanging="270"/>
            </w:pPr>
            <w:r>
              <w:rPr>
                <w:spacing w:val="1"/>
              </w:rPr>
              <w:t>已形成固定资产(矿</w:t>
            </w:r>
            <w:r>
              <w:rPr>
                <w:spacing w:val="4"/>
              </w:rPr>
              <w:t xml:space="preserve"> </w:t>
            </w:r>
            <w:r>
              <w:rPr>
                <w:spacing w:val="1"/>
              </w:rPr>
              <w:t>山)10万吨/年</w:t>
            </w:r>
          </w:p>
        </w:tc>
        <w:tc>
          <w:tcPr>
            <w:tcW w:w="2268" w:type="dxa"/>
            <w:gridSpan w:val="2"/>
            <w:vAlign w:val="top"/>
          </w:tcPr>
          <w:p w14:paraId="12F4E61C">
            <w:pPr>
              <w:pStyle w:val="6"/>
              <w:spacing w:before="43" w:line="219" w:lineRule="auto"/>
              <w:ind w:left="236"/>
            </w:pPr>
            <w:r>
              <w:t>已形成固定资产(选</w:t>
            </w:r>
          </w:p>
          <w:p w14:paraId="6E531D6C">
            <w:pPr>
              <w:pStyle w:val="6"/>
              <w:spacing w:before="80" w:line="219" w:lineRule="auto"/>
              <w:ind w:left="186"/>
            </w:pPr>
            <w:r>
              <w:rPr>
                <w:spacing w:val="-1"/>
              </w:rPr>
              <w:t>矿)12万吨/年调整为</w:t>
            </w:r>
          </w:p>
          <w:p w14:paraId="3255352B">
            <w:pPr>
              <w:pStyle w:val="6"/>
              <w:spacing w:before="60" w:line="219" w:lineRule="auto"/>
              <w:ind w:left="655"/>
            </w:pPr>
            <w:r>
              <w:t>10万吨/年</w:t>
            </w:r>
          </w:p>
        </w:tc>
        <w:tc>
          <w:tcPr>
            <w:tcW w:w="2113" w:type="dxa"/>
            <w:gridSpan w:val="2"/>
            <w:vAlign w:val="top"/>
          </w:tcPr>
          <w:p w14:paraId="01AE29B2">
            <w:pPr>
              <w:spacing w:line="304" w:lineRule="auto"/>
              <w:rPr>
                <w:rFonts w:ascii="Arial"/>
                <w:sz w:val="21"/>
              </w:rPr>
            </w:pPr>
          </w:p>
          <w:p w14:paraId="58F23B65">
            <w:pPr>
              <w:pStyle w:val="6"/>
              <w:spacing w:before="68" w:line="221" w:lineRule="auto"/>
              <w:ind w:left="837"/>
            </w:pPr>
            <w:r>
              <w:rPr>
                <w:spacing w:val="-3"/>
              </w:rPr>
              <w:t>合计</w:t>
            </w:r>
          </w:p>
        </w:tc>
      </w:tr>
      <w:tr w14:paraId="1DBE2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44" w:type="dxa"/>
            <w:vMerge w:val="continue"/>
            <w:tcBorders>
              <w:top w:val="nil"/>
            </w:tcBorders>
            <w:textDirection w:val="tbRlV"/>
            <w:vAlign w:val="top"/>
          </w:tcPr>
          <w:p w14:paraId="161168C5">
            <w:pPr>
              <w:rPr>
                <w:rFonts w:ascii="Arial"/>
                <w:sz w:val="21"/>
              </w:rPr>
            </w:pPr>
          </w:p>
        </w:tc>
        <w:tc>
          <w:tcPr>
            <w:tcW w:w="2207" w:type="dxa"/>
            <w:vMerge w:val="continue"/>
            <w:tcBorders>
              <w:top w:val="nil"/>
            </w:tcBorders>
            <w:vAlign w:val="top"/>
          </w:tcPr>
          <w:p w14:paraId="2EF390E7">
            <w:pPr>
              <w:rPr>
                <w:rFonts w:ascii="Arial"/>
                <w:sz w:val="21"/>
              </w:rPr>
            </w:pPr>
          </w:p>
        </w:tc>
        <w:tc>
          <w:tcPr>
            <w:tcW w:w="1119" w:type="dxa"/>
            <w:vAlign w:val="top"/>
          </w:tcPr>
          <w:p w14:paraId="04AC7849">
            <w:pPr>
              <w:pStyle w:val="6"/>
              <w:spacing w:before="81" w:line="219" w:lineRule="auto"/>
              <w:ind w:left="333"/>
            </w:pPr>
            <w:r>
              <w:rPr>
                <w:spacing w:val="4"/>
              </w:rPr>
              <w:t>原值</w:t>
            </w:r>
          </w:p>
        </w:tc>
        <w:tc>
          <w:tcPr>
            <w:tcW w:w="1139" w:type="dxa"/>
            <w:vAlign w:val="top"/>
          </w:tcPr>
          <w:p w14:paraId="38571801">
            <w:pPr>
              <w:pStyle w:val="6"/>
              <w:spacing w:before="81" w:line="219" w:lineRule="auto"/>
              <w:ind w:left="505"/>
            </w:pPr>
            <w:r>
              <w:rPr>
                <w:spacing w:val="-3"/>
              </w:rPr>
              <w:t>净值</w:t>
            </w:r>
          </w:p>
        </w:tc>
        <w:tc>
          <w:tcPr>
            <w:tcW w:w="1139" w:type="dxa"/>
            <w:vAlign w:val="top"/>
          </w:tcPr>
          <w:p w14:paraId="53AC7B66">
            <w:pPr>
              <w:pStyle w:val="6"/>
              <w:spacing w:before="81" w:line="219" w:lineRule="auto"/>
              <w:ind w:left="355"/>
            </w:pPr>
            <w:r>
              <w:rPr>
                <w:spacing w:val="4"/>
              </w:rPr>
              <w:t>原值</w:t>
            </w:r>
          </w:p>
        </w:tc>
        <w:tc>
          <w:tcPr>
            <w:tcW w:w="1129" w:type="dxa"/>
            <w:vAlign w:val="top"/>
          </w:tcPr>
          <w:p w14:paraId="54341272">
            <w:pPr>
              <w:pStyle w:val="6"/>
              <w:spacing w:before="81" w:line="219" w:lineRule="auto"/>
              <w:ind w:left="347"/>
            </w:pPr>
            <w:r>
              <w:rPr>
                <w:spacing w:val="-3"/>
              </w:rPr>
              <w:t>净值</w:t>
            </w:r>
          </w:p>
        </w:tc>
        <w:tc>
          <w:tcPr>
            <w:tcW w:w="1059" w:type="dxa"/>
            <w:vAlign w:val="top"/>
          </w:tcPr>
          <w:p w14:paraId="40C1D0D1">
            <w:pPr>
              <w:pStyle w:val="6"/>
              <w:spacing w:before="81" w:line="219" w:lineRule="auto"/>
              <w:ind w:left="298"/>
            </w:pPr>
            <w:r>
              <w:rPr>
                <w:spacing w:val="4"/>
              </w:rPr>
              <w:t>原值</w:t>
            </w:r>
          </w:p>
        </w:tc>
        <w:tc>
          <w:tcPr>
            <w:tcW w:w="1054" w:type="dxa"/>
            <w:vAlign w:val="top"/>
          </w:tcPr>
          <w:p w14:paraId="51986BC5">
            <w:pPr>
              <w:pStyle w:val="6"/>
              <w:spacing w:before="81" w:line="219" w:lineRule="auto"/>
              <w:ind w:left="308"/>
            </w:pPr>
            <w:r>
              <w:rPr>
                <w:spacing w:val="-3"/>
              </w:rPr>
              <w:t>净值</w:t>
            </w:r>
          </w:p>
        </w:tc>
      </w:tr>
      <w:tr w14:paraId="672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44" w:type="dxa"/>
            <w:vAlign w:val="top"/>
          </w:tcPr>
          <w:p w14:paraId="1188977A">
            <w:pPr>
              <w:pStyle w:val="6"/>
              <w:spacing w:before="104" w:line="224" w:lineRule="auto"/>
              <w:ind w:left="205"/>
            </w:pPr>
            <w:r>
              <w:t>1</w:t>
            </w:r>
          </w:p>
        </w:tc>
        <w:tc>
          <w:tcPr>
            <w:tcW w:w="2207" w:type="dxa"/>
            <w:vAlign w:val="top"/>
          </w:tcPr>
          <w:p w14:paraId="5B5388AF">
            <w:pPr>
              <w:pStyle w:val="6"/>
              <w:spacing w:before="83" w:line="220" w:lineRule="auto"/>
              <w:ind w:left="670"/>
            </w:pPr>
            <w:r>
              <w:rPr>
                <w:spacing w:val="-2"/>
              </w:rPr>
              <w:t>井巷工程</w:t>
            </w:r>
          </w:p>
        </w:tc>
        <w:tc>
          <w:tcPr>
            <w:tcW w:w="1119" w:type="dxa"/>
            <w:vAlign w:val="top"/>
          </w:tcPr>
          <w:p w14:paraId="1A0B92B0">
            <w:pPr>
              <w:pStyle w:val="6"/>
              <w:spacing w:before="104" w:line="224" w:lineRule="auto"/>
              <w:ind w:left="364"/>
            </w:pPr>
            <w:r>
              <w:rPr>
                <w:spacing w:val="-2"/>
              </w:rPr>
              <w:t>939.95</w:t>
            </w:r>
          </w:p>
        </w:tc>
        <w:tc>
          <w:tcPr>
            <w:tcW w:w="1139" w:type="dxa"/>
            <w:vAlign w:val="top"/>
          </w:tcPr>
          <w:p w14:paraId="5FBF8910">
            <w:pPr>
              <w:pStyle w:val="6"/>
              <w:spacing w:before="104" w:line="224" w:lineRule="auto"/>
              <w:ind w:left="294"/>
            </w:pPr>
            <w:r>
              <w:rPr>
                <w:spacing w:val="-2"/>
              </w:rPr>
              <w:t>710.00</w:t>
            </w:r>
          </w:p>
        </w:tc>
        <w:tc>
          <w:tcPr>
            <w:tcW w:w="1139" w:type="dxa"/>
            <w:vAlign w:val="top"/>
          </w:tcPr>
          <w:p w14:paraId="2EB2C1E5">
            <w:pPr>
              <w:rPr>
                <w:rFonts w:ascii="Arial"/>
                <w:sz w:val="21"/>
              </w:rPr>
            </w:pPr>
          </w:p>
        </w:tc>
        <w:tc>
          <w:tcPr>
            <w:tcW w:w="1129" w:type="dxa"/>
            <w:vAlign w:val="top"/>
          </w:tcPr>
          <w:p w14:paraId="5FCE24B0">
            <w:pPr>
              <w:rPr>
                <w:rFonts w:ascii="Arial"/>
                <w:sz w:val="21"/>
              </w:rPr>
            </w:pPr>
          </w:p>
        </w:tc>
        <w:tc>
          <w:tcPr>
            <w:tcW w:w="1059" w:type="dxa"/>
            <w:vAlign w:val="top"/>
          </w:tcPr>
          <w:p w14:paraId="2D2899E1">
            <w:pPr>
              <w:pStyle w:val="6"/>
              <w:spacing w:before="104" w:line="224" w:lineRule="auto"/>
              <w:ind w:left="338"/>
            </w:pPr>
            <w:r>
              <w:rPr>
                <w:spacing w:val="-2"/>
              </w:rPr>
              <w:t>939.95</w:t>
            </w:r>
          </w:p>
        </w:tc>
        <w:tc>
          <w:tcPr>
            <w:tcW w:w="1054" w:type="dxa"/>
            <w:vAlign w:val="top"/>
          </w:tcPr>
          <w:p w14:paraId="642AA692">
            <w:pPr>
              <w:pStyle w:val="6"/>
              <w:spacing w:before="104" w:line="224" w:lineRule="auto"/>
              <w:ind w:left="209"/>
            </w:pPr>
            <w:r>
              <w:rPr>
                <w:spacing w:val="-2"/>
              </w:rPr>
              <w:t>710.00</w:t>
            </w:r>
          </w:p>
        </w:tc>
      </w:tr>
      <w:tr w14:paraId="59A16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44" w:type="dxa"/>
            <w:vAlign w:val="top"/>
          </w:tcPr>
          <w:p w14:paraId="302C1043">
            <w:pPr>
              <w:pStyle w:val="6"/>
              <w:spacing w:before="104" w:line="215" w:lineRule="auto"/>
              <w:ind w:left="205"/>
            </w:pPr>
            <w:r>
              <w:t>2</w:t>
            </w:r>
          </w:p>
        </w:tc>
        <w:tc>
          <w:tcPr>
            <w:tcW w:w="2207" w:type="dxa"/>
            <w:vAlign w:val="top"/>
          </w:tcPr>
          <w:p w14:paraId="39C25F36">
            <w:pPr>
              <w:pStyle w:val="6"/>
              <w:spacing w:before="84" w:line="220" w:lineRule="auto"/>
              <w:ind w:left="571"/>
            </w:pPr>
            <w:r>
              <w:rPr>
                <w:spacing w:val="-2"/>
              </w:rPr>
              <w:t>房屋建筑物</w:t>
            </w:r>
          </w:p>
        </w:tc>
        <w:tc>
          <w:tcPr>
            <w:tcW w:w="1119" w:type="dxa"/>
            <w:vAlign w:val="top"/>
          </w:tcPr>
          <w:p w14:paraId="58DD4187">
            <w:pPr>
              <w:pStyle w:val="6"/>
              <w:spacing w:before="80" w:line="216" w:lineRule="auto"/>
              <w:ind w:left="154"/>
            </w:pPr>
            <w:r>
              <w:rPr>
                <w:spacing w:val="-3"/>
              </w:rPr>
              <w:t>1,019.90</w:t>
            </w:r>
          </w:p>
        </w:tc>
        <w:tc>
          <w:tcPr>
            <w:tcW w:w="1139" w:type="dxa"/>
            <w:vAlign w:val="top"/>
          </w:tcPr>
          <w:p w14:paraId="200F0D9F">
            <w:pPr>
              <w:pStyle w:val="6"/>
              <w:spacing w:before="104" w:line="215" w:lineRule="auto"/>
              <w:ind w:left="294"/>
            </w:pPr>
            <w:r>
              <w:rPr>
                <w:spacing w:val="-2"/>
              </w:rPr>
              <w:t>815.92</w:t>
            </w:r>
          </w:p>
        </w:tc>
        <w:tc>
          <w:tcPr>
            <w:tcW w:w="1139" w:type="dxa"/>
            <w:vAlign w:val="top"/>
          </w:tcPr>
          <w:p w14:paraId="2F724623">
            <w:pPr>
              <w:pStyle w:val="6"/>
              <w:spacing w:before="80" w:line="216" w:lineRule="auto"/>
              <w:ind w:left="256"/>
            </w:pPr>
            <w:r>
              <w:rPr>
                <w:spacing w:val="-3"/>
              </w:rPr>
              <w:t>1,062.20</w:t>
            </w:r>
          </w:p>
        </w:tc>
        <w:tc>
          <w:tcPr>
            <w:tcW w:w="1129" w:type="dxa"/>
            <w:vAlign w:val="top"/>
          </w:tcPr>
          <w:p w14:paraId="218AA8A9">
            <w:pPr>
              <w:pStyle w:val="6"/>
              <w:spacing w:before="104" w:line="215" w:lineRule="auto"/>
              <w:ind w:left="247"/>
            </w:pPr>
            <w:r>
              <w:rPr>
                <w:spacing w:val="-2"/>
              </w:rPr>
              <w:t>380.43</w:t>
            </w:r>
          </w:p>
        </w:tc>
        <w:tc>
          <w:tcPr>
            <w:tcW w:w="1059" w:type="dxa"/>
            <w:vAlign w:val="top"/>
          </w:tcPr>
          <w:p w14:paraId="5991007A">
            <w:pPr>
              <w:pStyle w:val="6"/>
              <w:spacing w:before="80" w:line="216" w:lineRule="auto"/>
              <w:ind w:left="128"/>
            </w:pPr>
            <w:r>
              <w:rPr>
                <w:spacing w:val="-2"/>
              </w:rPr>
              <w:t>2,082.10</w:t>
            </w:r>
          </w:p>
        </w:tc>
        <w:tc>
          <w:tcPr>
            <w:tcW w:w="1054" w:type="dxa"/>
            <w:vAlign w:val="top"/>
          </w:tcPr>
          <w:p w14:paraId="49078CAA">
            <w:pPr>
              <w:pStyle w:val="6"/>
              <w:spacing w:before="80" w:line="216" w:lineRule="auto"/>
              <w:ind w:left="98"/>
            </w:pPr>
            <w:r>
              <w:rPr>
                <w:spacing w:val="-3"/>
              </w:rPr>
              <w:t>1,196.35</w:t>
            </w:r>
          </w:p>
        </w:tc>
      </w:tr>
      <w:tr w14:paraId="0EA1E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44" w:type="dxa"/>
            <w:vAlign w:val="top"/>
          </w:tcPr>
          <w:p w14:paraId="24CC1399">
            <w:pPr>
              <w:pStyle w:val="6"/>
              <w:spacing w:before="105" w:line="223" w:lineRule="auto"/>
              <w:ind w:left="205"/>
            </w:pPr>
            <w:r>
              <w:t>3</w:t>
            </w:r>
          </w:p>
        </w:tc>
        <w:tc>
          <w:tcPr>
            <w:tcW w:w="2207" w:type="dxa"/>
            <w:vAlign w:val="top"/>
          </w:tcPr>
          <w:p w14:paraId="58CF2A2E">
            <w:pPr>
              <w:pStyle w:val="6"/>
              <w:spacing w:before="84" w:line="219" w:lineRule="auto"/>
              <w:ind w:left="781"/>
            </w:pPr>
            <w:r>
              <w:rPr>
                <w:spacing w:val="4"/>
              </w:rPr>
              <w:t>尾矿库</w:t>
            </w:r>
          </w:p>
        </w:tc>
        <w:tc>
          <w:tcPr>
            <w:tcW w:w="1119" w:type="dxa"/>
            <w:vAlign w:val="top"/>
          </w:tcPr>
          <w:p w14:paraId="2880E979">
            <w:pPr>
              <w:rPr>
                <w:rFonts w:ascii="Arial"/>
                <w:sz w:val="21"/>
              </w:rPr>
            </w:pPr>
          </w:p>
        </w:tc>
        <w:tc>
          <w:tcPr>
            <w:tcW w:w="1139" w:type="dxa"/>
            <w:vAlign w:val="top"/>
          </w:tcPr>
          <w:p w14:paraId="75105750">
            <w:pPr>
              <w:rPr>
                <w:rFonts w:ascii="Arial"/>
                <w:sz w:val="21"/>
              </w:rPr>
            </w:pPr>
          </w:p>
        </w:tc>
        <w:tc>
          <w:tcPr>
            <w:tcW w:w="1139" w:type="dxa"/>
            <w:vAlign w:val="top"/>
          </w:tcPr>
          <w:p w14:paraId="2BF80954">
            <w:pPr>
              <w:pStyle w:val="6"/>
              <w:spacing w:before="81" w:line="216" w:lineRule="auto"/>
              <w:ind w:left="145"/>
            </w:pPr>
            <w:r>
              <w:rPr>
                <w:spacing w:val="-2"/>
              </w:rPr>
              <w:t>2,383.61</w:t>
            </w:r>
          </w:p>
        </w:tc>
        <w:tc>
          <w:tcPr>
            <w:tcW w:w="1129" w:type="dxa"/>
            <w:vAlign w:val="top"/>
          </w:tcPr>
          <w:p w14:paraId="1057875D">
            <w:pPr>
              <w:pStyle w:val="6"/>
              <w:spacing w:before="81" w:line="216" w:lineRule="auto"/>
              <w:ind w:left="136"/>
            </w:pPr>
            <w:r>
              <w:rPr>
                <w:spacing w:val="-2"/>
              </w:rPr>
              <w:t>2,021.25</w:t>
            </w:r>
          </w:p>
        </w:tc>
        <w:tc>
          <w:tcPr>
            <w:tcW w:w="1059" w:type="dxa"/>
            <w:vAlign w:val="top"/>
          </w:tcPr>
          <w:p w14:paraId="0CF243F9">
            <w:pPr>
              <w:pStyle w:val="6"/>
              <w:spacing w:before="81" w:line="216" w:lineRule="auto"/>
              <w:ind w:left="128"/>
            </w:pPr>
            <w:r>
              <w:rPr>
                <w:spacing w:val="-2"/>
              </w:rPr>
              <w:t>2,383.61</w:t>
            </w:r>
          </w:p>
        </w:tc>
        <w:tc>
          <w:tcPr>
            <w:tcW w:w="1054" w:type="dxa"/>
            <w:vAlign w:val="top"/>
          </w:tcPr>
          <w:p w14:paraId="3D6475B8">
            <w:pPr>
              <w:pStyle w:val="6"/>
              <w:spacing w:before="81" w:line="216" w:lineRule="auto"/>
              <w:ind w:left="98"/>
            </w:pPr>
            <w:r>
              <w:rPr>
                <w:spacing w:val="-2"/>
              </w:rPr>
              <w:t>2,021.25</w:t>
            </w:r>
          </w:p>
        </w:tc>
      </w:tr>
      <w:tr w14:paraId="51899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544" w:type="dxa"/>
            <w:vAlign w:val="top"/>
          </w:tcPr>
          <w:p w14:paraId="43AE5077">
            <w:pPr>
              <w:pStyle w:val="6"/>
              <w:spacing w:before="116" w:line="221" w:lineRule="auto"/>
              <w:ind w:left="205"/>
            </w:pPr>
            <w:r>
              <w:t>4</w:t>
            </w:r>
          </w:p>
        </w:tc>
        <w:tc>
          <w:tcPr>
            <w:tcW w:w="2207" w:type="dxa"/>
            <w:vAlign w:val="top"/>
          </w:tcPr>
          <w:p w14:paraId="042A2D6D">
            <w:pPr>
              <w:pStyle w:val="6"/>
              <w:spacing w:before="94" w:line="219" w:lineRule="auto"/>
              <w:ind w:left="670"/>
            </w:pPr>
            <w:r>
              <w:rPr>
                <w:spacing w:val="-2"/>
              </w:rPr>
              <w:t>机器设备</w:t>
            </w:r>
          </w:p>
        </w:tc>
        <w:tc>
          <w:tcPr>
            <w:tcW w:w="1119" w:type="dxa"/>
            <w:vAlign w:val="top"/>
          </w:tcPr>
          <w:p w14:paraId="400EB9C3">
            <w:pPr>
              <w:pStyle w:val="6"/>
              <w:spacing w:before="92" w:line="216" w:lineRule="auto"/>
              <w:ind w:left="154"/>
            </w:pPr>
            <w:r>
              <w:rPr>
                <w:spacing w:val="-3"/>
              </w:rPr>
              <w:t>1,223.68</w:t>
            </w:r>
          </w:p>
        </w:tc>
        <w:tc>
          <w:tcPr>
            <w:tcW w:w="1139" w:type="dxa"/>
            <w:vAlign w:val="top"/>
          </w:tcPr>
          <w:p w14:paraId="16EC50D8">
            <w:pPr>
              <w:pStyle w:val="6"/>
              <w:spacing w:before="116" w:line="221" w:lineRule="auto"/>
              <w:ind w:left="294"/>
            </w:pPr>
            <w:r>
              <w:rPr>
                <w:spacing w:val="-2"/>
              </w:rPr>
              <w:t>333.30</w:t>
            </w:r>
          </w:p>
        </w:tc>
        <w:tc>
          <w:tcPr>
            <w:tcW w:w="1139" w:type="dxa"/>
            <w:vAlign w:val="top"/>
          </w:tcPr>
          <w:p w14:paraId="78C73702">
            <w:pPr>
              <w:pStyle w:val="6"/>
              <w:spacing w:before="116" w:line="221" w:lineRule="auto"/>
              <w:ind w:left="246"/>
            </w:pPr>
            <w:r>
              <w:rPr>
                <w:spacing w:val="-2"/>
              </w:rPr>
              <w:t>941.83</w:t>
            </w:r>
          </w:p>
        </w:tc>
        <w:tc>
          <w:tcPr>
            <w:tcW w:w="1129" w:type="dxa"/>
            <w:vAlign w:val="top"/>
          </w:tcPr>
          <w:p w14:paraId="24C9B7DF">
            <w:pPr>
              <w:pStyle w:val="6"/>
              <w:spacing w:before="116" w:line="221" w:lineRule="auto"/>
              <w:ind w:left="247"/>
            </w:pPr>
            <w:r>
              <w:rPr>
                <w:spacing w:val="-2"/>
              </w:rPr>
              <w:t>360.74</w:t>
            </w:r>
          </w:p>
        </w:tc>
        <w:tc>
          <w:tcPr>
            <w:tcW w:w="1059" w:type="dxa"/>
            <w:vAlign w:val="top"/>
          </w:tcPr>
          <w:p w14:paraId="35E83801">
            <w:pPr>
              <w:pStyle w:val="6"/>
              <w:spacing w:before="92" w:line="216" w:lineRule="auto"/>
              <w:ind w:left="128"/>
            </w:pPr>
            <w:r>
              <w:rPr>
                <w:spacing w:val="-2"/>
              </w:rPr>
              <w:t>2,165.51</w:t>
            </w:r>
          </w:p>
        </w:tc>
        <w:tc>
          <w:tcPr>
            <w:tcW w:w="1054" w:type="dxa"/>
            <w:vAlign w:val="top"/>
          </w:tcPr>
          <w:p w14:paraId="0275BA63">
            <w:pPr>
              <w:pStyle w:val="6"/>
              <w:spacing w:before="116" w:line="221" w:lineRule="auto"/>
              <w:ind w:left="209"/>
            </w:pPr>
            <w:r>
              <w:rPr>
                <w:spacing w:val="-2"/>
              </w:rPr>
              <w:t>694.04</w:t>
            </w:r>
          </w:p>
        </w:tc>
      </w:tr>
      <w:tr w14:paraId="1D983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2751" w:type="dxa"/>
            <w:gridSpan w:val="2"/>
            <w:vAlign w:val="top"/>
          </w:tcPr>
          <w:p w14:paraId="29CD669B">
            <w:pPr>
              <w:pStyle w:val="6"/>
              <w:spacing w:before="88" w:line="221" w:lineRule="auto"/>
              <w:ind w:left="1115"/>
            </w:pPr>
            <w:r>
              <w:rPr>
                <w:spacing w:val="-3"/>
              </w:rPr>
              <w:t>合计</w:t>
            </w:r>
          </w:p>
        </w:tc>
        <w:tc>
          <w:tcPr>
            <w:tcW w:w="1119" w:type="dxa"/>
            <w:vAlign w:val="top"/>
          </w:tcPr>
          <w:p w14:paraId="5B9365A1">
            <w:pPr>
              <w:pStyle w:val="6"/>
              <w:spacing w:before="84" w:line="216" w:lineRule="auto"/>
              <w:ind w:left="154"/>
            </w:pPr>
            <w:r>
              <w:rPr>
                <w:spacing w:val="-2"/>
              </w:rPr>
              <w:t>3,183.53</w:t>
            </w:r>
          </w:p>
        </w:tc>
        <w:tc>
          <w:tcPr>
            <w:tcW w:w="1139" w:type="dxa"/>
            <w:vAlign w:val="top"/>
          </w:tcPr>
          <w:p w14:paraId="195F9D4C">
            <w:pPr>
              <w:pStyle w:val="6"/>
              <w:spacing w:before="84" w:line="216" w:lineRule="auto"/>
              <w:ind w:left="84"/>
            </w:pPr>
            <w:r>
              <w:rPr>
                <w:spacing w:val="-3"/>
              </w:rPr>
              <w:t>1,859.22</w:t>
            </w:r>
          </w:p>
        </w:tc>
        <w:tc>
          <w:tcPr>
            <w:tcW w:w="1139" w:type="dxa"/>
            <w:vAlign w:val="top"/>
          </w:tcPr>
          <w:p w14:paraId="601312A7">
            <w:pPr>
              <w:pStyle w:val="6"/>
              <w:spacing w:before="84" w:line="216" w:lineRule="auto"/>
              <w:ind w:left="145"/>
            </w:pPr>
            <w:r>
              <w:rPr>
                <w:spacing w:val="-1"/>
              </w:rPr>
              <w:t>4,387.64</w:t>
            </w:r>
          </w:p>
        </w:tc>
        <w:tc>
          <w:tcPr>
            <w:tcW w:w="1129" w:type="dxa"/>
            <w:vAlign w:val="top"/>
          </w:tcPr>
          <w:p w14:paraId="45C0BDDE">
            <w:pPr>
              <w:pStyle w:val="6"/>
              <w:spacing w:before="84" w:line="216" w:lineRule="auto"/>
              <w:ind w:left="136"/>
            </w:pPr>
            <w:r>
              <w:rPr>
                <w:spacing w:val="-2"/>
              </w:rPr>
              <w:t>2,762.43</w:t>
            </w:r>
          </w:p>
        </w:tc>
        <w:tc>
          <w:tcPr>
            <w:tcW w:w="1059" w:type="dxa"/>
            <w:vAlign w:val="top"/>
          </w:tcPr>
          <w:p w14:paraId="362159E2">
            <w:pPr>
              <w:pStyle w:val="6"/>
              <w:spacing w:before="84" w:line="216" w:lineRule="auto"/>
              <w:ind w:left="128"/>
            </w:pPr>
            <w:r>
              <w:rPr>
                <w:spacing w:val="-2"/>
              </w:rPr>
              <w:t>7,571.17</w:t>
            </w:r>
          </w:p>
        </w:tc>
        <w:tc>
          <w:tcPr>
            <w:tcW w:w="1054" w:type="dxa"/>
            <w:vAlign w:val="top"/>
          </w:tcPr>
          <w:p w14:paraId="5AFD83CA">
            <w:pPr>
              <w:pStyle w:val="6"/>
              <w:spacing w:before="84" w:line="216" w:lineRule="auto"/>
              <w:ind w:left="98"/>
            </w:pPr>
            <w:r>
              <w:rPr>
                <w:spacing w:val="-1"/>
              </w:rPr>
              <w:t>4,621.65</w:t>
            </w:r>
          </w:p>
        </w:tc>
      </w:tr>
    </w:tbl>
    <w:p w14:paraId="4F0332D8">
      <w:pPr>
        <w:spacing w:before="123" w:line="218" w:lineRule="auto"/>
        <w:ind w:left="1025"/>
        <w:rPr>
          <w:rFonts w:ascii="宋体" w:hAnsi="宋体" w:eastAsia="宋体" w:cs="宋体"/>
          <w:sz w:val="24"/>
          <w:szCs w:val="24"/>
        </w:rPr>
      </w:pPr>
      <w:r>
        <w:rPr>
          <w:rFonts w:ascii="宋体" w:hAnsi="宋体" w:eastAsia="宋体" w:cs="宋体"/>
          <w:spacing w:val="11"/>
          <w:sz w:val="24"/>
          <w:szCs w:val="24"/>
        </w:rPr>
        <w:t>(2)本次评估新增固定资产投资</w:t>
      </w:r>
    </w:p>
    <w:p w14:paraId="602F387F">
      <w:pPr>
        <w:spacing w:line="218" w:lineRule="auto"/>
        <w:rPr>
          <w:rFonts w:ascii="宋体" w:hAnsi="宋体" w:eastAsia="宋体" w:cs="宋体"/>
          <w:sz w:val="24"/>
          <w:szCs w:val="24"/>
        </w:rPr>
        <w:sectPr>
          <w:headerReference r:id="rId98" w:type="default"/>
          <w:footerReference r:id="rId99" w:type="default"/>
          <w:pgSz w:w="11900" w:h="16830"/>
          <w:pgMar w:top="1166" w:right="994" w:bottom="1279" w:left="1504" w:header="890" w:footer="938" w:gutter="0"/>
          <w:cols w:space="720" w:num="1"/>
        </w:sectPr>
      </w:pPr>
    </w:p>
    <w:p w14:paraId="2FBB6BBB">
      <w:pPr>
        <w:pStyle w:val="2"/>
        <w:spacing w:line="317" w:lineRule="auto"/>
      </w:pPr>
    </w:p>
    <w:p w14:paraId="512AEEAB">
      <w:pPr>
        <w:spacing w:before="85" w:line="362" w:lineRule="auto"/>
        <w:ind w:left="94" w:right="148" w:firstLine="490"/>
        <w:jc w:val="both"/>
        <w:rPr>
          <w:rFonts w:ascii="宋体" w:hAnsi="宋体" w:eastAsia="宋体" w:cs="宋体"/>
          <w:sz w:val="24"/>
          <w:szCs w:val="24"/>
        </w:rPr>
      </w:pPr>
      <w:r>
        <w:rPr>
          <w:rFonts w:ascii="宋体" w:hAnsi="宋体" w:eastAsia="宋体" w:cs="宋体"/>
          <w:spacing w:val="8"/>
          <w:sz w:val="26"/>
          <w:szCs w:val="26"/>
        </w:rPr>
        <w:t>扣除2022年5月1日至2022年9月30日采矿系统新增的机器设备5.87万</w:t>
      </w:r>
      <w:r>
        <w:rPr>
          <w:rFonts w:ascii="宋体" w:hAnsi="宋体" w:eastAsia="宋体" w:cs="宋体"/>
          <w:spacing w:val="1"/>
          <w:sz w:val="26"/>
          <w:szCs w:val="26"/>
        </w:rPr>
        <w:t xml:space="preserve"> </w:t>
      </w:r>
      <w:r>
        <w:rPr>
          <w:rFonts w:ascii="宋体" w:hAnsi="宋体" w:eastAsia="宋体" w:cs="宋体"/>
          <w:sz w:val="26"/>
          <w:szCs w:val="26"/>
        </w:rPr>
        <w:t>元，选矿系统新的机器设备11.12 万元(=13.34÷12×10),新增的固定资产</w:t>
      </w:r>
      <w:r>
        <w:rPr>
          <w:rFonts w:ascii="宋体" w:hAnsi="宋体" w:eastAsia="宋体" w:cs="宋体"/>
          <w:spacing w:val="15"/>
          <w:sz w:val="26"/>
          <w:szCs w:val="26"/>
        </w:rPr>
        <w:t xml:space="preserve"> </w:t>
      </w:r>
      <w:r>
        <w:rPr>
          <w:rFonts w:ascii="宋体" w:hAnsi="宋体" w:eastAsia="宋体" w:cs="宋体"/>
          <w:spacing w:val="12"/>
          <w:sz w:val="24"/>
          <w:szCs w:val="24"/>
        </w:rPr>
        <w:t>2,815.81万元(=2832.80-11.12-5.</w:t>
      </w:r>
      <w:r>
        <w:rPr>
          <w:rFonts w:ascii="宋体" w:hAnsi="宋体" w:eastAsia="宋体" w:cs="宋体"/>
          <w:spacing w:val="11"/>
          <w:sz w:val="24"/>
          <w:szCs w:val="24"/>
        </w:rPr>
        <w:t>87)。</w:t>
      </w:r>
    </w:p>
    <w:p w14:paraId="1008E53C">
      <w:pPr>
        <w:spacing w:before="34" w:line="374" w:lineRule="auto"/>
        <w:ind w:left="94" w:right="132" w:firstLine="490"/>
        <w:rPr>
          <w:rFonts w:ascii="宋体" w:hAnsi="宋体" w:eastAsia="宋体" w:cs="宋体"/>
          <w:sz w:val="24"/>
          <w:szCs w:val="24"/>
        </w:rPr>
      </w:pPr>
      <w:r>
        <w:rPr>
          <w:rFonts w:ascii="宋体" w:hAnsi="宋体" w:eastAsia="宋体" w:cs="宋体"/>
          <w:spacing w:val="5"/>
          <w:sz w:val="24"/>
          <w:szCs w:val="24"/>
        </w:rPr>
        <w:t>综上所述，本次评估利用固定资产投资原值10,386.9</w:t>
      </w:r>
      <w:r>
        <w:rPr>
          <w:rFonts w:ascii="宋体" w:hAnsi="宋体" w:eastAsia="宋体" w:cs="宋体"/>
          <w:spacing w:val="4"/>
          <w:sz w:val="24"/>
          <w:szCs w:val="24"/>
        </w:rPr>
        <w:t>9万元，净值7,437.46</w:t>
      </w:r>
      <w:r>
        <w:rPr>
          <w:rFonts w:ascii="宋体" w:hAnsi="宋体" w:eastAsia="宋体" w:cs="宋体"/>
          <w:sz w:val="24"/>
          <w:szCs w:val="24"/>
        </w:rPr>
        <w:t xml:space="preserve"> </w:t>
      </w:r>
      <w:r>
        <w:rPr>
          <w:rFonts w:ascii="宋体" w:hAnsi="宋体" w:eastAsia="宋体" w:cs="宋体"/>
          <w:spacing w:val="5"/>
          <w:sz w:val="24"/>
          <w:szCs w:val="24"/>
        </w:rPr>
        <w:t>万元。详见下表10-11:</w:t>
      </w:r>
    </w:p>
    <w:p w14:paraId="148D51AD">
      <w:pPr>
        <w:spacing w:before="19" w:line="218" w:lineRule="auto"/>
        <w:ind w:left="3145"/>
        <w:rPr>
          <w:rFonts w:ascii="宋体" w:hAnsi="宋体" w:eastAsia="宋体" w:cs="宋体"/>
          <w:sz w:val="24"/>
          <w:szCs w:val="24"/>
        </w:rPr>
      </w:pPr>
      <w:r>
        <w:rPr>
          <w:rFonts w:ascii="宋体" w:hAnsi="宋体" w:eastAsia="宋体" w:cs="宋体"/>
          <w:spacing w:val="4"/>
          <w:sz w:val="24"/>
          <w:szCs w:val="24"/>
        </w:rPr>
        <w:t>表10-11</w:t>
      </w:r>
      <w:r>
        <w:rPr>
          <w:rFonts w:ascii="宋体" w:hAnsi="宋体" w:eastAsia="宋体" w:cs="宋体"/>
          <w:spacing w:val="-25"/>
          <w:sz w:val="24"/>
          <w:szCs w:val="24"/>
        </w:rPr>
        <w:t xml:space="preserve"> </w:t>
      </w:r>
      <w:r>
        <w:rPr>
          <w:rFonts w:ascii="宋体" w:hAnsi="宋体" w:eastAsia="宋体" w:cs="宋体"/>
          <w:spacing w:val="4"/>
          <w:sz w:val="24"/>
          <w:szCs w:val="24"/>
        </w:rPr>
        <w:t>评估固定资产投资</w:t>
      </w:r>
    </w:p>
    <w:p w14:paraId="02CF3526">
      <w:pPr>
        <w:spacing w:line="93" w:lineRule="exact"/>
      </w:pPr>
    </w:p>
    <w:tbl>
      <w:tblPr>
        <w:tblStyle w:val="5"/>
        <w:tblW w:w="86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137"/>
        <w:gridCol w:w="2946"/>
        <w:gridCol w:w="2932"/>
      </w:tblGrid>
      <w:tr w14:paraId="5D889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684" w:type="dxa"/>
            <w:vAlign w:val="top"/>
          </w:tcPr>
          <w:p w14:paraId="6C5BCCE8">
            <w:pPr>
              <w:pStyle w:val="6"/>
              <w:spacing w:before="245" w:line="221" w:lineRule="auto"/>
              <w:ind w:left="114"/>
              <w:rPr>
                <w:sz w:val="22"/>
                <w:szCs w:val="22"/>
              </w:rPr>
            </w:pPr>
            <w:r>
              <w:rPr>
                <w:spacing w:val="6"/>
                <w:sz w:val="22"/>
                <w:szCs w:val="22"/>
              </w:rPr>
              <w:t>序号</w:t>
            </w:r>
          </w:p>
        </w:tc>
        <w:tc>
          <w:tcPr>
            <w:tcW w:w="2137" w:type="dxa"/>
            <w:vAlign w:val="top"/>
          </w:tcPr>
          <w:p w14:paraId="1121807D">
            <w:pPr>
              <w:pStyle w:val="6"/>
              <w:spacing w:before="244" w:line="219" w:lineRule="auto"/>
              <w:ind w:left="401"/>
              <w:rPr>
                <w:sz w:val="22"/>
                <w:szCs w:val="22"/>
              </w:rPr>
            </w:pPr>
            <w:r>
              <w:rPr>
                <w:spacing w:val="3"/>
                <w:sz w:val="22"/>
                <w:szCs w:val="22"/>
              </w:rPr>
              <w:t>固定资产类别</w:t>
            </w:r>
          </w:p>
        </w:tc>
        <w:tc>
          <w:tcPr>
            <w:tcW w:w="2946" w:type="dxa"/>
            <w:vAlign w:val="top"/>
          </w:tcPr>
          <w:p w14:paraId="791E2CAA">
            <w:pPr>
              <w:pStyle w:val="6"/>
              <w:spacing w:before="244" w:line="219" w:lineRule="auto"/>
              <w:ind w:left="583"/>
              <w:rPr>
                <w:sz w:val="22"/>
                <w:szCs w:val="22"/>
              </w:rPr>
            </w:pPr>
            <w:r>
              <w:rPr>
                <w:spacing w:val="1"/>
                <w:sz w:val="22"/>
                <w:szCs w:val="22"/>
              </w:rPr>
              <w:t>固定资产投资原值</w:t>
            </w:r>
          </w:p>
        </w:tc>
        <w:tc>
          <w:tcPr>
            <w:tcW w:w="2932" w:type="dxa"/>
            <w:vAlign w:val="top"/>
          </w:tcPr>
          <w:p w14:paraId="680F6F3E">
            <w:pPr>
              <w:pStyle w:val="6"/>
              <w:spacing w:before="244" w:line="219" w:lineRule="auto"/>
              <w:ind w:left="577"/>
              <w:rPr>
                <w:sz w:val="22"/>
                <w:szCs w:val="22"/>
              </w:rPr>
            </w:pPr>
            <w:r>
              <w:rPr>
                <w:spacing w:val="1"/>
                <w:sz w:val="22"/>
                <w:szCs w:val="22"/>
              </w:rPr>
              <w:t>固定资产投资净值</w:t>
            </w:r>
          </w:p>
        </w:tc>
      </w:tr>
      <w:tr w14:paraId="57D52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restart"/>
            <w:tcBorders>
              <w:bottom w:val="nil"/>
            </w:tcBorders>
            <w:vAlign w:val="top"/>
          </w:tcPr>
          <w:p w14:paraId="6E5A50B2">
            <w:pPr>
              <w:pStyle w:val="6"/>
              <w:spacing w:before="263" w:line="241" w:lineRule="auto"/>
              <w:ind w:left="275"/>
              <w:rPr>
                <w:sz w:val="22"/>
                <w:szCs w:val="22"/>
              </w:rPr>
            </w:pPr>
            <w:r>
              <w:rPr>
                <w:sz w:val="22"/>
                <w:szCs w:val="22"/>
              </w:rPr>
              <w:t>1</w:t>
            </w:r>
          </w:p>
        </w:tc>
        <w:tc>
          <w:tcPr>
            <w:tcW w:w="2137" w:type="dxa"/>
            <w:vAlign w:val="top"/>
          </w:tcPr>
          <w:p w14:paraId="2DC42B36">
            <w:pPr>
              <w:pStyle w:val="6"/>
              <w:spacing w:before="61" w:line="220" w:lineRule="auto"/>
              <w:ind w:left="620"/>
              <w:rPr>
                <w:sz w:val="22"/>
                <w:szCs w:val="22"/>
              </w:rPr>
            </w:pPr>
            <w:r>
              <w:rPr>
                <w:spacing w:val="-2"/>
                <w:sz w:val="22"/>
                <w:szCs w:val="22"/>
              </w:rPr>
              <w:t>井巷工程</w:t>
            </w:r>
          </w:p>
        </w:tc>
        <w:tc>
          <w:tcPr>
            <w:tcW w:w="2946" w:type="dxa"/>
            <w:vAlign w:val="top"/>
          </w:tcPr>
          <w:p w14:paraId="62C64D37">
            <w:pPr>
              <w:pStyle w:val="6"/>
              <w:spacing w:before="58" w:line="216" w:lineRule="auto"/>
              <w:ind w:left="1024"/>
              <w:rPr>
                <w:sz w:val="22"/>
                <w:szCs w:val="22"/>
              </w:rPr>
            </w:pPr>
            <w:r>
              <w:rPr>
                <w:spacing w:val="-4"/>
                <w:sz w:val="22"/>
                <w:szCs w:val="22"/>
              </w:rPr>
              <w:t>1,419.50</w:t>
            </w:r>
          </w:p>
        </w:tc>
        <w:tc>
          <w:tcPr>
            <w:tcW w:w="2932" w:type="dxa"/>
            <w:vAlign w:val="top"/>
          </w:tcPr>
          <w:p w14:paraId="667C4A74">
            <w:pPr>
              <w:pStyle w:val="6"/>
              <w:spacing w:before="58" w:line="216" w:lineRule="auto"/>
              <w:ind w:left="1018"/>
              <w:rPr>
                <w:sz w:val="22"/>
                <w:szCs w:val="22"/>
              </w:rPr>
            </w:pPr>
            <w:r>
              <w:rPr>
                <w:spacing w:val="-4"/>
                <w:sz w:val="22"/>
                <w:szCs w:val="22"/>
              </w:rPr>
              <w:t>1,189.55</w:t>
            </w:r>
          </w:p>
        </w:tc>
      </w:tr>
      <w:tr w14:paraId="08619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continue"/>
            <w:tcBorders>
              <w:top w:val="nil"/>
            </w:tcBorders>
            <w:vAlign w:val="top"/>
          </w:tcPr>
          <w:p w14:paraId="34870DD0">
            <w:pPr>
              <w:rPr>
                <w:rFonts w:ascii="Arial"/>
                <w:sz w:val="21"/>
              </w:rPr>
            </w:pPr>
          </w:p>
        </w:tc>
        <w:tc>
          <w:tcPr>
            <w:tcW w:w="2137" w:type="dxa"/>
            <w:vAlign w:val="top"/>
          </w:tcPr>
          <w:p w14:paraId="559ED79F">
            <w:pPr>
              <w:pStyle w:val="6"/>
              <w:spacing w:before="62" w:line="219" w:lineRule="auto"/>
              <w:ind w:left="401"/>
              <w:rPr>
                <w:sz w:val="22"/>
                <w:szCs w:val="22"/>
              </w:rPr>
            </w:pPr>
            <w:r>
              <w:rPr>
                <w:spacing w:val="-2"/>
                <w:sz w:val="22"/>
                <w:szCs w:val="22"/>
              </w:rPr>
              <w:t>其中：增值税</w:t>
            </w:r>
          </w:p>
        </w:tc>
        <w:tc>
          <w:tcPr>
            <w:tcW w:w="2946" w:type="dxa"/>
            <w:vAlign w:val="top"/>
          </w:tcPr>
          <w:p w14:paraId="65EF8527">
            <w:pPr>
              <w:pStyle w:val="6"/>
              <w:spacing w:before="83" w:line="206" w:lineRule="auto"/>
              <w:ind w:left="1194"/>
              <w:rPr>
                <w:sz w:val="22"/>
                <w:szCs w:val="22"/>
              </w:rPr>
            </w:pPr>
            <w:r>
              <w:rPr>
                <w:spacing w:val="-3"/>
                <w:sz w:val="22"/>
                <w:szCs w:val="22"/>
              </w:rPr>
              <w:t>39.60</w:t>
            </w:r>
          </w:p>
        </w:tc>
        <w:tc>
          <w:tcPr>
            <w:tcW w:w="2932" w:type="dxa"/>
            <w:vAlign w:val="top"/>
          </w:tcPr>
          <w:p w14:paraId="3CBA13E2">
            <w:pPr>
              <w:pStyle w:val="6"/>
              <w:spacing w:before="83" w:line="206" w:lineRule="auto"/>
              <w:ind w:left="1187"/>
              <w:rPr>
                <w:sz w:val="22"/>
                <w:szCs w:val="22"/>
              </w:rPr>
            </w:pPr>
            <w:r>
              <w:rPr>
                <w:spacing w:val="-3"/>
                <w:sz w:val="22"/>
                <w:szCs w:val="22"/>
              </w:rPr>
              <w:t>39.60</w:t>
            </w:r>
          </w:p>
        </w:tc>
      </w:tr>
      <w:tr w14:paraId="606C3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restart"/>
            <w:tcBorders>
              <w:bottom w:val="nil"/>
            </w:tcBorders>
            <w:vAlign w:val="top"/>
          </w:tcPr>
          <w:p w14:paraId="2B07CFBE">
            <w:pPr>
              <w:pStyle w:val="6"/>
              <w:spacing w:before="265" w:line="241" w:lineRule="auto"/>
              <w:ind w:left="275"/>
              <w:rPr>
                <w:sz w:val="22"/>
                <w:szCs w:val="22"/>
              </w:rPr>
            </w:pPr>
            <w:r>
              <w:rPr>
                <w:sz w:val="22"/>
                <w:szCs w:val="22"/>
              </w:rPr>
              <w:t>2</w:t>
            </w:r>
          </w:p>
        </w:tc>
        <w:tc>
          <w:tcPr>
            <w:tcW w:w="2137" w:type="dxa"/>
            <w:vAlign w:val="top"/>
          </w:tcPr>
          <w:p w14:paraId="0777BBB7">
            <w:pPr>
              <w:pStyle w:val="6"/>
              <w:spacing w:before="63" w:line="220" w:lineRule="auto"/>
              <w:ind w:left="510"/>
              <w:rPr>
                <w:sz w:val="22"/>
                <w:szCs w:val="22"/>
              </w:rPr>
            </w:pPr>
            <w:r>
              <w:rPr>
                <w:spacing w:val="2"/>
                <w:sz w:val="22"/>
                <w:szCs w:val="22"/>
              </w:rPr>
              <w:t>房屋建筑物</w:t>
            </w:r>
          </w:p>
        </w:tc>
        <w:tc>
          <w:tcPr>
            <w:tcW w:w="2946" w:type="dxa"/>
            <w:vAlign w:val="top"/>
          </w:tcPr>
          <w:p w14:paraId="5143C3BC">
            <w:pPr>
              <w:pStyle w:val="6"/>
              <w:spacing w:before="60" w:line="216" w:lineRule="auto"/>
              <w:ind w:left="1024"/>
              <w:rPr>
                <w:sz w:val="22"/>
                <w:szCs w:val="22"/>
              </w:rPr>
            </w:pPr>
            <w:r>
              <w:rPr>
                <w:spacing w:val="-2"/>
                <w:sz w:val="22"/>
                <w:szCs w:val="22"/>
              </w:rPr>
              <w:t>2,154.46</w:t>
            </w:r>
          </w:p>
        </w:tc>
        <w:tc>
          <w:tcPr>
            <w:tcW w:w="2932" w:type="dxa"/>
            <w:vAlign w:val="top"/>
          </w:tcPr>
          <w:p w14:paraId="3C7273F2">
            <w:pPr>
              <w:pStyle w:val="6"/>
              <w:spacing w:before="60" w:line="216" w:lineRule="auto"/>
              <w:ind w:left="1018"/>
              <w:rPr>
                <w:sz w:val="22"/>
                <w:szCs w:val="22"/>
              </w:rPr>
            </w:pPr>
            <w:r>
              <w:rPr>
                <w:spacing w:val="-4"/>
                <w:sz w:val="22"/>
                <w:szCs w:val="22"/>
              </w:rPr>
              <w:t>1,268.71</w:t>
            </w:r>
          </w:p>
        </w:tc>
      </w:tr>
      <w:tr w14:paraId="6D1ED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84" w:type="dxa"/>
            <w:vMerge w:val="continue"/>
            <w:tcBorders>
              <w:top w:val="nil"/>
            </w:tcBorders>
            <w:vAlign w:val="top"/>
          </w:tcPr>
          <w:p w14:paraId="05F246A9">
            <w:pPr>
              <w:rPr>
                <w:rFonts w:ascii="Arial"/>
                <w:sz w:val="21"/>
              </w:rPr>
            </w:pPr>
          </w:p>
        </w:tc>
        <w:tc>
          <w:tcPr>
            <w:tcW w:w="2137" w:type="dxa"/>
            <w:vAlign w:val="top"/>
          </w:tcPr>
          <w:p w14:paraId="39F4EF50">
            <w:pPr>
              <w:pStyle w:val="6"/>
              <w:spacing w:before="64" w:line="219" w:lineRule="auto"/>
              <w:ind w:left="401"/>
              <w:rPr>
                <w:sz w:val="22"/>
                <w:szCs w:val="22"/>
              </w:rPr>
            </w:pPr>
            <w:r>
              <w:rPr>
                <w:spacing w:val="-2"/>
                <w:sz w:val="22"/>
                <w:szCs w:val="22"/>
              </w:rPr>
              <w:t>其中：增值税</w:t>
            </w:r>
          </w:p>
        </w:tc>
        <w:tc>
          <w:tcPr>
            <w:tcW w:w="2946" w:type="dxa"/>
            <w:vAlign w:val="top"/>
          </w:tcPr>
          <w:p w14:paraId="12144933">
            <w:pPr>
              <w:pStyle w:val="6"/>
              <w:spacing w:before="85" w:line="205" w:lineRule="auto"/>
              <w:ind w:left="1244"/>
              <w:rPr>
                <w:sz w:val="22"/>
                <w:szCs w:val="22"/>
              </w:rPr>
            </w:pPr>
            <w:r>
              <w:rPr>
                <w:spacing w:val="-3"/>
                <w:sz w:val="22"/>
                <w:szCs w:val="22"/>
              </w:rPr>
              <w:t>5.97</w:t>
            </w:r>
          </w:p>
        </w:tc>
        <w:tc>
          <w:tcPr>
            <w:tcW w:w="2932" w:type="dxa"/>
            <w:vAlign w:val="top"/>
          </w:tcPr>
          <w:p w14:paraId="369CC7E8">
            <w:pPr>
              <w:pStyle w:val="6"/>
              <w:spacing w:before="85" w:line="205" w:lineRule="auto"/>
              <w:ind w:left="1238"/>
              <w:rPr>
                <w:sz w:val="22"/>
                <w:szCs w:val="22"/>
              </w:rPr>
            </w:pPr>
            <w:r>
              <w:rPr>
                <w:spacing w:val="-3"/>
                <w:sz w:val="22"/>
                <w:szCs w:val="22"/>
              </w:rPr>
              <w:t>5.97</w:t>
            </w:r>
          </w:p>
        </w:tc>
      </w:tr>
      <w:tr w14:paraId="7F1FF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684" w:type="dxa"/>
            <w:vMerge w:val="restart"/>
            <w:tcBorders>
              <w:bottom w:val="nil"/>
            </w:tcBorders>
            <w:vAlign w:val="top"/>
          </w:tcPr>
          <w:p w14:paraId="2E1FA620">
            <w:pPr>
              <w:pStyle w:val="6"/>
              <w:spacing w:before="255"/>
              <w:ind w:left="275"/>
              <w:rPr>
                <w:sz w:val="22"/>
                <w:szCs w:val="22"/>
              </w:rPr>
            </w:pPr>
            <w:r>
              <w:rPr>
                <w:sz w:val="22"/>
                <w:szCs w:val="22"/>
              </w:rPr>
              <w:t>3</w:t>
            </w:r>
          </w:p>
        </w:tc>
        <w:tc>
          <w:tcPr>
            <w:tcW w:w="2137" w:type="dxa"/>
            <w:vAlign w:val="top"/>
          </w:tcPr>
          <w:p w14:paraId="3BFFAC17">
            <w:pPr>
              <w:pStyle w:val="6"/>
              <w:spacing w:before="63" w:line="214" w:lineRule="auto"/>
              <w:ind w:left="731"/>
              <w:rPr>
                <w:sz w:val="22"/>
                <w:szCs w:val="22"/>
              </w:rPr>
            </w:pPr>
            <w:r>
              <w:rPr>
                <w:spacing w:val="4"/>
                <w:sz w:val="22"/>
                <w:szCs w:val="22"/>
              </w:rPr>
              <w:t>尾矿库</w:t>
            </w:r>
          </w:p>
        </w:tc>
        <w:tc>
          <w:tcPr>
            <w:tcW w:w="2946" w:type="dxa"/>
            <w:vAlign w:val="top"/>
          </w:tcPr>
          <w:p w14:paraId="2E62C64B">
            <w:pPr>
              <w:pStyle w:val="6"/>
              <w:spacing w:before="61" w:line="216" w:lineRule="auto"/>
              <w:ind w:left="1024"/>
              <w:rPr>
                <w:sz w:val="22"/>
                <w:szCs w:val="22"/>
              </w:rPr>
            </w:pPr>
            <w:r>
              <w:rPr>
                <w:spacing w:val="-1"/>
                <w:sz w:val="22"/>
                <w:szCs w:val="22"/>
              </w:rPr>
              <w:t>4,169.02</w:t>
            </w:r>
          </w:p>
        </w:tc>
        <w:tc>
          <w:tcPr>
            <w:tcW w:w="2932" w:type="dxa"/>
            <w:vAlign w:val="top"/>
          </w:tcPr>
          <w:p w14:paraId="24C4F6B4">
            <w:pPr>
              <w:pStyle w:val="6"/>
              <w:spacing w:before="61" w:line="216" w:lineRule="auto"/>
              <w:ind w:left="1018"/>
              <w:rPr>
                <w:sz w:val="22"/>
                <w:szCs w:val="22"/>
              </w:rPr>
            </w:pPr>
            <w:r>
              <w:rPr>
                <w:spacing w:val="-2"/>
                <w:sz w:val="22"/>
                <w:szCs w:val="22"/>
              </w:rPr>
              <w:t>3,806.66</w:t>
            </w:r>
          </w:p>
        </w:tc>
      </w:tr>
      <w:tr w14:paraId="67B09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continue"/>
            <w:tcBorders>
              <w:top w:val="nil"/>
            </w:tcBorders>
            <w:vAlign w:val="top"/>
          </w:tcPr>
          <w:p w14:paraId="6FEE7A69">
            <w:pPr>
              <w:rPr>
                <w:rFonts w:ascii="Arial"/>
                <w:sz w:val="21"/>
              </w:rPr>
            </w:pPr>
          </w:p>
        </w:tc>
        <w:tc>
          <w:tcPr>
            <w:tcW w:w="2137" w:type="dxa"/>
            <w:vAlign w:val="top"/>
          </w:tcPr>
          <w:p w14:paraId="13D2B9C7">
            <w:pPr>
              <w:pStyle w:val="6"/>
              <w:spacing w:before="65" w:line="219" w:lineRule="auto"/>
              <w:ind w:left="401"/>
              <w:rPr>
                <w:sz w:val="22"/>
                <w:szCs w:val="22"/>
              </w:rPr>
            </w:pPr>
            <w:r>
              <w:rPr>
                <w:spacing w:val="-2"/>
                <w:sz w:val="22"/>
                <w:szCs w:val="22"/>
              </w:rPr>
              <w:t>其中：增值税</w:t>
            </w:r>
          </w:p>
        </w:tc>
        <w:tc>
          <w:tcPr>
            <w:tcW w:w="2946" w:type="dxa"/>
            <w:vAlign w:val="top"/>
          </w:tcPr>
          <w:p w14:paraId="53791F0C">
            <w:pPr>
              <w:pStyle w:val="6"/>
              <w:spacing w:before="87" w:line="203" w:lineRule="auto"/>
              <w:ind w:left="1133"/>
              <w:rPr>
                <w:sz w:val="22"/>
                <w:szCs w:val="22"/>
              </w:rPr>
            </w:pPr>
            <w:r>
              <w:rPr>
                <w:spacing w:val="-4"/>
                <w:sz w:val="22"/>
                <w:szCs w:val="22"/>
              </w:rPr>
              <w:t>147.42</w:t>
            </w:r>
          </w:p>
        </w:tc>
        <w:tc>
          <w:tcPr>
            <w:tcW w:w="2932" w:type="dxa"/>
            <w:vAlign w:val="top"/>
          </w:tcPr>
          <w:p w14:paraId="20E0C256">
            <w:pPr>
              <w:pStyle w:val="6"/>
              <w:spacing w:before="87" w:line="203" w:lineRule="auto"/>
              <w:ind w:left="1127"/>
              <w:rPr>
                <w:sz w:val="22"/>
                <w:szCs w:val="22"/>
              </w:rPr>
            </w:pPr>
            <w:r>
              <w:rPr>
                <w:spacing w:val="-4"/>
                <w:sz w:val="22"/>
                <w:szCs w:val="22"/>
              </w:rPr>
              <w:t>147.42</w:t>
            </w:r>
          </w:p>
        </w:tc>
      </w:tr>
      <w:tr w14:paraId="58A09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restart"/>
            <w:tcBorders>
              <w:bottom w:val="nil"/>
            </w:tcBorders>
            <w:vAlign w:val="top"/>
          </w:tcPr>
          <w:p w14:paraId="477E5DA8">
            <w:pPr>
              <w:pStyle w:val="6"/>
              <w:spacing w:before="268" w:line="241" w:lineRule="auto"/>
              <w:ind w:left="275"/>
              <w:rPr>
                <w:sz w:val="22"/>
                <w:szCs w:val="22"/>
              </w:rPr>
            </w:pPr>
            <w:r>
              <w:rPr>
                <w:sz w:val="22"/>
                <w:szCs w:val="22"/>
              </w:rPr>
              <w:t>4</w:t>
            </w:r>
          </w:p>
        </w:tc>
        <w:tc>
          <w:tcPr>
            <w:tcW w:w="2137" w:type="dxa"/>
            <w:vAlign w:val="top"/>
          </w:tcPr>
          <w:p w14:paraId="5F09F0A0">
            <w:pPr>
              <w:pStyle w:val="6"/>
              <w:spacing w:before="64" w:line="219" w:lineRule="auto"/>
              <w:ind w:left="620"/>
              <w:rPr>
                <w:sz w:val="22"/>
                <w:szCs w:val="22"/>
              </w:rPr>
            </w:pPr>
            <w:r>
              <w:rPr>
                <w:spacing w:val="-2"/>
                <w:sz w:val="22"/>
                <w:szCs w:val="22"/>
              </w:rPr>
              <w:t>机器设备</w:t>
            </w:r>
          </w:p>
        </w:tc>
        <w:tc>
          <w:tcPr>
            <w:tcW w:w="2946" w:type="dxa"/>
            <w:vAlign w:val="top"/>
          </w:tcPr>
          <w:p w14:paraId="7C134444">
            <w:pPr>
              <w:pStyle w:val="6"/>
              <w:spacing w:before="62" w:line="216" w:lineRule="auto"/>
              <w:ind w:left="1024"/>
              <w:rPr>
                <w:sz w:val="22"/>
                <w:szCs w:val="22"/>
              </w:rPr>
            </w:pPr>
            <w:r>
              <w:rPr>
                <w:spacing w:val="-2"/>
                <w:sz w:val="22"/>
                <w:szCs w:val="22"/>
              </w:rPr>
              <w:t>2,644.01</w:t>
            </w:r>
          </w:p>
        </w:tc>
        <w:tc>
          <w:tcPr>
            <w:tcW w:w="2932" w:type="dxa"/>
            <w:vAlign w:val="top"/>
          </w:tcPr>
          <w:p w14:paraId="575AE36F">
            <w:pPr>
              <w:pStyle w:val="6"/>
              <w:spacing w:before="62" w:line="216" w:lineRule="auto"/>
              <w:ind w:left="1018"/>
              <w:rPr>
                <w:sz w:val="22"/>
                <w:szCs w:val="22"/>
              </w:rPr>
            </w:pPr>
            <w:r>
              <w:rPr>
                <w:spacing w:val="-4"/>
                <w:sz w:val="22"/>
                <w:szCs w:val="22"/>
              </w:rPr>
              <w:t>1,172.54</w:t>
            </w:r>
          </w:p>
        </w:tc>
      </w:tr>
      <w:tr w14:paraId="26528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84" w:type="dxa"/>
            <w:vMerge w:val="continue"/>
            <w:tcBorders>
              <w:top w:val="nil"/>
            </w:tcBorders>
            <w:vAlign w:val="top"/>
          </w:tcPr>
          <w:p w14:paraId="06670477">
            <w:pPr>
              <w:rPr>
                <w:rFonts w:ascii="Arial"/>
                <w:sz w:val="21"/>
              </w:rPr>
            </w:pPr>
          </w:p>
        </w:tc>
        <w:tc>
          <w:tcPr>
            <w:tcW w:w="2137" w:type="dxa"/>
            <w:vAlign w:val="top"/>
          </w:tcPr>
          <w:p w14:paraId="090E0221">
            <w:pPr>
              <w:pStyle w:val="6"/>
              <w:spacing w:before="67" w:line="219" w:lineRule="auto"/>
              <w:ind w:left="401"/>
              <w:rPr>
                <w:sz w:val="22"/>
                <w:szCs w:val="22"/>
              </w:rPr>
            </w:pPr>
            <w:r>
              <w:rPr>
                <w:spacing w:val="-2"/>
                <w:sz w:val="22"/>
                <w:szCs w:val="22"/>
              </w:rPr>
              <w:t>其中：增值税</w:t>
            </w:r>
          </w:p>
        </w:tc>
        <w:tc>
          <w:tcPr>
            <w:tcW w:w="2946" w:type="dxa"/>
            <w:vAlign w:val="top"/>
          </w:tcPr>
          <w:p w14:paraId="20F2245E">
            <w:pPr>
              <w:pStyle w:val="6"/>
              <w:spacing w:before="89" w:line="201" w:lineRule="auto"/>
              <w:ind w:left="1194"/>
              <w:rPr>
                <w:sz w:val="22"/>
                <w:szCs w:val="22"/>
              </w:rPr>
            </w:pPr>
            <w:r>
              <w:rPr>
                <w:spacing w:val="-3"/>
                <w:sz w:val="22"/>
                <w:szCs w:val="22"/>
              </w:rPr>
              <w:t>55.05</w:t>
            </w:r>
          </w:p>
        </w:tc>
        <w:tc>
          <w:tcPr>
            <w:tcW w:w="2932" w:type="dxa"/>
            <w:vAlign w:val="top"/>
          </w:tcPr>
          <w:p w14:paraId="38DD79CD">
            <w:pPr>
              <w:pStyle w:val="6"/>
              <w:spacing w:before="89" w:line="201" w:lineRule="auto"/>
              <w:ind w:left="1187"/>
              <w:rPr>
                <w:sz w:val="22"/>
                <w:szCs w:val="22"/>
              </w:rPr>
            </w:pPr>
            <w:r>
              <w:rPr>
                <w:spacing w:val="-3"/>
                <w:sz w:val="22"/>
                <w:szCs w:val="22"/>
              </w:rPr>
              <w:t>55.05</w:t>
            </w:r>
          </w:p>
        </w:tc>
      </w:tr>
      <w:tr w14:paraId="397B8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821" w:type="dxa"/>
            <w:gridSpan w:val="2"/>
            <w:vAlign w:val="top"/>
          </w:tcPr>
          <w:p w14:paraId="28360D55">
            <w:pPr>
              <w:pStyle w:val="6"/>
              <w:spacing w:before="69" w:line="221" w:lineRule="auto"/>
              <w:ind w:left="1194"/>
              <w:rPr>
                <w:sz w:val="22"/>
                <w:szCs w:val="22"/>
              </w:rPr>
            </w:pPr>
            <w:r>
              <w:rPr>
                <w:spacing w:val="-3"/>
                <w:sz w:val="22"/>
                <w:szCs w:val="22"/>
              </w:rPr>
              <w:t>合计</w:t>
            </w:r>
          </w:p>
        </w:tc>
        <w:tc>
          <w:tcPr>
            <w:tcW w:w="2946" w:type="dxa"/>
            <w:vAlign w:val="top"/>
          </w:tcPr>
          <w:p w14:paraId="16466FB2">
            <w:pPr>
              <w:pStyle w:val="6"/>
              <w:spacing w:before="65" w:line="216" w:lineRule="auto"/>
              <w:ind w:left="974"/>
              <w:rPr>
                <w:sz w:val="22"/>
                <w:szCs w:val="22"/>
              </w:rPr>
            </w:pPr>
            <w:r>
              <w:rPr>
                <w:spacing w:val="-3"/>
                <w:sz w:val="22"/>
                <w:szCs w:val="22"/>
              </w:rPr>
              <w:t>10,386.99</w:t>
            </w:r>
          </w:p>
        </w:tc>
        <w:tc>
          <w:tcPr>
            <w:tcW w:w="2932" w:type="dxa"/>
            <w:vAlign w:val="top"/>
          </w:tcPr>
          <w:p w14:paraId="3E67524B">
            <w:pPr>
              <w:pStyle w:val="6"/>
              <w:spacing w:before="65" w:line="216" w:lineRule="auto"/>
              <w:ind w:left="1018"/>
              <w:rPr>
                <w:sz w:val="22"/>
                <w:szCs w:val="22"/>
              </w:rPr>
            </w:pPr>
            <w:r>
              <w:rPr>
                <w:spacing w:val="-2"/>
                <w:sz w:val="22"/>
                <w:szCs w:val="22"/>
              </w:rPr>
              <w:t>7,437.46</w:t>
            </w:r>
          </w:p>
        </w:tc>
      </w:tr>
    </w:tbl>
    <w:p w14:paraId="3DC0C691">
      <w:pPr>
        <w:spacing w:before="200" w:line="379" w:lineRule="auto"/>
        <w:ind w:left="94" w:right="219" w:firstLine="490"/>
        <w:jc w:val="both"/>
        <w:rPr>
          <w:rFonts w:ascii="宋体" w:hAnsi="宋体" w:eastAsia="宋体" w:cs="宋体"/>
          <w:sz w:val="24"/>
          <w:szCs w:val="24"/>
        </w:rPr>
      </w:pPr>
      <w:r>
        <w:rPr>
          <w:rFonts w:ascii="宋体" w:hAnsi="宋体" w:eastAsia="宋体" w:cs="宋体"/>
          <w:spacing w:val="8"/>
          <w:sz w:val="24"/>
          <w:szCs w:val="24"/>
        </w:rPr>
        <w:t>在评估基准日2022年9月30日投入4,621.65万元，新增固定资产1,03</w:t>
      </w:r>
      <w:r>
        <w:rPr>
          <w:rFonts w:ascii="宋体" w:hAnsi="宋体" w:eastAsia="宋体" w:cs="宋体"/>
          <w:spacing w:val="7"/>
          <w:sz w:val="24"/>
          <w:szCs w:val="24"/>
        </w:rPr>
        <w:t>0.40</w:t>
      </w:r>
      <w:r>
        <w:rPr>
          <w:rFonts w:ascii="宋体" w:hAnsi="宋体" w:eastAsia="宋体" w:cs="宋体"/>
          <w:sz w:val="24"/>
          <w:szCs w:val="24"/>
        </w:rPr>
        <w:t xml:space="preserve"> </w:t>
      </w:r>
      <w:r>
        <w:rPr>
          <w:rFonts w:ascii="宋体" w:hAnsi="宋体" w:eastAsia="宋体" w:cs="宋体"/>
          <w:spacing w:val="3"/>
          <w:sz w:val="24"/>
          <w:szCs w:val="24"/>
        </w:rPr>
        <w:t>万元在基建期2023年投入，已形成的尾矿库库容剩余32.30万吨，在尾矿</w:t>
      </w:r>
      <w:r>
        <w:rPr>
          <w:rFonts w:ascii="宋体" w:hAnsi="宋体" w:eastAsia="宋体" w:cs="宋体"/>
          <w:spacing w:val="2"/>
          <w:sz w:val="24"/>
          <w:szCs w:val="24"/>
        </w:rPr>
        <w:t>库满库</w:t>
      </w:r>
      <w:r>
        <w:rPr>
          <w:rFonts w:ascii="宋体" w:hAnsi="宋体" w:eastAsia="宋体" w:cs="宋体"/>
          <w:sz w:val="24"/>
          <w:szCs w:val="24"/>
        </w:rPr>
        <w:t xml:space="preserve"> </w:t>
      </w:r>
      <w:r>
        <w:rPr>
          <w:rFonts w:ascii="宋体" w:hAnsi="宋体" w:eastAsia="宋体" w:cs="宋体"/>
          <w:spacing w:val="17"/>
          <w:sz w:val="24"/>
          <w:szCs w:val="24"/>
        </w:rPr>
        <w:t>前1年需新增尾矿库，新增尾矿库投资1785.41万元在2025年8月至2026年7</w:t>
      </w:r>
      <w:r>
        <w:rPr>
          <w:rFonts w:ascii="宋体" w:hAnsi="宋体" w:eastAsia="宋体" w:cs="宋体"/>
          <w:spacing w:val="16"/>
          <w:sz w:val="24"/>
          <w:szCs w:val="24"/>
        </w:rPr>
        <w:t xml:space="preserve"> </w:t>
      </w:r>
      <w:r>
        <w:rPr>
          <w:rFonts w:ascii="宋体" w:hAnsi="宋体" w:eastAsia="宋体" w:cs="宋体"/>
          <w:spacing w:val="-3"/>
          <w:sz w:val="24"/>
          <w:szCs w:val="24"/>
        </w:rPr>
        <w:t>月均匀投入。</w:t>
      </w:r>
    </w:p>
    <w:p w14:paraId="0B9B5105">
      <w:pPr>
        <w:spacing w:before="62" w:line="219" w:lineRule="auto"/>
        <w:ind w:left="714"/>
        <w:rPr>
          <w:rFonts w:ascii="宋体" w:hAnsi="宋体" w:eastAsia="宋体" w:cs="宋体"/>
          <w:sz w:val="24"/>
          <w:szCs w:val="24"/>
        </w:rPr>
      </w:pPr>
      <w:r>
        <w:rPr>
          <w:rFonts w:ascii="宋体" w:hAnsi="宋体" w:eastAsia="宋体" w:cs="宋体"/>
          <w:spacing w:val="4"/>
          <w:sz w:val="24"/>
          <w:szCs w:val="24"/>
        </w:rPr>
        <w:t>(详见附表二、附表四)</w:t>
      </w:r>
    </w:p>
    <w:p w14:paraId="51117972">
      <w:pPr>
        <w:spacing w:before="217" w:line="219" w:lineRule="auto"/>
        <w:ind w:left="585"/>
        <w:rPr>
          <w:rFonts w:ascii="宋体" w:hAnsi="宋体" w:eastAsia="宋体" w:cs="宋体"/>
          <w:sz w:val="24"/>
          <w:szCs w:val="24"/>
        </w:rPr>
      </w:pPr>
      <w:r>
        <w:rPr>
          <w:rFonts w:ascii="宋体" w:hAnsi="宋体" w:eastAsia="宋体" w:cs="宋体"/>
          <w:spacing w:val="4"/>
          <w:sz w:val="24"/>
          <w:szCs w:val="24"/>
        </w:rPr>
        <w:t>10.11.2无形资产投资</w:t>
      </w:r>
    </w:p>
    <w:p w14:paraId="730128CF">
      <w:pPr>
        <w:spacing w:before="202" w:line="386" w:lineRule="auto"/>
        <w:ind w:left="94" w:right="45" w:firstLine="490"/>
        <w:rPr>
          <w:rFonts w:ascii="宋体" w:hAnsi="宋体" w:eastAsia="宋体" w:cs="宋体"/>
          <w:sz w:val="24"/>
          <w:szCs w:val="24"/>
        </w:rPr>
      </w:pPr>
      <w:r>
        <w:rPr>
          <w:rFonts w:ascii="宋体" w:hAnsi="宋体" w:eastAsia="宋体" w:cs="宋体"/>
          <w:spacing w:val="1"/>
          <w:sz w:val="24"/>
          <w:szCs w:val="24"/>
        </w:rPr>
        <w:t>根据《矿业权出让收益评估应用指南(试行)》,土地使用权投资或土地费用，</w:t>
      </w:r>
      <w:r>
        <w:rPr>
          <w:rFonts w:ascii="宋体" w:hAnsi="宋体" w:eastAsia="宋体" w:cs="宋体"/>
          <w:spacing w:val="3"/>
          <w:sz w:val="24"/>
          <w:szCs w:val="24"/>
        </w:rPr>
        <w:t xml:space="preserve"> </w:t>
      </w:r>
      <w:r>
        <w:rPr>
          <w:rFonts w:ascii="宋体" w:hAnsi="宋体" w:eastAsia="宋体" w:cs="宋体"/>
          <w:spacing w:val="-6"/>
          <w:sz w:val="24"/>
          <w:szCs w:val="24"/>
        </w:rPr>
        <w:t>按照矿山土地使用方式的不同，分别处理。根</w:t>
      </w:r>
      <w:r>
        <w:rPr>
          <w:rFonts w:ascii="宋体" w:hAnsi="宋体" w:eastAsia="宋体" w:cs="宋体"/>
          <w:spacing w:val="-7"/>
          <w:sz w:val="24"/>
          <w:szCs w:val="24"/>
        </w:rPr>
        <w:t>据《矿业权评估参数确定指导意见》,</w:t>
      </w:r>
      <w:r>
        <w:rPr>
          <w:rFonts w:ascii="宋体" w:hAnsi="宋体" w:eastAsia="宋体" w:cs="宋体"/>
          <w:sz w:val="24"/>
          <w:szCs w:val="24"/>
        </w:rPr>
        <w:t xml:space="preserve"> </w:t>
      </w:r>
      <w:r>
        <w:rPr>
          <w:rFonts w:ascii="宋体" w:hAnsi="宋体" w:eastAsia="宋体" w:cs="宋体"/>
          <w:spacing w:val="3"/>
          <w:sz w:val="24"/>
          <w:szCs w:val="24"/>
        </w:rPr>
        <w:t>租赁使用土地，不论租赁国家所有、农村集体所有，还是其他使用</w:t>
      </w:r>
      <w:r>
        <w:rPr>
          <w:rFonts w:ascii="宋体" w:hAnsi="宋体" w:eastAsia="宋体" w:cs="宋体"/>
          <w:spacing w:val="2"/>
          <w:sz w:val="24"/>
          <w:szCs w:val="24"/>
        </w:rPr>
        <w:t>者的土地，分</w:t>
      </w:r>
      <w:r>
        <w:rPr>
          <w:rFonts w:ascii="宋体" w:hAnsi="宋体" w:eastAsia="宋体" w:cs="宋体"/>
          <w:sz w:val="24"/>
          <w:szCs w:val="24"/>
        </w:rPr>
        <w:t xml:space="preserve"> </w:t>
      </w:r>
      <w:r>
        <w:rPr>
          <w:rFonts w:ascii="宋体" w:hAnsi="宋体" w:eastAsia="宋体" w:cs="宋体"/>
          <w:spacing w:val="-1"/>
          <w:sz w:val="24"/>
          <w:szCs w:val="24"/>
        </w:rPr>
        <w:t>年支付租赁费时，将土地租赁费计入当期成本费用。</w:t>
      </w:r>
    </w:p>
    <w:p w14:paraId="7ED51BDC">
      <w:pPr>
        <w:spacing w:before="4" w:line="218" w:lineRule="auto"/>
        <w:ind w:left="585"/>
        <w:rPr>
          <w:rFonts w:ascii="宋体" w:hAnsi="宋体" w:eastAsia="宋体" w:cs="宋体"/>
          <w:sz w:val="24"/>
          <w:szCs w:val="24"/>
        </w:rPr>
      </w:pPr>
      <w:r>
        <w:rPr>
          <w:rFonts w:ascii="宋体" w:hAnsi="宋体" w:eastAsia="宋体" w:cs="宋体"/>
          <w:spacing w:val="-1"/>
          <w:sz w:val="24"/>
          <w:szCs w:val="24"/>
        </w:rPr>
        <w:t>本次评估矿山土地以租赁形式投入，土地租赁费在成本中计算。</w:t>
      </w:r>
    </w:p>
    <w:p w14:paraId="2712D951">
      <w:pPr>
        <w:spacing w:before="216" w:line="218" w:lineRule="auto"/>
        <w:ind w:left="585"/>
        <w:rPr>
          <w:rFonts w:ascii="宋体" w:hAnsi="宋体" w:eastAsia="宋体" w:cs="宋体"/>
          <w:sz w:val="24"/>
          <w:szCs w:val="24"/>
        </w:rPr>
      </w:pPr>
      <w:r>
        <w:rPr>
          <w:rFonts w:ascii="宋体" w:hAnsi="宋体" w:eastAsia="宋体" w:cs="宋体"/>
          <w:spacing w:val="5"/>
          <w:sz w:val="24"/>
          <w:szCs w:val="24"/>
        </w:rPr>
        <w:t>10.11.3流动资金估算</w:t>
      </w:r>
    </w:p>
    <w:p w14:paraId="7E18C03A">
      <w:pPr>
        <w:spacing w:before="190" w:line="365" w:lineRule="auto"/>
        <w:ind w:left="94" w:right="89" w:firstLine="490"/>
        <w:rPr>
          <w:rFonts w:ascii="Times New Roman" w:hAnsi="Times New Roman" w:eastAsia="Times New Roman" w:cs="Times New Roman"/>
          <w:sz w:val="24"/>
          <w:szCs w:val="24"/>
        </w:rPr>
      </w:pPr>
      <w:r>
        <w:rPr>
          <w:rFonts w:ascii="宋体" w:hAnsi="宋体" w:eastAsia="宋体" w:cs="宋体"/>
          <w:spacing w:val="3"/>
          <w:sz w:val="24"/>
          <w:szCs w:val="24"/>
        </w:rPr>
        <w:t>流动资金是企业维持生产正常运营所需的周转资金，是企业进行生产和经营</w:t>
      </w:r>
      <w:r>
        <w:rPr>
          <w:rFonts w:ascii="宋体" w:hAnsi="宋体" w:eastAsia="宋体" w:cs="宋体"/>
          <w:spacing w:val="15"/>
          <w:sz w:val="24"/>
          <w:szCs w:val="24"/>
        </w:rPr>
        <w:t xml:space="preserve"> </w:t>
      </w:r>
      <w:r>
        <w:rPr>
          <w:rFonts w:ascii="宋体" w:hAnsi="宋体" w:eastAsia="宋体" w:cs="宋体"/>
          <w:sz w:val="24"/>
          <w:szCs w:val="24"/>
        </w:rPr>
        <w:t>活动的必要条件。根据《矿业权评估参数确定指导意见》(</w:t>
      </w:r>
      <w:r>
        <w:rPr>
          <w:rFonts w:ascii="宋体" w:hAnsi="宋体" w:eastAsia="宋体" w:cs="宋体"/>
          <w:spacing w:val="-39"/>
          <w:sz w:val="24"/>
          <w:szCs w:val="24"/>
        </w:rPr>
        <w:t xml:space="preserve"> </w:t>
      </w:r>
      <w:r>
        <w:rPr>
          <w:rFonts w:ascii="Times New Roman" w:hAnsi="Times New Roman" w:eastAsia="Times New Roman" w:cs="Times New Roman"/>
          <w:sz w:val="24"/>
          <w:szCs w:val="24"/>
        </w:rPr>
        <w:t>CMVS   30800-2008),</w:t>
      </w:r>
    </w:p>
    <w:p w14:paraId="651A499C">
      <w:pPr>
        <w:spacing w:line="365" w:lineRule="auto"/>
        <w:rPr>
          <w:rFonts w:ascii="Times New Roman" w:hAnsi="Times New Roman" w:eastAsia="Times New Roman" w:cs="Times New Roman"/>
          <w:sz w:val="24"/>
          <w:szCs w:val="24"/>
        </w:rPr>
        <w:sectPr>
          <w:headerReference r:id="rId100" w:type="default"/>
          <w:footerReference r:id="rId101" w:type="default"/>
          <w:pgSz w:w="11900" w:h="16830"/>
          <w:pgMar w:top="1177" w:right="1405" w:bottom="1279" w:left="1784" w:header="900" w:footer="928" w:gutter="0"/>
          <w:cols w:space="720" w:num="1"/>
        </w:sectPr>
      </w:pPr>
    </w:p>
    <w:p w14:paraId="4C954B7C">
      <w:pPr>
        <w:pStyle w:val="2"/>
        <w:spacing w:line="330" w:lineRule="auto"/>
      </w:pPr>
    </w:p>
    <w:p w14:paraId="23699852">
      <w:pPr>
        <w:spacing w:before="78" w:line="374" w:lineRule="auto"/>
        <w:ind w:left="94" w:right="186"/>
        <w:rPr>
          <w:rFonts w:ascii="宋体" w:hAnsi="宋体" w:eastAsia="宋体" w:cs="宋体"/>
          <w:sz w:val="24"/>
          <w:szCs w:val="24"/>
        </w:rPr>
      </w:pPr>
      <w:bookmarkStart w:id="52" w:name="bookmark65"/>
      <w:bookmarkEnd w:id="52"/>
      <w:r>
        <w:rPr>
          <w:rFonts w:ascii="宋体" w:hAnsi="宋体" w:eastAsia="宋体" w:cs="宋体"/>
          <w:spacing w:val="-1"/>
          <w:sz w:val="24"/>
          <w:szCs w:val="24"/>
        </w:rPr>
        <w:t>流动资金可按扩大指标法估算。金属矿山流动资金额一般为固定资产</w:t>
      </w:r>
      <w:r>
        <w:rPr>
          <w:rFonts w:ascii="宋体" w:hAnsi="宋体" w:eastAsia="宋体" w:cs="宋体"/>
          <w:spacing w:val="-2"/>
          <w:sz w:val="24"/>
          <w:szCs w:val="24"/>
        </w:rPr>
        <w:t>的15%—20%,</w:t>
      </w:r>
      <w:r>
        <w:rPr>
          <w:rFonts w:ascii="宋体" w:hAnsi="宋体" w:eastAsia="宋体" w:cs="宋体"/>
          <w:sz w:val="24"/>
          <w:szCs w:val="24"/>
        </w:rPr>
        <w:t xml:space="preserve"> 富乐铅锌矿储量及规模均为小型矿山，本次评估按15%取</w:t>
      </w:r>
      <w:r>
        <w:rPr>
          <w:rFonts w:ascii="宋体" w:hAnsi="宋体" w:eastAsia="宋体" w:cs="宋体"/>
          <w:spacing w:val="-1"/>
          <w:sz w:val="24"/>
          <w:szCs w:val="24"/>
        </w:rPr>
        <w:t>值。</w:t>
      </w:r>
    </w:p>
    <w:p w14:paraId="6FD54432">
      <w:pPr>
        <w:spacing w:line="219" w:lineRule="auto"/>
        <w:ind w:left="604"/>
        <w:rPr>
          <w:rFonts w:ascii="宋体" w:hAnsi="宋体" w:eastAsia="宋体" w:cs="宋体"/>
          <w:sz w:val="24"/>
          <w:szCs w:val="24"/>
        </w:rPr>
      </w:pPr>
      <w:r>
        <w:rPr>
          <w:rFonts w:ascii="宋体" w:hAnsi="宋体" w:eastAsia="宋体" w:cs="宋体"/>
          <w:spacing w:val="4"/>
          <w:sz w:val="24"/>
          <w:szCs w:val="24"/>
        </w:rPr>
        <w:t>流动资金额=固定资产投资额×固定资产资金率</w:t>
      </w:r>
    </w:p>
    <w:p w14:paraId="2F000ADC">
      <w:pPr>
        <w:spacing w:before="291" w:line="188" w:lineRule="auto"/>
        <w:ind w:left="186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=10,386.99×15%</w:t>
      </w:r>
    </w:p>
    <w:p w14:paraId="153F5DB2">
      <w:pPr>
        <w:spacing w:before="254" w:line="216" w:lineRule="auto"/>
        <w:ind w:left="1844"/>
        <w:rPr>
          <w:rFonts w:ascii="宋体" w:hAnsi="宋体" w:eastAsia="宋体" w:cs="宋体"/>
          <w:sz w:val="24"/>
          <w:szCs w:val="24"/>
        </w:rPr>
      </w:pPr>
      <w:r>
        <w:rPr>
          <w:rFonts w:ascii="宋体" w:hAnsi="宋体" w:eastAsia="宋体" w:cs="宋体"/>
          <w:spacing w:val="12"/>
          <w:sz w:val="24"/>
          <w:szCs w:val="24"/>
        </w:rPr>
        <w:t>=1,</w:t>
      </w:r>
      <w:r>
        <w:rPr>
          <w:rFonts w:ascii="宋体" w:hAnsi="宋体" w:eastAsia="宋体" w:cs="宋体"/>
          <w:spacing w:val="-25"/>
          <w:sz w:val="24"/>
          <w:szCs w:val="24"/>
        </w:rPr>
        <w:t xml:space="preserve"> </w:t>
      </w:r>
      <w:r>
        <w:rPr>
          <w:rFonts w:ascii="宋体" w:hAnsi="宋体" w:eastAsia="宋体" w:cs="宋体"/>
          <w:spacing w:val="12"/>
          <w:sz w:val="24"/>
          <w:szCs w:val="24"/>
        </w:rPr>
        <w:t>558.05(万元)</w:t>
      </w:r>
    </w:p>
    <w:p w14:paraId="7388D0CB">
      <w:pPr>
        <w:spacing w:before="206" w:line="368" w:lineRule="auto"/>
        <w:ind w:left="94" w:right="159" w:firstLine="510"/>
        <w:jc w:val="both"/>
        <w:rPr>
          <w:rFonts w:ascii="宋体" w:hAnsi="宋体" w:eastAsia="宋体" w:cs="宋体"/>
          <w:sz w:val="25"/>
          <w:szCs w:val="25"/>
        </w:rPr>
      </w:pPr>
      <w:r>
        <w:rPr>
          <w:rFonts w:ascii="宋体" w:hAnsi="宋体" w:eastAsia="宋体" w:cs="宋体"/>
          <w:spacing w:val="3"/>
          <w:sz w:val="25"/>
          <w:szCs w:val="25"/>
        </w:rPr>
        <w:t>其中：原有尾矿库流动资金357.54万元(=2,383.61</w:t>
      </w:r>
      <w:r>
        <w:rPr>
          <w:rFonts w:ascii="宋体" w:hAnsi="宋体" w:eastAsia="宋体" w:cs="宋体"/>
          <w:spacing w:val="2"/>
          <w:sz w:val="25"/>
          <w:szCs w:val="25"/>
        </w:rPr>
        <w:t>×15%),新增尾矿库流</w:t>
      </w:r>
      <w:r>
        <w:rPr>
          <w:rFonts w:ascii="宋体" w:hAnsi="宋体" w:eastAsia="宋体" w:cs="宋体"/>
          <w:sz w:val="25"/>
          <w:szCs w:val="25"/>
        </w:rPr>
        <w:t xml:space="preserve"> </w:t>
      </w:r>
      <w:r>
        <w:rPr>
          <w:rFonts w:ascii="宋体" w:hAnsi="宋体" w:eastAsia="宋体" w:cs="宋体"/>
          <w:spacing w:val="5"/>
          <w:sz w:val="25"/>
          <w:szCs w:val="25"/>
        </w:rPr>
        <w:t>动资金267.81万元。本次评估流动资金1,290.24万元在生产期第一年投入(=</w:t>
      </w:r>
      <w:r>
        <w:rPr>
          <w:rFonts w:ascii="宋体" w:hAnsi="宋体" w:eastAsia="宋体" w:cs="宋体"/>
          <w:spacing w:val="2"/>
          <w:sz w:val="25"/>
          <w:szCs w:val="25"/>
        </w:rPr>
        <w:t xml:space="preserve"> 1,558.05—267.81),新增尾矿库流动资金在2026年8月投入267</w:t>
      </w:r>
      <w:r>
        <w:rPr>
          <w:rFonts w:ascii="宋体" w:hAnsi="宋体" w:eastAsia="宋体" w:cs="宋体"/>
          <w:spacing w:val="1"/>
          <w:sz w:val="25"/>
          <w:szCs w:val="25"/>
        </w:rPr>
        <w:t>.81万元。原有</w:t>
      </w:r>
      <w:r>
        <w:rPr>
          <w:rFonts w:ascii="宋体" w:hAnsi="宋体" w:eastAsia="宋体" w:cs="宋体"/>
          <w:sz w:val="25"/>
          <w:szCs w:val="25"/>
        </w:rPr>
        <w:t xml:space="preserve"> </w:t>
      </w:r>
      <w:r>
        <w:rPr>
          <w:rFonts w:ascii="宋体" w:hAnsi="宋体" w:eastAsia="宋体" w:cs="宋体"/>
          <w:spacing w:val="2"/>
          <w:sz w:val="25"/>
          <w:szCs w:val="25"/>
        </w:rPr>
        <w:t>尾矿库在2026年7月回收357.54万元，剩余流动资金在评估计算期末2032年11</w:t>
      </w:r>
      <w:r>
        <w:rPr>
          <w:rFonts w:ascii="宋体" w:hAnsi="宋体" w:eastAsia="宋体" w:cs="宋体"/>
          <w:spacing w:val="15"/>
          <w:sz w:val="25"/>
          <w:szCs w:val="25"/>
        </w:rPr>
        <w:t xml:space="preserve"> </w:t>
      </w:r>
      <w:r>
        <w:rPr>
          <w:rFonts w:ascii="宋体" w:hAnsi="宋体" w:eastAsia="宋体" w:cs="宋体"/>
          <w:spacing w:val="4"/>
          <w:sz w:val="25"/>
          <w:szCs w:val="25"/>
        </w:rPr>
        <w:t>月回收1,200.51万元(=1,558.05—357.54)。</w:t>
      </w:r>
    </w:p>
    <w:p w14:paraId="6B31218D">
      <w:pPr>
        <w:spacing w:before="42" w:line="218" w:lineRule="auto"/>
        <w:ind w:left="604"/>
        <w:outlineLvl w:val="1"/>
        <w:rPr>
          <w:rFonts w:ascii="宋体" w:hAnsi="宋体" w:eastAsia="宋体" w:cs="宋体"/>
          <w:sz w:val="24"/>
          <w:szCs w:val="24"/>
        </w:rPr>
      </w:pPr>
      <w:bookmarkStart w:id="53" w:name="bookmark35"/>
      <w:bookmarkEnd w:id="53"/>
      <w:r>
        <w:rPr>
          <w:rFonts w:ascii="宋体" w:hAnsi="宋体" w:eastAsia="宋体" w:cs="宋体"/>
          <w:spacing w:val="6"/>
          <w:sz w:val="24"/>
          <w:szCs w:val="24"/>
        </w:rPr>
        <w:t>10.12成本估算</w:t>
      </w:r>
    </w:p>
    <w:p w14:paraId="78AB237B">
      <w:pPr>
        <w:spacing w:before="256" w:line="218" w:lineRule="auto"/>
        <w:ind w:left="604"/>
        <w:rPr>
          <w:rFonts w:ascii="宋体" w:hAnsi="宋体" w:eastAsia="宋体" w:cs="宋体"/>
          <w:sz w:val="24"/>
          <w:szCs w:val="24"/>
        </w:rPr>
      </w:pPr>
      <w:r>
        <w:rPr>
          <w:rFonts w:ascii="宋体" w:hAnsi="宋体" w:eastAsia="宋体" w:cs="宋体"/>
          <w:spacing w:val="2"/>
          <w:sz w:val="24"/>
          <w:szCs w:val="24"/>
        </w:rPr>
        <w:t>10.12.1关于成本估算的原则与方法的说明</w:t>
      </w:r>
    </w:p>
    <w:p w14:paraId="0C8A6B4A">
      <w:pPr>
        <w:spacing w:before="205" w:line="385" w:lineRule="auto"/>
        <w:ind w:left="94" w:right="241" w:firstLine="510"/>
        <w:rPr>
          <w:rFonts w:ascii="宋体" w:hAnsi="宋体" w:eastAsia="宋体" w:cs="宋体"/>
          <w:sz w:val="24"/>
          <w:szCs w:val="24"/>
        </w:rPr>
      </w:pPr>
      <w:r>
        <w:rPr>
          <w:rFonts w:ascii="宋体" w:hAnsi="宋体" w:eastAsia="宋体" w:cs="宋体"/>
          <w:spacing w:val="-8"/>
          <w:sz w:val="24"/>
          <w:szCs w:val="24"/>
        </w:rPr>
        <w:t>本项目评估成本费用的各项指标主要依据“开发利用方案”、“开发利用方案</w:t>
      </w:r>
      <w:r>
        <w:rPr>
          <w:rFonts w:ascii="宋体" w:hAnsi="宋体" w:eastAsia="宋体" w:cs="宋体"/>
          <w:spacing w:val="12"/>
          <w:sz w:val="24"/>
          <w:szCs w:val="24"/>
        </w:rPr>
        <w:t xml:space="preserve"> </w:t>
      </w:r>
      <w:r>
        <w:rPr>
          <w:rFonts w:ascii="宋体" w:hAnsi="宋体" w:eastAsia="宋体" w:cs="宋体"/>
          <w:spacing w:val="-6"/>
          <w:sz w:val="24"/>
          <w:szCs w:val="24"/>
        </w:rPr>
        <w:t>修编”选取，个别参数依据《矿业权评估参数确定指导意见》、国</w:t>
      </w:r>
      <w:r>
        <w:rPr>
          <w:rFonts w:ascii="宋体" w:hAnsi="宋体" w:eastAsia="宋体" w:cs="宋体"/>
          <w:spacing w:val="-7"/>
          <w:sz w:val="24"/>
          <w:szCs w:val="24"/>
        </w:rPr>
        <w:t>家及地方财税的</w:t>
      </w:r>
      <w:r>
        <w:rPr>
          <w:rFonts w:ascii="宋体" w:hAnsi="宋体" w:eastAsia="宋体" w:cs="宋体"/>
          <w:sz w:val="24"/>
          <w:szCs w:val="24"/>
        </w:rPr>
        <w:t xml:space="preserve"> 有关规定确定，以此测算评估基准日后未来矿山生产</w:t>
      </w:r>
      <w:r>
        <w:rPr>
          <w:rFonts w:ascii="宋体" w:hAnsi="宋体" w:eastAsia="宋体" w:cs="宋体"/>
          <w:spacing w:val="-1"/>
          <w:sz w:val="24"/>
          <w:szCs w:val="24"/>
        </w:rPr>
        <w:t>年限内的采选成本费用。</w:t>
      </w:r>
    </w:p>
    <w:p w14:paraId="6D6EAFCC">
      <w:pPr>
        <w:spacing w:before="1" w:line="217" w:lineRule="auto"/>
        <w:ind w:left="734"/>
        <w:rPr>
          <w:rFonts w:ascii="宋体" w:hAnsi="宋体" w:eastAsia="宋体" w:cs="宋体"/>
          <w:sz w:val="24"/>
          <w:szCs w:val="24"/>
        </w:rPr>
      </w:pPr>
      <w:r>
        <w:rPr>
          <w:rFonts w:ascii="宋体" w:hAnsi="宋体" w:eastAsia="宋体" w:cs="宋体"/>
          <w:spacing w:val="-1"/>
          <w:sz w:val="24"/>
          <w:szCs w:val="24"/>
        </w:rPr>
        <w:t>评估对象成本费用的各项指标主要依据如下：</w:t>
      </w:r>
    </w:p>
    <w:p w14:paraId="3BBF3DA9">
      <w:pPr>
        <w:spacing w:before="228" w:line="373" w:lineRule="auto"/>
        <w:ind w:left="94" w:right="192" w:firstLine="710"/>
        <w:rPr>
          <w:rFonts w:ascii="宋体" w:hAnsi="宋体" w:eastAsia="宋体" w:cs="宋体"/>
          <w:sz w:val="24"/>
          <w:szCs w:val="24"/>
        </w:rPr>
      </w:pPr>
      <w:r>
        <w:rPr>
          <w:rFonts w:ascii="Times New Roman" w:hAnsi="Times New Roman" w:eastAsia="Times New Roman" w:cs="Times New Roman"/>
          <w:spacing w:val="-10"/>
          <w:sz w:val="24"/>
          <w:szCs w:val="24"/>
        </w:rPr>
        <w:t>I</w:t>
      </w:r>
      <w:r>
        <w:rPr>
          <w:rFonts w:ascii="Times New Roman" w:hAnsi="Times New Roman" w:eastAsia="Times New Roman" w:cs="Times New Roman"/>
          <w:spacing w:val="-20"/>
          <w:sz w:val="24"/>
          <w:szCs w:val="24"/>
        </w:rPr>
        <w:t xml:space="preserve"> </w:t>
      </w:r>
      <w:r>
        <w:rPr>
          <w:rFonts w:ascii="宋体" w:hAnsi="宋体" w:eastAsia="宋体" w:cs="宋体"/>
          <w:spacing w:val="-10"/>
          <w:sz w:val="24"/>
          <w:szCs w:val="24"/>
        </w:rPr>
        <w:t>、</w:t>
      </w:r>
      <w:r>
        <w:rPr>
          <w:rFonts w:ascii="宋体" w:hAnsi="宋体" w:eastAsia="宋体" w:cs="宋体"/>
          <w:spacing w:val="-64"/>
          <w:sz w:val="24"/>
          <w:szCs w:val="24"/>
        </w:rPr>
        <w:t xml:space="preserve"> </w:t>
      </w:r>
      <w:r>
        <w:rPr>
          <w:rFonts w:ascii="宋体" w:hAnsi="宋体" w:eastAsia="宋体" w:cs="宋体"/>
          <w:spacing w:val="-10"/>
          <w:sz w:val="24"/>
          <w:szCs w:val="24"/>
        </w:rPr>
        <w:t>采选成本主要依据“开发利用方案”、“开发利用方案修编“进行分析后</w:t>
      </w:r>
      <w:r>
        <w:rPr>
          <w:rFonts w:ascii="宋体" w:hAnsi="宋体" w:eastAsia="宋体" w:cs="宋体"/>
          <w:sz w:val="24"/>
          <w:szCs w:val="24"/>
        </w:rPr>
        <w:t xml:space="preserve"> </w:t>
      </w:r>
      <w:r>
        <w:rPr>
          <w:rFonts w:ascii="宋体" w:hAnsi="宋体" w:eastAsia="宋体" w:cs="宋体"/>
          <w:spacing w:val="-5"/>
          <w:sz w:val="24"/>
          <w:szCs w:val="24"/>
        </w:rPr>
        <w:t>合理确定；</w:t>
      </w:r>
    </w:p>
    <w:p w14:paraId="26D8564A">
      <w:pPr>
        <w:spacing w:before="10" w:line="307" w:lineRule="auto"/>
        <w:ind w:left="94" w:right="200" w:firstLine="670"/>
        <w:rPr>
          <w:rFonts w:ascii="宋体" w:hAnsi="宋体" w:eastAsia="宋体" w:cs="宋体"/>
          <w:sz w:val="24"/>
          <w:szCs w:val="24"/>
        </w:rPr>
      </w:pPr>
      <w:r>
        <w:rPr>
          <w:rFonts w:ascii="宋体" w:hAnsi="宋体" w:eastAsia="宋体" w:cs="宋体"/>
          <w:spacing w:val="-4"/>
          <w:sz w:val="24"/>
          <w:szCs w:val="24"/>
        </w:rPr>
        <w:t>Ⅱ、维简费、安全费等依据《矿业权评估参数确定指导意见》及国家现行财</w:t>
      </w:r>
      <w:r>
        <w:rPr>
          <w:rFonts w:ascii="宋体" w:hAnsi="宋体" w:eastAsia="宋体" w:cs="宋体"/>
          <w:sz w:val="24"/>
          <w:szCs w:val="24"/>
        </w:rPr>
        <w:t xml:space="preserve"> 税的有关规定确定；</w:t>
      </w:r>
    </w:p>
    <w:p w14:paraId="513B4DB3">
      <w:pPr>
        <w:spacing w:before="222" w:line="219" w:lineRule="auto"/>
        <w:ind w:left="604"/>
        <w:rPr>
          <w:rFonts w:ascii="宋体" w:hAnsi="宋体" w:eastAsia="宋体" w:cs="宋体"/>
          <w:sz w:val="24"/>
          <w:szCs w:val="24"/>
        </w:rPr>
      </w:pPr>
      <w:r>
        <w:rPr>
          <w:rFonts w:ascii="宋体" w:hAnsi="宋体" w:eastAsia="宋体" w:cs="宋体"/>
          <w:spacing w:val="6"/>
          <w:sz w:val="24"/>
          <w:szCs w:val="24"/>
        </w:rPr>
        <w:t>10.12.2外购材料费</w:t>
      </w:r>
    </w:p>
    <w:p w14:paraId="368940DD">
      <w:pPr>
        <w:spacing w:before="213" w:line="382" w:lineRule="auto"/>
        <w:ind w:left="94" w:right="97" w:firstLine="510"/>
        <w:jc w:val="both"/>
        <w:rPr>
          <w:rFonts w:ascii="宋体" w:hAnsi="宋体" w:eastAsia="宋体" w:cs="宋体"/>
          <w:sz w:val="24"/>
          <w:szCs w:val="24"/>
        </w:rPr>
      </w:pPr>
      <w:r>
        <w:rPr>
          <w:rFonts w:ascii="宋体" w:hAnsi="宋体" w:eastAsia="宋体" w:cs="宋体"/>
          <w:spacing w:val="7"/>
          <w:sz w:val="24"/>
          <w:szCs w:val="24"/>
        </w:rPr>
        <w:t>根据“开发利用方案”(详见附件十：74),单位原矿采选环节外购材料费为</w:t>
      </w:r>
      <w:r>
        <w:rPr>
          <w:rFonts w:ascii="宋体" w:hAnsi="宋体" w:eastAsia="宋体" w:cs="宋体"/>
          <w:spacing w:val="6"/>
          <w:sz w:val="24"/>
          <w:szCs w:val="24"/>
        </w:rPr>
        <w:t xml:space="preserve"> </w:t>
      </w:r>
      <w:r>
        <w:rPr>
          <w:rFonts w:ascii="宋体" w:hAnsi="宋体" w:eastAsia="宋体" w:cs="宋体"/>
          <w:spacing w:val="9"/>
          <w:sz w:val="24"/>
          <w:szCs w:val="24"/>
        </w:rPr>
        <w:t>65.06元/吨(含税),则本次评估确定采选环节不含税单位外购</w:t>
      </w:r>
      <w:r>
        <w:rPr>
          <w:rFonts w:ascii="宋体" w:hAnsi="宋体" w:eastAsia="宋体" w:cs="宋体"/>
          <w:spacing w:val="8"/>
          <w:sz w:val="24"/>
          <w:szCs w:val="24"/>
        </w:rPr>
        <w:t>材料费为57.58元</w:t>
      </w:r>
      <w:r>
        <w:rPr>
          <w:rFonts w:ascii="宋体" w:hAnsi="宋体" w:eastAsia="宋体" w:cs="宋体"/>
          <w:sz w:val="24"/>
          <w:szCs w:val="24"/>
        </w:rPr>
        <w:t xml:space="preserve"> </w:t>
      </w:r>
      <w:r>
        <w:rPr>
          <w:rFonts w:ascii="宋体" w:hAnsi="宋体" w:eastAsia="宋体" w:cs="宋体"/>
          <w:spacing w:val="15"/>
          <w:sz w:val="24"/>
          <w:szCs w:val="24"/>
        </w:rPr>
        <w:t>/吨(=65.06÷1.13)。</w:t>
      </w:r>
    </w:p>
    <w:p w14:paraId="560608A9">
      <w:pPr>
        <w:spacing w:before="12" w:line="219" w:lineRule="auto"/>
        <w:ind w:left="604"/>
        <w:rPr>
          <w:rFonts w:ascii="宋体" w:hAnsi="宋体" w:eastAsia="宋体" w:cs="宋体"/>
          <w:sz w:val="24"/>
          <w:szCs w:val="24"/>
        </w:rPr>
      </w:pPr>
      <w:r>
        <w:rPr>
          <w:rFonts w:ascii="宋体" w:hAnsi="宋体" w:eastAsia="宋体" w:cs="宋体"/>
          <w:spacing w:val="6"/>
          <w:sz w:val="24"/>
          <w:szCs w:val="24"/>
        </w:rPr>
        <w:t>正常生产年份外购材料费=年原矿产量×单位外购材料费</w:t>
      </w:r>
    </w:p>
    <w:p w14:paraId="1B903D0D">
      <w:pPr>
        <w:spacing w:before="270" w:line="188" w:lineRule="auto"/>
        <w:ind w:left="335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=10×57.58</w:t>
      </w:r>
    </w:p>
    <w:p w14:paraId="6857389E">
      <w:pPr>
        <w:spacing w:before="212" w:line="220" w:lineRule="auto"/>
        <w:ind w:left="3344"/>
        <w:rPr>
          <w:rFonts w:ascii="宋体" w:hAnsi="宋体" w:eastAsia="宋体" w:cs="宋体"/>
          <w:sz w:val="24"/>
          <w:szCs w:val="24"/>
        </w:rPr>
      </w:pPr>
      <w:r>
        <w:rPr>
          <w:rFonts w:ascii="宋体" w:hAnsi="宋体" w:eastAsia="宋体" w:cs="宋体"/>
          <w:spacing w:val="20"/>
          <w:sz w:val="24"/>
          <w:szCs w:val="24"/>
        </w:rPr>
        <w:t>=575.80万元</w:t>
      </w:r>
    </w:p>
    <w:p w14:paraId="470F3AAF">
      <w:pPr>
        <w:spacing w:line="220" w:lineRule="auto"/>
        <w:rPr>
          <w:rFonts w:ascii="宋体" w:hAnsi="宋体" w:eastAsia="宋体" w:cs="宋体"/>
          <w:sz w:val="24"/>
          <w:szCs w:val="24"/>
        </w:rPr>
        <w:sectPr>
          <w:headerReference r:id="rId102" w:type="default"/>
          <w:footerReference r:id="rId103" w:type="default"/>
          <w:pgSz w:w="11900" w:h="16830"/>
          <w:pgMar w:top="1227" w:right="1360" w:bottom="1310" w:left="1785" w:header="950" w:footer="968" w:gutter="0"/>
          <w:cols w:space="720" w:num="1"/>
        </w:sectPr>
      </w:pPr>
    </w:p>
    <w:p w14:paraId="1C0C0D86">
      <w:pPr>
        <w:pStyle w:val="2"/>
        <w:spacing w:line="372" w:lineRule="auto"/>
      </w:pPr>
    </w:p>
    <w:p w14:paraId="6A768442">
      <w:pPr>
        <w:spacing w:before="78" w:line="219" w:lineRule="auto"/>
        <w:ind w:left="585"/>
        <w:rPr>
          <w:rFonts w:ascii="宋体" w:hAnsi="宋体" w:eastAsia="宋体" w:cs="宋体"/>
          <w:sz w:val="24"/>
          <w:szCs w:val="24"/>
        </w:rPr>
      </w:pPr>
      <w:r>
        <w:rPr>
          <w:rFonts w:ascii="宋体" w:hAnsi="宋体" w:eastAsia="宋体" w:cs="宋体"/>
          <w:spacing w:val="1"/>
          <w:sz w:val="24"/>
          <w:szCs w:val="24"/>
        </w:rPr>
        <w:t>10.12.3外购燃料及动力费</w:t>
      </w:r>
    </w:p>
    <w:p w14:paraId="190BE38D">
      <w:pPr>
        <w:spacing w:before="199" w:line="386" w:lineRule="auto"/>
        <w:ind w:left="84" w:right="193" w:firstLine="500"/>
        <w:rPr>
          <w:rFonts w:ascii="宋体" w:hAnsi="宋体" w:eastAsia="宋体" w:cs="宋体"/>
          <w:sz w:val="24"/>
          <w:szCs w:val="24"/>
        </w:rPr>
      </w:pPr>
      <w:r>
        <w:rPr>
          <w:rFonts w:ascii="宋体" w:hAnsi="宋体" w:eastAsia="宋体" w:cs="宋体"/>
          <w:spacing w:val="5"/>
          <w:sz w:val="24"/>
          <w:szCs w:val="24"/>
        </w:rPr>
        <w:t>根据“开发利用方案”(详见附件十：74),单位原矿</w:t>
      </w:r>
      <w:r>
        <w:rPr>
          <w:rFonts w:ascii="宋体" w:hAnsi="宋体" w:eastAsia="宋体" w:cs="宋体"/>
          <w:spacing w:val="4"/>
          <w:sz w:val="24"/>
          <w:szCs w:val="24"/>
        </w:rPr>
        <w:t>采选环节外购燃料及动</w:t>
      </w:r>
      <w:r>
        <w:rPr>
          <w:rFonts w:ascii="宋体" w:hAnsi="宋体" w:eastAsia="宋体" w:cs="宋体"/>
          <w:sz w:val="24"/>
          <w:szCs w:val="24"/>
        </w:rPr>
        <w:t xml:space="preserve"> </w:t>
      </w:r>
      <w:r>
        <w:rPr>
          <w:rFonts w:ascii="宋体" w:hAnsi="宋体" w:eastAsia="宋体" w:cs="宋体"/>
          <w:spacing w:val="8"/>
          <w:sz w:val="24"/>
          <w:szCs w:val="24"/>
        </w:rPr>
        <w:t>力费为93.07</w:t>
      </w:r>
      <w:r>
        <w:rPr>
          <w:rFonts w:ascii="宋体" w:hAnsi="宋体" w:eastAsia="宋体" w:cs="宋体"/>
          <w:spacing w:val="-28"/>
          <w:sz w:val="24"/>
          <w:szCs w:val="24"/>
        </w:rPr>
        <w:t xml:space="preserve"> </w:t>
      </w:r>
      <w:r>
        <w:rPr>
          <w:rFonts w:ascii="宋体" w:hAnsi="宋体" w:eastAsia="宋体" w:cs="宋体"/>
          <w:spacing w:val="8"/>
          <w:sz w:val="24"/>
          <w:szCs w:val="24"/>
        </w:rPr>
        <w:t>元/吨(含税),则本次评估确定采选环节不含税单位外购燃料及动</w:t>
      </w:r>
      <w:r>
        <w:rPr>
          <w:rFonts w:ascii="宋体" w:hAnsi="宋体" w:eastAsia="宋体" w:cs="宋体"/>
          <w:sz w:val="24"/>
          <w:szCs w:val="24"/>
        </w:rPr>
        <w:t xml:space="preserve"> </w:t>
      </w:r>
      <w:r>
        <w:rPr>
          <w:rFonts w:ascii="宋体" w:hAnsi="宋体" w:eastAsia="宋体" w:cs="宋体"/>
          <w:spacing w:val="12"/>
          <w:sz w:val="24"/>
          <w:szCs w:val="24"/>
        </w:rPr>
        <w:t>力费为82.36元/吨(=94.70÷1.13)。</w:t>
      </w:r>
    </w:p>
    <w:p w14:paraId="411B4370">
      <w:pPr>
        <w:pStyle w:val="2"/>
        <w:spacing w:before="1" w:line="400" w:lineRule="auto"/>
        <w:ind w:left="3974" w:right="755" w:hanging="3389"/>
        <w:rPr>
          <w:sz w:val="24"/>
          <w:szCs w:val="24"/>
        </w:rPr>
      </w:pPr>
      <w:r>
        <w:rPr>
          <w:rFonts w:ascii="宋体" w:hAnsi="宋体" w:eastAsia="宋体" w:cs="宋体"/>
          <w:spacing w:val="3"/>
          <w:sz w:val="24"/>
          <w:szCs w:val="24"/>
        </w:rPr>
        <w:t>正常生产年份外购燃料及动力费=年原矿产量×</w:t>
      </w:r>
      <w:r>
        <w:rPr>
          <w:rFonts w:ascii="宋体" w:hAnsi="宋体" w:eastAsia="宋体" w:cs="宋体"/>
          <w:spacing w:val="2"/>
          <w:sz w:val="24"/>
          <w:szCs w:val="24"/>
        </w:rPr>
        <w:t>单位外购燃料及动力费</w:t>
      </w:r>
      <w:r>
        <w:rPr>
          <w:rFonts w:ascii="宋体" w:hAnsi="宋体" w:eastAsia="宋体" w:cs="宋体"/>
          <w:sz w:val="24"/>
          <w:szCs w:val="24"/>
        </w:rPr>
        <w:t xml:space="preserve"> </w:t>
      </w:r>
      <w:r>
        <w:rPr>
          <w:spacing w:val="-5"/>
          <w:sz w:val="24"/>
          <w:szCs w:val="24"/>
        </w:rPr>
        <w:t>=</w:t>
      </w:r>
      <w:r>
        <w:rPr>
          <w:spacing w:val="20"/>
          <w:sz w:val="24"/>
          <w:szCs w:val="24"/>
        </w:rPr>
        <w:t xml:space="preserve"> </w:t>
      </w:r>
      <w:r>
        <w:rPr>
          <w:spacing w:val="-5"/>
          <w:sz w:val="24"/>
          <w:szCs w:val="24"/>
        </w:rPr>
        <w:t>10×82.36</w:t>
      </w:r>
    </w:p>
    <w:p w14:paraId="3D919623">
      <w:pPr>
        <w:spacing w:line="220" w:lineRule="auto"/>
        <w:ind w:left="3974"/>
        <w:rPr>
          <w:rFonts w:ascii="宋体" w:hAnsi="宋体" w:eastAsia="宋体" w:cs="宋体"/>
          <w:sz w:val="24"/>
          <w:szCs w:val="24"/>
        </w:rPr>
      </w:pPr>
      <w:r>
        <w:rPr>
          <w:rFonts w:ascii="宋体" w:hAnsi="宋体" w:eastAsia="宋体" w:cs="宋体"/>
          <w:spacing w:val="17"/>
          <w:sz w:val="24"/>
          <w:szCs w:val="24"/>
        </w:rPr>
        <w:t>=823.60万元</w:t>
      </w:r>
    </w:p>
    <w:p w14:paraId="4C32F875">
      <w:pPr>
        <w:spacing w:before="233" w:line="220" w:lineRule="auto"/>
        <w:ind w:left="585"/>
        <w:rPr>
          <w:rFonts w:ascii="宋体" w:hAnsi="宋体" w:eastAsia="宋体" w:cs="宋体"/>
          <w:sz w:val="24"/>
          <w:szCs w:val="24"/>
        </w:rPr>
      </w:pPr>
      <w:r>
        <w:rPr>
          <w:rFonts w:ascii="宋体" w:hAnsi="宋体" w:eastAsia="宋体" w:cs="宋体"/>
          <w:spacing w:val="4"/>
          <w:sz w:val="24"/>
          <w:szCs w:val="24"/>
        </w:rPr>
        <w:t>10.12.4工资及福利费</w:t>
      </w:r>
    </w:p>
    <w:p w14:paraId="0E696CB3">
      <w:pPr>
        <w:spacing w:before="185" w:line="394" w:lineRule="auto"/>
        <w:ind w:left="84" w:right="196" w:firstLine="500"/>
        <w:rPr>
          <w:rFonts w:ascii="宋体" w:hAnsi="宋体" w:eastAsia="宋体" w:cs="宋体"/>
          <w:sz w:val="24"/>
          <w:szCs w:val="24"/>
        </w:rPr>
      </w:pPr>
      <w:r>
        <w:rPr>
          <w:rFonts w:ascii="宋体" w:hAnsi="宋体" w:eastAsia="宋体" w:cs="宋体"/>
          <w:sz w:val="24"/>
          <w:szCs w:val="24"/>
        </w:rPr>
        <w:t>根据“开发利用方案修编”(详见附件十一：</w:t>
      </w:r>
      <w:r>
        <w:rPr>
          <w:rFonts w:ascii="Times New Roman" w:hAnsi="Times New Roman" w:eastAsia="Times New Roman" w:cs="Times New Roman"/>
          <w:sz w:val="24"/>
          <w:szCs w:val="24"/>
        </w:rPr>
        <w:t xml:space="preserve">P30),  </w:t>
      </w:r>
      <w:r>
        <w:rPr>
          <w:rFonts w:ascii="宋体" w:hAnsi="宋体" w:eastAsia="宋体" w:cs="宋体"/>
          <w:sz w:val="24"/>
          <w:szCs w:val="24"/>
        </w:rPr>
        <w:t>单位原矿采选环节工资及</w:t>
      </w:r>
      <w:r>
        <w:rPr>
          <w:rFonts w:ascii="宋体" w:hAnsi="宋体" w:eastAsia="宋体" w:cs="宋体"/>
          <w:spacing w:val="8"/>
          <w:sz w:val="24"/>
          <w:szCs w:val="24"/>
        </w:rPr>
        <w:t xml:space="preserve"> </w:t>
      </w:r>
      <w:r>
        <w:rPr>
          <w:rFonts w:ascii="宋体" w:hAnsi="宋体" w:eastAsia="宋体" w:cs="宋体"/>
          <w:spacing w:val="5"/>
          <w:sz w:val="24"/>
          <w:szCs w:val="24"/>
        </w:rPr>
        <w:t>福利费为72.00元/吨，则本次评估确定采选环节工资及福利费为72.00元/吨。</w:t>
      </w:r>
    </w:p>
    <w:p w14:paraId="68CE063F">
      <w:pPr>
        <w:pStyle w:val="2"/>
        <w:spacing w:before="3" w:line="430" w:lineRule="auto"/>
        <w:ind w:left="3525" w:right="1685" w:hanging="2940"/>
      </w:pPr>
      <w:r>
        <w:rPr>
          <w:rFonts w:ascii="宋体" w:hAnsi="宋体" w:eastAsia="宋体" w:cs="宋体"/>
          <w:spacing w:val="4"/>
          <w:sz w:val="24"/>
          <w:szCs w:val="24"/>
        </w:rPr>
        <w:t>正常生产年份工资及福利费=年原矿产量×单位工资及福利费</w:t>
      </w:r>
      <w:r>
        <w:rPr>
          <w:rFonts w:ascii="宋体" w:hAnsi="宋体" w:eastAsia="宋体" w:cs="宋体"/>
          <w:spacing w:val="5"/>
          <w:sz w:val="24"/>
          <w:szCs w:val="24"/>
        </w:rPr>
        <w:t xml:space="preserve"> </w:t>
      </w:r>
      <w:r>
        <w:rPr>
          <w:spacing w:val="-2"/>
        </w:rPr>
        <w:t>=10×72</w:t>
      </w:r>
    </w:p>
    <w:p w14:paraId="02DB3344">
      <w:pPr>
        <w:spacing w:line="220" w:lineRule="auto"/>
        <w:ind w:left="3525"/>
        <w:rPr>
          <w:rFonts w:ascii="宋体" w:hAnsi="宋体" w:eastAsia="宋体" w:cs="宋体"/>
          <w:sz w:val="24"/>
          <w:szCs w:val="24"/>
        </w:rPr>
      </w:pPr>
      <w:r>
        <w:rPr>
          <w:rFonts w:ascii="宋体" w:hAnsi="宋体" w:eastAsia="宋体" w:cs="宋体"/>
          <w:spacing w:val="26"/>
          <w:sz w:val="24"/>
          <w:szCs w:val="24"/>
        </w:rPr>
        <w:t>=720万元</w:t>
      </w:r>
    </w:p>
    <w:p w14:paraId="18B6EF0D">
      <w:pPr>
        <w:spacing w:before="233" w:line="219" w:lineRule="auto"/>
        <w:ind w:left="585"/>
        <w:rPr>
          <w:rFonts w:ascii="宋体" w:hAnsi="宋体" w:eastAsia="宋体" w:cs="宋体"/>
          <w:sz w:val="24"/>
          <w:szCs w:val="24"/>
        </w:rPr>
      </w:pPr>
      <w:r>
        <w:rPr>
          <w:rFonts w:ascii="宋体" w:hAnsi="宋体" w:eastAsia="宋体" w:cs="宋体"/>
          <w:spacing w:val="2"/>
          <w:sz w:val="24"/>
          <w:szCs w:val="24"/>
        </w:rPr>
        <w:t>10.12.5折旧费、固定资产更新和回</w:t>
      </w:r>
      <w:r>
        <w:rPr>
          <w:rFonts w:ascii="宋体" w:hAnsi="宋体" w:eastAsia="宋体" w:cs="宋体"/>
          <w:spacing w:val="1"/>
          <w:sz w:val="24"/>
          <w:szCs w:val="24"/>
        </w:rPr>
        <w:t>收固定资产残(余)值</w:t>
      </w:r>
    </w:p>
    <w:p w14:paraId="6958D44D">
      <w:pPr>
        <w:spacing w:before="205" w:line="219" w:lineRule="auto"/>
        <w:ind w:left="745"/>
        <w:rPr>
          <w:rFonts w:ascii="宋体" w:hAnsi="宋体" w:eastAsia="宋体" w:cs="宋体"/>
          <w:sz w:val="24"/>
          <w:szCs w:val="24"/>
        </w:rPr>
      </w:pPr>
      <w:r>
        <w:rPr>
          <w:rFonts w:ascii="宋体" w:hAnsi="宋体" w:eastAsia="宋体" w:cs="宋体"/>
          <w:spacing w:val="9"/>
          <w:sz w:val="24"/>
          <w:szCs w:val="24"/>
        </w:rPr>
        <w:t>(1)折旧费、固定资产更新</w:t>
      </w:r>
    </w:p>
    <w:p w14:paraId="281E27DC">
      <w:pPr>
        <w:spacing w:before="177" w:line="369" w:lineRule="auto"/>
        <w:ind w:left="84" w:right="223" w:firstLine="500"/>
        <w:rPr>
          <w:rFonts w:ascii="宋体" w:hAnsi="宋体" w:eastAsia="宋体" w:cs="宋体"/>
          <w:sz w:val="25"/>
          <w:szCs w:val="25"/>
        </w:rPr>
      </w:pPr>
      <w:r>
        <w:rPr>
          <w:rFonts w:ascii="宋体" w:hAnsi="宋体" w:eastAsia="宋体" w:cs="宋体"/>
          <w:spacing w:val="-9"/>
          <w:sz w:val="25"/>
          <w:szCs w:val="25"/>
        </w:rPr>
        <w:t>根据《矿业权评估参数确定指导意见》(</w:t>
      </w:r>
      <w:r>
        <w:rPr>
          <w:rFonts w:ascii="宋体" w:hAnsi="宋体" w:eastAsia="宋体" w:cs="宋体"/>
          <w:spacing w:val="-56"/>
          <w:sz w:val="25"/>
          <w:szCs w:val="25"/>
        </w:rPr>
        <w:t xml:space="preserve"> </w:t>
      </w:r>
      <w:r>
        <w:rPr>
          <w:rFonts w:ascii="Times New Roman" w:hAnsi="Times New Roman" w:eastAsia="Times New Roman" w:cs="Times New Roman"/>
          <w:spacing w:val="-9"/>
          <w:sz w:val="25"/>
          <w:szCs w:val="25"/>
        </w:rPr>
        <w:t>CMVS30800-2008),</w:t>
      </w:r>
      <w:r>
        <w:rPr>
          <w:rFonts w:ascii="Times New Roman" w:hAnsi="Times New Roman" w:eastAsia="Times New Roman" w:cs="Times New Roman"/>
          <w:spacing w:val="-15"/>
          <w:sz w:val="25"/>
          <w:szCs w:val="25"/>
        </w:rPr>
        <w:t xml:space="preserve"> </w:t>
      </w:r>
      <w:r>
        <w:rPr>
          <w:rFonts w:ascii="宋体" w:hAnsi="宋体" w:eastAsia="宋体" w:cs="宋体"/>
          <w:spacing w:val="-9"/>
          <w:sz w:val="25"/>
          <w:szCs w:val="25"/>
        </w:rPr>
        <w:t>矿业权评估固定</w:t>
      </w:r>
      <w:r>
        <w:rPr>
          <w:rFonts w:ascii="宋体" w:hAnsi="宋体" w:eastAsia="宋体" w:cs="宋体"/>
          <w:sz w:val="25"/>
          <w:szCs w:val="25"/>
        </w:rPr>
        <w:t xml:space="preserve"> </w:t>
      </w:r>
      <w:r>
        <w:rPr>
          <w:rFonts w:ascii="宋体" w:hAnsi="宋体" w:eastAsia="宋体" w:cs="宋体"/>
          <w:spacing w:val="-10"/>
          <w:sz w:val="25"/>
          <w:szCs w:val="25"/>
        </w:rPr>
        <w:t>资产折旧一般采用年限平均法，除国务院财政、税务主管部门另有规定外，固定</w:t>
      </w:r>
      <w:r>
        <w:rPr>
          <w:rFonts w:ascii="宋体" w:hAnsi="宋体" w:eastAsia="宋体" w:cs="宋体"/>
          <w:spacing w:val="4"/>
          <w:sz w:val="25"/>
          <w:szCs w:val="25"/>
        </w:rPr>
        <w:t xml:space="preserve"> </w:t>
      </w:r>
      <w:r>
        <w:rPr>
          <w:rFonts w:ascii="宋体" w:hAnsi="宋体" w:eastAsia="宋体" w:cs="宋体"/>
          <w:spacing w:val="-10"/>
          <w:sz w:val="25"/>
          <w:szCs w:val="25"/>
        </w:rPr>
        <w:t>资产计算折旧的最低年限为：房屋、建筑物20年；飞机、火车、轮船、机器、机</w:t>
      </w:r>
      <w:r>
        <w:rPr>
          <w:rFonts w:ascii="宋体" w:hAnsi="宋体" w:eastAsia="宋体" w:cs="宋体"/>
          <w:spacing w:val="8"/>
          <w:sz w:val="25"/>
          <w:szCs w:val="25"/>
        </w:rPr>
        <w:t xml:space="preserve"> </w:t>
      </w:r>
      <w:r>
        <w:rPr>
          <w:rFonts w:ascii="宋体" w:hAnsi="宋体" w:eastAsia="宋体" w:cs="宋体"/>
          <w:spacing w:val="4"/>
          <w:sz w:val="25"/>
          <w:szCs w:val="25"/>
        </w:rPr>
        <w:t>械和其他生产设备10年；飞机、火车、轮船以外的运输工具4年；电子设备3</w:t>
      </w:r>
      <w:r>
        <w:rPr>
          <w:rFonts w:ascii="宋体" w:hAnsi="宋体" w:eastAsia="宋体" w:cs="宋体"/>
          <w:spacing w:val="14"/>
          <w:sz w:val="25"/>
          <w:szCs w:val="25"/>
        </w:rPr>
        <w:t xml:space="preserve"> </w:t>
      </w:r>
      <w:r>
        <w:rPr>
          <w:rFonts w:ascii="宋体" w:hAnsi="宋体" w:eastAsia="宋体" w:cs="宋体"/>
          <w:spacing w:val="-6"/>
          <w:sz w:val="25"/>
          <w:szCs w:val="25"/>
        </w:rPr>
        <w:t>年。</w:t>
      </w:r>
    </w:p>
    <w:p w14:paraId="52FBC6D0">
      <w:pPr>
        <w:spacing w:before="48" w:line="379" w:lineRule="auto"/>
        <w:ind w:left="84" w:right="245" w:firstLine="500"/>
        <w:rPr>
          <w:rFonts w:ascii="宋体" w:hAnsi="宋体" w:eastAsia="宋体" w:cs="宋体"/>
          <w:sz w:val="24"/>
          <w:szCs w:val="24"/>
        </w:rPr>
      </w:pPr>
      <w:r>
        <w:rPr>
          <w:rFonts w:ascii="宋体" w:hAnsi="宋体" w:eastAsia="宋体" w:cs="宋体"/>
          <w:spacing w:val="7"/>
          <w:sz w:val="24"/>
          <w:szCs w:val="24"/>
        </w:rPr>
        <w:t>房屋建筑物按30年折旧，机器设备按10年折旧，房屋建筑物、</w:t>
      </w:r>
      <w:r>
        <w:rPr>
          <w:rFonts w:ascii="宋体" w:hAnsi="宋体" w:eastAsia="宋体" w:cs="宋体"/>
          <w:spacing w:val="6"/>
          <w:sz w:val="24"/>
          <w:szCs w:val="24"/>
        </w:rPr>
        <w:t>机器设备固</w:t>
      </w:r>
      <w:r>
        <w:rPr>
          <w:rFonts w:ascii="宋体" w:hAnsi="宋体" w:eastAsia="宋体" w:cs="宋体"/>
          <w:sz w:val="24"/>
          <w:szCs w:val="24"/>
        </w:rPr>
        <w:t xml:space="preserve"> </w:t>
      </w:r>
      <w:r>
        <w:rPr>
          <w:rFonts w:ascii="宋体" w:hAnsi="宋体" w:eastAsia="宋体" w:cs="宋体"/>
          <w:spacing w:val="2"/>
          <w:sz w:val="24"/>
          <w:szCs w:val="24"/>
        </w:rPr>
        <w:t>定资产残值率取5%。尾矿库在矿山服务年限内折旧，不考虑</w:t>
      </w:r>
      <w:r>
        <w:rPr>
          <w:rFonts w:ascii="宋体" w:hAnsi="宋体" w:eastAsia="宋体" w:cs="宋体"/>
          <w:spacing w:val="1"/>
          <w:sz w:val="24"/>
          <w:szCs w:val="24"/>
        </w:rPr>
        <w:t>残值率。</w:t>
      </w:r>
    </w:p>
    <w:p w14:paraId="4403B2B0">
      <w:pPr>
        <w:spacing w:before="17" w:line="219" w:lineRule="auto"/>
        <w:ind w:left="585"/>
        <w:rPr>
          <w:rFonts w:ascii="宋体" w:hAnsi="宋体" w:eastAsia="宋体" w:cs="宋体"/>
          <w:sz w:val="24"/>
          <w:szCs w:val="24"/>
        </w:rPr>
      </w:pPr>
      <w:r>
        <w:rPr>
          <w:rFonts w:ascii="宋体" w:hAnsi="宋体" w:eastAsia="宋体" w:cs="宋体"/>
          <w:spacing w:val="5"/>
          <w:sz w:val="24"/>
          <w:szCs w:val="24"/>
        </w:rPr>
        <w:t>年折旧费以2023年为例：</w:t>
      </w:r>
    </w:p>
    <w:p w14:paraId="7467E7D8">
      <w:pPr>
        <w:spacing w:before="206" w:line="372" w:lineRule="auto"/>
        <w:ind w:left="2855" w:right="697" w:hanging="2270"/>
        <w:rPr>
          <w:rFonts w:ascii="宋体" w:hAnsi="宋体" w:eastAsia="宋体" w:cs="宋体"/>
          <w:sz w:val="24"/>
          <w:szCs w:val="24"/>
        </w:rPr>
      </w:pPr>
      <w:r>
        <w:rPr>
          <w:rFonts w:ascii="宋体" w:hAnsi="宋体" w:eastAsia="宋体" w:cs="宋体"/>
          <w:spacing w:val="14"/>
          <w:sz w:val="24"/>
          <w:szCs w:val="24"/>
        </w:rPr>
        <w:t>房屋建筑物年折旧费=2082.10×95%÷30+(72.36-5.97)×95%÷30</w:t>
      </w:r>
      <w:r>
        <w:rPr>
          <w:rFonts w:ascii="宋体" w:hAnsi="宋体" w:eastAsia="宋体" w:cs="宋体"/>
          <w:spacing w:val="5"/>
          <w:sz w:val="24"/>
          <w:szCs w:val="24"/>
        </w:rPr>
        <w:t xml:space="preserve"> </w:t>
      </w:r>
      <w:r>
        <w:rPr>
          <w:rFonts w:ascii="宋体" w:hAnsi="宋体" w:eastAsia="宋体" w:cs="宋体"/>
          <w:spacing w:val="20"/>
          <w:sz w:val="24"/>
          <w:szCs w:val="24"/>
        </w:rPr>
        <w:t>=68.04万元</w:t>
      </w:r>
    </w:p>
    <w:p w14:paraId="16D766B7">
      <w:pPr>
        <w:spacing w:before="28" w:line="383" w:lineRule="auto"/>
        <w:ind w:left="2625" w:right="587" w:hanging="2040"/>
        <w:rPr>
          <w:rFonts w:ascii="宋体" w:hAnsi="宋体" w:eastAsia="宋体" w:cs="宋体"/>
          <w:sz w:val="24"/>
          <w:szCs w:val="24"/>
        </w:rPr>
      </w:pPr>
      <w:r>
        <w:rPr>
          <w:rFonts w:ascii="宋体" w:hAnsi="宋体" w:eastAsia="宋体" w:cs="宋体"/>
          <w:spacing w:val="13"/>
          <w:sz w:val="24"/>
          <w:szCs w:val="24"/>
        </w:rPr>
        <w:t xml:space="preserve">机器设备年折旧费=2,165.51×95%÷10+(478.50-55.05)×95%÷10 </w:t>
      </w:r>
      <w:r>
        <w:rPr>
          <w:rFonts w:ascii="宋体" w:hAnsi="宋体" w:eastAsia="宋体" w:cs="宋体"/>
          <w:spacing w:val="18"/>
          <w:sz w:val="24"/>
          <w:szCs w:val="24"/>
        </w:rPr>
        <w:t>=245.95万元</w:t>
      </w:r>
    </w:p>
    <w:p w14:paraId="7D9196DD">
      <w:pPr>
        <w:spacing w:line="383" w:lineRule="auto"/>
        <w:rPr>
          <w:rFonts w:ascii="宋体" w:hAnsi="宋体" w:eastAsia="宋体" w:cs="宋体"/>
          <w:sz w:val="24"/>
          <w:szCs w:val="24"/>
        </w:rPr>
        <w:sectPr>
          <w:headerReference r:id="rId104" w:type="default"/>
          <w:footerReference r:id="rId105" w:type="default"/>
          <w:pgSz w:w="11900" w:h="16830"/>
          <w:pgMar w:top="1247" w:right="1370" w:bottom="1290" w:left="1785" w:header="970" w:footer="948" w:gutter="0"/>
          <w:cols w:space="720" w:num="1"/>
        </w:sectPr>
      </w:pPr>
    </w:p>
    <w:p w14:paraId="371C0401">
      <w:pPr>
        <w:pStyle w:val="2"/>
        <w:spacing w:line="349" w:lineRule="auto"/>
      </w:pPr>
    </w:p>
    <w:p w14:paraId="25D96F55">
      <w:pPr>
        <w:spacing w:before="78" w:line="216" w:lineRule="auto"/>
        <w:ind w:left="575"/>
        <w:rPr>
          <w:rFonts w:ascii="宋体" w:hAnsi="宋体" w:eastAsia="宋体" w:cs="宋体"/>
          <w:sz w:val="24"/>
          <w:szCs w:val="24"/>
        </w:rPr>
      </w:pPr>
      <w:bookmarkStart w:id="54" w:name="bookmark66"/>
      <w:bookmarkEnd w:id="54"/>
      <w:r>
        <w:rPr>
          <w:rFonts w:ascii="宋体" w:hAnsi="宋体" w:eastAsia="宋体" w:cs="宋体"/>
          <w:spacing w:val="12"/>
          <w:sz w:val="24"/>
          <w:szCs w:val="24"/>
        </w:rPr>
        <w:t>尾矿库折旧费(已有)=2,021.25÷32.30×9.08</w:t>
      </w:r>
    </w:p>
    <w:p w14:paraId="2FC1FE06">
      <w:pPr>
        <w:spacing w:before="203" w:line="220" w:lineRule="auto"/>
        <w:ind w:left="2975"/>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3"/>
          <w:sz w:val="24"/>
          <w:szCs w:val="24"/>
        </w:rPr>
        <w:t xml:space="preserve"> </w:t>
      </w:r>
      <w:r>
        <w:rPr>
          <w:rFonts w:ascii="宋体" w:hAnsi="宋体" w:eastAsia="宋体" w:cs="宋体"/>
          <w:spacing w:val="8"/>
          <w:sz w:val="24"/>
          <w:szCs w:val="24"/>
        </w:rPr>
        <w:t>568.20万元</w:t>
      </w:r>
    </w:p>
    <w:p w14:paraId="736832C1">
      <w:pPr>
        <w:spacing w:before="234" w:line="372" w:lineRule="auto"/>
        <w:ind w:left="2974" w:right="1735" w:hanging="2399"/>
        <w:rPr>
          <w:rFonts w:ascii="宋体" w:hAnsi="宋体" w:eastAsia="宋体" w:cs="宋体"/>
          <w:sz w:val="24"/>
          <w:szCs w:val="24"/>
        </w:rPr>
      </w:pPr>
      <w:r>
        <w:rPr>
          <w:rFonts w:ascii="宋体" w:hAnsi="宋体" w:eastAsia="宋体" w:cs="宋体"/>
          <w:spacing w:val="16"/>
          <w:sz w:val="24"/>
          <w:szCs w:val="24"/>
        </w:rPr>
        <w:t>尾矿库折旧费(新增)=(1785.41—147</w:t>
      </w:r>
      <w:r>
        <w:rPr>
          <w:rFonts w:ascii="宋体" w:hAnsi="宋体" w:eastAsia="宋体" w:cs="宋体"/>
          <w:spacing w:val="15"/>
          <w:sz w:val="24"/>
          <w:szCs w:val="24"/>
        </w:rPr>
        <w:t>.42)÷58.50×9.08</w:t>
      </w:r>
      <w:r>
        <w:rPr>
          <w:rFonts w:ascii="宋体" w:hAnsi="宋体" w:eastAsia="宋体" w:cs="宋体"/>
          <w:sz w:val="24"/>
          <w:szCs w:val="24"/>
        </w:rPr>
        <w:t xml:space="preserve"> </w:t>
      </w:r>
      <w:r>
        <w:rPr>
          <w:rFonts w:ascii="宋体" w:hAnsi="宋体" w:eastAsia="宋体" w:cs="宋体"/>
          <w:spacing w:val="9"/>
          <w:sz w:val="24"/>
          <w:szCs w:val="24"/>
        </w:rPr>
        <w:t>=</w:t>
      </w:r>
      <w:r>
        <w:rPr>
          <w:rFonts w:ascii="宋体" w:hAnsi="宋体" w:eastAsia="宋体" w:cs="宋体"/>
          <w:spacing w:val="-42"/>
          <w:sz w:val="24"/>
          <w:szCs w:val="24"/>
        </w:rPr>
        <w:t xml:space="preserve"> </w:t>
      </w:r>
      <w:r>
        <w:rPr>
          <w:rFonts w:ascii="宋体" w:hAnsi="宋体" w:eastAsia="宋体" w:cs="宋体"/>
          <w:spacing w:val="9"/>
          <w:sz w:val="24"/>
          <w:szCs w:val="24"/>
        </w:rPr>
        <w:t>254.24万元</w:t>
      </w:r>
    </w:p>
    <w:p w14:paraId="57C54FBB">
      <w:pPr>
        <w:spacing w:before="2" w:line="395" w:lineRule="auto"/>
        <w:ind w:left="4105" w:right="1017" w:hanging="3530"/>
        <w:rPr>
          <w:rFonts w:ascii="宋体" w:hAnsi="宋体" w:eastAsia="宋体" w:cs="宋体"/>
          <w:sz w:val="24"/>
          <w:szCs w:val="24"/>
        </w:rPr>
      </w:pPr>
      <w:r>
        <w:rPr>
          <w:rFonts w:ascii="宋体" w:hAnsi="宋体" w:eastAsia="宋体" w:cs="宋体"/>
          <w:spacing w:val="23"/>
          <w:sz w:val="24"/>
          <w:szCs w:val="24"/>
        </w:rPr>
        <w:t>则单位折旧费(以2024年为例)=(68.04+245.95+568.20)÷10</w:t>
      </w:r>
      <w:r>
        <w:rPr>
          <w:rFonts w:ascii="宋体" w:hAnsi="宋体" w:eastAsia="宋体" w:cs="宋体"/>
          <w:spacing w:val="8"/>
          <w:sz w:val="24"/>
          <w:szCs w:val="24"/>
        </w:rPr>
        <w:t xml:space="preserve"> </w:t>
      </w:r>
      <w:r>
        <w:rPr>
          <w:rFonts w:ascii="宋体" w:hAnsi="宋体" w:eastAsia="宋体" w:cs="宋体"/>
          <w:spacing w:val="16"/>
          <w:sz w:val="24"/>
          <w:szCs w:val="24"/>
        </w:rPr>
        <w:t>=88.22元/吨</w:t>
      </w:r>
    </w:p>
    <w:p w14:paraId="522D72B1">
      <w:pPr>
        <w:spacing w:before="1" w:line="365" w:lineRule="auto"/>
        <w:ind w:left="4105" w:right="1017" w:hanging="3530"/>
        <w:rPr>
          <w:rFonts w:ascii="宋体" w:hAnsi="宋体" w:eastAsia="宋体" w:cs="宋体"/>
          <w:sz w:val="24"/>
          <w:szCs w:val="24"/>
        </w:rPr>
      </w:pPr>
      <w:r>
        <w:rPr>
          <w:rFonts w:ascii="宋体" w:hAnsi="宋体" w:eastAsia="宋体" w:cs="宋体"/>
          <w:spacing w:val="23"/>
          <w:sz w:val="24"/>
          <w:szCs w:val="24"/>
        </w:rPr>
        <w:t>则单位折旧费(以2028年为例)=(68.04+245.95+254.24)÷10</w:t>
      </w:r>
      <w:r>
        <w:rPr>
          <w:rFonts w:ascii="宋体" w:hAnsi="宋体" w:eastAsia="宋体" w:cs="宋体"/>
          <w:spacing w:val="8"/>
          <w:sz w:val="24"/>
          <w:szCs w:val="24"/>
        </w:rPr>
        <w:t xml:space="preserve"> </w:t>
      </w:r>
      <w:r>
        <w:rPr>
          <w:rFonts w:ascii="宋体" w:hAnsi="宋体" w:eastAsia="宋体" w:cs="宋体"/>
          <w:spacing w:val="16"/>
          <w:sz w:val="24"/>
          <w:szCs w:val="24"/>
        </w:rPr>
        <w:t>=56.82元/吨</w:t>
      </w:r>
    </w:p>
    <w:p w14:paraId="2A37D557">
      <w:pPr>
        <w:spacing w:before="50" w:line="219" w:lineRule="auto"/>
        <w:ind w:left="745"/>
        <w:rPr>
          <w:rFonts w:ascii="宋体" w:hAnsi="宋体" w:eastAsia="宋体" w:cs="宋体"/>
          <w:sz w:val="24"/>
          <w:szCs w:val="24"/>
        </w:rPr>
      </w:pPr>
      <w:r>
        <w:rPr>
          <w:rFonts w:ascii="宋体" w:hAnsi="宋体" w:eastAsia="宋体" w:cs="宋体"/>
          <w:spacing w:val="7"/>
          <w:sz w:val="24"/>
          <w:szCs w:val="24"/>
        </w:rPr>
        <w:t>(详见附表五)</w:t>
      </w:r>
    </w:p>
    <w:p w14:paraId="789BE492">
      <w:pPr>
        <w:spacing w:before="227" w:line="219" w:lineRule="auto"/>
        <w:ind w:left="745"/>
        <w:rPr>
          <w:rFonts w:ascii="宋体" w:hAnsi="宋体" w:eastAsia="宋体" w:cs="宋体"/>
          <w:sz w:val="24"/>
          <w:szCs w:val="24"/>
        </w:rPr>
      </w:pPr>
      <w:r>
        <w:rPr>
          <w:rFonts w:ascii="宋体" w:hAnsi="宋体" w:eastAsia="宋体" w:cs="宋体"/>
          <w:spacing w:val="14"/>
          <w:sz w:val="24"/>
          <w:szCs w:val="24"/>
        </w:rPr>
        <w:t>(2)更新改造资金</w:t>
      </w:r>
    </w:p>
    <w:p w14:paraId="3BF7944C">
      <w:pPr>
        <w:tabs>
          <w:tab w:val="left" w:pos="255"/>
        </w:tabs>
        <w:spacing w:before="224" w:line="412" w:lineRule="auto"/>
        <w:ind w:left="134" w:right="160" w:firstLine="440"/>
        <w:jc w:val="both"/>
        <w:rPr>
          <w:rFonts w:ascii="宋体" w:hAnsi="宋体" w:eastAsia="宋体" w:cs="宋体"/>
          <w:sz w:val="24"/>
          <w:szCs w:val="24"/>
        </w:rPr>
      </w:pPr>
      <w:r>
        <w:rPr>
          <w:rFonts w:ascii="宋体" w:hAnsi="宋体" w:eastAsia="宋体" w:cs="宋体"/>
          <w:spacing w:val="-1"/>
          <w:sz w:val="24"/>
          <w:szCs w:val="24"/>
        </w:rPr>
        <w:t>固定资产更新投资是根据国家有关技术规定和评估选取的各种类型固定资产</w:t>
      </w:r>
      <w:r>
        <w:rPr>
          <w:rFonts w:ascii="宋体" w:hAnsi="宋体" w:eastAsia="宋体" w:cs="宋体"/>
          <w:sz w:val="24"/>
          <w:szCs w:val="24"/>
        </w:rPr>
        <w:t xml:space="preserve">  </w:t>
      </w:r>
      <w:r>
        <w:rPr>
          <w:rFonts w:ascii="宋体" w:hAnsi="宋体" w:eastAsia="宋体" w:cs="宋体"/>
          <w:spacing w:val="-1"/>
          <w:sz w:val="24"/>
          <w:szCs w:val="24"/>
        </w:rPr>
        <w:t>的寿命，确定各类固定资产的服务和折旧年限，在各类固定资产计提完折旧后进</w:t>
      </w:r>
      <w:r>
        <w:rPr>
          <w:rFonts w:ascii="宋体" w:hAnsi="宋体" w:eastAsia="宋体" w:cs="宋体"/>
          <w:spacing w:val="2"/>
          <w:sz w:val="24"/>
          <w:szCs w:val="24"/>
        </w:rPr>
        <w:t xml:space="preserve">  </w:t>
      </w:r>
      <w:r>
        <w:rPr>
          <w:rFonts w:ascii="宋体" w:hAnsi="宋体" w:eastAsia="宋体" w:cs="宋体"/>
          <w:spacing w:val="-4"/>
          <w:sz w:val="24"/>
          <w:szCs w:val="24"/>
        </w:rPr>
        <w:t>行更新投入，以满足矿山连续生产的需要，根据《矿业权评估参数</w:t>
      </w:r>
      <w:r>
        <w:rPr>
          <w:rFonts w:ascii="宋体" w:hAnsi="宋体" w:eastAsia="宋体" w:cs="宋体"/>
          <w:spacing w:val="-5"/>
          <w:sz w:val="24"/>
          <w:szCs w:val="24"/>
        </w:rPr>
        <w:t>确定指导意见》</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z w:val="24"/>
          <w:szCs w:val="24"/>
        </w:rPr>
        <w:t>(</w:t>
      </w:r>
      <w:r>
        <w:rPr>
          <w:rFonts w:ascii="Times New Roman" w:hAnsi="Times New Roman" w:eastAsia="Times New Roman" w:cs="Times New Roman"/>
          <w:sz w:val="24"/>
          <w:szCs w:val="24"/>
        </w:rPr>
        <w:t>CMVS   30800-2008),</w:t>
      </w:r>
      <w:r>
        <w:rPr>
          <w:rFonts w:ascii="宋体" w:hAnsi="宋体" w:eastAsia="宋体" w:cs="宋体"/>
          <w:sz w:val="24"/>
          <w:szCs w:val="24"/>
        </w:rPr>
        <w:t>房屋建筑物和机器设备类固定资产采用不变价原则进</w:t>
      </w:r>
      <w:r>
        <w:rPr>
          <w:rFonts w:ascii="宋体" w:hAnsi="宋体" w:eastAsia="宋体" w:cs="宋体"/>
          <w:spacing w:val="-1"/>
          <w:sz w:val="24"/>
          <w:szCs w:val="24"/>
        </w:rPr>
        <w:t>行其</w:t>
      </w:r>
      <w:r>
        <w:rPr>
          <w:rFonts w:ascii="宋体" w:hAnsi="宋体" w:eastAsia="宋体" w:cs="宋体"/>
          <w:sz w:val="24"/>
          <w:szCs w:val="24"/>
        </w:rPr>
        <w:t xml:space="preserve"> </w:t>
      </w:r>
      <w:r>
        <w:rPr>
          <w:rFonts w:ascii="宋体" w:hAnsi="宋体" w:eastAsia="宋体" w:cs="宋体"/>
          <w:spacing w:val="4"/>
          <w:sz w:val="24"/>
          <w:szCs w:val="24"/>
        </w:rPr>
        <w:t>更新资金投入，即机器设备、房屋建筑物在其计提完折旧后的下一时点(下一年</w:t>
      </w:r>
      <w:r>
        <w:rPr>
          <w:rFonts w:ascii="宋体" w:hAnsi="宋体" w:eastAsia="宋体" w:cs="宋体"/>
          <w:sz w:val="24"/>
          <w:szCs w:val="24"/>
        </w:rPr>
        <w:t xml:space="preserve"> </w:t>
      </w:r>
      <w:r>
        <w:rPr>
          <w:rFonts w:ascii="宋体" w:hAnsi="宋体" w:eastAsia="宋体" w:cs="宋体"/>
          <w:spacing w:val="3"/>
          <w:sz w:val="24"/>
          <w:szCs w:val="24"/>
        </w:rPr>
        <w:t>或下一月)投入等额初始投资。采剥工程更新资金以更新性质的维简费方式直接</w:t>
      </w:r>
      <w:r>
        <w:rPr>
          <w:rFonts w:ascii="宋体" w:hAnsi="宋体" w:eastAsia="宋体" w:cs="宋体"/>
          <w:spacing w:val="13"/>
          <w:sz w:val="24"/>
          <w:szCs w:val="24"/>
        </w:rPr>
        <w:t xml:space="preserve"> </w:t>
      </w:r>
      <w:r>
        <w:rPr>
          <w:rFonts w:ascii="宋体" w:hAnsi="宋体" w:eastAsia="宋体" w:cs="宋体"/>
          <w:sz w:val="24"/>
          <w:szCs w:val="24"/>
        </w:rPr>
        <w:t>列入经营成本，不进行更新资金的投入。</w:t>
      </w:r>
    </w:p>
    <w:p w14:paraId="11841AEF">
      <w:pPr>
        <w:spacing w:line="426" w:lineRule="auto"/>
        <w:ind w:left="134" w:right="225" w:firstLine="440"/>
        <w:jc w:val="both"/>
        <w:rPr>
          <w:rFonts w:ascii="宋体" w:hAnsi="宋体" w:eastAsia="宋体" w:cs="宋体"/>
          <w:sz w:val="24"/>
          <w:szCs w:val="24"/>
        </w:rPr>
      </w:pPr>
      <w:r>
        <w:rPr>
          <w:rFonts w:ascii="宋体" w:hAnsi="宋体" w:eastAsia="宋体" w:cs="宋体"/>
          <w:spacing w:val="8"/>
          <w:sz w:val="24"/>
          <w:szCs w:val="24"/>
        </w:rPr>
        <w:t>本次评估房屋建筑物折旧年限取30年，机器</w:t>
      </w:r>
      <w:r>
        <w:rPr>
          <w:rFonts w:ascii="宋体" w:hAnsi="宋体" w:eastAsia="宋体" w:cs="宋体"/>
          <w:spacing w:val="7"/>
          <w:sz w:val="24"/>
          <w:szCs w:val="24"/>
        </w:rPr>
        <w:t>设备折旧年限取10年房屋建筑</w:t>
      </w:r>
      <w:r>
        <w:rPr>
          <w:rFonts w:ascii="宋体" w:hAnsi="宋体" w:eastAsia="宋体" w:cs="宋体"/>
          <w:sz w:val="24"/>
          <w:szCs w:val="24"/>
        </w:rPr>
        <w:t xml:space="preserve"> </w:t>
      </w:r>
      <w:r>
        <w:rPr>
          <w:rFonts w:ascii="宋体" w:hAnsi="宋体" w:eastAsia="宋体" w:cs="宋体"/>
          <w:spacing w:val="1"/>
          <w:sz w:val="24"/>
          <w:szCs w:val="24"/>
        </w:rPr>
        <w:t>物在矿山服务年限内不更新，已形成的机器设备在20</w:t>
      </w:r>
      <w:r>
        <w:rPr>
          <w:rFonts w:ascii="宋体" w:hAnsi="宋体" w:eastAsia="宋体" w:cs="宋体"/>
          <w:sz w:val="24"/>
          <w:szCs w:val="24"/>
        </w:rPr>
        <w:t xml:space="preserve">25年更新改造投入2,447.03 </w:t>
      </w:r>
      <w:r>
        <w:rPr>
          <w:rFonts w:ascii="宋体" w:hAnsi="宋体" w:eastAsia="宋体" w:cs="宋体"/>
          <w:spacing w:val="13"/>
          <w:sz w:val="24"/>
          <w:szCs w:val="24"/>
        </w:rPr>
        <w:t>万元(含增值税281.52万元)。</w:t>
      </w:r>
    </w:p>
    <w:p w14:paraId="780E2021">
      <w:pPr>
        <w:spacing w:line="219" w:lineRule="auto"/>
        <w:ind w:left="745"/>
        <w:rPr>
          <w:rFonts w:ascii="宋体" w:hAnsi="宋体" w:eastAsia="宋体" w:cs="宋体"/>
          <w:sz w:val="24"/>
          <w:szCs w:val="24"/>
        </w:rPr>
      </w:pPr>
      <w:r>
        <w:rPr>
          <w:rFonts w:ascii="宋体" w:hAnsi="宋体" w:eastAsia="宋体" w:cs="宋体"/>
          <w:spacing w:val="10"/>
          <w:sz w:val="24"/>
          <w:szCs w:val="24"/>
        </w:rPr>
        <w:t>(3)回收固定资产残(余)值</w:t>
      </w:r>
    </w:p>
    <w:p w14:paraId="175CAF1A">
      <w:pPr>
        <w:spacing w:before="169" w:line="394" w:lineRule="auto"/>
        <w:ind w:left="134" w:right="265" w:firstLine="440"/>
        <w:rPr>
          <w:rFonts w:ascii="宋体" w:hAnsi="宋体" w:eastAsia="宋体" w:cs="宋体"/>
          <w:sz w:val="24"/>
          <w:szCs w:val="24"/>
        </w:rPr>
      </w:pPr>
      <w:r>
        <w:rPr>
          <w:rFonts w:ascii="宋体" w:hAnsi="宋体" w:eastAsia="宋体" w:cs="宋体"/>
          <w:spacing w:val="-2"/>
          <w:sz w:val="24"/>
          <w:szCs w:val="24"/>
        </w:rPr>
        <w:t>根据《矿业权评估参数确定指导意见》(</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CMV</w:t>
      </w:r>
      <w:r>
        <w:rPr>
          <w:rFonts w:ascii="Times New Roman" w:hAnsi="Times New Roman" w:eastAsia="Times New Roman" w:cs="Times New Roman"/>
          <w:spacing w:val="-3"/>
          <w:sz w:val="24"/>
          <w:szCs w:val="24"/>
        </w:rPr>
        <w:t xml:space="preserve">S30800-2008),  </w:t>
      </w:r>
      <w:r>
        <w:rPr>
          <w:rFonts w:ascii="宋体" w:hAnsi="宋体" w:eastAsia="宋体" w:cs="宋体"/>
          <w:spacing w:val="-3"/>
          <w:sz w:val="24"/>
          <w:szCs w:val="24"/>
        </w:rPr>
        <w:t>在回收固定资产</w:t>
      </w:r>
      <w:r>
        <w:rPr>
          <w:rFonts w:ascii="宋体" w:hAnsi="宋体" w:eastAsia="宋体" w:cs="宋体"/>
          <w:sz w:val="24"/>
          <w:szCs w:val="24"/>
        </w:rPr>
        <w:t xml:space="preserve"> </w:t>
      </w:r>
      <w:r>
        <w:rPr>
          <w:rFonts w:ascii="宋体" w:hAnsi="宋体" w:eastAsia="宋体" w:cs="宋体"/>
          <w:spacing w:val="12"/>
          <w:sz w:val="24"/>
          <w:szCs w:val="24"/>
        </w:rPr>
        <w:t>残(余)值时不考虑固定资产的清理变现费用。</w:t>
      </w:r>
    </w:p>
    <w:p w14:paraId="1653040C">
      <w:pPr>
        <w:spacing w:before="2" w:line="392" w:lineRule="auto"/>
        <w:ind w:left="134" w:right="229" w:firstLine="440"/>
        <w:jc w:val="both"/>
        <w:rPr>
          <w:rFonts w:ascii="宋体" w:hAnsi="宋体" w:eastAsia="宋体" w:cs="宋体"/>
          <w:sz w:val="24"/>
          <w:szCs w:val="24"/>
        </w:rPr>
      </w:pPr>
      <w:r>
        <w:rPr>
          <w:rFonts w:ascii="宋体" w:hAnsi="宋体" w:eastAsia="宋体" w:cs="宋体"/>
          <w:spacing w:val="7"/>
          <w:sz w:val="24"/>
          <w:szCs w:val="24"/>
        </w:rPr>
        <w:t>本评估项目中机器设备在2025年回收残值108.28万元，房屋建筑物在评估</w:t>
      </w:r>
      <w:r>
        <w:rPr>
          <w:rFonts w:ascii="宋体" w:hAnsi="宋体" w:eastAsia="宋体" w:cs="宋体"/>
          <w:spacing w:val="1"/>
          <w:sz w:val="24"/>
          <w:szCs w:val="24"/>
        </w:rPr>
        <w:t xml:space="preserve"> </w:t>
      </w:r>
      <w:r>
        <w:rPr>
          <w:rFonts w:ascii="宋体" w:hAnsi="宋体" w:eastAsia="宋体" w:cs="宋体"/>
          <w:spacing w:val="12"/>
          <w:sz w:val="24"/>
          <w:szCs w:val="24"/>
        </w:rPr>
        <w:t>计算期末2032年11月回收残值588.05万元，机器设备在评估计算期末2032年</w:t>
      </w:r>
      <w:r>
        <w:rPr>
          <w:rFonts w:ascii="宋体" w:hAnsi="宋体" w:eastAsia="宋体" w:cs="宋体"/>
          <w:spacing w:val="7"/>
          <w:sz w:val="24"/>
          <w:szCs w:val="24"/>
        </w:rPr>
        <w:t xml:space="preserve"> </w:t>
      </w:r>
      <w:r>
        <w:rPr>
          <w:rFonts w:ascii="宋体" w:hAnsi="宋体" w:eastAsia="宋体" w:cs="宋体"/>
          <w:spacing w:val="11"/>
          <w:sz w:val="24"/>
          <w:szCs w:val="24"/>
        </w:rPr>
        <w:t>11月回收残值735.71万元。</w:t>
      </w:r>
    </w:p>
    <w:p w14:paraId="6579296C">
      <w:pPr>
        <w:spacing w:before="1" w:line="218" w:lineRule="auto"/>
        <w:ind w:left="745"/>
        <w:rPr>
          <w:rFonts w:ascii="宋体" w:hAnsi="宋体" w:eastAsia="宋体" w:cs="宋体"/>
          <w:sz w:val="24"/>
          <w:szCs w:val="24"/>
        </w:rPr>
      </w:pPr>
      <w:r>
        <w:rPr>
          <w:rFonts w:ascii="宋体" w:hAnsi="宋体" w:eastAsia="宋体" w:cs="宋体"/>
          <w:spacing w:val="7"/>
          <w:sz w:val="24"/>
          <w:szCs w:val="24"/>
        </w:rPr>
        <w:t>(详见附表五)</w:t>
      </w:r>
    </w:p>
    <w:p w14:paraId="252DE538">
      <w:pPr>
        <w:spacing w:line="218" w:lineRule="auto"/>
        <w:rPr>
          <w:rFonts w:ascii="宋体" w:hAnsi="宋体" w:eastAsia="宋体" w:cs="宋体"/>
          <w:sz w:val="24"/>
          <w:szCs w:val="24"/>
        </w:rPr>
        <w:sectPr>
          <w:headerReference r:id="rId106" w:type="default"/>
          <w:footerReference r:id="rId107" w:type="default"/>
          <w:pgSz w:w="11900" w:h="16830"/>
          <w:pgMar w:top="1247" w:right="1329" w:bottom="1310" w:left="1785" w:header="970" w:footer="968" w:gutter="0"/>
          <w:cols w:space="720" w:num="1"/>
        </w:sectPr>
      </w:pPr>
    </w:p>
    <w:p w14:paraId="098306DC">
      <w:pPr>
        <w:pStyle w:val="2"/>
        <w:spacing w:line="433" w:lineRule="auto"/>
      </w:pPr>
    </w:p>
    <w:p w14:paraId="4400BCDA">
      <w:pPr>
        <w:spacing w:before="75" w:line="219" w:lineRule="auto"/>
        <w:ind w:left="595"/>
        <w:rPr>
          <w:rFonts w:ascii="宋体" w:hAnsi="宋体" w:eastAsia="宋体" w:cs="宋体"/>
          <w:sz w:val="23"/>
          <w:szCs w:val="23"/>
        </w:rPr>
      </w:pPr>
      <w:bookmarkStart w:id="55" w:name="bookmark67"/>
      <w:bookmarkEnd w:id="55"/>
      <w:r>
        <w:rPr>
          <w:rFonts w:ascii="宋体" w:hAnsi="宋体" w:eastAsia="宋体" w:cs="宋体"/>
          <w:spacing w:val="12"/>
          <w:sz w:val="23"/>
          <w:szCs w:val="23"/>
        </w:rPr>
        <w:t>10.12.6维简费</w:t>
      </w:r>
    </w:p>
    <w:p w14:paraId="6FBF2720">
      <w:pPr>
        <w:spacing w:before="227" w:line="377" w:lineRule="auto"/>
        <w:ind w:left="84" w:right="212" w:firstLine="510"/>
        <w:rPr>
          <w:rFonts w:ascii="宋体" w:hAnsi="宋体" w:eastAsia="宋体" w:cs="宋体"/>
          <w:sz w:val="24"/>
          <w:szCs w:val="24"/>
        </w:rPr>
      </w:pPr>
      <w:r>
        <w:rPr>
          <w:rFonts w:ascii="宋体" w:hAnsi="宋体" w:eastAsia="宋体" w:cs="宋体"/>
          <w:spacing w:val="3"/>
          <w:sz w:val="24"/>
          <w:szCs w:val="24"/>
        </w:rPr>
        <w:t>维简费一般包含两个部分：</w:t>
      </w:r>
      <w:r>
        <w:rPr>
          <w:rFonts w:ascii="宋体" w:hAnsi="宋体" w:eastAsia="宋体" w:cs="宋体"/>
          <w:spacing w:val="-53"/>
          <w:sz w:val="24"/>
          <w:szCs w:val="24"/>
        </w:rPr>
        <w:t xml:space="preserve"> </w:t>
      </w:r>
      <w:r>
        <w:rPr>
          <w:rFonts w:ascii="宋体" w:hAnsi="宋体" w:eastAsia="宋体" w:cs="宋体"/>
          <w:spacing w:val="3"/>
          <w:sz w:val="24"/>
          <w:szCs w:val="24"/>
        </w:rPr>
        <w:t>一是已形成的采选系统固定资产基本折旧(折旧</w:t>
      </w:r>
      <w:r>
        <w:rPr>
          <w:rFonts w:ascii="宋体" w:hAnsi="宋体" w:eastAsia="宋体" w:cs="宋体"/>
          <w:sz w:val="24"/>
          <w:szCs w:val="24"/>
        </w:rPr>
        <w:t xml:space="preserve"> </w:t>
      </w:r>
      <w:r>
        <w:rPr>
          <w:rFonts w:ascii="宋体" w:hAnsi="宋体" w:eastAsia="宋体" w:cs="宋体"/>
          <w:spacing w:val="5"/>
          <w:sz w:val="24"/>
          <w:szCs w:val="24"/>
        </w:rPr>
        <w:t>性质的维简费),二是维持简单再生产所需资金支出(更新性质的维简费)。</w:t>
      </w:r>
    </w:p>
    <w:p w14:paraId="069014C9">
      <w:pPr>
        <w:spacing w:before="3" w:line="378" w:lineRule="auto"/>
        <w:ind w:left="84" w:right="290" w:firstLine="510"/>
        <w:jc w:val="both"/>
        <w:rPr>
          <w:rFonts w:ascii="宋体" w:hAnsi="宋体" w:eastAsia="宋体" w:cs="宋体"/>
          <w:sz w:val="24"/>
          <w:szCs w:val="24"/>
        </w:rPr>
      </w:pPr>
      <w:r>
        <w:rPr>
          <w:rFonts w:ascii="宋体" w:hAnsi="宋体" w:eastAsia="宋体" w:cs="宋体"/>
          <w:spacing w:val="2"/>
          <w:sz w:val="24"/>
          <w:szCs w:val="24"/>
        </w:rPr>
        <w:t>根据财政部财资[2015]8号《关于不再规定冶金矿山维持简单再生</w:t>
      </w:r>
      <w:r>
        <w:rPr>
          <w:rFonts w:ascii="宋体" w:hAnsi="宋体" w:eastAsia="宋体" w:cs="宋体"/>
          <w:spacing w:val="1"/>
          <w:sz w:val="24"/>
          <w:szCs w:val="24"/>
        </w:rPr>
        <w:t>产费用标</w:t>
      </w:r>
      <w:r>
        <w:rPr>
          <w:rFonts w:ascii="宋体" w:hAnsi="宋体" w:eastAsia="宋体" w:cs="宋体"/>
          <w:sz w:val="24"/>
          <w:szCs w:val="24"/>
        </w:rPr>
        <w:t xml:space="preserve"> </w:t>
      </w:r>
      <w:r>
        <w:rPr>
          <w:rFonts w:ascii="宋体" w:hAnsi="宋体" w:eastAsia="宋体" w:cs="宋体"/>
          <w:spacing w:val="-4"/>
          <w:sz w:val="24"/>
          <w:szCs w:val="24"/>
        </w:rPr>
        <w:t>准的通知》,财政部不再规定冶金矿山企业维简费标准，企业可根据生产经营情况</w:t>
      </w:r>
      <w:r>
        <w:rPr>
          <w:rFonts w:ascii="宋体" w:hAnsi="宋体" w:eastAsia="宋体" w:cs="宋体"/>
          <w:spacing w:val="3"/>
          <w:sz w:val="24"/>
          <w:szCs w:val="24"/>
        </w:rPr>
        <w:t xml:space="preserve"> </w:t>
      </w:r>
      <w:r>
        <w:rPr>
          <w:rFonts w:ascii="宋体" w:hAnsi="宋体" w:eastAsia="宋体" w:cs="宋体"/>
          <w:spacing w:val="-1"/>
          <w:sz w:val="24"/>
          <w:szCs w:val="24"/>
        </w:rPr>
        <w:t>自主确定是否提取维简费及提取的标准。参照</w:t>
      </w:r>
      <w:r>
        <w:rPr>
          <w:rFonts w:ascii="宋体" w:hAnsi="宋体" w:eastAsia="宋体" w:cs="宋体"/>
          <w:spacing w:val="-2"/>
          <w:sz w:val="24"/>
          <w:szCs w:val="24"/>
        </w:rPr>
        <w:t>财政部《关于提高冶金矿山维持简</w:t>
      </w:r>
      <w:r>
        <w:rPr>
          <w:rFonts w:ascii="宋体" w:hAnsi="宋体" w:eastAsia="宋体" w:cs="宋体"/>
          <w:sz w:val="24"/>
          <w:szCs w:val="24"/>
        </w:rPr>
        <w:t xml:space="preserve"> </w:t>
      </w:r>
      <w:r>
        <w:rPr>
          <w:rFonts w:ascii="宋体" w:hAnsi="宋体" w:eastAsia="宋体" w:cs="宋体"/>
          <w:spacing w:val="3"/>
          <w:sz w:val="24"/>
          <w:szCs w:val="24"/>
        </w:rPr>
        <w:t>单再生产费用标准的通知》(财企[200</w:t>
      </w:r>
      <w:r>
        <w:rPr>
          <w:rFonts w:ascii="宋体" w:hAnsi="宋体" w:eastAsia="宋体" w:cs="宋体"/>
          <w:spacing w:val="2"/>
          <w:sz w:val="24"/>
          <w:szCs w:val="24"/>
        </w:rPr>
        <w:t>4]324号)的原规定，金属矿山维简费的提</w:t>
      </w:r>
      <w:r>
        <w:rPr>
          <w:rFonts w:ascii="宋体" w:hAnsi="宋体" w:eastAsia="宋体" w:cs="宋体"/>
          <w:sz w:val="24"/>
          <w:szCs w:val="24"/>
        </w:rPr>
        <w:t xml:space="preserve"> </w:t>
      </w:r>
      <w:r>
        <w:rPr>
          <w:rFonts w:ascii="宋体" w:hAnsi="宋体" w:eastAsia="宋体" w:cs="宋体"/>
          <w:spacing w:val="6"/>
          <w:sz w:val="24"/>
          <w:szCs w:val="24"/>
        </w:rPr>
        <w:t>取标准为15—18元/吨，本次评估维简费取15元/吨。根据《矿业权评估参数确</w:t>
      </w:r>
      <w:r>
        <w:rPr>
          <w:rFonts w:ascii="宋体" w:hAnsi="宋体" w:eastAsia="宋体" w:cs="宋体"/>
          <w:sz w:val="24"/>
          <w:szCs w:val="24"/>
        </w:rPr>
        <w:t xml:space="preserve"> </w:t>
      </w:r>
      <w:r>
        <w:rPr>
          <w:rFonts w:ascii="宋体" w:hAnsi="宋体" w:eastAsia="宋体" w:cs="宋体"/>
          <w:spacing w:val="-4"/>
          <w:sz w:val="24"/>
          <w:szCs w:val="24"/>
        </w:rPr>
        <w:t>定指导意见》,对计提维简费的金属矿等，可按评估计算的服务年限内采出原矿量</w:t>
      </w:r>
      <w:r>
        <w:rPr>
          <w:rFonts w:ascii="宋体" w:hAnsi="宋体" w:eastAsia="宋体" w:cs="宋体"/>
          <w:spacing w:val="2"/>
          <w:sz w:val="24"/>
          <w:szCs w:val="24"/>
        </w:rPr>
        <w:t xml:space="preserve"> </w:t>
      </w:r>
      <w:r>
        <w:rPr>
          <w:rFonts w:ascii="宋体" w:hAnsi="宋体" w:eastAsia="宋体" w:cs="宋体"/>
          <w:spacing w:val="3"/>
          <w:sz w:val="24"/>
          <w:szCs w:val="24"/>
        </w:rPr>
        <w:t>和采矿系统固定资产投资计算单位矿石折旧性质的维简费，以维简费(根据财政</w:t>
      </w:r>
      <w:r>
        <w:rPr>
          <w:rFonts w:ascii="宋体" w:hAnsi="宋体" w:eastAsia="宋体" w:cs="宋体"/>
          <w:spacing w:val="14"/>
          <w:sz w:val="24"/>
          <w:szCs w:val="24"/>
        </w:rPr>
        <w:t xml:space="preserve"> </w:t>
      </w:r>
      <w:r>
        <w:rPr>
          <w:rFonts w:ascii="宋体" w:hAnsi="宋体" w:eastAsia="宋体" w:cs="宋体"/>
          <w:spacing w:val="3"/>
          <w:sz w:val="24"/>
          <w:szCs w:val="24"/>
        </w:rPr>
        <w:t>部门规定的标准计算)扣除单位矿石折旧性质的维简费后全部余额作为更新性质</w:t>
      </w:r>
      <w:r>
        <w:rPr>
          <w:rFonts w:ascii="宋体" w:hAnsi="宋体" w:eastAsia="宋体" w:cs="宋体"/>
          <w:spacing w:val="10"/>
          <w:sz w:val="24"/>
          <w:szCs w:val="24"/>
        </w:rPr>
        <w:t xml:space="preserve"> </w:t>
      </w:r>
      <w:r>
        <w:rPr>
          <w:rFonts w:ascii="宋体" w:hAnsi="宋体" w:eastAsia="宋体" w:cs="宋体"/>
          <w:spacing w:val="7"/>
          <w:sz w:val="24"/>
          <w:szCs w:val="24"/>
        </w:rPr>
        <w:t>的维简费(但余额为负数时不列更新性质的维简费)列入经营成本。</w:t>
      </w:r>
    </w:p>
    <w:p w14:paraId="03B9B301">
      <w:pPr>
        <w:spacing w:before="70" w:line="384" w:lineRule="auto"/>
        <w:ind w:left="84" w:right="268" w:firstLine="510"/>
        <w:jc w:val="both"/>
        <w:rPr>
          <w:rFonts w:ascii="宋体" w:hAnsi="宋体" w:eastAsia="宋体" w:cs="宋体"/>
          <w:sz w:val="24"/>
          <w:szCs w:val="24"/>
        </w:rPr>
      </w:pPr>
      <w:r>
        <w:rPr>
          <w:rFonts w:ascii="宋体" w:hAnsi="宋体" w:eastAsia="宋体" w:cs="宋体"/>
          <w:spacing w:val="12"/>
          <w:sz w:val="24"/>
          <w:szCs w:val="24"/>
        </w:rPr>
        <w:t>本项目评估用井巷工程投资为1,419.50万元(含增值税39.60万元),评估</w:t>
      </w:r>
      <w:r>
        <w:rPr>
          <w:rFonts w:ascii="宋体" w:hAnsi="宋体" w:eastAsia="宋体" w:cs="宋体"/>
          <w:spacing w:val="2"/>
          <w:sz w:val="24"/>
          <w:szCs w:val="24"/>
        </w:rPr>
        <w:t xml:space="preserve"> </w:t>
      </w:r>
      <w:r>
        <w:rPr>
          <w:rFonts w:ascii="宋体" w:hAnsi="宋体" w:eastAsia="宋体" w:cs="宋体"/>
          <w:spacing w:val="9"/>
          <w:sz w:val="24"/>
          <w:szCs w:val="24"/>
        </w:rPr>
        <w:t>计算期内采出矿石量为98.38万吨，则单位折旧性质维简费14.03</w:t>
      </w:r>
      <w:r>
        <w:rPr>
          <w:rFonts w:ascii="宋体" w:hAnsi="宋体" w:eastAsia="宋体" w:cs="宋体"/>
          <w:spacing w:val="8"/>
          <w:sz w:val="24"/>
          <w:szCs w:val="24"/>
        </w:rPr>
        <w:t xml:space="preserve"> 元</w:t>
      </w:r>
      <w:r>
        <w:rPr>
          <w:rFonts w:ascii="宋体" w:hAnsi="宋体" w:eastAsia="宋体" w:cs="宋体"/>
          <w:spacing w:val="-49"/>
          <w:sz w:val="24"/>
          <w:szCs w:val="24"/>
        </w:rPr>
        <w:t xml:space="preserve"> </w:t>
      </w:r>
      <w:r>
        <w:rPr>
          <w:rFonts w:ascii="宋体" w:hAnsi="宋体" w:eastAsia="宋体" w:cs="宋体"/>
          <w:spacing w:val="8"/>
          <w:sz w:val="24"/>
          <w:szCs w:val="24"/>
        </w:rPr>
        <w:t>/</w:t>
      </w:r>
      <w:r>
        <w:rPr>
          <w:rFonts w:ascii="宋体" w:hAnsi="宋体" w:eastAsia="宋体" w:cs="宋体"/>
          <w:spacing w:val="-37"/>
          <w:sz w:val="24"/>
          <w:szCs w:val="24"/>
        </w:rPr>
        <w:t xml:space="preserve"> </w:t>
      </w:r>
      <w:r>
        <w:rPr>
          <w:rFonts w:ascii="宋体" w:hAnsi="宋体" w:eastAsia="宋体" w:cs="宋体"/>
          <w:spacing w:val="8"/>
          <w:sz w:val="24"/>
          <w:szCs w:val="24"/>
        </w:rPr>
        <w:t>吨 (</w:t>
      </w:r>
      <w:r>
        <w:rPr>
          <w:rFonts w:ascii="宋体" w:hAnsi="宋体" w:eastAsia="宋体" w:cs="宋体"/>
          <w:spacing w:val="-50"/>
          <w:sz w:val="24"/>
          <w:szCs w:val="24"/>
        </w:rPr>
        <w:t xml:space="preserve"> </w:t>
      </w:r>
      <w:r>
        <w:rPr>
          <w:rFonts w:ascii="宋体" w:hAnsi="宋体" w:eastAsia="宋体" w:cs="宋体"/>
          <w:spacing w:val="8"/>
          <w:sz w:val="24"/>
          <w:szCs w:val="24"/>
        </w:rPr>
        <w:t>=</w:t>
      </w:r>
      <w:r>
        <w:rPr>
          <w:rFonts w:ascii="宋体" w:hAnsi="宋体" w:eastAsia="宋体" w:cs="宋体"/>
          <w:sz w:val="24"/>
          <w:szCs w:val="24"/>
        </w:rPr>
        <w:t xml:space="preserve"> </w:t>
      </w:r>
      <w:r>
        <w:rPr>
          <w:rFonts w:ascii="宋体" w:hAnsi="宋体" w:eastAsia="宋体" w:cs="宋体"/>
          <w:spacing w:val="5"/>
          <w:sz w:val="24"/>
          <w:szCs w:val="24"/>
        </w:rPr>
        <w:t>1,419.50-39.60)÷98.38),单位维简费扣除单位折旧性质维简费</w:t>
      </w:r>
      <w:r>
        <w:rPr>
          <w:rFonts w:ascii="宋体" w:hAnsi="宋体" w:eastAsia="宋体" w:cs="宋体"/>
          <w:spacing w:val="4"/>
          <w:sz w:val="24"/>
          <w:szCs w:val="24"/>
        </w:rPr>
        <w:t>后更新性质维</w:t>
      </w:r>
      <w:r>
        <w:rPr>
          <w:rFonts w:ascii="宋体" w:hAnsi="宋体" w:eastAsia="宋体" w:cs="宋体"/>
          <w:sz w:val="24"/>
          <w:szCs w:val="24"/>
        </w:rPr>
        <w:t xml:space="preserve"> </w:t>
      </w:r>
      <w:r>
        <w:rPr>
          <w:rFonts w:ascii="宋体" w:hAnsi="宋体" w:eastAsia="宋体" w:cs="宋体"/>
          <w:spacing w:val="3"/>
          <w:sz w:val="24"/>
          <w:szCs w:val="24"/>
        </w:rPr>
        <w:t>简费为0.97元/吨。故本次评估单位折旧性质维简费取为14.03元/吨</w:t>
      </w:r>
      <w:r>
        <w:rPr>
          <w:rFonts w:ascii="宋体" w:hAnsi="宋体" w:eastAsia="宋体" w:cs="宋体"/>
          <w:spacing w:val="2"/>
          <w:sz w:val="24"/>
          <w:szCs w:val="24"/>
        </w:rPr>
        <w:t>，更新性质</w:t>
      </w:r>
      <w:r>
        <w:rPr>
          <w:rFonts w:ascii="宋体" w:hAnsi="宋体" w:eastAsia="宋体" w:cs="宋体"/>
          <w:sz w:val="24"/>
          <w:szCs w:val="24"/>
        </w:rPr>
        <w:t xml:space="preserve"> </w:t>
      </w:r>
      <w:r>
        <w:rPr>
          <w:rFonts w:ascii="宋体" w:hAnsi="宋体" w:eastAsia="宋体" w:cs="宋体"/>
          <w:spacing w:val="10"/>
          <w:sz w:val="24"/>
          <w:szCs w:val="24"/>
        </w:rPr>
        <w:t>维简费为0.97元/吨。</w:t>
      </w:r>
    </w:p>
    <w:p w14:paraId="1638EA19">
      <w:pPr>
        <w:spacing w:before="36" w:line="219" w:lineRule="auto"/>
        <w:ind w:left="594"/>
        <w:rPr>
          <w:rFonts w:ascii="宋体" w:hAnsi="宋体" w:eastAsia="宋体" w:cs="宋体"/>
          <w:sz w:val="24"/>
          <w:szCs w:val="24"/>
        </w:rPr>
      </w:pPr>
      <w:r>
        <w:rPr>
          <w:rFonts w:ascii="宋体" w:hAnsi="宋体" w:eastAsia="宋体" w:cs="宋体"/>
          <w:spacing w:val="6"/>
          <w:sz w:val="24"/>
          <w:szCs w:val="24"/>
        </w:rPr>
        <w:t>正常生产年份维简费=年原矿产量×单位维简费</w:t>
      </w:r>
    </w:p>
    <w:p w14:paraId="4F3C3788">
      <w:pPr>
        <w:spacing w:before="254" w:line="188" w:lineRule="auto"/>
        <w:ind w:left="2824"/>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=10×15</w:t>
      </w:r>
    </w:p>
    <w:p w14:paraId="1D171FF5">
      <w:pPr>
        <w:spacing w:before="236" w:line="220" w:lineRule="auto"/>
        <w:ind w:left="2835"/>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23"/>
          <w:sz w:val="24"/>
          <w:szCs w:val="24"/>
        </w:rPr>
        <w:t xml:space="preserve"> </w:t>
      </w:r>
      <w:r>
        <w:rPr>
          <w:rFonts w:ascii="宋体" w:hAnsi="宋体" w:eastAsia="宋体" w:cs="宋体"/>
          <w:spacing w:val="8"/>
          <w:sz w:val="24"/>
          <w:szCs w:val="24"/>
        </w:rPr>
        <w:t>150.00万元</w:t>
      </w:r>
    </w:p>
    <w:p w14:paraId="730BEA4E">
      <w:pPr>
        <w:spacing w:before="242" w:line="219" w:lineRule="auto"/>
        <w:ind w:left="595"/>
        <w:rPr>
          <w:rFonts w:ascii="宋体" w:hAnsi="宋体" w:eastAsia="宋体" w:cs="宋体"/>
          <w:sz w:val="24"/>
          <w:szCs w:val="24"/>
        </w:rPr>
      </w:pPr>
      <w:r>
        <w:rPr>
          <w:rFonts w:ascii="宋体" w:hAnsi="宋体" w:eastAsia="宋体" w:cs="宋体"/>
          <w:spacing w:val="7"/>
          <w:sz w:val="24"/>
          <w:szCs w:val="24"/>
        </w:rPr>
        <w:t>其中折旧性质的维简费为140.26万吨，更新性质的维简</w:t>
      </w:r>
      <w:r>
        <w:rPr>
          <w:rFonts w:ascii="宋体" w:hAnsi="宋体" w:eastAsia="宋体" w:cs="宋体"/>
          <w:spacing w:val="6"/>
          <w:sz w:val="24"/>
          <w:szCs w:val="24"/>
        </w:rPr>
        <w:t>费为9.74万元。</w:t>
      </w:r>
    </w:p>
    <w:p w14:paraId="56C2E357">
      <w:pPr>
        <w:spacing w:before="177" w:line="220" w:lineRule="auto"/>
        <w:ind w:left="595"/>
        <w:rPr>
          <w:rFonts w:ascii="宋体" w:hAnsi="宋体" w:eastAsia="宋体" w:cs="宋体"/>
          <w:sz w:val="24"/>
          <w:szCs w:val="24"/>
        </w:rPr>
      </w:pPr>
      <w:r>
        <w:rPr>
          <w:rFonts w:ascii="宋体" w:hAnsi="宋体" w:eastAsia="宋体" w:cs="宋体"/>
          <w:spacing w:val="7"/>
          <w:sz w:val="24"/>
          <w:szCs w:val="24"/>
        </w:rPr>
        <w:t>10.12.7安全费用</w:t>
      </w:r>
    </w:p>
    <w:p w14:paraId="672EC0CD">
      <w:pPr>
        <w:spacing w:before="241" w:line="387" w:lineRule="auto"/>
        <w:ind w:left="84" w:firstLine="510"/>
        <w:rPr>
          <w:rFonts w:ascii="宋体" w:hAnsi="宋体" w:eastAsia="宋体" w:cs="宋体"/>
          <w:sz w:val="24"/>
          <w:szCs w:val="24"/>
        </w:rPr>
      </w:pPr>
      <w:r>
        <w:rPr>
          <w:rFonts w:ascii="宋体" w:hAnsi="宋体" w:eastAsia="宋体" w:cs="宋体"/>
          <w:spacing w:val="1"/>
          <w:sz w:val="24"/>
          <w:szCs w:val="24"/>
        </w:rPr>
        <w:t>根据财政部安全监管总局关于印发《企业安</w:t>
      </w:r>
      <w:r>
        <w:rPr>
          <w:rFonts w:ascii="宋体" w:hAnsi="宋体" w:eastAsia="宋体" w:cs="宋体"/>
          <w:sz w:val="24"/>
          <w:szCs w:val="24"/>
        </w:rPr>
        <w:t xml:space="preserve">全生产费用提取和使用管理办法》 </w:t>
      </w:r>
      <w:r>
        <w:rPr>
          <w:rFonts w:ascii="宋体" w:hAnsi="宋体" w:eastAsia="宋体" w:cs="宋体"/>
          <w:spacing w:val="12"/>
          <w:sz w:val="24"/>
          <w:szCs w:val="24"/>
        </w:rPr>
        <w:t>的通知(财企〔2012〕16号),对于金属矿山，地下开采矿山的生产安全费为10</w:t>
      </w:r>
      <w:r>
        <w:rPr>
          <w:rFonts w:ascii="宋体" w:hAnsi="宋体" w:eastAsia="宋体" w:cs="宋体"/>
          <w:spacing w:val="6"/>
          <w:sz w:val="24"/>
          <w:szCs w:val="24"/>
        </w:rPr>
        <w:t xml:space="preserve">  </w:t>
      </w:r>
      <w:r>
        <w:rPr>
          <w:rFonts w:ascii="宋体" w:hAnsi="宋体" w:eastAsia="宋体" w:cs="宋体"/>
          <w:spacing w:val="10"/>
          <w:sz w:val="24"/>
          <w:szCs w:val="24"/>
        </w:rPr>
        <w:t>元/吨。富乐铅锌矿属于五等库，安全费用标准为1.50元/</w:t>
      </w:r>
      <w:r>
        <w:rPr>
          <w:rFonts w:ascii="宋体" w:hAnsi="宋体" w:eastAsia="宋体" w:cs="宋体"/>
          <w:spacing w:val="9"/>
          <w:sz w:val="24"/>
          <w:szCs w:val="24"/>
        </w:rPr>
        <w:t>吨尾矿，尾矿产率为</w:t>
      </w:r>
      <w:r>
        <w:rPr>
          <w:rFonts w:ascii="宋体" w:hAnsi="宋体" w:eastAsia="宋体" w:cs="宋体"/>
          <w:sz w:val="24"/>
          <w:szCs w:val="24"/>
        </w:rPr>
        <w:t xml:space="preserve">  </w:t>
      </w:r>
      <w:r>
        <w:rPr>
          <w:rFonts w:ascii="宋体" w:hAnsi="宋体" w:eastAsia="宋体" w:cs="宋体"/>
          <w:spacing w:val="12"/>
          <w:sz w:val="24"/>
          <w:szCs w:val="24"/>
        </w:rPr>
        <w:t>93.96%,折合原矿为1.41元/吨(1.50×93.96%)。</w:t>
      </w:r>
    </w:p>
    <w:p w14:paraId="014437F5">
      <w:pPr>
        <w:spacing w:before="10" w:line="219" w:lineRule="auto"/>
        <w:ind w:left="594"/>
        <w:rPr>
          <w:rFonts w:ascii="宋体" w:hAnsi="宋体" w:eastAsia="宋体" w:cs="宋体"/>
          <w:sz w:val="24"/>
          <w:szCs w:val="24"/>
        </w:rPr>
      </w:pPr>
      <w:r>
        <w:rPr>
          <w:rFonts w:ascii="宋体" w:hAnsi="宋体" w:eastAsia="宋体" w:cs="宋体"/>
          <w:spacing w:val="7"/>
          <w:sz w:val="24"/>
          <w:szCs w:val="24"/>
        </w:rPr>
        <w:t>正常生产年份安全费用=年原矿产量×单位安</w:t>
      </w:r>
      <w:r>
        <w:rPr>
          <w:rFonts w:ascii="宋体" w:hAnsi="宋体" w:eastAsia="宋体" w:cs="宋体"/>
          <w:spacing w:val="6"/>
          <w:sz w:val="24"/>
          <w:szCs w:val="24"/>
        </w:rPr>
        <w:t>全费用</w:t>
      </w:r>
    </w:p>
    <w:p w14:paraId="362A5472">
      <w:pPr>
        <w:spacing w:line="219" w:lineRule="auto"/>
        <w:rPr>
          <w:rFonts w:ascii="宋体" w:hAnsi="宋体" w:eastAsia="宋体" w:cs="宋体"/>
          <w:sz w:val="24"/>
          <w:szCs w:val="24"/>
        </w:rPr>
        <w:sectPr>
          <w:headerReference r:id="rId108" w:type="default"/>
          <w:footerReference r:id="rId109" w:type="default"/>
          <w:pgSz w:w="11900" w:h="16830"/>
          <w:pgMar w:top="1147" w:right="1339" w:bottom="1310" w:left="1785" w:header="870" w:footer="968" w:gutter="0"/>
          <w:cols w:space="720" w:num="1"/>
        </w:sectPr>
      </w:pPr>
    </w:p>
    <w:p w14:paraId="22D85F2F">
      <w:pPr>
        <w:pStyle w:val="2"/>
        <w:spacing w:line="426" w:lineRule="auto"/>
      </w:pPr>
    </w:p>
    <w:p w14:paraId="1AA098FE">
      <w:pPr>
        <w:pStyle w:val="2"/>
        <w:spacing w:before="63" w:line="300" w:lineRule="exact"/>
        <w:ind w:left="2994"/>
        <w:rPr>
          <w:sz w:val="22"/>
          <w:szCs w:val="22"/>
        </w:rPr>
      </w:pPr>
      <w:r>
        <w:rPr>
          <w:spacing w:val="-5"/>
          <w:position w:val="1"/>
          <w:sz w:val="22"/>
          <w:szCs w:val="22"/>
        </w:rPr>
        <w:t>=</w:t>
      </w:r>
      <w:r>
        <w:rPr>
          <w:spacing w:val="39"/>
          <w:w w:val="101"/>
          <w:position w:val="1"/>
          <w:sz w:val="22"/>
          <w:szCs w:val="22"/>
        </w:rPr>
        <w:t xml:space="preserve"> </w:t>
      </w:r>
      <w:r>
        <w:rPr>
          <w:spacing w:val="-5"/>
          <w:position w:val="1"/>
          <w:sz w:val="22"/>
          <w:szCs w:val="22"/>
        </w:rPr>
        <w:t>10×11.41</w:t>
      </w:r>
    </w:p>
    <w:p w14:paraId="687C484C">
      <w:pPr>
        <w:spacing w:before="231" w:line="220" w:lineRule="auto"/>
        <w:ind w:left="2994"/>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3"/>
          <w:sz w:val="24"/>
          <w:szCs w:val="24"/>
        </w:rPr>
        <w:t xml:space="preserve"> </w:t>
      </w:r>
      <w:r>
        <w:rPr>
          <w:rFonts w:ascii="宋体" w:hAnsi="宋体" w:eastAsia="宋体" w:cs="宋体"/>
          <w:spacing w:val="8"/>
          <w:sz w:val="24"/>
          <w:szCs w:val="24"/>
        </w:rPr>
        <w:t>114.10万元</w:t>
      </w:r>
    </w:p>
    <w:p w14:paraId="2349E44C">
      <w:pPr>
        <w:spacing w:before="203" w:line="219" w:lineRule="auto"/>
        <w:ind w:left="575"/>
        <w:rPr>
          <w:rFonts w:ascii="宋体" w:hAnsi="宋体" w:eastAsia="宋体" w:cs="宋体"/>
          <w:sz w:val="24"/>
          <w:szCs w:val="24"/>
        </w:rPr>
      </w:pPr>
      <w:r>
        <w:rPr>
          <w:rFonts w:ascii="宋体" w:hAnsi="宋体" w:eastAsia="宋体" w:cs="宋体"/>
          <w:spacing w:val="6"/>
          <w:sz w:val="24"/>
          <w:szCs w:val="24"/>
        </w:rPr>
        <w:t>10.12.8修理费</w:t>
      </w:r>
    </w:p>
    <w:p w14:paraId="0EF60966">
      <w:pPr>
        <w:spacing w:before="193" w:line="219" w:lineRule="auto"/>
        <w:ind w:left="575"/>
        <w:rPr>
          <w:rFonts w:ascii="宋体" w:hAnsi="宋体" w:eastAsia="宋体" w:cs="宋体"/>
          <w:sz w:val="24"/>
          <w:szCs w:val="24"/>
        </w:rPr>
      </w:pPr>
      <w:r>
        <w:rPr>
          <w:rFonts w:ascii="宋体" w:hAnsi="宋体" w:eastAsia="宋体" w:cs="宋体"/>
          <w:spacing w:val="5"/>
          <w:sz w:val="24"/>
          <w:szCs w:val="24"/>
        </w:rPr>
        <w:t>修理费按照机器设备的4%计算，单位原矿修理费为1</w:t>
      </w:r>
      <w:r>
        <w:rPr>
          <w:rFonts w:ascii="宋体" w:hAnsi="宋体" w:eastAsia="宋体" w:cs="宋体"/>
          <w:spacing w:val="4"/>
          <w:sz w:val="24"/>
          <w:szCs w:val="24"/>
        </w:rPr>
        <w:t>0.36元/吨。</w:t>
      </w:r>
    </w:p>
    <w:p w14:paraId="5E91F29F">
      <w:pPr>
        <w:spacing w:before="207" w:line="219" w:lineRule="auto"/>
        <w:ind w:left="575"/>
        <w:rPr>
          <w:rFonts w:ascii="宋体" w:hAnsi="宋体" w:eastAsia="宋体" w:cs="宋体"/>
          <w:sz w:val="24"/>
          <w:szCs w:val="24"/>
        </w:rPr>
      </w:pPr>
      <w:r>
        <w:rPr>
          <w:rFonts w:ascii="宋体" w:hAnsi="宋体" w:eastAsia="宋体" w:cs="宋体"/>
          <w:spacing w:val="5"/>
          <w:sz w:val="24"/>
          <w:szCs w:val="24"/>
        </w:rPr>
        <w:t>正常生产年份修理费=年原矿产量×单位修理费</w:t>
      </w:r>
    </w:p>
    <w:p w14:paraId="757E7D6B">
      <w:pPr>
        <w:spacing w:before="267" w:line="188" w:lineRule="auto"/>
        <w:ind w:left="276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=10×10.36</w:t>
      </w:r>
    </w:p>
    <w:p w14:paraId="47AB8506">
      <w:pPr>
        <w:spacing w:before="212" w:line="220" w:lineRule="auto"/>
        <w:ind w:left="2764"/>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3"/>
          <w:sz w:val="24"/>
          <w:szCs w:val="24"/>
        </w:rPr>
        <w:t xml:space="preserve"> </w:t>
      </w:r>
      <w:r>
        <w:rPr>
          <w:rFonts w:ascii="宋体" w:hAnsi="宋体" w:eastAsia="宋体" w:cs="宋体"/>
          <w:spacing w:val="8"/>
          <w:sz w:val="24"/>
          <w:szCs w:val="24"/>
        </w:rPr>
        <w:t>103.60万元</w:t>
      </w:r>
    </w:p>
    <w:p w14:paraId="6D5A9D2D">
      <w:pPr>
        <w:spacing w:before="254" w:line="220" w:lineRule="auto"/>
        <w:ind w:left="575"/>
        <w:rPr>
          <w:rFonts w:ascii="宋体" w:hAnsi="宋体" w:eastAsia="宋体" w:cs="宋体"/>
          <w:sz w:val="24"/>
          <w:szCs w:val="24"/>
        </w:rPr>
      </w:pPr>
      <w:r>
        <w:rPr>
          <w:rFonts w:ascii="宋体" w:hAnsi="宋体" w:eastAsia="宋体" w:cs="宋体"/>
          <w:spacing w:val="2"/>
          <w:sz w:val="24"/>
          <w:szCs w:val="24"/>
        </w:rPr>
        <w:t>10.12.9其它制造费用</w:t>
      </w:r>
    </w:p>
    <w:p w14:paraId="318D07B6">
      <w:pPr>
        <w:spacing w:before="200" w:line="386" w:lineRule="auto"/>
        <w:ind w:left="94" w:right="118" w:firstLine="480"/>
        <w:rPr>
          <w:rFonts w:ascii="宋体" w:hAnsi="宋体" w:eastAsia="宋体" w:cs="宋体"/>
          <w:sz w:val="24"/>
          <w:szCs w:val="24"/>
        </w:rPr>
      </w:pPr>
      <w:r>
        <w:rPr>
          <w:rFonts w:ascii="宋体" w:hAnsi="宋体" w:eastAsia="宋体" w:cs="宋体"/>
          <w:spacing w:val="3"/>
          <w:sz w:val="24"/>
          <w:szCs w:val="24"/>
        </w:rPr>
        <w:t>根据“开发利用方案”,单位原矿采选环节其它制造费用为1.</w:t>
      </w:r>
      <w:r>
        <w:rPr>
          <w:rFonts w:ascii="宋体" w:hAnsi="宋体" w:eastAsia="宋体" w:cs="宋体"/>
          <w:spacing w:val="2"/>
          <w:sz w:val="24"/>
          <w:szCs w:val="24"/>
        </w:rPr>
        <w:t>02元/吨，则本</w:t>
      </w:r>
      <w:r>
        <w:rPr>
          <w:rFonts w:ascii="宋体" w:hAnsi="宋体" w:eastAsia="宋体" w:cs="宋体"/>
          <w:sz w:val="24"/>
          <w:szCs w:val="24"/>
        </w:rPr>
        <w:t xml:space="preserve"> </w:t>
      </w:r>
      <w:r>
        <w:rPr>
          <w:rFonts w:ascii="宋体" w:hAnsi="宋体" w:eastAsia="宋体" w:cs="宋体"/>
          <w:spacing w:val="3"/>
          <w:sz w:val="24"/>
          <w:szCs w:val="24"/>
        </w:rPr>
        <w:t>次评估确定采选环节其它制造费用为1.02元/吨。</w:t>
      </w:r>
    </w:p>
    <w:p w14:paraId="7DB0BB30">
      <w:pPr>
        <w:spacing w:line="219" w:lineRule="auto"/>
        <w:ind w:left="575"/>
        <w:rPr>
          <w:rFonts w:ascii="宋体" w:hAnsi="宋体" w:eastAsia="宋体" w:cs="宋体"/>
          <w:sz w:val="24"/>
          <w:szCs w:val="24"/>
        </w:rPr>
      </w:pPr>
      <w:r>
        <w:rPr>
          <w:rFonts w:ascii="宋体" w:hAnsi="宋体" w:eastAsia="宋体" w:cs="宋体"/>
          <w:spacing w:val="4"/>
          <w:sz w:val="24"/>
          <w:szCs w:val="24"/>
        </w:rPr>
        <w:t>正常生产年其它制造费用=年原矿产量×单位其它制造费用</w:t>
      </w:r>
    </w:p>
    <w:p w14:paraId="4A776948">
      <w:pPr>
        <w:spacing w:before="262" w:line="188" w:lineRule="auto"/>
        <w:ind w:left="325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=10×1.02</w:t>
      </w:r>
    </w:p>
    <w:p w14:paraId="66F32E71">
      <w:pPr>
        <w:spacing w:before="256" w:line="220" w:lineRule="auto"/>
        <w:ind w:left="3265"/>
        <w:rPr>
          <w:rFonts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17"/>
          <w:sz w:val="24"/>
          <w:szCs w:val="24"/>
        </w:rPr>
        <w:t xml:space="preserve"> </w:t>
      </w:r>
      <w:r>
        <w:rPr>
          <w:rFonts w:ascii="宋体" w:hAnsi="宋体" w:eastAsia="宋体" w:cs="宋体"/>
          <w:spacing w:val="7"/>
          <w:sz w:val="24"/>
          <w:szCs w:val="24"/>
        </w:rPr>
        <w:t>10.20万元</w:t>
      </w:r>
    </w:p>
    <w:p w14:paraId="6D04C214">
      <w:pPr>
        <w:spacing w:before="213" w:line="219" w:lineRule="auto"/>
        <w:ind w:left="575"/>
        <w:rPr>
          <w:rFonts w:ascii="宋体" w:hAnsi="宋体" w:eastAsia="宋体" w:cs="宋体"/>
          <w:sz w:val="24"/>
          <w:szCs w:val="24"/>
        </w:rPr>
      </w:pPr>
      <w:r>
        <w:rPr>
          <w:rFonts w:ascii="宋体" w:hAnsi="宋体" w:eastAsia="宋体" w:cs="宋体"/>
          <w:spacing w:val="4"/>
          <w:sz w:val="24"/>
          <w:szCs w:val="24"/>
        </w:rPr>
        <w:t>10.12.10管理费用</w:t>
      </w:r>
    </w:p>
    <w:p w14:paraId="7ED99E6A">
      <w:pPr>
        <w:spacing w:before="226" w:line="220" w:lineRule="auto"/>
        <w:ind w:left="704"/>
        <w:rPr>
          <w:rFonts w:ascii="宋体" w:hAnsi="宋体" w:eastAsia="宋体" w:cs="宋体"/>
          <w:sz w:val="24"/>
          <w:szCs w:val="24"/>
        </w:rPr>
      </w:pPr>
      <w:r>
        <w:rPr>
          <w:rFonts w:ascii="宋体" w:hAnsi="宋体" w:eastAsia="宋体" w:cs="宋体"/>
          <w:spacing w:val="18"/>
          <w:sz w:val="24"/>
          <w:szCs w:val="24"/>
        </w:rPr>
        <w:t>(1)土地租赁费</w:t>
      </w:r>
    </w:p>
    <w:p w14:paraId="24E35499">
      <w:pPr>
        <w:spacing w:before="201" w:line="382" w:lineRule="auto"/>
        <w:ind w:left="94" w:right="118" w:firstLine="480"/>
        <w:rPr>
          <w:rFonts w:ascii="宋体" w:hAnsi="宋体" w:eastAsia="宋体" w:cs="宋体"/>
          <w:sz w:val="24"/>
          <w:szCs w:val="24"/>
        </w:rPr>
      </w:pPr>
      <w:r>
        <w:rPr>
          <w:rFonts w:ascii="宋体" w:hAnsi="宋体" w:eastAsia="宋体" w:cs="宋体"/>
          <w:spacing w:val="3"/>
          <w:sz w:val="24"/>
          <w:szCs w:val="24"/>
        </w:rPr>
        <w:t>根据《云南罗平锌电股份有限公司富乐铅锌矿矿山地质环境保护与土地复垦</w:t>
      </w:r>
      <w:r>
        <w:rPr>
          <w:rFonts w:ascii="宋体" w:hAnsi="宋体" w:eastAsia="宋体" w:cs="宋体"/>
          <w:sz w:val="24"/>
          <w:szCs w:val="24"/>
        </w:rPr>
        <w:t xml:space="preserve"> </w:t>
      </w:r>
      <w:r>
        <w:rPr>
          <w:rFonts w:ascii="宋体" w:hAnsi="宋体" w:eastAsia="宋体" w:cs="宋体"/>
          <w:spacing w:val="2"/>
          <w:sz w:val="24"/>
          <w:szCs w:val="24"/>
        </w:rPr>
        <w:t>方案》,富乐开采影响面积为74.2267</w:t>
      </w:r>
      <w:r>
        <w:rPr>
          <w:rFonts w:ascii="Times New Roman" w:hAnsi="Times New Roman" w:eastAsia="Times New Roman" w:cs="Times New Roman"/>
          <w:sz w:val="24"/>
          <w:szCs w:val="24"/>
        </w:rPr>
        <w:t>hm</w:t>
      </w:r>
      <w:r>
        <w:rPr>
          <w:rFonts w:ascii="Times New Roman" w:hAnsi="Times New Roman" w:eastAsia="Times New Roman" w:cs="Times New Roman"/>
          <w:spacing w:val="2"/>
          <w:sz w:val="24"/>
          <w:szCs w:val="24"/>
        </w:rPr>
        <w:t>²</w:t>
      </w:r>
      <w:r>
        <w:rPr>
          <w:rFonts w:ascii="Times New Roman" w:hAnsi="Times New Roman" w:eastAsia="Times New Roman" w:cs="Times New Roman"/>
          <w:spacing w:val="26"/>
          <w:w w:val="101"/>
          <w:sz w:val="24"/>
          <w:szCs w:val="24"/>
        </w:rPr>
        <w:t xml:space="preserve"> </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详见附件十二：</w:t>
      </w:r>
      <w:r>
        <w:rPr>
          <w:rFonts w:ascii="Times New Roman" w:hAnsi="Times New Roman" w:eastAsia="Times New Roman" w:cs="Times New Roman"/>
          <w:spacing w:val="1"/>
          <w:sz w:val="24"/>
          <w:szCs w:val="24"/>
        </w:rPr>
        <w:t>P8),</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 xml:space="preserve">参照周边矿山土 </w:t>
      </w:r>
      <w:r>
        <w:rPr>
          <w:rFonts w:ascii="宋体" w:hAnsi="宋体" w:eastAsia="宋体" w:cs="宋体"/>
          <w:spacing w:val="11"/>
          <w:sz w:val="24"/>
          <w:szCs w:val="24"/>
        </w:rPr>
        <w:t>地租赁费952</w:t>
      </w:r>
      <w:r>
        <w:rPr>
          <w:rFonts w:ascii="宋体" w:hAnsi="宋体" w:eastAsia="宋体" w:cs="宋体"/>
          <w:spacing w:val="-24"/>
          <w:sz w:val="24"/>
          <w:szCs w:val="24"/>
        </w:rPr>
        <w:t xml:space="preserve"> </w:t>
      </w:r>
      <w:r>
        <w:rPr>
          <w:rFonts w:ascii="宋体" w:hAnsi="宋体" w:eastAsia="宋体" w:cs="宋体"/>
          <w:spacing w:val="11"/>
          <w:sz w:val="24"/>
          <w:szCs w:val="24"/>
        </w:rPr>
        <w:t>元/亩</w:t>
      </w:r>
      <w:r>
        <w:rPr>
          <w:rFonts w:ascii="宋体" w:hAnsi="宋体" w:eastAsia="宋体" w:cs="宋体"/>
          <w:spacing w:val="-15"/>
          <w:sz w:val="24"/>
          <w:szCs w:val="24"/>
        </w:rPr>
        <w:t xml:space="preserve"> </w:t>
      </w:r>
      <w:r>
        <w:rPr>
          <w:rFonts w:ascii="宋体" w:hAnsi="宋体" w:eastAsia="宋体" w:cs="宋体"/>
          <w:spacing w:val="11"/>
          <w:sz w:val="24"/>
          <w:szCs w:val="24"/>
        </w:rPr>
        <w:t>·</w:t>
      </w:r>
      <w:r>
        <w:rPr>
          <w:rFonts w:ascii="宋体" w:hAnsi="宋体" w:eastAsia="宋体" w:cs="宋体"/>
          <w:spacing w:val="-96"/>
          <w:sz w:val="24"/>
          <w:szCs w:val="24"/>
        </w:rPr>
        <w:t xml:space="preserve"> </w:t>
      </w:r>
      <w:r>
        <w:rPr>
          <w:rFonts w:ascii="宋体" w:hAnsi="宋体" w:eastAsia="宋体" w:cs="宋体"/>
          <w:spacing w:val="11"/>
          <w:sz w:val="24"/>
          <w:szCs w:val="24"/>
        </w:rPr>
        <w:t>年计算，年土地租赁费为106.00万元(=74.2267×1</w:t>
      </w:r>
      <w:r>
        <w:rPr>
          <w:rFonts w:ascii="宋体" w:hAnsi="宋体" w:eastAsia="宋体" w:cs="宋体"/>
          <w:spacing w:val="10"/>
          <w:sz w:val="24"/>
          <w:szCs w:val="24"/>
        </w:rPr>
        <w:t>5×</w:t>
      </w:r>
      <w:r>
        <w:rPr>
          <w:rFonts w:ascii="宋体" w:hAnsi="宋体" w:eastAsia="宋体" w:cs="宋体"/>
          <w:sz w:val="24"/>
          <w:szCs w:val="24"/>
        </w:rPr>
        <w:t xml:space="preserve"> </w:t>
      </w:r>
      <w:r>
        <w:rPr>
          <w:rFonts w:ascii="宋体" w:hAnsi="宋体" w:eastAsia="宋体" w:cs="宋体"/>
          <w:spacing w:val="10"/>
          <w:sz w:val="24"/>
          <w:szCs w:val="24"/>
        </w:rPr>
        <w:t>952.00÷10000),  则土地租赁费单位成本为10.60元/吨(=106.00÷10)。</w:t>
      </w:r>
    </w:p>
    <w:p w14:paraId="7BBCCE40">
      <w:pPr>
        <w:spacing w:before="26" w:line="219" w:lineRule="auto"/>
        <w:ind w:left="745"/>
        <w:rPr>
          <w:rFonts w:ascii="宋体" w:hAnsi="宋体" w:eastAsia="宋体" w:cs="宋体"/>
          <w:sz w:val="24"/>
          <w:szCs w:val="24"/>
        </w:rPr>
      </w:pPr>
      <w:r>
        <w:rPr>
          <w:rFonts w:ascii="宋体" w:hAnsi="宋体" w:eastAsia="宋体" w:cs="宋体"/>
          <w:spacing w:val="8"/>
          <w:sz w:val="24"/>
          <w:szCs w:val="24"/>
        </w:rPr>
        <w:t>(2)管理人员工资及福利费</w:t>
      </w:r>
    </w:p>
    <w:p w14:paraId="08065E79">
      <w:pPr>
        <w:spacing w:before="214" w:line="380" w:lineRule="auto"/>
        <w:ind w:left="94" w:right="116" w:firstLine="480"/>
        <w:rPr>
          <w:rFonts w:ascii="宋体" w:hAnsi="宋体" w:eastAsia="宋体" w:cs="宋体"/>
          <w:sz w:val="24"/>
          <w:szCs w:val="24"/>
        </w:rPr>
      </w:pPr>
      <w:r>
        <w:rPr>
          <w:rFonts w:ascii="宋体" w:hAnsi="宋体" w:eastAsia="宋体" w:cs="宋体"/>
          <w:spacing w:val="3"/>
          <w:sz w:val="24"/>
          <w:szCs w:val="24"/>
        </w:rPr>
        <w:t xml:space="preserve">管理人员职工薪酬已并入生产成本计算。本次评估不再另行计算管理人员职 </w:t>
      </w:r>
      <w:r>
        <w:rPr>
          <w:rFonts w:ascii="宋体" w:hAnsi="宋体" w:eastAsia="宋体" w:cs="宋体"/>
          <w:spacing w:val="-4"/>
          <w:sz w:val="24"/>
          <w:szCs w:val="24"/>
        </w:rPr>
        <w:t>工薪酬。</w:t>
      </w:r>
    </w:p>
    <w:p w14:paraId="0BDB70E7">
      <w:pPr>
        <w:spacing w:before="14" w:line="220" w:lineRule="auto"/>
        <w:ind w:left="745"/>
        <w:rPr>
          <w:rFonts w:ascii="宋体" w:hAnsi="宋体" w:eastAsia="宋体" w:cs="宋体"/>
          <w:sz w:val="24"/>
          <w:szCs w:val="24"/>
        </w:rPr>
      </w:pPr>
      <w:r>
        <w:rPr>
          <w:rFonts w:ascii="宋体" w:hAnsi="宋体" w:eastAsia="宋体" w:cs="宋体"/>
          <w:spacing w:val="6"/>
          <w:sz w:val="24"/>
          <w:szCs w:val="24"/>
        </w:rPr>
        <w:t>(3)地质环境恢复与治理支出及土地复垦费</w:t>
      </w:r>
    </w:p>
    <w:p w14:paraId="096F615D">
      <w:pPr>
        <w:spacing w:before="201" w:line="383" w:lineRule="auto"/>
        <w:ind w:left="94" w:right="100" w:firstLine="480"/>
        <w:jc w:val="both"/>
        <w:rPr>
          <w:rFonts w:ascii="宋体" w:hAnsi="宋体" w:eastAsia="宋体" w:cs="宋体"/>
          <w:sz w:val="24"/>
          <w:szCs w:val="24"/>
        </w:rPr>
      </w:pPr>
      <w:r>
        <w:rPr>
          <w:rFonts w:ascii="宋体" w:hAnsi="宋体" w:eastAsia="宋体" w:cs="宋体"/>
          <w:spacing w:val="4"/>
          <w:sz w:val="24"/>
          <w:szCs w:val="24"/>
        </w:rPr>
        <w:t>根据《云南罗平锌电股份有限公司富乐铅锌</w:t>
      </w:r>
      <w:r>
        <w:rPr>
          <w:rFonts w:ascii="宋体" w:hAnsi="宋体" w:eastAsia="宋体" w:cs="宋体"/>
          <w:spacing w:val="3"/>
          <w:sz w:val="24"/>
          <w:szCs w:val="24"/>
        </w:rPr>
        <w:t>矿矿山地质环境保护与土地复垦</w:t>
      </w:r>
      <w:r>
        <w:rPr>
          <w:rFonts w:ascii="宋体" w:hAnsi="宋体" w:eastAsia="宋体" w:cs="宋体"/>
          <w:sz w:val="24"/>
          <w:szCs w:val="24"/>
        </w:rPr>
        <w:t xml:space="preserve"> </w:t>
      </w:r>
      <w:r>
        <w:rPr>
          <w:rFonts w:ascii="宋体" w:hAnsi="宋体" w:eastAsia="宋体" w:cs="宋体"/>
          <w:spacing w:val="3"/>
          <w:sz w:val="24"/>
          <w:szCs w:val="24"/>
        </w:rPr>
        <w:t>方案》(详见附件十一：</w:t>
      </w:r>
      <w:r>
        <w:rPr>
          <w:rFonts w:ascii="Times New Roman" w:hAnsi="Times New Roman" w:eastAsia="Times New Roman" w:cs="Times New Roman"/>
          <w:spacing w:val="3"/>
          <w:sz w:val="24"/>
          <w:szCs w:val="24"/>
        </w:rPr>
        <w:t>P2</w:t>
      </w:r>
      <w:r>
        <w:rPr>
          <w:rFonts w:ascii="Times New Roman" w:hAnsi="Times New Roman" w:eastAsia="Times New Roman" w:cs="Times New Roman"/>
          <w:spacing w:val="-19"/>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P12),  </w:t>
      </w:r>
      <w:r>
        <w:rPr>
          <w:rFonts w:ascii="宋体" w:hAnsi="宋体" w:eastAsia="宋体" w:cs="宋体"/>
          <w:spacing w:val="3"/>
          <w:sz w:val="24"/>
          <w:szCs w:val="24"/>
        </w:rPr>
        <w:t>矿山地质环境恢复治理总投资555.81万元(含</w:t>
      </w:r>
      <w:r>
        <w:rPr>
          <w:rFonts w:ascii="宋体" w:hAnsi="宋体" w:eastAsia="宋体" w:cs="宋体"/>
          <w:sz w:val="24"/>
          <w:szCs w:val="24"/>
        </w:rPr>
        <w:t xml:space="preserve"> </w:t>
      </w:r>
      <w:r>
        <w:rPr>
          <w:rFonts w:ascii="宋体" w:hAnsi="宋体" w:eastAsia="宋体" w:cs="宋体"/>
          <w:spacing w:val="16"/>
          <w:sz w:val="24"/>
          <w:szCs w:val="24"/>
        </w:rPr>
        <w:t>预备费162.47万元),土地复垦投资162.81万元(含预备费3.84万元),剔除预</w:t>
      </w:r>
      <w:r>
        <w:rPr>
          <w:rFonts w:ascii="宋体" w:hAnsi="宋体" w:eastAsia="宋体" w:cs="宋体"/>
          <w:spacing w:val="11"/>
          <w:sz w:val="24"/>
          <w:szCs w:val="24"/>
        </w:rPr>
        <w:t xml:space="preserve"> </w:t>
      </w:r>
      <w:r>
        <w:rPr>
          <w:rFonts w:ascii="宋体" w:hAnsi="宋体" w:eastAsia="宋体" w:cs="宋体"/>
          <w:spacing w:val="3"/>
          <w:sz w:val="24"/>
          <w:szCs w:val="24"/>
        </w:rPr>
        <w:t>备费后土地复垦与环境保护总投资为552.3</w:t>
      </w:r>
      <w:r>
        <w:rPr>
          <w:rFonts w:ascii="宋体" w:hAnsi="宋体" w:eastAsia="宋体" w:cs="宋体"/>
          <w:spacing w:val="2"/>
          <w:sz w:val="24"/>
          <w:szCs w:val="24"/>
        </w:rPr>
        <w:t>1万元，则本次评估单位环境恢复治理</w:t>
      </w:r>
    </w:p>
    <w:p w14:paraId="50D7F73B">
      <w:pPr>
        <w:spacing w:line="383" w:lineRule="auto"/>
        <w:rPr>
          <w:rFonts w:ascii="宋体" w:hAnsi="宋体" w:eastAsia="宋体" w:cs="宋体"/>
          <w:sz w:val="24"/>
          <w:szCs w:val="24"/>
        </w:rPr>
        <w:sectPr>
          <w:headerReference r:id="rId110" w:type="default"/>
          <w:footerReference r:id="rId111" w:type="default"/>
          <w:pgSz w:w="11900" w:h="16830"/>
          <w:pgMar w:top="1157" w:right="1400" w:bottom="1290" w:left="1785" w:header="880" w:footer="958" w:gutter="0"/>
          <w:cols w:space="720" w:num="1"/>
        </w:sectPr>
      </w:pPr>
    </w:p>
    <w:p w14:paraId="3D90A68B">
      <w:pPr>
        <w:pStyle w:val="2"/>
        <w:spacing w:line="333" w:lineRule="auto"/>
      </w:pPr>
    </w:p>
    <w:p w14:paraId="3C90325D">
      <w:pPr>
        <w:spacing w:before="78" w:line="220" w:lineRule="auto"/>
        <w:ind w:left="54"/>
        <w:rPr>
          <w:rFonts w:ascii="宋体" w:hAnsi="宋体" w:eastAsia="宋体" w:cs="宋体"/>
          <w:sz w:val="24"/>
          <w:szCs w:val="24"/>
        </w:rPr>
      </w:pPr>
      <w:r>
        <w:rPr>
          <w:rFonts w:ascii="宋体" w:hAnsi="宋体" w:eastAsia="宋体" w:cs="宋体"/>
          <w:spacing w:val="11"/>
          <w:sz w:val="24"/>
          <w:szCs w:val="24"/>
        </w:rPr>
        <w:t>及土地复垦费为5.61元/吨(=552.31÷</w:t>
      </w:r>
      <w:r>
        <w:rPr>
          <w:rFonts w:ascii="宋体" w:hAnsi="宋体" w:eastAsia="宋体" w:cs="宋体"/>
          <w:spacing w:val="10"/>
          <w:sz w:val="24"/>
          <w:szCs w:val="24"/>
        </w:rPr>
        <w:t>98.38)。</w:t>
      </w:r>
    </w:p>
    <w:p w14:paraId="2F73E8C4">
      <w:pPr>
        <w:spacing w:before="204" w:line="392" w:lineRule="auto"/>
        <w:ind w:left="565" w:right="69"/>
        <w:rPr>
          <w:rFonts w:ascii="宋体" w:hAnsi="宋体" w:eastAsia="宋体" w:cs="宋体"/>
          <w:sz w:val="24"/>
          <w:szCs w:val="24"/>
        </w:rPr>
      </w:pPr>
      <w:r>
        <w:rPr>
          <w:rFonts w:ascii="宋体" w:hAnsi="宋体" w:eastAsia="宋体" w:cs="宋体"/>
          <w:spacing w:val="6"/>
          <w:sz w:val="24"/>
          <w:szCs w:val="24"/>
        </w:rPr>
        <w:t>正常生产年份年环境恢复治理及土地复垦费为56.10万元(=5.61×10.00)。</w:t>
      </w:r>
      <w:r>
        <w:rPr>
          <w:rFonts w:ascii="宋体" w:hAnsi="宋体" w:eastAsia="宋体" w:cs="宋体"/>
          <w:spacing w:val="3"/>
          <w:sz w:val="24"/>
          <w:szCs w:val="24"/>
        </w:rPr>
        <w:t xml:space="preserve"> </w:t>
      </w:r>
      <w:r>
        <w:rPr>
          <w:rFonts w:ascii="宋体" w:hAnsi="宋体" w:eastAsia="宋体" w:cs="宋体"/>
          <w:spacing w:val="4"/>
          <w:sz w:val="24"/>
          <w:szCs w:val="24"/>
        </w:rPr>
        <w:t>综合上述，本此评估管理费用为16.21元/吨。</w:t>
      </w:r>
    </w:p>
    <w:p w14:paraId="24EAA467">
      <w:pPr>
        <w:spacing w:line="220" w:lineRule="auto"/>
        <w:ind w:left="565"/>
        <w:rPr>
          <w:rFonts w:ascii="宋体" w:hAnsi="宋体" w:eastAsia="宋体" w:cs="宋体"/>
          <w:sz w:val="24"/>
          <w:szCs w:val="24"/>
        </w:rPr>
      </w:pPr>
      <w:r>
        <w:rPr>
          <w:rFonts w:ascii="宋体" w:hAnsi="宋体" w:eastAsia="宋体" w:cs="宋体"/>
          <w:spacing w:val="4"/>
          <w:sz w:val="24"/>
          <w:szCs w:val="24"/>
        </w:rPr>
        <w:t>10.12.11销售费用</w:t>
      </w:r>
    </w:p>
    <w:p w14:paraId="29D9B4C5">
      <w:pPr>
        <w:spacing w:before="212" w:line="379" w:lineRule="auto"/>
        <w:ind w:left="54" w:right="153" w:firstLine="499"/>
        <w:rPr>
          <w:rFonts w:ascii="宋体" w:hAnsi="宋体" w:eastAsia="宋体" w:cs="宋体"/>
          <w:sz w:val="24"/>
          <w:szCs w:val="24"/>
        </w:rPr>
      </w:pPr>
      <w:r>
        <w:rPr>
          <w:rFonts w:ascii="宋体" w:hAnsi="宋体" w:eastAsia="宋体" w:cs="宋体"/>
          <w:spacing w:val="-1"/>
          <w:sz w:val="24"/>
          <w:szCs w:val="24"/>
        </w:rPr>
        <w:t>“开发利用方案”销售费用按照销售收入5%计算，经评估人员了解，云</w:t>
      </w:r>
      <w:r>
        <w:rPr>
          <w:rFonts w:ascii="宋体" w:hAnsi="宋体" w:eastAsia="宋体" w:cs="宋体"/>
          <w:spacing w:val="-2"/>
          <w:sz w:val="24"/>
          <w:szCs w:val="24"/>
        </w:rPr>
        <w:t>南罗</w:t>
      </w:r>
      <w:r>
        <w:rPr>
          <w:rFonts w:ascii="宋体" w:hAnsi="宋体" w:eastAsia="宋体" w:cs="宋体"/>
          <w:sz w:val="24"/>
          <w:szCs w:val="24"/>
        </w:rPr>
        <w:t xml:space="preserve"> </w:t>
      </w:r>
      <w:r>
        <w:rPr>
          <w:rFonts w:ascii="宋体" w:hAnsi="宋体" w:eastAsia="宋体" w:cs="宋体"/>
          <w:spacing w:val="-1"/>
          <w:sz w:val="24"/>
          <w:szCs w:val="24"/>
        </w:rPr>
        <w:t>平锌电股份有限公司2021年年报、2022年6月半年报，销售费用为销售收入0.</w:t>
      </w:r>
      <w:r>
        <w:rPr>
          <w:rFonts w:ascii="宋体" w:hAnsi="宋体" w:eastAsia="宋体" w:cs="宋体"/>
          <w:spacing w:val="-2"/>
          <w:sz w:val="24"/>
          <w:szCs w:val="24"/>
        </w:rPr>
        <w:t>2%。</w:t>
      </w:r>
      <w:r>
        <w:rPr>
          <w:rFonts w:ascii="宋体" w:hAnsi="宋体" w:eastAsia="宋体" w:cs="宋体"/>
          <w:sz w:val="24"/>
          <w:szCs w:val="24"/>
        </w:rPr>
        <w:t xml:space="preserve"> </w:t>
      </w:r>
      <w:r>
        <w:rPr>
          <w:rFonts w:ascii="宋体" w:hAnsi="宋体" w:eastAsia="宋体" w:cs="宋体"/>
          <w:spacing w:val="5"/>
          <w:sz w:val="24"/>
          <w:szCs w:val="24"/>
        </w:rPr>
        <w:t>因此本次评估销售费用率取销售收入0.20%,据此确定年</w:t>
      </w:r>
      <w:r>
        <w:rPr>
          <w:rFonts w:ascii="宋体" w:hAnsi="宋体" w:eastAsia="宋体" w:cs="宋体"/>
          <w:spacing w:val="4"/>
          <w:sz w:val="24"/>
          <w:szCs w:val="24"/>
        </w:rPr>
        <w:t>销售费用为8.86万元(=</w:t>
      </w:r>
      <w:r>
        <w:rPr>
          <w:rFonts w:ascii="宋体" w:hAnsi="宋体" w:eastAsia="宋体" w:cs="宋体"/>
          <w:sz w:val="24"/>
          <w:szCs w:val="24"/>
        </w:rPr>
        <w:t xml:space="preserve">  </w:t>
      </w:r>
      <w:r>
        <w:rPr>
          <w:rFonts w:ascii="宋体" w:hAnsi="宋体" w:eastAsia="宋体" w:cs="宋体"/>
          <w:spacing w:val="8"/>
          <w:sz w:val="24"/>
          <w:szCs w:val="24"/>
        </w:rPr>
        <w:t>4,428.20×0.20%),单位销售费用为0.89元/吨(=8.86÷10)。</w:t>
      </w:r>
    </w:p>
    <w:p w14:paraId="1FE39B5B">
      <w:pPr>
        <w:spacing w:before="29" w:line="219" w:lineRule="auto"/>
        <w:ind w:left="565"/>
        <w:rPr>
          <w:rFonts w:ascii="宋体" w:hAnsi="宋体" w:eastAsia="宋体" w:cs="宋体"/>
          <w:sz w:val="24"/>
          <w:szCs w:val="24"/>
        </w:rPr>
      </w:pPr>
      <w:r>
        <w:rPr>
          <w:rFonts w:ascii="宋体" w:hAnsi="宋体" w:eastAsia="宋体" w:cs="宋体"/>
          <w:spacing w:val="4"/>
          <w:sz w:val="24"/>
          <w:szCs w:val="24"/>
        </w:rPr>
        <w:t>10.12.12财务费用</w:t>
      </w:r>
    </w:p>
    <w:p w14:paraId="403FA4CD">
      <w:pPr>
        <w:spacing w:before="206" w:line="380" w:lineRule="auto"/>
        <w:ind w:left="54" w:right="149" w:firstLine="470"/>
        <w:rPr>
          <w:rFonts w:ascii="宋体" w:hAnsi="宋体" w:eastAsia="宋体" w:cs="宋体"/>
          <w:sz w:val="24"/>
          <w:szCs w:val="24"/>
        </w:rPr>
      </w:pPr>
      <w:r>
        <w:rPr>
          <w:rFonts w:ascii="宋体" w:hAnsi="宋体" w:eastAsia="宋体" w:cs="宋体"/>
          <w:spacing w:val="1"/>
          <w:sz w:val="24"/>
          <w:szCs w:val="24"/>
        </w:rPr>
        <w:t>财务费用是指企业为筹集生产经营所需资金等而发生的费用，包括应当作为</w:t>
      </w:r>
      <w:r>
        <w:rPr>
          <w:rFonts w:ascii="宋体" w:hAnsi="宋体" w:eastAsia="宋体" w:cs="宋体"/>
          <w:spacing w:val="8"/>
          <w:sz w:val="24"/>
          <w:szCs w:val="24"/>
        </w:rPr>
        <w:t xml:space="preserve"> </w:t>
      </w:r>
      <w:r>
        <w:rPr>
          <w:rFonts w:ascii="宋体" w:hAnsi="宋体" w:eastAsia="宋体" w:cs="宋体"/>
          <w:spacing w:val="-4"/>
          <w:sz w:val="24"/>
          <w:szCs w:val="24"/>
        </w:rPr>
        <w:t>期间费用的利息支出(减利息收入)、汇兑损失(减汇兑收益)以</w:t>
      </w:r>
      <w:r>
        <w:rPr>
          <w:rFonts w:ascii="宋体" w:hAnsi="宋体" w:eastAsia="宋体" w:cs="宋体"/>
          <w:spacing w:val="-5"/>
          <w:sz w:val="24"/>
          <w:szCs w:val="24"/>
        </w:rPr>
        <w:t>及相关的手续费等。</w:t>
      </w:r>
    </w:p>
    <w:p w14:paraId="3B6DF599">
      <w:pPr>
        <w:spacing w:before="4" w:line="383" w:lineRule="auto"/>
        <w:ind w:left="54" w:right="192" w:firstLine="460"/>
        <w:rPr>
          <w:rFonts w:ascii="宋体" w:hAnsi="宋体" w:eastAsia="宋体" w:cs="宋体"/>
          <w:sz w:val="24"/>
          <w:szCs w:val="24"/>
        </w:rPr>
      </w:pPr>
      <w:r>
        <w:rPr>
          <w:rFonts w:ascii="宋体" w:hAnsi="宋体" w:eastAsia="宋体" w:cs="宋体"/>
          <w:spacing w:val="2"/>
          <w:sz w:val="24"/>
          <w:szCs w:val="24"/>
        </w:rPr>
        <w:t>参照矿业权评估有关规定计算。财务费用根据流动资</w:t>
      </w:r>
      <w:r>
        <w:rPr>
          <w:rFonts w:ascii="宋体" w:hAnsi="宋体" w:eastAsia="宋体" w:cs="宋体"/>
          <w:spacing w:val="1"/>
          <w:sz w:val="24"/>
          <w:szCs w:val="24"/>
        </w:rPr>
        <w:t>金的不同时期的贷款利</w:t>
      </w:r>
      <w:r>
        <w:rPr>
          <w:rFonts w:ascii="宋体" w:hAnsi="宋体" w:eastAsia="宋体" w:cs="宋体"/>
          <w:sz w:val="24"/>
          <w:szCs w:val="24"/>
        </w:rPr>
        <w:t xml:space="preserve"> </w:t>
      </w:r>
      <w:r>
        <w:rPr>
          <w:rFonts w:ascii="宋体" w:hAnsi="宋体" w:eastAsia="宋体" w:cs="宋体"/>
          <w:spacing w:val="2"/>
          <w:sz w:val="24"/>
          <w:szCs w:val="24"/>
        </w:rPr>
        <w:t>息进行计算。假定未来生产年份评估对象流动资金的70%为银行贷款，贷款利率</w:t>
      </w:r>
      <w:r>
        <w:rPr>
          <w:rFonts w:ascii="宋体" w:hAnsi="宋体" w:eastAsia="宋体" w:cs="宋体"/>
          <w:spacing w:val="17"/>
          <w:sz w:val="24"/>
          <w:szCs w:val="24"/>
        </w:rPr>
        <w:t xml:space="preserve"> </w:t>
      </w:r>
      <w:r>
        <w:rPr>
          <w:rFonts w:ascii="宋体" w:hAnsi="宋体" w:eastAsia="宋体" w:cs="宋体"/>
          <w:spacing w:val="1"/>
          <w:sz w:val="24"/>
          <w:szCs w:val="24"/>
        </w:rPr>
        <w:t>按评估基准日执行的一年期(</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LPR</w:t>
      </w:r>
      <w:r>
        <w:rPr>
          <w:rFonts w:ascii="Times New Roman" w:hAnsi="Times New Roman" w:eastAsia="Times New Roman" w:cs="Times New Roman"/>
          <w:spacing w:val="1"/>
          <w:sz w:val="24"/>
          <w:szCs w:val="24"/>
        </w:rPr>
        <w:t>)3.65%</w:t>
      </w:r>
      <w:r>
        <w:rPr>
          <w:rFonts w:ascii="Times New Roman" w:hAnsi="Times New Roman" w:eastAsia="Times New Roman" w:cs="Times New Roman"/>
          <w:spacing w:val="25"/>
          <w:w w:val="101"/>
          <w:sz w:val="24"/>
          <w:szCs w:val="24"/>
        </w:rPr>
        <w:t xml:space="preserve"> </w:t>
      </w:r>
      <w:r>
        <w:rPr>
          <w:rFonts w:ascii="宋体" w:hAnsi="宋体" w:eastAsia="宋体" w:cs="宋体"/>
          <w:spacing w:val="1"/>
          <w:sz w:val="24"/>
          <w:szCs w:val="24"/>
        </w:rPr>
        <w:t>计算，单利计息，则每吨原矿</w:t>
      </w:r>
      <w:r>
        <w:rPr>
          <w:rFonts w:ascii="宋体" w:hAnsi="宋体" w:eastAsia="宋体" w:cs="宋体"/>
          <w:sz w:val="24"/>
          <w:szCs w:val="24"/>
        </w:rPr>
        <w:t xml:space="preserve">的财务费 </w:t>
      </w:r>
      <w:r>
        <w:rPr>
          <w:rFonts w:ascii="宋体" w:hAnsi="宋体" w:eastAsia="宋体" w:cs="宋体"/>
          <w:spacing w:val="-5"/>
          <w:sz w:val="24"/>
          <w:szCs w:val="24"/>
        </w:rPr>
        <w:t>用计算过程如下：</w:t>
      </w:r>
    </w:p>
    <w:p w14:paraId="67B0B1A7">
      <w:pPr>
        <w:spacing w:before="6" w:line="219" w:lineRule="auto"/>
        <w:ind w:left="565"/>
        <w:rPr>
          <w:rFonts w:ascii="宋体" w:hAnsi="宋体" w:eastAsia="宋体" w:cs="宋体"/>
          <w:sz w:val="24"/>
          <w:szCs w:val="24"/>
        </w:rPr>
      </w:pPr>
      <w:r>
        <w:rPr>
          <w:rFonts w:ascii="宋体" w:hAnsi="宋体" w:eastAsia="宋体" w:cs="宋体"/>
          <w:spacing w:val="4"/>
          <w:sz w:val="24"/>
          <w:szCs w:val="24"/>
        </w:rPr>
        <w:t>单位财务费用=流动资金×70%×贷款利率÷原矿产量</w:t>
      </w:r>
    </w:p>
    <w:p w14:paraId="261F62E8">
      <w:pPr>
        <w:spacing w:before="241" w:line="188" w:lineRule="auto"/>
        <w:ind w:left="207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=1,558.05×70%×3.65%÷10.00</w:t>
      </w:r>
    </w:p>
    <w:p w14:paraId="50006440">
      <w:pPr>
        <w:spacing w:before="268" w:line="220" w:lineRule="auto"/>
        <w:ind w:left="2084"/>
        <w:rPr>
          <w:rFonts w:ascii="宋体" w:hAnsi="宋体" w:eastAsia="宋体" w:cs="宋体"/>
          <w:sz w:val="22"/>
          <w:szCs w:val="22"/>
        </w:rPr>
      </w:pPr>
      <w:r>
        <w:rPr>
          <w:rFonts w:ascii="宋体" w:hAnsi="宋体" w:eastAsia="宋体" w:cs="宋体"/>
          <w:spacing w:val="26"/>
          <w:sz w:val="22"/>
          <w:szCs w:val="22"/>
        </w:rPr>
        <w:t>=3</w:t>
      </w:r>
      <w:r>
        <w:rPr>
          <w:rFonts w:ascii="宋体" w:hAnsi="宋体" w:eastAsia="宋体" w:cs="宋体"/>
          <w:spacing w:val="-46"/>
          <w:sz w:val="22"/>
          <w:szCs w:val="22"/>
        </w:rPr>
        <w:t xml:space="preserve"> </w:t>
      </w:r>
      <w:r>
        <w:rPr>
          <w:rFonts w:ascii="宋体" w:hAnsi="宋体" w:eastAsia="宋体" w:cs="宋体"/>
          <w:spacing w:val="26"/>
          <w:sz w:val="22"/>
          <w:szCs w:val="22"/>
        </w:rPr>
        <w:t>.</w:t>
      </w:r>
      <w:r>
        <w:rPr>
          <w:rFonts w:ascii="宋体" w:hAnsi="宋体" w:eastAsia="宋体" w:cs="宋体"/>
          <w:spacing w:val="-57"/>
          <w:sz w:val="22"/>
          <w:szCs w:val="22"/>
        </w:rPr>
        <w:t xml:space="preserve"> </w:t>
      </w:r>
      <w:r>
        <w:rPr>
          <w:rFonts w:ascii="宋体" w:hAnsi="宋体" w:eastAsia="宋体" w:cs="宋体"/>
          <w:spacing w:val="26"/>
          <w:sz w:val="22"/>
          <w:szCs w:val="22"/>
        </w:rPr>
        <w:t>98(元/吨)</w:t>
      </w:r>
    </w:p>
    <w:p w14:paraId="140D4555">
      <w:pPr>
        <w:spacing w:before="226" w:line="218" w:lineRule="auto"/>
        <w:ind w:left="565"/>
        <w:rPr>
          <w:rFonts w:ascii="宋体" w:hAnsi="宋体" w:eastAsia="宋体" w:cs="宋体"/>
          <w:sz w:val="24"/>
          <w:szCs w:val="24"/>
        </w:rPr>
      </w:pPr>
      <w:r>
        <w:rPr>
          <w:rFonts w:ascii="宋体" w:hAnsi="宋体" w:eastAsia="宋体" w:cs="宋体"/>
          <w:spacing w:val="6"/>
          <w:sz w:val="24"/>
          <w:szCs w:val="24"/>
        </w:rPr>
        <w:t>本次评估财务费用确定为3.98元/吨。</w:t>
      </w:r>
    </w:p>
    <w:p w14:paraId="6F346B71">
      <w:pPr>
        <w:spacing w:before="227" w:line="219" w:lineRule="auto"/>
        <w:ind w:left="634"/>
        <w:rPr>
          <w:rFonts w:ascii="宋体" w:hAnsi="宋体" w:eastAsia="宋体" w:cs="宋体"/>
          <w:sz w:val="24"/>
          <w:szCs w:val="24"/>
        </w:rPr>
      </w:pPr>
      <w:r>
        <w:rPr>
          <w:rFonts w:ascii="宋体" w:hAnsi="宋体" w:eastAsia="宋体" w:cs="宋体"/>
          <w:spacing w:val="3"/>
          <w:sz w:val="24"/>
          <w:szCs w:val="24"/>
        </w:rPr>
        <w:t>10.12.13总成本费用及经营成本</w:t>
      </w:r>
    </w:p>
    <w:p w14:paraId="652C0D3E">
      <w:pPr>
        <w:spacing w:before="215" w:line="379" w:lineRule="auto"/>
        <w:ind w:left="54" w:right="230" w:firstLine="510"/>
        <w:rPr>
          <w:rFonts w:ascii="宋体" w:hAnsi="宋体" w:eastAsia="宋体" w:cs="宋体"/>
          <w:sz w:val="24"/>
          <w:szCs w:val="24"/>
        </w:rPr>
      </w:pPr>
      <w:r>
        <w:rPr>
          <w:rFonts w:ascii="宋体" w:hAnsi="宋体" w:eastAsia="宋体" w:cs="宋体"/>
          <w:spacing w:val="-1"/>
          <w:sz w:val="24"/>
          <w:szCs w:val="24"/>
        </w:rPr>
        <w:t>总成本费用是指各项成本费用之和。经营成本是指总成本费用扣除折旧费、</w:t>
      </w:r>
      <w:r>
        <w:rPr>
          <w:rFonts w:ascii="宋体" w:hAnsi="宋体" w:eastAsia="宋体" w:cs="宋体"/>
          <w:spacing w:val="1"/>
          <w:sz w:val="24"/>
          <w:szCs w:val="24"/>
        </w:rPr>
        <w:t xml:space="preserve"> </w:t>
      </w:r>
      <w:r>
        <w:rPr>
          <w:rFonts w:ascii="宋体" w:hAnsi="宋体" w:eastAsia="宋体" w:cs="宋体"/>
          <w:spacing w:val="-1"/>
          <w:sz w:val="24"/>
          <w:szCs w:val="24"/>
        </w:rPr>
        <w:t>折旧性质的维简费、摊销费和利息支出后的全部费用。</w:t>
      </w:r>
    </w:p>
    <w:p w14:paraId="35F8E558">
      <w:pPr>
        <w:spacing w:before="16" w:line="379" w:lineRule="auto"/>
        <w:ind w:left="54" w:right="230" w:firstLine="510"/>
        <w:rPr>
          <w:rFonts w:ascii="宋体" w:hAnsi="宋体" w:eastAsia="宋体" w:cs="宋体"/>
          <w:sz w:val="24"/>
          <w:szCs w:val="24"/>
        </w:rPr>
      </w:pPr>
      <w:r>
        <w:rPr>
          <w:rFonts w:ascii="宋体" w:hAnsi="宋体" w:eastAsia="宋体" w:cs="宋体"/>
          <w:spacing w:val="2"/>
          <w:sz w:val="24"/>
          <w:szCs w:val="24"/>
        </w:rPr>
        <w:t>经估算，未来正常生产期评估对象的采选单位总成本费用为327.63元/吨，</w:t>
      </w:r>
      <w:r>
        <w:rPr>
          <w:rFonts w:ascii="宋体" w:hAnsi="宋体" w:eastAsia="宋体" w:cs="宋体"/>
          <w:spacing w:val="16"/>
          <w:sz w:val="24"/>
          <w:szCs w:val="24"/>
        </w:rPr>
        <w:t xml:space="preserve"> </w:t>
      </w:r>
      <w:r>
        <w:rPr>
          <w:rFonts w:ascii="宋体" w:hAnsi="宋体" w:eastAsia="宋体" w:cs="宋体"/>
          <w:spacing w:val="5"/>
          <w:sz w:val="24"/>
          <w:szCs w:val="24"/>
        </w:rPr>
        <w:t>单位经营成本为252.80元/吨。</w:t>
      </w:r>
    </w:p>
    <w:p w14:paraId="51734C7E">
      <w:pPr>
        <w:spacing w:before="94" w:line="219" w:lineRule="auto"/>
        <w:ind w:left="664"/>
        <w:outlineLvl w:val="1"/>
        <w:rPr>
          <w:rFonts w:ascii="宋体" w:hAnsi="宋体" w:eastAsia="宋体" w:cs="宋体"/>
          <w:sz w:val="24"/>
          <w:szCs w:val="24"/>
        </w:rPr>
      </w:pPr>
      <w:bookmarkStart w:id="56" w:name="bookmark36"/>
      <w:bookmarkEnd w:id="56"/>
      <w:r>
        <w:rPr>
          <w:rFonts w:ascii="宋体" w:hAnsi="宋体" w:eastAsia="宋体" w:cs="宋体"/>
          <w:spacing w:val="4"/>
          <w:sz w:val="24"/>
          <w:szCs w:val="24"/>
        </w:rPr>
        <w:t>10.13销售税金及附加</w:t>
      </w:r>
    </w:p>
    <w:p w14:paraId="42C90633">
      <w:pPr>
        <w:spacing w:before="226" w:line="386" w:lineRule="auto"/>
        <w:ind w:left="54" w:right="89" w:firstLine="510"/>
        <w:rPr>
          <w:rFonts w:ascii="宋体" w:hAnsi="宋体" w:eastAsia="宋体" w:cs="宋体"/>
          <w:sz w:val="24"/>
          <w:szCs w:val="24"/>
        </w:rPr>
      </w:pPr>
      <w:r>
        <w:rPr>
          <w:rFonts w:ascii="宋体" w:hAnsi="宋体" w:eastAsia="宋体" w:cs="宋体"/>
          <w:spacing w:val="-4"/>
          <w:sz w:val="24"/>
          <w:szCs w:val="24"/>
        </w:rPr>
        <w:t>产品销售税金及附加指矿山企业销售产品应负担的城市维护建设税、资源税、</w:t>
      </w:r>
      <w:r>
        <w:rPr>
          <w:rFonts w:ascii="宋体" w:hAnsi="宋体" w:eastAsia="宋体" w:cs="宋体"/>
          <w:spacing w:val="4"/>
          <w:sz w:val="24"/>
          <w:szCs w:val="24"/>
        </w:rPr>
        <w:t xml:space="preserve"> </w:t>
      </w:r>
      <w:r>
        <w:rPr>
          <w:rFonts w:ascii="宋体" w:hAnsi="宋体" w:eastAsia="宋体" w:cs="宋体"/>
          <w:spacing w:val="1"/>
          <w:sz w:val="24"/>
          <w:szCs w:val="24"/>
        </w:rPr>
        <w:t>教育费附加和地方教育附加费。城市维护建设税、教育费附加和地方教育附</w:t>
      </w:r>
      <w:r>
        <w:rPr>
          <w:rFonts w:ascii="宋体" w:hAnsi="宋体" w:eastAsia="宋体" w:cs="宋体"/>
          <w:sz w:val="24"/>
          <w:szCs w:val="24"/>
        </w:rPr>
        <w:t>加费</w:t>
      </w:r>
    </w:p>
    <w:p w14:paraId="2812BBCA">
      <w:pPr>
        <w:spacing w:line="386" w:lineRule="auto"/>
        <w:rPr>
          <w:rFonts w:ascii="宋体" w:hAnsi="宋体" w:eastAsia="宋体" w:cs="宋体"/>
          <w:sz w:val="24"/>
          <w:szCs w:val="24"/>
        </w:rPr>
        <w:sectPr>
          <w:headerReference r:id="rId112" w:type="default"/>
          <w:footerReference r:id="rId113" w:type="default"/>
          <w:pgSz w:w="11900" w:h="16830"/>
          <w:pgMar w:top="1247" w:right="1430" w:bottom="1290" w:left="1785" w:header="970" w:footer="958" w:gutter="0"/>
          <w:cols w:space="720" w:num="1"/>
        </w:sectPr>
      </w:pPr>
    </w:p>
    <w:p w14:paraId="66C2F0AF">
      <w:pPr>
        <w:pStyle w:val="2"/>
        <w:spacing w:line="401" w:lineRule="auto"/>
      </w:pPr>
    </w:p>
    <w:p w14:paraId="033E7BB1">
      <w:pPr>
        <w:spacing w:before="78" w:line="219" w:lineRule="auto"/>
        <w:ind w:left="94"/>
        <w:rPr>
          <w:rFonts w:ascii="宋体" w:hAnsi="宋体" w:eastAsia="宋体" w:cs="宋体"/>
          <w:sz w:val="24"/>
          <w:szCs w:val="24"/>
        </w:rPr>
      </w:pPr>
      <w:r>
        <w:rPr>
          <w:rFonts w:ascii="宋体" w:hAnsi="宋体" w:eastAsia="宋体" w:cs="宋体"/>
          <w:spacing w:val="-3"/>
          <w:sz w:val="24"/>
          <w:szCs w:val="24"/>
        </w:rPr>
        <w:t>以纳税人实际缴纳的增值税为计税依据。</w:t>
      </w:r>
    </w:p>
    <w:p w14:paraId="799A7A96">
      <w:pPr>
        <w:spacing w:before="256" w:line="219" w:lineRule="auto"/>
        <w:ind w:left="575"/>
        <w:rPr>
          <w:rFonts w:ascii="宋体" w:hAnsi="宋体" w:eastAsia="宋体" w:cs="宋体"/>
          <w:sz w:val="23"/>
          <w:szCs w:val="23"/>
        </w:rPr>
      </w:pPr>
      <w:r>
        <w:rPr>
          <w:rFonts w:ascii="宋体" w:hAnsi="宋体" w:eastAsia="宋体" w:cs="宋体"/>
          <w:spacing w:val="12"/>
          <w:sz w:val="23"/>
          <w:szCs w:val="23"/>
        </w:rPr>
        <w:t>10.13.1增值税</w:t>
      </w:r>
    </w:p>
    <w:p w14:paraId="335FC16D">
      <w:pPr>
        <w:spacing w:before="213" w:line="385" w:lineRule="auto"/>
        <w:ind w:left="94" w:right="219" w:firstLine="480"/>
        <w:rPr>
          <w:rFonts w:ascii="宋体" w:hAnsi="宋体" w:eastAsia="宋体" w:cs="宋体"/>
          <w:sz w:val="24"/>
          <w:szCs w:val="24"/>
        </w:rPr>
      </w:pPr>
      <w:r>
        <w:rPr>
          <w:rFonts w:ascii="宋体" w:hAnsi="宋体" w:eastAsia="宋体" w:cs="宋体"/>
          <w:spacing w:val="13"/>
          <w:sz w:val="24"/>
          <w:szCs w:val="24"/>
        </w:rPr>
        <w:t>财政部税务总局海关总署公告2019年第39号《关于深化增值税改革有关</w:t>
      </w:r>
      <w:r>
        <w:rPr>
          <w:rFonts w:ascii="宋体" w:hAnsi="宋体" w:eastAsia="宋体" w:cs="宋体"/>
          <w:spacing w:val="17"/>
          <w:sz w:val="24"/>
          <w:szCs w:val="24"/>
        </w:rPr>
        <w:t xml:space="preserve"> </w:t>
      </w:r>
      <w:r>
        <w:rPr>
          <w:rFonts w:ascii="宋体" w:hAnsi="宋体" w:eastAsia="宋体" w:cs="宋体"/>
          <w:spacing w:val="9"/>
          <w:sz w:val="24"/>
          <w:szCs w:val="24"/>
        </w:rPr>
        <w:t>政策的公告》,自2019年4月1日起，纳税人发生增值税应税销售行</w:t>
      </w:r>
      <w:r>
        <w:rPr>
          <w:rFonts w:ascii="宋体" w:hAnsi="宋体" w:eastAsia="宋体" w:cs="宋体"/>
          <w:spacing w:val="8"/>
          <w:sz w:val="24"/>
          <w:szCs w:val="24"/>
        </w:rPr>
        <w:t>为，原适用</w:t>
      </w:r>
      <w:r>
        <w:rPr>
          <w:rFonts w:ascii="宋体" w:hAnsi="宋体" w:eastAsia="宋体" w:cs="宋体"/>
          <w:sz w:val="24"/>
          <w:szCs w:val="24"/>
        </w:rPr>
        <w:t xml:space="preserve"> </w:t>
      </w:r>
      <w:r>
        <w:rPr>
          <w:rFonts w:ascii="宋体" w:hAnsi="宋体" w:eastAsia="宋体" w:cs="宋体"/>
          <w:spacing w:val="11"/>
          <w:sz w:val="24"/>
          <w:szCs w:val="24"/>
        </w:rPr>
        <w:t>16%和10%税率的，税率分别调整为13%、9%。因本次评估基准日为202</w:t>
      </w:r>
      <w:r>
        <w:rPr>
          <w:rFonts w:ascii="宋体" w:hAnsi="宋体" w:eastAsia="宋体" w:cs="宋体"/>
          <w:spacing w:val="10"/>
          <w:sz w:val="24"/>
          <w:szCs w:val="24"/>
        </w:rPr>
        <w:t>2年9月</w:t>
      </w:r>
      <w:r>
        <w:rPr>
          <w:rFonts w:ascii="宋体" w:hAnsi="宋体" w:eastAsia="宋体" w:cs="宋体"/>
          <w:sz w:val="24"/>
          <w:szCs w:val="24"/>
        </w:rPr>
        <w:t xml:space="preserve"> </w:t>
      </w:r>
      <w:r>
        <w:rPr>
          <w:rFonts w:ascii="宋体" w:hAnsi="宋体" w:eastAsia="宋体" w:cs="宋体"/>
          <w:spacing w:val="7"/>
          <w:sz w:val="24"/>
          <w:szCs w:val="24"/>
        </w:rPr>
        <w:t>30日，销项税税率取13%。</w:t>
      </w:r>
    </w:p>
    <w:p w14:paraId="17AFF135">
      <w:pPr>
        <w:spacing w:line="388" w:lineRule="auto"/>
        <w:ind w:left="94" w:right="208" w:firstLine="480"/>
        <w:jc w:val="both"/>
        <w:rPr>
          <w:rFonts w:ascii="宋体" w:hAnsi="宋体" w:eastAsia="宋体" w:cs="宋体"/>
          <w:sz w:val="24"/>
          <w:szCs w:val="24"/>
        </w:rPr>
      </w:pPr>
      <w:r>
        <w:rPr>
          <w:rFonts w:ascii="宋体" w:hAnsi="宋体" w:eastAsia="宋体" w:cs="宋体"/>
          <w:sz w:val="24"/>
          <w:szCs w:val="24"/>
        </w:rPr>
        <w:t>矿业权评估中，为简化计算，计算增值税进项税额时</w:t>
      </w:r>
      <w:r>
        <w:rPr>
          <w:rFonts w:ascii="宋体" w:hAnsi="宋体" w:eastAsia="宋体" w:cs="宋体"/>
          <w:spacing w:val="-1"/>
          <w:sz w:val="24"/>
          <w:szCs w:val="24"/>
        </w:rPr>
        <w:t>以材料费、动力费、修</w:t>
      </w:r>
      <w:r>
        <w:rPr>
          <w:rFonts w:ascii="宋体" w:hAnsi="宋体" w:eastAsia="宋体" w:cs="宋体"/>
          <w:sz w:val="24"/>
          <w:szCs w:val="24"/>
        </w:rPr>
        <w:t xml:space="preserve"> </w:t>
      </w:r>
      <w:r>
        <w:rPr>
          <w:rFonts w:ascii="宋体" w:hAnsi="宋体" w:eastAsia="宋体" w:cs="宋体"/>
          <w:spacing w:val="6"/>
          <w:sz w:val="24"/>
          <w:szCs w:val="24"/>
        </w:rPr>
        <w:t>理费、机器设备及建筑工程为税基，2019年4月1日后材料费、动力费、修理费</w:t>
      </w:r>
      <w:r>
        <w:rPr>
          <w:rFonts w:ascii="宋体" w:hAnsi="宋体" w:eastAsia="宋体" w:cs="宋体"/>
          <w:spacing w:val="1"/>
          <w:sz w:val="24"/>
          <w:szCs w:val="24"/>
        </w:rPr>
        <w:t xml:space="preserve"> </w:t>
      </w:r>
      <w:r>
        <w:rPr>
          <w:rFonts w:ascii="宋体" w:hAnsi="宋体" w:eastAsia="宋体" w:cs="宋体"/>
          <w:spacing w:val="8"/>
          <w:sz w:val="24"/>
          <w:szCs w:val="24"/>
        </w:rPr>
        <w:t>及机器设备进项税税率为13%,建筑工程进</w:t>
      </w:r>
      <w:r>
        <w:rPr>
          <w:rFonts w:ascii="宋体" w:hAnsi="宋体" w:eastAsia="宋体" w:cs="宋体"/>
          <w:spacing w:val="7"/>
          <w:sz w:val="24"/>
          <w:szCs w:val="24"/>
        </w:rPr>
        <w:t>项税税率9%。</w:t>
      </w:r>
    </w:p>
    <w:p w14:paraId="10A40B85">
      <w:pPr>
        <w:spacing w:before="7" w:line="363" w:lineRule="auto"/>
        <w:ind w:left="94" w:right="188" w:firstLine="480"/>
        <w:jc w:val="both"/>
        <w:rPr>
          <w:rFonts w:ascii="宋体" w:hAnsi="宋体" w:eastAsia="宋体" w:cs="宋体"/>
          <w:sz w:val="25"/>
          <w:szCs w:val="25"/>
        </w:rPr>
      </w:pPr>
      <w:r>
        <w:rPr>
          <w:rFonts w:ascii="宋体" w:hAnsi="宋体" w:eastAsia="宋体" w:cs="宋体"/>
          <w:spacing w:val="-5"/>
          <w:sz w:val="25"/>
          <w:szCs w:val="25"/>
        </w:rPr>
        <w:t>2022年10月-2022年12月新增的井巷工程、</w:t>
      </w:r>
      <w:r>
        <w:rPr>
          <w:rFonts w:ascii="宋体" w:hAnsi="宋体" w:eastAsia="宋体" w:cs="宋体"/>
          <w:spacing w:val="-6"/>
          <w:sz w:val="25"/>
          <w:szCs w:val="25"/>
        </w:rPr>
        <w:t>房屋建筑物、机器设备，在2023</w:t>
      </w:r>
      <w:r>
        <w:rPr>
          <w:rFonts w:ascii="宋体" w:hAnsi="宋体" w:eastAsia="宋体" w:cs="宋体"/>
          <w:sz w:val="25"/>
          <w:szCs w:val="25"/>
        </w:rPr>
        <w:t xml:space="preserve"> </w:t>
      </w:r>
      <w:r>
        <w:rPr>
          <w:rFonts w:ascii="宋体" w:hAnsi="宋体" w:eastAsia="宋体" w:cs="宋体"/>
          <w:spacing w:val="3"/>
          <w:sz w:val="25"/>
          <w:szCs w:val="25"/>
        </w:rPr>
        <w:t>年抵扣进项税100.62万元。在2025年投入的机器设备，在2025年抵扣进项税</w:t>
      </w:r>
      <w:r>
        <w:rPr>
          <w:rFonts w:ascii="宋体" w:hAnsi="宋体" w:eastAsia="宋体" w:cs="宋体"/>
          <w:spacing w:val="9"/>
          <w:sz w:val="25"/>
          <w:szCs w:val="25"/>
        </w:rPr>
        <w:t xml:space="preserve"> </w:t>
      </w:r>
      <w:r>
        <w:rPr>
          <w:rFonts w:ascii="宋体" w:hAnsi="宋体" w:eastAsia="宋体" w:cs="宋体"/>
          <w:spacing w:val="4"/>
          <w:sz w:val="25"/>
          <w:szCs w:val="25"/>
        </w:rPr>
        <w:t>281.52万元。新增尾矿库在2026年8-12月抵扣147.</w:t>
      </w:r>
      <w:r>
        <w:rPr>
          <w:rFonts w:ascii="宋体" w:hAnsi="宋体" w:eastAsia="宋体" w:cs="宋体"/>
          <w:spacing w:val="3"/>
          <w:sz w:val="25"/>
          <w:szCs w:val="25"/>
        </w:rPr>
        <w:t>42万元。抵扣不动产及设</w:t>
      </w:r>
      <w:r>
        <w:rPr>
          <w:rFonts w:ascii="宋体" w:hAnsi="宋体" w:eastAsia="宋体" w:cs="宋体"/>
          <w:sz w:val="25"/>
          <w:szCs w:val="25"/>
        </w:rPr>
        <w:t xml:space="preserve"> </w:t>
      </w:r>
      <w:r>
        <w:rPr>
          <w:rFonts w:ascii="宋体" w:hAnsi="宋体" w:eastAsia="宋体" w:cs="宋体"/>
          <w:spacing w:val="-1"/>
          <w:sz w:val="25"/>
          <w:szCs w:val="25"/>
        </w:rPr>
        <w:t>备进项增值税额后正常生产年份计算如下(以2024年为例):</w:t>
      </w:r>
    </w:p>
    <w:p w14:paraId="65B00E6F">
      <w:pPr>
        <w:spacing w:before="24" w:line="219" w:lineRule="auto"/>
        <w:ind w:left="575"/>
        <w:rPr>
          <w:rFonts w:ascii="宋体" w:hAnsi="宋体" w:eastAsia="宋体" w:cs="宋体"/>
          <w:sz w:val="24"/>
          <w:szCs w:val="24"/>
        </w:rPr>
      </w:pPr>
      <w:r>
        <w:rPr>
          <w:rFonts w:ascii="宋体" w:hAnsi="宋体" w:eastAsia="宋体" w:cs="宋体"/>
          <w:spacing w:val="6"/>
          <w:sz w:val="24"/>
          <w:szCs w:val="24"/>
        </w:rPr>
        <w:t>年销项税额=年销售收入×增值税税率</w:t>
      </w:r>
    </w:p>
    <w:p w14:paraId="492500D9">
      <w:pPr>
        <w:spacing w:before="241" w:line="188" w:lineRule="auto"/>
        <w:ind w:left="1765"/>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=4,428.20×13%</w:t>
      </w:r>
    </w:p>
    <w:p w14:paraId="4DB1B73A">
      <w:pPr>
        <w:spacing w:before="249" w:line="220" w:lineRule="auto"/>
        <w:ind w:left="1775"/>
        <w:rPr>
          <w:rFonts w:ascii="宋体" w:hAnsi="宋体" w:eastAsia="宋体" w:cs="宋体"/>
          <w:sz w:val="24"/>
          <w:szCs w:val="24"/>
        </w:rPr>
      </w:pPr>
      <w:r>
        <w:rPr>
          <w:rFonts w:ascii="宋体" w:hAnsi="宋体" w:eastAsia="宋体" w:cs="宋体"/>
          <w:spacing w:val="22"/>
          <w:sz w:val="24"/>
          <w:szCs w:val="24"/>
        </w:rPr>
        <w:t>=575.67(万元)</w:t>
      </w:r>
    </w:p>
    <w:p w14:paraId="32358DA7">
      <w:pPr>
        <w:spacing w:before="221" w:line="385" w:lineRule="auto"/>
        <w:ind w:left="94" w:right="219" w:firstLine="480"/>
        <w:rPr>
          <w:rFonts w:ascii="宋体" w:hAnsi="宋体" w:eastAsia="宋体" w:cs="宋体"/>
          <w:sz w:val="24"/>
          <w:szCs w:val="24"/>
        </w:rPr>
      </w:pPr>
      <w:r>
        <w:rPr>
          <w:rFonts w:ascii="宋体" w:hAnsi="宋体" w:eastAsia="宋体" w:cs="宋体"/>
          <w:spacing w:val="17"/>
          <w:sz w:val="24"/>
          <w:szCs w:val="24"/>
        </w:rPr>
        <w:t>年进项税额=(年外购材料费+年外购燃料及动力费+年修理费)×增值税</w:t>
      </w:r>
      <w:r>
        <w:rPr>
          <w:rFonts w:ascii="宋体" w:hAnsi="宋体" w:eastAsia="宋体" w:cs="宋体"/>
          <w:spacing w:val="18"/>
          <w:sz w:val="24"/>
          <w:szCs w:val="24"/>
        </w:rPr>
        <w:t xml:space="preserve"> </w:t>
      </w:r>
      <w:r>
        <w:rPr>
          <w:rFonts w:ascii="宋体" w:hAnsi="宋体" w:eastAsia="宋体" w:cs="宋体"/>
          <w:spacing w:val="-3"/>
          <w:sz w:val="24"/>
          <w:szCs w:val="24"/>
        </w:rPr>
        <w:t>税率</w:t>
      </w:r>
    </w:p>
    <w:p w14:paraId="77F474DB">
      <w:pPr>
        <w:spacing w:before="1" w:line="191" w:lineRule="auto"/>
        <w:ind w:left="1824"/>
        <w:rPr>
          <w:rFonts w:ascii="Times New Roman" w:hAnsi="Times New Roman" w:eastAsia="Times New Roman" w:cs="Times New Roman"/>
          <w:sz w:val="23"/>
          <w:szCs w:val="23"/>
        </w:rPr>
      </w:pPr>
      <w:r>
        <w:rPr>
          <w:rFonts w:ascii="Times New Roman" w:hAnsi="Times New Roman" w:eastAsia="Times New Roman" w:cs="Times New Roman"/>
          <w:sz w:val="23"/>
          <w:szCs w:val="23"/>
        </w:rPr>
        <w:t>=(575.80+823.60+103.6</w:t>
      </w:r>
      <w:r>
        <w:rPr>
          <w:rFonts w:ascii="Times New Roman" w:hAnsi="Times New Roman" w:eastAsia="Times New Roman" w:cs="Times New Roman"/>
          <w:spacing w:val="-1"/>
          <w:sz w:val="23"/>
          <w:szCs w:val="23"/>
        </w:rPr>
        <w:t>0)×13%</w:t>
      </w:r>
    </w:p>
    <w:p w14:paraId="0A0C100D">
      <w:pPr>
        <w:spacing w:before="290" w:line="220" w:lineRule="auto"/>
        <w:ind w:left="1844"/>
        <w:rPr>
          <w:rFonts w:ascii="宋体" w:hAnsi="宋体" w:eastAsia="宋体" w:cs="宋体"/>
          <w:sz w:val="23"/>
          <w:szCs w:val="23"/>
        </w:rPr>
      </w:pPr>
      <w:r>
        <w:rPr>
          <w:rFonts w:ascii="宋体" w:hAnsi="宋体" w:eastAsia="宋体" w:cs="宋体"/>
          <w:spacing w:val="20"/>
          <w:sz w:val="23"/>
          <w:szCs w:val="23"/>
        </w:rPr>
        <w:t>=195.39(万元)。</w:t>
      </w:r>
    </w:p>
    <w:p w14:paraId="6542E3A3">
      <w:pPr>
        <w:spacing w:before="226" w:line="219" w:lineRule="auto"/>
        <w:ind w:left="575"/>
        <w:rPr>
          <w:rFonts w:ascii="宋体" w:hAnsi="宋体" w:eastAsia="宋体" w:cs="宋体"/>
          <w:sz w:val="24"/>
          <w:szCs w:val="24"/>
        </w:rPr>
      </w:pPr>
      <w:r>
        <w:rPr>
          <w:rFonts w:ascii="宋体" w:hAnsi="宋体" w:eastAsia="宋体" w:cs="宋体"/>
          <w:spacing w:val="9"/>
          <w:sz w:val="24"/>
          <w:szCs w:val="24"/>
        </w:rPr>
        <w:t>年应纳增值税=销项税额一进项税额</w:t>
      </w:r>
    </w:p>
    <w:p w14:paraId="4385B449">
      <w:pPr>
        <w:spacing w:before="267" w:line="188" w:lineRule="auto"/>
        <w:ind w:left="208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=575.67-195.39</w:t>
      </w:r>
    </w:p>
    <w:p w14:paraId="549818E1">
      <w:pPr>
        <w:spacing w:before="212" w:line="220" w:lineRule="auto"/>
        <w:ind w:left="2094"/>
        <w:rPr>
          <w:rFonts w:ascii="宋体" w:hAnsi="宋体" w:eastAsia="宋体" w:cs="宋体"/>
          <w:sz w:val="24"/>
          <w:szCs w:val="24"/>
        </w:rPr>
      </w:pPr>
      <w:r>
        <w:rPr>
          <w:rFonts w:ascii="宋体" w:hAnsi="宋体" w:eastAsia="宋体" w:cs="宋体"/>
          <w:spacing w:val="22"/>
          <w:sz w:val="24"/>
          <w:szCs w:val="24"/>
        </w:rPr>
        <w:t>=380.28(万元)</w:t>
      </w:r>
    </w:p>
    <w:p w14:paraId="4EA00029">
      <w:pPr>
        <w:spacing w:before="264" w:line="219" w:lineRule="auto"/>
        <w:ind w:left="575"/>
        <w:rPr>
          <w:rFonts w:ascii="宋体" w:hAnsi="宋体" w:eastAsia="宋体" w:cs="宋体"/>
          <w:sz w:val="24"/>
          <w:szCs w:val="24"/>
        </w:rPr>
      </w:pPr>
      <w:r>
        <w:rPr>
          <w:rFonts w:ascii="宋体" w:hAnsi="宋体" w:eastAsia="宋体" w:cs="宋体"/>
          <w:spacing w:val="3"/>
          <w:sz w:val="24"/>
          <w:szCs w:val="24"/>
        </w:rPr>
        <w:t>10.13.2城市维护建设税</w:t>
      </w:r>
    </w:p>
    <w:p w14:paraId="74D52E87">
      <w:pPr>
        <w:spacing w:before="225" w:line="376" w:lineRule="auto"/>
        <w:ind w:left="94" w:right="181" w:firstLine="480"/>
        <w:rPr>
          <w:rFonts w:ascii="宋体" w:hAnsi="宋体" w:eastAsia="宋体" w:cs="宋体"/>
          <w:sz w:val="24"/>
          <w:szCs w:val="24"/>
        </w:rPr>
      </w:pPr>
      <w:r>
        <w:rPr>
          <w:rFonts w:ascii="宋体" w:hAnsi="宋体" w:eastAsia="宋体" w:cs="宋体"/>
          <w:spacing w:val="-7"/>
          <w:sz w:val="24"/>
          <w:szCs w:val="24"/>
        </w:rPr>
        <w:t>城市维护建设税以应纳增值税额为税基计算。《中华人民共和国城市维护建设</w:t>
      </w:r>
      <w:r>
        <w:rPr>
          <w:rFonts w:ascii="宋体" w:hAnsi="宋体" w:eastAsia="宋体" w:cs="宋体"/>
          <w:spacing w:val="7"/>
          <w:sz w:val="24"/>
          <w:szCs w:val="24"/>
        </w:rPr>
        <w:t xml:space="preserve"> </w:t>
      </w:r>
      <w:r>
        <w:rPr>
          <w:rFonts w:ascii="宋体" w:hAnsi="宋体" w:eastAsia="宋体" w:cs="宋体"/>
          <w:sz w:val="24"/>
          <w:szCs w:val="24"/>
        </w:rPr>
        <w:t>税法》规定的税率以纳税人所在地不同而实行三种不同税率。矿山实际城市维护</w:t>
      </w:r>
      <w:r>
        <w:rPr>
          <w:rFonts w:ascii="宋体" w:hAnsi="宋体" w:eastAsia="宋体" w:cs="宋体"/>
          <w:spacing w:val="17"/>
          <w:sz w:val="24"/>
          <w:szCs w:val="24"/>
        </w:rPr>
        <w:t xml:space="preserve"> </w:t>
      </w:r>
      <w:r>
        <w:rPr>
          <w:rFonts w:ascii="宋体" w:hAnsi="宋体" w:eastAsia="宋体" w:cs="宋体"/>
          <w:spacing w:val="5"/>
          <w:sz w:val="24"/>
          <w:szCs w:val="24"/>
        </w:rPr>
        <w:t xml:space="preserve">建设税税率为5%(详见附件十四： </w:t>
      </w:r>
      <w:r>
        <w:rPr>
          <w:rFonts w:ascii="Times New Roman" w:hAnsi="Times New Roman" w:eastAsia="Times New Roman" w:cs="Times New Roman"/>
          <w:spacing w:val="5"/>
          <w:sz w:val="24"/>
          <w:szCs w:val="24"/>
        </w:rPr>
        <w:t>P13)</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本次评估城市维护建设税税率取5%。</w:t>
      </w:r>
    </w:p>
    <w:p w14:paraId="6D8B5F17">
      <w:pPr>
        <w:spacing w:line="376" w:lineRule="auto"/>
        <w:rPr>
          <w:rFonts w:ascii="宋体" w:hAnsi="宋体" w:eastAsia="宋体" w:cs="宋体"/>
          <w:sz w:val="24"/>
          <w:szCs w:val="24"/>
        </w:rPr>
        <w:sectPr>
          <w:headerReference r:id="rId114" w:type="default"/>
          <w:footerReference r:id="rId115" w:type="default"/>
          <w:pgSz w:w="11900" w:h="16830"/>
          <w:pgMar w:top="1166" w:right="1420" w:bottom="1290" w:left="1785" w:header="890" w:footer="938" w:gutter="0"/>
          <w:cols w:space="720" w:num="1"/>
        </w:sectPr>
      </w:pPr>
    </w:p>
    <w:p w14:paraId="53612612">
      <w:pPr>
        <w:pStyle w:val="2"/>
        <w:spacing w:line="422" w:lineRule="auto"/>
      </w:pPr>
    </w:p>
    <w:p w14:paraId="66A6DABA">
      <w:pPr>
        <w:spacing w:before="78" w:line="219" w:lineRule="auto"/>
        <w:ind w:left="634"/>
        <w:rPr>
          <w:rFonts w:ascii="宋体" w:hAnsi="宋体" w:eastAsia="宋体" w:cs="宋体"/>
          <w:sz w:val="24"/>
          <w:szCs w:val="24"/>
        </w:rPr>
      </w:pPr>
      <w:r>
        <w:rPr>
          <w:rFonts w:ascii="宋体" w:hAnsi="宋体" w:eastAsia="宋体" w:cs="宋体"/>
          <w:spacing w:val="5"/>
          <w:sz w:val="24"/>
          <w:szCs w:val="24"/>
        </w:rPr>
        <w:t>以2024年为例，年城市维护建设税=年应纳增值税额×城市维护建设税率</w:t>
      </w:r>
    </w:p>
    <w:p w14:paraId="74A11551">
      <w:pPr>
        <w:spacing w:before="264" w:line="188" w:lineRule="auto"/>
        <w:ind w:left="428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=380.28×5%</w:t>
      </w:r>
    </w:p>
    <w:p w14:paraId="235278D3">
      <w:pPr>
        <w:spacing w:before="215" w:line="220" w:lineRule="auto"/>
        <w:ind w:left="4294"/>
        <w:rPr>
          <w:rFonts w:ascii="宋体" w:hAnsi="宋体" w:eastAsia="宋体" w:cs="宋体"/>
          <w:sz w:val="24"/>
          <w:szCs w:val="24"/>
        </w:rPr>
      </w:pPr>
      <w:r>
        <w:rPr>
          <w:rFonts w:ascii="宋体" w:hAnsi="宋体" w:eastAsia="宋体" w:cs="宋体"/>
          <w:spacing w:val="26"/>
          <w:sz w:val="24"/>
          <w:szCs w:val="24"/>
        </w:rPr>
        <w:t>=19.01(万元)</w:t>
      </w:r>
    </w:p>
    <w:p w14:paraId="7A4E1A69">
      <w:pPr>
        <w:spacing w:before="261" w:line="219" w:lineRule="auto"/>
        <w:ind w:left="634"/>
        <w:rPr>
          <w:rFonts w:ascii="宋体" w:hAnsi="宋体" w:eastAsia="宋体" w:cs="宋体"/>
          <w:sz w:val="24"/>
          <w:szCs w:val="24"/>
        </w:rPr>
      </w:pPr>
      <w:r>
        <w:rPr>
          <w:rFonts w:ascii="宋体" w:hAnsi="宋体" w:eastAsia="宋体" w:cs="宋体"/>
          <w:spacing w:val="4"/>
          <w:sz w:val="24"/>
          <w:szCs w:val="24"/>
        </w:rPr>
        <w:t>10.13.3教育费附加</w:t>
      </w:r>
    </w:p>
    <w:p w14:paraId="5C7F062E">
      <w:pPr>
        <w:spacing w:before="224" w:line="379" w:lineRule="auto"/>
        <w:ind w:left="124" w:right="255" w:firstLine="510"/>
        <w:rPr>
          <w:rFonts w:ascii="宋体" w:hAnsi="宋体" w:eastAsia="宋体" w:cs="宋体"/>
          <w:sz w:val="24"/>
          <w:szCs w:val="24"/>
        </w:rPr>
      </w:pPr>
      <w:r>
        <w:rPr>
          <w:rFonts w:ascii="宋体" w:hAnsi="宋体" w:eastAsia="宋体" w:cs="宋体"/>
          <w:spacing w:val="-2"/>
          <w:sz w:val="24"/>
          <w:szCs w:val="24"/>
        </w:rPr>
        <w:t>教育费附加以应纳增值税额为税基，根据《国务院关于教育附加征收问题的</w:t>
      </w:r>
      <w:r>
        <w:rPr>
          <w:rFonts w:ascii="宋体" w:hAnsi="宋体" w:eastAsia="宋体" w:cs="宋体"/>
          <w:spacing w:val="13"/>
          <w:sz w:val="24"/>
          <w:szCs w:val="24"/>
        </w:rPr>
        <w:t xml:space="preserve"> </w:t>
      </w:r>
      <w:r>
        <w:rPr>
          <w:rFonts w:ascii="宋体" w:hAnsi="宋体" w:eastAsia="宋体" w:cs="宋体"/>
          <w:sz w:val="24"/>
          <w:szCs w:val="24"/>
        </w:rPr>
        <w:t>紧急通知》的规定，税率取3%。本次评估教</w:t>
      </w:r>
      <w:r>
        <w:rPr>
          <w:rFonts w:ascii="宋体" w:hAnsi="宋体" w:eastAsia="宋体" w:cs="宋体"/>
          <w:spacing w:val="-1"/>
          <w:sz w:val="24"/>
          <w:szCs w:val="24"/>
        </w:rPr>
        <w:t>育费附加取应缴增值税的3%计算。以</w:t>
      </w:r>
      <w:r>
        <w:rPr>
          <w:rFonts w:ascii="宋体" w:hAnsi="宋体" w:eastAsia="宋体" w:cs="宋体"/>
          <w:sz w:val="24"/>
          <w:szCs w:val="24"/>
        </w:rPr>
        <w:t xml:space="preserve"> </w:t>
      </w:r>
      <w:r>
        <w:rPr>
          <w:rFonts w:ascii="宋体" w:hAnsi="宋体" w:eastAsia="宋体" w:cs="宋体"/>
          <w:spacing w:val="3"/>
          <w:sz w:val="24"/>
          <w:szCs w:val="24"/>
        </w:rPr>
        <w:t>2024年为例：</w:t>
      </w:r>
    </w:p>
    <w:p w14:paraId="0402945F">
      <w:pPr>
        <w:spacing w:before="23" w:line="219" w:lineRule="auto"/>
        <w:ind w:left="634"/>
        <w:rPr>
          <w:rFonts w:ascii="宋体" w:hAnsi="宋体" w:eastAsia="宋体" w:cs="宋体"/>
          <w:sz w:val="24"/>
          <w:szCs w:val="24"/>
        </w:rPr>
      </w:pPr>
      <w:r>
        <w:rPr>
          <w:rFonts w:ascii="宋体" w:hAnsi="宋体" w:eastAsia="宋体" w:cs="宋体"/>
          <w:spacing w:val="5"/>
          <w:sz w:val="24"/>
          <w:szCs w:val="24"/>
        </w:rPr>
        <w:t>年教育费附加=年应纳增值税额×教育费附加税率</w:t>
      </w:r>
    </w:p>
    <w:p w14:paraId="6806646C">
      <w:pPr>
        <w:spacing w:before="276" w:line="188" w:lineRule="auto"/>
        <w:ind w:left="21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=380.28×3%</w:t>
      </w:r>
    </w:p>
    <w:p w14:paraId="1A50E31E">
      <w:pPr>
        <w:spacing w:before="215" w:line="220" w:lineRule="auto"/>
        <w:ind w:left="2114"/>
        <w:rPr>
          <w:rFonts w:ascii="宋体" w:hAnsi="宋体" w:eastAsia="宋体" w:cs="宋体"/>
          <w:sz w:val="24"/>
          <w:szCs w:val="24"/>
        </w:rPr>
      </w:pPr>
      <w:r>
        <w:rPr>
          <w:rFonts w:ascii="宋体" w:hAnsi="宋体" w:eastAsia="宋体" w:cs="宋体"/>
          <w:spacing w:val="24"/>
          <w:sz w:val="24"/>
          <w:szCs w:val="24"/>
        </w:rPr>
        <w:t>=11.41(万元)</w:t>
      </w:r>
    </w:p>
    <w:p w14:paraId="089AA305">
      <w:pPr>
        <w:spacing w:before="252" w:line="219" w:lineRule="auto"/>
        <w:ind w:left="634"/>
        <w:rPr>
          <w:rFonts w:ascii="宋体" w:hAnsi="宋体" w:eastAsia="宋体" w:cs="宋体"/>
          <w:sz w:val="24"/>
          <w:szCs w:val="24"/>
        </w:rPr>
      </w:pPr>
      <w:r>
        <w:rPr>
          <w:rFonts w:ascii="宋体" w:hAnsi="宋体" w:eastAsia="宋体" w:cs="宋体"/>
          <w:spacing w:val="4"/>
          <w:sz w:val="24"/>
          <w:szCs w:val="24"/>
        </w:rPr>
        <w:t>10.13.4地方教育附加</w:t>
      </w:r>
    </w:p>
    <w:p w14:paraId="78C71761">
      <w:pPr>
        <w:spacing w:before="224" w:line="379" w:lineRule="auto"/>
        <w:ind w:left="124" w:right="215" w:firstLine="510"/>
        <w:rPr>
          <w:rFonts w:ascii="宋体" w:hAnsi="宋体" w:eastAsia="宋体" w:cs="宋体"/>
          <w:sz w:val="24"/>
          <w:szCs w:val="24"/>
        </w:rPr>
      </w:pPr>
      <w:r>
        <w:rPr>
          <w:rFonts w:ascii="宋体" w:hAnsi="宋体" w:eastAsia="宋体" w:cs="宋体"/>
          <w:spacing w:val="3"/>
          <w:sz w:val="24"/>
          <w:szCs w:val="24"/>
        </w:rPr>
        <w:t>根据《财政部关于统一地方教育附加政策有关问题的通知》(财综[2010]98</w:t>
      </w:r>
      <w:r>
        <w:rPr>
          <w:rFonts w:ascii="宋体" w:hAnsi="宋体" w:eastAsia="宋体" w:cs="宋体"/>
          <w:spacing w:val="2"/>
          <w:sz w:val="24"/>
          <w:szCs w:val="24"/>
        </w:rPr>
        <w:t xml:space="preserve"> </w:t>
      </w:r>
      <w:r>
        <w:rPr>
          <w:rFonts w:ascii="宋体" w:hAnsi="宋体" w:eastAsia="宋体" w:cs="宋体"/>
          <w:spacing w:val="5"/>
          <w:sz w:val="24"/>
          <w:szCs w:val="24"/>
        </w:rPr>
        <w:t>号),地方教育附加费率为2%。本次评估地方教育附加按应缴增值税的2%计算。</w:t>
      </w:r>
      <w:r>
        <w:rPr>
          <w:rFonts w:ascii="宋体" w:hAnsi="宋体" w:eastAsia="宋体" w:cs="宋体"/>
          <w:spacing w:val="3"/>
          <w:sz w:val="24"/>
          <w:szCs w:val="24"/>
        </w:rPr>
        <w:t xml:space="preserve"> </w:t>
      </w:r>
      <w:r>
        <w:rPr>
          <w:rFonts w:ascii="宋体" w:hAnsi="宋体" w:eastAsia="宋体" w:cs="宋体"/>
          <w:spacing w:val="10"/>
          <w:sz w:val="24"/>
          <w:szCs w:val="24"/>
        </w:rPr>
        <w:t>以2024年为例：</w:t>
      </w:r>
    </w:p>
    <w:p w14:paraId="11E75473">
      <w:pPr>
        <w:spacing w:before="3" w:line="219" w:lineRule="auto"/>
        <w:ind w:left="634"/>
        <w:rPr>
          <w:rFonts w:ascii="宋体" w:hAnsi="宋体" w:eastAsia="宋体" w:cs="宋体"/>
          <w:sz w:val="24"/>
          <w:szCs w:val="24"/>
        </w:rPr>
      </w:pPr>
      <w:r>
        <w:rPr>
          <w:rFonts w:ascii="宋体" w:hAnsi="宋体" w:eastAsia="宋体" w:cs="宋体"/>
          <w:spacing w:val="6"/>
          <w:sz w:val="24"/>
          <w:szCs w:val="24"/>
        </w:rPr>
        <w:t>年地方教育附加=年应纳增值税额×教育附加</w:t>
      </w:r>
      <w:r>
        <w:rPr>
          <w:rFonts w:ascii="宋体" w:hAnsi="宋体" w:eastAsia="宋体" w:cs="宋体"/>
          <w:spacing w:val="5"/>
          <w:sz w:val="24"/>
          <w:szCs w:val="24"/>
        </w:rPr>
        <w:t>费率</w:t>
      </w:r>
    </w:p>
    <w:p w14:paraId="15FB6024">
      <w:pPr>
        <w:spacing w:before="256" w:line="188" w:lineRule="auto"/>
        <w:ind w:left="21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=380.28×2%</w:t>
      </w:r>
    </w:p>
    <w:p w14:paraId="70BC3573">
      <w:pPr>
        <w:spacing w:before="255" w:line="220" w:lineRule="auto"/>
        <w:ind w:left="2114"/>
        <w:rPr>
          <w:rFonts w:ascii="宋体" w:hAnsi="宋体" w:eastAsia="宋体" w:cs="宋体"/>
          <w:sz w:val="24"/>
          <w:szCs w:val="24"/>
        </w:rPr>
      </w:pPr>
      <w:r>
        <w:rPr>
          <w:rFonts w:ascii="宋体" w:hAnsi="宋体" w:eastAsia="宋体" w:cs="宋体"/>
          <w:spacing w:val="18"/>
          <w:sz w:val="24"/>
          <w:szCs w:val="24"/>
        </w:rPr>
        <w:t>=</w:t>
      </w:r>
      <w:r>
        <w:rPr>
          <w:rFonts w:ascii="宋体" w:hAnsi="宋体" w:eastAsia="宋体" w:cs="宋体"/>
          <w:spacing w:val="-31"/>
          <w:sz w:val="24"/>
          <w:szCs w:val="24"/>
        </w:rPr>
        <w:t xml:space="preserve"> </w:t>
      </w:r>
      <w:r>
        <w:rPr>
          <w:rFonts w:ascii="宋体" w:hAnsi="宋体" w:eastAsia="宋体" w:cs="宋体"/>
          <w:spacing w:val="18"/>
          <w:sz w:val="24"/>
          <w:szCs w:val="24"/>
        </w:rPr>
        <w:t>7.61(万元)</w:t>
      </w:r>
    </w:p>
    <w:p w14:paraId="382F0116">
      <w:pPr>
        <w:spacing w:before="244" w:line="220" w:lineRule="auto"/>
        <w:ind w:left="634"/>
        <w:rPr>
          <w:rFonts w:ascii="宋体" w:hAnsi="宋体" w:eastAsia="宋体" w:cs="宋体"/>
          <w:sz w:val="24"/>
          <w:szCs w:val="24"/>
        </w:rPr>
      </w:pPr>
      <w:r>
        <w:rPr>
          <w:rFonts w:ascii="宋体" w:hAnsi="宋体" w:eastAsia="宋体" w:cs="宋体"/>
          <w:spacing w:val="8"/>
          <w:sz w:val="24"/>
          <w:szCs w:val="24"/>
        </w:rPr>
        <w:t>10.13.5资源税</w:t>
      </w:r>
    </w:p>
    <w:p w14:paraId="5894B5FC">
      <w:pPr>
        <w:spacing w:before="210" w:line="387" w:lineRule="auto"/>
        <w:ind w:left="124" w:right="109" w:firstLine="510"/>
        <w:rPr>
          <w:rFonts w:ascii="宋体" w:hAnsi="宋体" w:eastAsia="宋体" w:cs="宋体"/>
          <w:sz w:val="24"/>
          <w:szCs w:val="24"/>
        </w:rPr>
      </w:pPr>
      <w:r>
        <w:rPr>
          <w:rFonts w:ascii="宋体" w:hAnsi="宋体" w:eastAsia="宋体" w:cs="宋体"/>
          <w:spacing w:val="10"/>
          <w:sz w:val="24"/>
          <w:szCs w:val="24"/>
        </w:rPr>
        <w:t>2019年8月26日，第十三届全国人民代表大会常务委员会第十二次会议用</w:t>
      </w:r>
      <w:r>
        <w:rPr>
          <w:rFonts w:ascii="宋体" w:hAnsi="宋体" w:eastAsia="宋体" w:cs="宋体"/>
          <w:spacing w:val="18"/>
          <w:sz w:val="24"/>
          <w:szCs w:val="24"/>
        </w:rPr>
        <w:t xml:space="preserve"> </w:t>
      </w:r>
      <w:r>
        <w:rPr>
          <w:rFonts w:ascii="宋体" w:hAnsi="宋体" w:eastAsia="宋体" w:cs="宋体"/>
          <w:spacing w:val="-3"/>
          <w:sz w:val="24"/>
          <w:szCs w:val="24"/>
        </w:rPr>
        <w:t>过了《中华人民共和国资源税法》,资源税的税目、税率，依照《税目税率表》执</w:t>
      </w:r>
      <w:r>
        <w:rPr>
          <w:rFonts w:ascii="宋体" w:hAnsi="宋体" w:eastAsia="宋体" w:cs="宋体"/>
          <w:spacing w:val="3"/>
          <w:sz w:val="24"/>
          <w:szCs w:val="24"/>
        </w:rPr>
        <w:t xml:space="preserve">  </w:t>
      </w:r>
      <w:r>
        <w:rPr>
          <w:rFonts w:ascii="宋体" w:hAnsi="宋体" w:eastAsia="宋体" w:cs="宋体"/>
          <w:spacing w:val="-3"/>
          <w:sz w:val="24"/>
          <w:szCs w:val="24"/>
        </w:rPr>
        <w:t>行，《税目税率表》中规定实行幅度税率的，其具体适用税率由省、市、自</w:t>
      </w:r>
      <w:r>
        <w:rPr>
          <w:rFonts w:ascii="宋体" w:hAnsi="宋体" w:eastAsia="宋体" w:cs="宋体"/>
          <w:spacing w:val="-4"/>
          <w:sz w:val="24"/>
          <w:szCs w:val="24"/>
        </w:rPr>
        <w:t>治区、</w:t>
      </w:r>
      <w:r>
        <w:rPr>
          <w:rFonts w:ascii="宋体" w:hAnsi="宋体" w:eastAsia="宋体" w:cs="宋体"/>
          <w:sz w:val="24"/>
          <w:szCs w:val="24"/>
        </w:rPr>
        <w:t xml:space="preserve"> </w:t>
      </w:r>
      <w:r>
        <w:rPr>
          <w:rFonts w:ascii="宋体" w:hAnsi="宋体" w:eastAsia="宋体" w:cs="宋体"/>
          <w:spacing w:val="-3"/>
          <w:sz w:val="24"/>
          <w:szCs w:val="24"/>
        </w:rPr>
        <w:t>直辖市人民政府统筹考虑应税资源的品位、开采条件及对生态环境的影响等</w:t>
      </w:r>
      <w:r>
        <w:rPr>
          <w:rFonts w:ascii="宋体" w:hAnsi="宋体" w:eastAsia="宋体" w:cs="宋体"/>
          <w:spacing w:val="-4"/>
          <w:sz w:val="24"/>
          <w:szCs w:val="24"/>
        </w:rPr>
        <w:t>情况，</w:t>
      </w:r>
      <w:r>
        <w:rPr>
          <w:rFonts w:ascii="宋体" w:hAnsi="宋体" w:eastAsia="宋体" w:cs="宋体"/>
          <w:sz w:val="24"/>
          <w:szCs w:val="24"/>
        </w:rPr>
        <w:t xml:space="preserve"> </w:t>
      </w:r>
      <w:r>
        <w:rPr>
          <w:rFonts w:ascii="宋体" w:hAnsi="宋体" w:eastAsia="宋体" w:cs="宋体"/>
          <w:spacing w:val="-3"/>
          <w:sz w:val="24"/>
          <w:szCs w:val="24"/>
        </w:rPr>
        <w:t>在《税目税率表》规定的税率幅度内提出，报同级人民代表大会常务委员会</w:t>
      </w:r>
      <w:r>
        <w:rPr>
          <w:rFonts w:ascii="宋体" w:hAnsi="宋体" w:eastAsia="宋体" w:cs="宋体"/>
          <w:spacing w:val="-4"/>
          <w:sz w:val="24"/>
          <w:szCs w:val="24"/>
        </w:rPr>
        <w:t>决定，</w:t>
      </w:r>
      <w:r>
        <w:rPr>
          <w:rFonts w:ascii="宋体" w:hAnsi="宋体" w:eastAsia="宋体" w:cs="宋体"/>
          <w:sz w:val="24"/>
          <w:szCs w:val="24"/>
        </w:rPr>
        <w:t xml:space="preserve"> 并报全国人民代表大会常务委员会和国务院备案。</w:t>
      </w:r>
    </w:p>
    <w:p w14:paraId="4D8FEAFE">
      <w:pPr>
        <w:spacing w:before="5" w:line="376" w:lineRule="auto"/>
        <w:ind w:left="124" w:right="191" w:firstLine="510"/>
        <w:jc w:val="both"/>
        <w:rPr>
          <w:rFonts w:ascii="宋体" w:hAnsi="宋体" w:eastAsia="宋体" w:cs="宋体"/>
          <w:sz w:val="24"/>
          <w:szCs w:val="24"/>
        </w:rPr>
      </w:pPr>
      <w:r>
        <w:rPr>
          <w:rFonts w:ascii="宋体" w:hAnsi="宋体" w:eastAsia="宋体" w:cs="宋体"/>
          <w:sz w:val="24"/>
          <w:szCs w:val="24"/>
        </w:rPr>
        <w:t>根据《云南省人大常委会关于云南省资源税税目税率计征方式及减免税办法</w:t>
      </w:r>
      <w:r>
        <w:rPr>
          <w:rFonts w:ascii="宋体" w:hAnsi="宋体" w:eastAsia="宋体" w:cs="宋体"/>
          <w:spacing w:val="17"/>
          <w:sz w:val="24"/>
          <w:szCs w:val="24"/>
        </w:rPr>
        <w:t xml:space="preserve"> </w:t>
      </w:r>
      <w:r>
        <w:rPr>
          <w:rFonts w:ascii="宋体" w:hAnsi="宋体" w:eastAsia="宋体" w:cs="宋体"/>
          <w:spacing w:val="7"/>
          <w:sz w:val="24"/>
          <w:szCs w:val="24"/>
        </w:rPr>
        <w:t>的决定》(2020年7月29日云南省第十三届人民代表大会常务委</w:t>
      </w:r>
      <w:r>
        <w:rPr>
          <w:rFonts w:ascii="宋体" w:hAnsi="宋体" w:eastAsia="宋体" w:cs="宋体"/>
          <w:spacing w:val="6"/>
          <w:sz w:val="24"/>
          <w:szCs w:val="24"/>
        </w:rPr>
        <w:t>员会第十九次会</w:t>
      </w:r>
      <w:r>
        <w:rPr>
          <w:rFonts w:ascii="宋体" w:hAnsi="宋体" w:eastAsia="宋体" w:cs="宋体"/>
          <w:sz w:val="24"/>
          <w:szCs w:val="24"/>
        </w:rPr>
        <w:t xml:space="preserve"> </w:t>
      </w:r>
      <w:r>
        <w:rPr>
          <w:rFonts w:ascii="宋体" w:hAnsi="宋体" w:eastAsia="宋体" w:cs="宋体"/>
          <w:spacing w:val="9"/>
          <w:sz w:val="24"/>
          <w:szCs w:val="24"/>
        </w:rPr>
        <w:t>议通过),铅锌矿征税对象为选矿，铅锌矿资源税税率5%,镉征收对象为选矿，</w:t>
      </w:r>
    </w:p>
    <w:p w14:paraId="6B1C7C36">
      <w:pPr>
        <w:spacing w:line="376" w:lineRule="auto"/>
        <w:rPr>
          <w:rFonts w:ascii="宋体" w:hAnsi="宋体" w:eastAsia="宋体" w:cs="宋体"/>
          <w:sz w:val="24"/>
          <w:szCs w:val="24"/>
        </w:rPr>
        <w:sectPr>
          <w:headerReference r:id="rId116" w:type="default"/>
          <w:footerReference r:id="rId117" w:type="default"/>
          <w:pgSz w:w="11900" w:h="16830"/>
          <w:pgMar w:top="1157" w:right="1350" w:bottom="1290" w:left="1785" w:header="880" w:footer="948" w:gutter="0"/>
          <w:cols w:space="720" w:num="1"/>
        </w:sectPr>
      </w:pPr>
    </w:p>
    <w:p w14:paraId="6BD20EFD">
      <w:pPr>
        <w:pStyle w:val="2"/>
        <w:spacing w:line="391" w:lineRule="auto"/>
      </w:pPr>
    </w:p>
    <w:p w14:paraId="4D01844C">
      <w:pPr>
        <w:spacing w:before="78" w:line="385" w:lineRule="auto"/>
        <w:ind w:left="1529" w:right="229"/>
        <w:rPr>
          <w:rFonts w:ascii="宋体" w:hAnsi="宋体" w:eastAsia="宋体" w:cs="宋体"/>
          <w:sz w:val="24"/>
          <w:szCs w:val="24"/>
        </w:rPr>
      </w:pPr>
      <w:r>
        <w:rPr>
          <w:rFonts w:ascii="宋体" w:hAnsi="宋体" w:eastAsia="宋体" w:cs="宋体"/>
          <w:spacing w:val="-1"/>
          <w:sz w:val="24"/>
          <w:szCs w:val="24"/>
        </w:rPr>
        <w:t>镉资源税税率9%。纳税人开采伴生矿，并与主矿产品分别核算销售额或者销售数</w:t>
      </w:r>
      <w:r>
        <w:rPr>
          <w:rFonts w:ascii="宋体" w:hAnsi="宋体" w:eastAsia="宋体" w:cs="宋体"/>
          <w:spacing w:val="5"/>
          <w:sz w:val="24"/>
          <w:szCs w:val="24"/>
        </w:rPr>
        <w:t xml:space="preserve"> </w:t>
      </w:r>
      <w:r>
        <w:rPr>
          <w:rFonts w:ascii="宋体" w:hAnsi="宋体" w:eastAsia="宋体" w:cs="宋体"/>
          <w:spacing w:val="-3"/>
          <w:sz w:val="24"/>
          <w:szCs w:val="24"/>
        </w:rPr>
        <w:t>量的，减征百分之三十资源税。</w:t>
      </w:r>
    </w:p>
    <w:p w14:paraId="0AF7A339">
      <w:pPr>
        <w:spacing w:line="219" w:lineRule="auto"/>
        <w:ind w:left="2020"/>
        <w:rPr>
          <w:rFonts w:ascii="宋体" w:hAnsi="宋体" w:eastAsia="宋体" w:cs="宋体"/>
          <w:sz w:val="24"/>
          <w:szCs w:val="24"/>
        </w:rPr>
      </w:pPr>
      <w:r>
        <w:rPr>
          <w:rFonts w:ascii="宋体" w:hAnsi="宋体" w:eastAsia="宋体" w:cs="宋体"/>
          <w:spacing w:val="7"/>
          <w:sz w:val="24"/>
          <w:szCs w:val="24"/>
        </w:rPr>
        <w:t>以2024年为例：</w:t>
      </w:r>
    </w:p>
    <w:p w14:paraId="68DA8BE1">
      <w:pPr>
        <w:spacing w:before="223" w:line="379" w:lineRule="auto"/>
        <w:ind w:left="1529" w:right="222" w:firstLine="490"/>
        <w:rPr>
          <w:rFonts w:ascii="宋体" w:hAnsi="宋体" w:eastAsia="宋体" w:cs="宋体"/>
          <w:sz w:val="24"/>
          <w:szCs w:val="24"/>
        </w:rPr>
      </w:pPr>
      <w:r>
        <w:rPr>
          <w:rFonts w:ascii="宋体" w:hAnsi="宋体" w:eastAsia="宋体" w:cs="宋体"/>
          <w:spacing w:val="6"/>
          <w:sz w:val="24"/>
          <w:szCs w:val="24"/>
        </w:rPr>
        <w:t>资源税=锌精矿年销售额×锌精矿资源税税率+铅精矿年销售额×铅精矿资</w:t>
      </w:r>
      <w:r>
        <w:rPr>
          <w:rFonts w:ascii="宋体" w:hAnsi="宋体" w:eastAsia="宋体" w:cs="宋体"/>
          <w:spacing w:val="8"/>
          <w:sz w:val="24"/>
          <w:szCs w:val="24"/>
        </w:rPr>
        <w:t xml:space="preserve"> </w:t>
      </w:r>
      <w:r>
        <w:rPr>
          <w:rFonts w:ascii="宋体" w:hAnsi="宋体" w:eastAsia="宋体" w:cs="宋体"/>
          <w:sz w:val="24"/>
          <w:szCs w:val="24"/>
        </w:rPr>
        <w:t>源税税率×0.7+锌精矿含镉年销售额×锌精矿含</w:t>
      </w:r>
      <w:r>
        <w:rPr>
          <w:rFonts w:ascii="宋体" w:hAnsi="宋体" w:eastAsia="宋体" w:cs="宋体"/>
          <w:spacing w:val="-1"/>
          <w:sz w:val="24"/>
          <w:szCs w:val="24"/>
        </w:rPr>
        <w:t>镉资源税税率×0.7</w:t>
      </w:r>
    </w:p>
    <w:p w14:paraId="4690E7E8">
      <w:pPr>
        <w:spacing w:before="42" w:line="188" w:lineRule="auto"/>
        <w:ind w:left="2800"/>
        <w:rPr>
          <w:rFonts w:ascii="Times New Roman" w:hAnsi="Times New Roman" w:eastAsia="Times New Roman" w:cs="Times New Roman"/>
          <w:sz w:val="24"/>
          <w:szCs w:val="24"/>
        </w:rPr>
      </w:pPr>
      <w:r>
        <w:rPr>
          <w:rFonts w:ascii="Times New Roman" w:hAnsi="Times New Roman" w:eastAsia="Times New Roman" w:cs="Times New Roman"/>
          <w:sz w:val="24"/>
          <w:szCs w:val="24"/>
        </w:rPr>
        <w:t>=4,006.44×5%+410.54×5%×0.7+11.2</w:t>
      </w:r>
      <w:r>
        <w:rPr>
          <w:rFonts w:ascii="Times New Roman" w:hAnsi="Times New Roman" w:eastAsia="Times New Roman" w:cs="Times New Roman"/>
          <w:spacing w:val="-1"/>
          <w:sz w:val="24"/>
          <w:szCs w:val="24"/>
        </w:rPr>
        <w:t>2×9%×0.7</w:t>
      </w:r>
    </w:p>
    <w:p w14:paraId="12DD330E">
      <w:pPr>
        <w:spacing w:before="258" w:line="220" w:lineRule="auto"/>
        <w:ind w:left="2820"/>
        <w:rPr>
          <w:rFonts w:ascii="宋体" w:hAnsi="宋体" w:eastAsia="宋体" w:cs="宋体"/>
          <w:sz w:val="24"/>
          <w:szCs w:val="24"/>
        </w:rPr>
      </w:pPr>
      <w:r>
        <w:rPr>
          <w:rFonts w:ascii="宋体" w:hAnsi="宋体" w:eastAsia="宋体" w:cs="宋体"/>
          <w:spacing w:val="21"/>
          <w:sz w:val="24"/>
          <w:szCs w:val="24"/>
        </w:rPr>
        <w:t>=215.40(万元)</w:t>
      </w:r>
    </w:p>
    <w:p w14:paraId="589472F0">
      <w:pPr>
        <w:spacing w:before="231" w:line="219" w:lineRule="auto"/>
        <w:ind w:left="2020"/>
        <w:rPr>
          <w:rFonts w:ascii="宋体" w:hAnsi="宋体" w:eastAsia="宋体" w:cs="宋体"/>
          <w:sz w:val="24"/>
          <w:szCs w:val="24"/>
        </w:rPr>
      </w:pPr>
      <w:r>
        <w:drawing>
          <wp:anchor distT="0" distB="0" distL="0" distR="0" simplePos="0" relativeHeight="251834368" behindDoc="0" locked="0" layoutInCell="1" allowOverlap="1">
            <wp:simplePos x="0" y="0"/>
            <wp:positionH relativeFrom="column">
              <wp:posOffset>0</wp:posOffset>
            </wp:positionH>
            <wp:positionV relativeFrom="paragraph">
              <wp:posOffset>452120</wp:posOffset>
            </wp:positionV>
            <wp:extent cx="158750" cy="31750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153"/>
                    <a:stretch>
                      <a:fillRect/>
                    </a:stretch>
                  </pic:blipFill>
                  <pic:spPr>
                    <a:xfrm>
                      <a:off x="0" y="0"/>
                      <a:ext cx="158762" cy="317512"/>
                    </a:xfrm>
                    <a:prstGeom prst="rect">
                      <a:avLst/>
                    </a:prstGeom>
                  </pic:spPr>
                </pic:pic>
              </a:graphicData>
            </a:graphic>
          </wp:anchor>
        </w:drawing>
      </w:r>
      <w:r>
        <w:rPr>
          <w:rFonts w:ascii="宋体" w:hAnsi="宋体" w:eastAsia="宋体" w:cs="宋体"/>
          <w:spacing w:val="4"/>
          <w:sz w:val="24"/>
          <w:szCs w:val="24"/>
        </w:rPr>
        <w:t>10.13.6销售税金及附加</w:t>
      </w:r>
    </w:p>
    <w:p w14:paraId="6C2C43CB">
      <w:pPr>
        <w:spacing w:before="267" w:line="219" w:lineRule="auto"/>
        <w:ind w:left="2020"/>
        <w:rPr>
          <w:rFonts w:ascii="宋体" w:hAnsi="宋体" w:eastAsia="宋体" w:cs="宋体"/>
          <w:sz w:val="24"/>
          <w:szCs w:val="24"/>
        </w:rPr>
      </w:pPr>
      <w:r>
        <w:rPr>
          <w:rFonts w:ascii="宋体" w:hAnsi="宋体" w:eastAsia="宋体" w:cs="宋体"/>
          <w:spacing w:val="7"/>
          <w:sz w:val="24"/>
          <w:szCs w:val="24"/>
        </w:rPr>
        <w:t>以2024年为例：</w:t>
      </w:r>
    </w:p>
    <w:p w14:paraId="7C906CE1">
      <w:pPr>
        <w:spacing w:before="264" w:line="219" w:lineRule="auto"/>
        <w:ind w:left="2020"/>
        <w:rPr>
          <w:rFonts w:ascii="宋体" w:hAnsi="宋体" w:eastAsia="宋体" w:cs="宋体"/>
          <w:sz w:val="24"/>
          <w:szCs w:val="24"/>
        </w:rPr>
      </w:pPr>
      <w:r>
        <w:rPr>
          <w:rFonts w:ascii="宋体" w:hAnsi="宋体" w:eastAsia="宋体" w:cs="宋体"/>
          <w:spacing w:val="10"/>
          <w:sz w:val="24"/>
          <w:szCs w:val="24"/>
        </w:rPr>
        <w:t>销售税金及附加=城市维护建设税+教育费附加十</w:t>
      </w:r>
      <w:r>
        <w:rPr>
          <w:rFonts w:hint="eastAsia" w:ascii="宋体" w:hAnsi="宋体" w:eastAsia="宋体" w:cs="宋体"/>
          <w:spacing w:val="9"/>
          <w:sz w:val="24"/>
          <w:szCs w:val="24"/>
          <w:lang w:eastAsia="zh-CN"/>
        </w:rPr>
        <w:t>地方教育附加</w:t>
      </w:r>
      <w:bookmarkStart w:id="66" w:name="_GoBack"/>
      <w:bookmarkEnd w:id="66"/>
      <w:r>
        <w:rPr>
          <w:rFonts w:ascii="宋体" w:hAnsi="宋体" w:eastAsia="宋体" w:cs="宋体"/>
          <w:spacing w:val="9"/>
          <w:sz w:val="24"/>
          <w:szCs w:val="24"/>
        </w:rPr>
        <w:t>+资源税</w:t>
      </w:r>
    </w:p>
    <w:p w14:paraId="0DDA2421">
      <w:pPr>
        <w:spacing w:before="309" w:line="188" w:lineRule="auto"/>
        <w:ind w:left="3770"/>
        <w:rPr>
          <w:rFonts w:ascii="Times New Roman" w:hAnsi="Times New Roman" w:eastAsia="Times New Roman" w:cs="Times New Roman"/>
          <w:sz w:val="24"/>
          <w:szCs w:val="24"/>
        </w:rPr>
      </w:pPr>
      <w:r>
        <w:drawing>
          <wp:anchor distT="0" distB="0" distL="0" distR="0" simplePos="0" relativeHeight="251835392" behindDoc="0" locked="0" layoutInCell="1" allowOverlap="1">
            <wp:simplePos x="0" y="0"/>
            <wp:positionH relativeFrom="column">
              <wp:posOffset>0</wp:posOffset>
            </wp:positionH>
            <wp:positionV relativeFrom="paragraph">
              <wp:posOffset>448945</wp:posOffset>
            </wp:positionV>
            <wp:extent cx="152400" cy="323850"/>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154"/>
                    <a:stretch>
                      <a:fillRect/>
                    </a:stretch>
                  </pic:blipFill>
                  <pic:spPr>
                    <a:xfrm>
                      <a:off x="0" y="0"/>
                      <a:ext cx="152414" cy="323817"/>
                    </a:xfrm>
                    <a:prstGeom prst="rect">
                      <a:avLst/>
                    </a:prstGeom>
                  </pic:spPr>
                </pic:pic>
              </a:graphicData>
            </a:graphic>
          </wp:anchor>
        </w:drawing>
      </w:r>
      <w:r>
        <w:rPr>
          <w:rFonts w:ascii="Times New Roman" w:hAnsi="Times New Roman" w:eastAsia="Times New Roman" w:cs="Times New Roman"/>
          <w:spacing w:val="-1"/>
          <w:sz w:val="24"/>
          <w:szCs w:val="24"/>
        </w:rPr>
        <w:t>=19.01+11.41+7.61+215.40</w:t>
      </w:r>
    </w:p>
    <w:p w14:paraId="17497CFE">
      <w:pPr>
        <w:spacing w:before="252" w:line="220" w:lineRule="auto"/>
        <w:ind w:left="3770"/>
        <w:rPr>
          <w:rFonts w:ascii="宋体" w:hAnsi="宋体" w:eastAsia="宋体" w:cs="宋体"/>
          <w:sz w:val="24"/>
          <w:szCs w:val="24"/>
        </w:rPr>
      </w:pPr>
      <w:r>
        <w:rPr>
          <w:rFonts w:ascii="宋体" w:hAnsi="宋体" w:eastAsia="宋体" w:cs="宋体"/>
          <w:spacing w:val="17"/>
          <w:sz w:val="24"/>
          <w:szCs w:val="24"/>
        </w:rPr>
        <w:t>=253.</w:t>
      </w:r>
      <w:r>
        <w:rPr>
          <w:rFonts w:ascii="宋体" w:hAnsi="宋体" w:eastAsia="宋体" w:cs="宋体"/>
          <w:spacing w:val="-56"/>
          <w:sz w:val="24"/>
          <w:szCs w:val="24"/>
        </w:rPr>
        <w:t xml:space="preserve"> </w:t>
      </w:r>
      <w:r>
        <w:rPr>
          <w:rFonts w:ascii="宋体" w:hAnsi="宋体" w:eastAsia="宋体" w:cs="宋体"/>
          <w:spacing w:val="17"/>
          <w:sz w:val="24"/>
          <w:szCs w:val="24"/>
        </w:rPr>
        <w:t>43(万元)</w:t>
      </w:r>
    </w:p>
    <w:p w14:paraId="2713B55A">
      <w:pPr>
        <w:spacing w:before="224" w:line="219" w:lineRule="auto"/>
        <w:ind w:left="2099"/>
        <w:outlineLvl w:val="1"/>
        <w:rPr>
          <w:rFonts w:ascii="宋体" w:hAnsi="宋体" w:eastAsia="宋体" w:cs="宋体"/>
          <w:sz w:val="24"/>
          <w:szCs w:val="24"/>
        </w:rPr>
      </w:pPr>
      <w:bookmarkStart w:id="57" w:name="bookmark37"/>
      <w:bookmarkEnd w:id="57"/>
      <w:r>
        <w:rPr>
          <w:rFonts w:ascii="宋体" w:hAnsi="宋体" w:eastAsia="宋体" w:cs="宋体"/>
          <w:spacing w:val="7"/>
          <w:sz w:val="24"/>
          <w:szCs w:val="24"/>
        </w:rPr>
        <w:t>10.14折现率</w:t>
      </w:r>
    </w:p>
    <w:p w14:paraId="1CF99A40">
      <w:pPr>
        <w:spacing w:before="220" w:line="382" w:lineRule="auto"/>
        <w:ind w:left="1529" w:right="189" w:firstLine="490"/>
        <w:rPr>
          <w:rFonts w:ascii="宋体" w:hAnsi="宋体" w:eastAsia="宋体" w:cs="宋体"/>
          <w:sz w:val="24"/>
          <w:szCs w:val="24"/>
        </w:rPr>
      </w:pPr>
      <w:r>
        <w:rPr>
          <w:rFonts w:ascii="宋体" w:hAnsi="宋体" w:eastAsia="宋体" w:cs="宋体"/>
          <w:spacing w:val="-3"/>
          <w:sz w:val="24"/>
          <w:szCs w:val="24"/>
        </w:rPr>
        <w:t>根据《矿业权出让收益评估应用指南(试行</w:t>
      </w:r>
      <w:r>
        <w:rPr>
          <w:rFonts w:ascii="宋体" w:hAnsi="宋体" w:eastAsia="宋体" w:cs="宋体"/>
          <w:spacing w:val="-4"/>
          <w:sz w:val="24"/>
          <w:szCs w:val="24"/>
        </w:rPr>
        <w:t>)》,折现率参照《矿业权评估参数</w:t>
      </w:r>
      <w:r>
        <w:rPr>
          <w:rFonts w:ascii="宋体" w:hAnsi="宋体" w:eastAsia="宋体" w:cs="宋体"/>
          <w:sz w:val="24"/>
          <w:szCs w:val="24"/>
        </w:rPr>
        <w:t xml:space="preserve"> </w:t>
      </w:r>
      <w:r>
        <w:rPr>
          <w:rFonts w:ascii="宋体" w:hAnsi="宋体" w:eastAsia="宋体" w:cs="宋体"/>
          <w:spacing w:val="-1"/>
          <w:sz w:val="24"/>
          <w:szCs w:val="24"/>
        </w:rPr>
        <w:t>确定指导意见》相关方式确定；矿产资源主管部门另有规定的，从其规定。</w:t>
      </w:r>
    </w:p>
    <w:p w14:paraId="6238F484">
      <w:pPr>
        <w:spacing w:before="12" w:line="379" w:lineRule="auto"/>
        <w:ind w:left="1529" w:right="181" w:firstLine="490"/>
        <w:jc w:val="both"/>
        <w:rPr>
          <w:rFonts w:ascii="宋体" w:hAnsi="宋体" w:eastAsia="宋体" w:cs="宋体"/>
          <w:sz w:val="24"/>
          <w:szCs w:val="24"/>
        </w:rPr>
      </w:pPr>
      <w:r>
        <w:rPr>
          <w:rFonts w:ascii="宋体" w:hAnsi="宋体" w:eastAsia="宋体" w:cs="宋体"/>
          <w:spacing w:val="7"/>
          <w:sz w:val="24"/>
          <w:szCs w:val="24"/>
        </w:rPr>
        <w:t>根据《矿业权评估参数确定指导意见》的规定：折现率=无风险报酬率+风</w:t>
      </w:r>
      <w:r>
        <w:rPr>
          <w:rFonts w:ascii="宋体" w:hAnsi="宋体" w:eastAsia="宋体" w:cs="宋体"/>
          <w:spacing w:val="9"/>
          <w:sz w:val="24"/>
          <w:szCs w:val="24"/>
        </w:rPr>
        <w:t xml:space="preserve"> </w:t>
      </w:r>
      <w:r>
        <w:rPr>
          <w:rFonts w:ascii="宋体" w:hAnsi="宋体" w:eastAsia="宋体" w:cs="宋体"/>
          <w:sz w:val="24"/>
          <w:szCs w:val="24"/>
        </w:rPr>
        <w:t>险报酬率。无风险报酬率可以选取距离评估基准日前最近发行的长期国债票面利</w:t>
      </w:r>
      <w:r>
        <w:rPr>
          <w:rFonts w:ascii="宋体" w:hAnsi="宋体" w:eastAsia="宋体" w:cs="宋体"/>
          <w:spacing w:val="16"/>
          <w:sz w:val="24"/>
          <w:szCs w:val="24"/>
        </w:rPr>
        <w:t xml:space="preserve"> </w:t>
      </w:r>
      <w:r>
        <w:rPr>
          <w:rFonts w:ascii="宋体" w:hAnsi="宋体" w:eastAsia="宋体" w:cs="宋体"/>
          <w:sz w:val="24"/>
          <w:szCs w:val="24"/>
        </w:rPr>
        <w:t>率、选取最近几年发行的长期国债利率的加权平均值、选取距评估基准日最近的</w:t>
      </w:r>
      <w:r>
        <w:rPr>
          <w:rFonts w:ascii="宋体" w:hAnsi="宋体" w:eastAsia="宋体" w:cs="宋体"/>
          <w:spacing w:val="17"/>
          <w:sz w:val="24"/>
          <w:szCs w:val="24"/>
        </w:rPr>
        <w:t xml:space="preserve"> </w:t>
      </w:r>
      <w:r>
        <w:rPr>
          <w:rFonts w:ascii="宋体" w:hAnsi="宋体" w:eastAsia="宋体" w:cs="宋体"/>
          <w:spacing w:val="4"/>
          <w:sz w:val="24"/>
          <w:szCs w:val="24"/>
        </w:rPr>
        <w:t>中国人民银行公布的5年期定期存款利率等作为无风险</w:t>
      </w:r>
      <w:r>
        <w:rPr>
          <w:rFonts w:ascii="宋体" w:hAnsi="宋体" w:eastAsia="宋体" w:cs="宋体"/>
          <w:spacing w:val="3"/>
          <w:sz w:val="24"/>
          <w:szCs w:val="24"/>
        </w:rPr>
        <w:t>报酬率。本次评估无风险</w:t>
      </w:r>
      <w:r>
        <w:rPr>
          <w:rFonts w:ascii="宋体" w:hAnsi="宋体" w:eastAsia="宋体" w:cs="宋体"/>
          <w:sz w:val="24"/>
          <w:szCs w:val="24"/>
        </w:rPr>
        <w:t xml:space="preserve"> </w:t>
      </w:r>
      <w:r>
        <w:rPr>
          <w:rFonts w:ascii="宋体" w:hAnsi="宋体" w:eastAsia="宋体" w:cs="宋体"/>
          <w:spacing w:val="10"/>
          <w:sz w:val="24"/>
          <w:szCs w:val="24"/>
        </w:rPr>
        <w:t>报酬率根据评估基准日最近一期凭证式国债利率(5年期)确定为3.52%。</w:t>
      </w:r>
    </w:p>
    <w:p w14:paraId="371DD692">
      <w:pPr>
        <w:spacing w:before="23" w:line="387" w:lineRule="auto"/>
        <w:ind w:left="1529" w:right="79" w:firstLine="490"/>
        <w:jc w:val="both"/>
        <w:rPr>
          <w:rFonts w:ascii="宋体" w:hAnsi="宋体" w:eastAsia="宋体" w:cs="宋体"/>
          <w:sz w:val="24"/>
          <w:szCs w:val="24"/>
        </w:rPr>
      </w:pPr>
      <w:r>
        <w:rPr>
          <w:rFonts w:ascii="宋体" w:hAnsi="宋体" w:eastAsia="宋体" w:cs="宋体"/>
          <w:sz w:val="24"/>
          <w:szCs w:val="24"/>
        </w:rPr>
        <w:t>根据《矿业权评估参数确定指导意见》,风险报酬率</w:t>
      </w:r>
      <w:r>
        <w:rPr>
          <w:rFonts w:ascii="宋体" w:hAnsi="宋体" w:eastAsia="宋体" w:cs="宋体"/>
          <w:spacing w:val="-1"/>
          <w:sz w:val="24"/>
          <w:szCs w:val="24"/>
        </w:rPr>
        <w:t>=勘查开发阶段风险报酬</w:t>
      </w:r>
      <w:r>
        <w:rPr>
          <w:rFonts w:ascii="宋体" w:hAnsi="宋体" w:eastAsia="宋体" w:cs="宋体"/>
          <w:sz w:val="24"/>
          <w:szCs w:val="24"/>
        </w:rPr>
        <w:t xml:space="preserve">  </w:t>
      </w:r>
      <w:r>
        <w:rPr>
          <w:rFonts w:ascii="宋体" w:hAnsi="宋体" w:eastAsia="宋体" w:cs="宋体"/>
          <w:spacing w:val="4"/>
          <w:sz w:val="24"/>
          <w:szCs w:val="24"/>
        </w:rPr>
        <w:t>率+行业风险报酬率十财务经营风险报酬率，已达勘探及</w:t>
      </w:r>
      <w:r>
        <w:rPr>
          <w:rFonts w:ascii="宋体" w:hAnsi="宋体" w:eastAsia="宋体" w:cs="宋体"/>
          <w:spacing w:val="3"/>
          <w:sz w:val="24"/>
          <w:szCs w:val="24"/>
        </w:rPr>
        <w:t>拟建、在建矿山风险报</w:t>
      </w:r>
      <w:r>
        <w:rPr>
          <w:rFonts w:ascii="宋体" w:hAnsi="宋体" w:eastAsia="宋体" w:cs="宋体"/>
          <w:sz w:val="24"/>
          <w:szCs w:val="24"/>
        </w:rPr>
        <w:t xml:space="preserve">  </w:t>
      </w:r>
      <w:r>
        <w:rPr>
          <w:rFonts w:ascii="宋体" w:hAnsi="宋体" w:eastAsia="宋体" w:cs="宋体"/>
          <w:spacing w:val="-3"/>
          <w:sz w:val="24"/>
          <w:szCs w:val="24"/>
        </w:rPr>
        <w:t>酬率、行业风险报酬率、财务经营风险报酬率分别为0.35～1.15%、1.00～2.00%、</w:t>
      </w:r>
    </w:p>
    <w:p w14:paraId="6C8324C6">
      <w:pPr>
        <w:spacing w:line="233" w:lineRule="auto"/>
        <w:ind w:left="1529"/>
        <w:rPr>
          <w:rFonts w:ascii="宋体" w:hAnsi="宋体" w:eastAsia="宋体" w:cs="宋体"/>
          <w:sz w:val="23"/>
          <w:szCs w:val="23"/>
        </w:rPr>
      </w:pPr>
      <w:r>
        <w:rPr>
          <w:rFonts w:ascii="Times New Roman" w:hAnsi="Times New Roman" w:eastAsia="Times New Roman" w:cs="Times New Roman"/>
          <w:spacing w:val="-3"/>
          <w:sz w:val="23"/>
          <w:szCs w:val="23"/>
        </w:rPr>
        <w:t>1.00</w:t>
      </w:r>
      <w:r>
        <w:rPr>
          <w:rFonts w:ascii="宋体" w:hAnsi="宋体" w:eastAsia="宋体" w:cs="宋体"/>
          <w:spacing w:val="-3"/>
          <w:sz w:val="23"/>
          <w:szCs w:val="23"/>
        </w:rPr>
        <w:t>～</w:t>
      </w:r>
      <w:r>
        <w:rPr>
          <w:rFonts w:ascii="Times New Roman" w:hAnsi="Times New Roman" w:eastAsia="Times New Roman" w:cs="Times New Roman"/>
          <w:spacing w:val="-3"/>
          <w:sz w:val="23"/>
          <w:szCs w:val="23"/>
        </w:rPr>
        <w:t>1.50%</w:t>
      </w:r>
      <w:r>
        <w:rPr>
          <w:rFonts w:ascii="宋体" w:hAnsi="宋体" w:eastAsia="宋体" w:cs="宋体"/>
          <w:spacing w:val="-3"/>
          <w:sz w:val="23"/>
          <w:szCs w:val="23"/>
        </w:rPr>
        <w:t>。</w:t>
      </w:r>
    </w:p>
    <w:p w14:paraId="696373FD">
      <w:pPr>
        <w:spacing w:before="178" w:line="384" w:lineRule="auto"/>
        <w:ind w:left="1660" w:right="193" w:firstLine="359"/>
        <w:rPr>
          <w:rFonts w:ascii="仿宋" w:hAnsi="仿宋" w:eastAsia="仿宋" w:cs="仿宋"/>
          <w:sz w:val="23"/>
          <w:szCs w:val="23"/>
        </w:rPr>
      </w:pPr>
      <w:r>
        <w:rPr>
          <w:rFonts w:ascii="仿宋" w:hAnsi="仿宋" w:eastAsia="仿宋" w:cs="仿宋"/>
          <w:spacing w:val="22"/>
          <w:sz w:val="26"/>
          <w:szCs w:val="26"/>
        </w:rPr>
        <w:t>由此计算得风险报酬率在2</w:t>
      </w:r>
      <w:r>
        <w:rPr>
          <w:rFonts w:ascii="仿宋" w:hAnsi="仿宋" w:eastAsia="仿宋" w:cs="仿宋"/>
          <w:spacing w:val="-60"/>
          <w:sz w:val="26"/>
          <w:szCs w:val="26"/>
        </w:rPr>
        <w:t xml:space="preserve"> </w:t>
      </w:r>
      <w:r>
        <w:rPr>
          <w:rFonts w:ascii="仿宋" w:hAnsi="仿宋" w:eastAsia="仿宋" w:cs="仿宋"/>
          <w:spacing w:val="22"/>
          <w:sz w:val="26"/>
          <w:szCs w:val="26"/>
        </w:rPr>
        <w:t>.</w:t>
      </w:r>
      <w:r>
        <w:rPr>
          <w:rFonts w:ascii="仿宋" w:hAnsi="仿宋" w:eastAsia="仿宋" w:cs="仿宋"/>
          <w:spacing w:val="-62"/>
          <w:sz w:val="26"/>
          <w:szCs w:val="26"/>
        </w:rPr>
        <w:t xml:space="preserve"> </w:t>
      </w:r>
      <w:r>
        <w:rPr>
          <w:rFonts w:ascii="仿宋" w:hAnsi="仿宋" w:eastAsia="仿宋" w:cs="仿宋"/>
          <w:spacing w:val="22"/>
          <w:sz w:val="26"/>
          <w:szCs w:val="26"/>
        </w:rPr>
        <w:t>35%(0</w:t>
      </w:r>
      <w:r>
        <w:rPr>
          <w:rFonts w:ascii="宋体" w:hAnsi="宋体" w:eastAsia="宋体" w:cs="宋体"/>
          <w:spacing w:val="22"/>
          <w:sz w:val="26"/>
          <w:szCs w:val="26"/>
        </w:rPr>
        <w:t>.35%+1.0</w:t>
      </w:r>
      <w:r>
        <w:rPr>
          <w:rFonts w:ascii="宋体" w:hAnsi="宋体" w:eastAsia="宋体" w:cs="宋体"/>
          <w:spacing w:val="21"/>
          <w:sz w:val="26"/>
          <w:szCs w:val="26"/>
        </w:rPr>
        <w:t>0%+1.00%)至4.65%</w:t>
      </w:r>
      <w:r>
        <w:rPr>
          <w:rFonts w:ascii="宋体" w:hAnsi="宋体" w:eastAsia="宋体" w:cs="宋体"/>
          <w:sz w:val="26"/>
          <w:szCs w:val="26"/>
        </w:rPr>
        <w:t xml:space="preserve"> </w:t>
      </w:r>
      <w:r>
        <w:rPr>
          <w:rFonts w:ascii="仿宋" w:hAnsi="仿宋" w:eastAsia="仿宋" w:cs="仿宋"/>
          <w:spacing w:val="3"/>
          <w:sz w:val="23"/>
          <w:szCs w:val="23"/>
        </w:rPr>
        <w:t>(1.15%+2.00%+1.5</w:t>
      </w:r>
      <w:r>
        <w:rPr>
          <w:rFonts w:ascii="仿宋" w:hAnsi="仿宋" w:eastAsia="仿宋" w:cs="仿宋"/>
          <w:spacing w:val="47"/>
          <w:sz w:val="23"/>
          <w:szCs w:val="23"/>
        </w:rPr>
        <w:t xml:space="preserve"> </w:t>
      </w:r>
      <w:r>
        <w:rPr>
          <w:rFonts w:ascii="仿宋" w:hAnsi="仿宋" w:eastAsia="仿宋" w:cs="仿宋"/>
          <w:spacing w:val="3"/>
          <w:sz w:val="23"/>
          <w:szCs w:val="23"/>
        </w:rPr>
        <w:t>0%)之间。</w:t>
      </w:r>
    </w:p>
    <w:p w14:paraId="49A9648F">
      <w:pPr>
        <w:spacing w:before="14" w:line="218" w:lineRule="auto"/>
        <w:ind w:left="2020"/>
        <w:rPr>
          <w:rFonts w:ascii="宋体" w:hAnsi="宋体" w:eastAsia="宋体" w:cs="宋体"/>
          <w:sz w:val="24"/>
          <w:szCs w:val="24"/>
        </w:rPr>
      </w:pPr>
      <w:r>
        <w:rPr>
          <w:rFonts w:ascii="宋体" w:hAnsi="宋体" w:eastAsia="宋体" w:cs="宋体"/>
          <w:spacing w:val="4"/>
          <w:sz w:val="24"/>
          <w:szCs w:val="24"/>
        </w:rPr>
        <w:t>因此，确定本次评估的折现率为8.00%。</w:t>
      </w:r>
    </w:p>
    <w:p w14:paraId="7AF56EB8">
      <w:pPr>
        <w:spacing w:line="218" w:lineRule="auto"/>
        <w:rPr>
          <w:rFonts w:ascii="宋体" w:hAnsi="宋体" w:eastAsia="宋体" w:cs="宋体"/>
          <w:sz w:val="24"/>
          <w:szCs w:val="24"/>
        </w:rPr>
        <w:sectPr>
          <w:headerReference r:id="rId118" w:type="default"/>
          <w:footerReference r:id="rId119" w:type="default"/>
          <w:pgSz w:w="11900" w:h="16830"/>
          <w:pgMar w:top="1186" w:right="1390" w:bottom="1279" w:left="379" w:header="910" w:footer="928" w:gutter="0"/>
          <w:cols w:space="720" w:num="1"/>
        </w:sectPr>
      </w:pPr>
    </w:p>
    <w:p w14:paraId="556A4C73">
      <w:pPr>
        <w:pStyle w:val="2"/>
        <w:spacing w:line="323" w:lineRule="auto"/>
      </w:pPr>
    </w:p>
    <w:p w14:paraId="2152FEB5">
      <w:pPr>
        <w:spacing w:before="78" w:line="218" w:lineRule="auto"/>
        <w:ind w:left="155"/>
        <w:outlineLvl w:val="0"/>
        <w:rPr>
          <w:rFonts w:ascii="宋体" w:hAnsi="宋体" w:eastAsia="宋体" w:cs="宋体"/>
          <w:sz w:val="24"/>
          <w:szCs w:val="24"/>
        </w:rPr>
      </w:pPr>
      <w:bookmarkStart w:id="58" w:name="bookmark38"/>
      <w:bookmarkEnd w:id="58"/>
      <w:r>
        <w:rPr>
          <w:rFonts w:ascii="宋体" w:hAnsi="宋体" w:eastAsia="宋体" w:cs="宋体"/>
          <w:spacing w:val="3"/>
          <w:sz w:val="24"/>
          <w:szCs w:val="24"/>
        </w:rPr>
        <w:t>11.评估假设</w:t>
      </w:r>
    </w:p>
    <w:p w14:paraId="1673F831">
      <w:pPr>
        <w:spacing w:before="226" w:line="292" w:lineRule="auto"/>
        <w:ind w:left="134" w:right="90" w:firstLine="510"/>
        <w:rPr>
          <w:rFonts w:ascii="宋体" w:hAnsi="宋体" w:eastAsia="宋体" w:cs="宋体"/>
          <w:sz w:val="24"/>
          <w:szCs w:val="24"/>
        </w:rPr>
      </w:pPr>
      <w:r>
        <w:rPr>
          <w:rFonts w:ascii="宋体" w:hAnsi="宋体" w:eastAsia="宋体" w:cs="宋体"/>
          <w:spacing w:val="1"/>
          <w:sz w:val="24"/>
          <w:szCs w:val="24"/>
        </w:rPr>
        <w:t>11.1评估对象设定未来的矿山生产方式、生产规模、产品结构保持不变且持</w:t>
      </w:r>
      <w:r>
        <w:rPr>
          <w:rFonts w:ascii="宋体" w:hAnsi="宋体" w:eastAsia="宋体" w:cs="宋体"/>
          <w:spacing w:val="3"/>
          <w:sz w:val="24"/>
          <w:szCs w:val="24"/>
        </w:rPr>
        <w:t xml:space="preserve"> </w:t>
      </w:r>
      <w:r>
        <w:rPr>
          <w:rFonts w:ascii="宋体" w:hAnsi="宋体" w:eastAsia="宋体" w:cs="宋体"/>
          <w:spacing w:val="-6"/>
          <w:sz w:val="24"/>
          <w:szCs w:val="24"/>
        </w:rPr>
        <w:t>续经营；</w:t>
      </w:r>
    </w:p>
    <w:p w14:paraId="602CE5C5">
      <w:pPr>
        <w:spacing w:before="243" w:line="219" w:lineRule="auto"/>
        <w:ind w:left="624"/>
        <w:rPr>
          <w:rFonts w:ascii="宋体" w:hAnsi="宋体" w:eastAsia="宋体" w:cs="宋体"/>
          <w:sz w:val="24"/>
          <w:szCs w:val="24"/>
        </w:rPr>
      </w:pPr>
      <w:r>
        <w:rPr>
          <w:rFonts w:ascii="宋体" w:hAnsi="宋体" w:eastAsia="宋体" w:cs="宋体"/>
          <w:spacing w:val="-1"/>
          <w:sz w:val="24"/>
          <w:szCs w:val="24"/>
        </w:rPr>
        <w:t>11.2国家产业、金融、财税政策在预测期内无重大变化；</w:t>
      </w:r>
    </w:p>
    <w:p w14:paraId="1DA11508">
      <w:pPr>
        <w:spacing w:before="213" w:line="218" w:lineRule="auto"/>
        <w:ind w:right="26"/>
        <w:jc w:val="right"/>
        <w:rPr>
          <w:rFonts w:ascii="宋体" w:hAnsi="宋体" w:eastAsia="宋体" w:cs="宋体"/>
          <w:sz w:val="24"/>
          <w:szCs w:val="24"/>
        </w:rPr>
      </w:pPr>
      <w:r>
        <w:rPr>
          <w:rFonts w:ascii="宋体" w:hAnsi="宋体" w:eastAsia="宋体" w:cs="宋体"/>
          <w:spacing w:val="-3"/>
          <w:sz w:val="24"/>
          <w:szCs w:val="24"/>
        </w:rPr>
        <w:t>11.3市场供需水平、矿产品价格及成本费用水平在短期</w:t>
      </w:r>
      <w:r>
        <w:rPr>
          <w:rFonts w:ascii="宋体" w:hAnsi="宋体" w:eastAsia="宋体" w:cs="宋体"/>
          <w:spacing w:val="-4"/>
          <w:sz w:val="24"/>
          <w:szCs w:val="24"/>
        </w:rPr>
        <w:t>内不会发生大的变化；</w:t>
      </w:r>
    </w:p>
    <w:p w14:paraId="18B7B818">
      <w:pPr>
        <w:spacing w:before="216" w:line="218" w:lineRule="auto"/>
        <w:ind w:left="634"/>
        <w:rPr>
          <w:rFonts w:ascii="宋体" w:hAnsi="宋体" w:eastAsia="宋体" w:cs="宋体"/>
          <w:sz w:val="24"/>
          <w:szCs w:val="24"/>
        </w:rPr>
      </w:pPr>
      <w:r>
        <w:rPr>
          <w:rFonts w:ascii="宋体" w:hAnsi="宋体" w:eastAsia="宋体" w:cs="宋体"/>
          <w:spacing w:val="-1"/>
          <w:sz w:val="24"/>
          <w:szCs w:val="24"/>
        </w:rPr>
        <w:t>11.4矿山未来的技术经济指标以评估报告中所设定的生产力水平为基准；</w:t>
      </w:r>
    </w:p>
    <w:p w14:paraId="4CB08242">
      <w:pPr>
        <w:spacing w:before="216" w:line="218" w:lineRule="auto"/>
        <w:ind w:left="624"/>
        <w:rPr>
          <w:rFonts w:ascii="宋体" w:hAnsi="宋体" w:eastAsia="宋体" w:cs="宋体"/>
          <w:sz w:val="24"/>
          <w:szCs w:val="24"/>
        </w:rPr>
      </w:pPr>
      <w:r>
        <w:rPr>
          <w:rFonts w:ascii="宋体" w:hAnsi="宋体" w:eastAsia="宋体" w:cs="宋体"/>
          <w:sz w:val="24"/>
          <w:szCs w:val="24"/>
        </w:rPr>
        <w:t>11.5本次评估以评估范围内经评审备案的矿产资源储量为基础。</w:t>
      </w:r>
    </w:p>
    <w:p w14:paraId="48C4055D">
      <w:pPr>
        <w:spacing w:before="207" w:line="218" w:lineRule="auto"/>
        <w:ind w:left="144"/>
        <w:outlineLvl w:val="0"/>
        <w:rPr>
          <w:rFonts w:ascii="宋体" w:hAnsi="宋体" w:eastAsia="宋体" w:cs="宋体"/>
          <w:sz w:val="24"/>
          <w:szCs w:val="24"/>
        </w:rPr>
      </w:pPr>
      <w:bookmarkStart w:id="59" w:name="bookmark39"/>
      <w:bookmarkEnd w:id="59"/>
      <w:r>
        <w:rPr>
          <w:rFonts w:ascii="宋体" w:hAnsi="宋体" w:eastAsia="宋体" w:cs="宋体"/>
          <w:spacing w:val="3"/>
          <w:sz w:val="24"/>
          <w:szCs w:val="24"/>
        </w:rPr>
        <w:t>12.评估结论</w:t>
      </w:r>
    </w:p>
    <w:p w14:paraId="3A70E242">
      <w:pPr>
        <w:spacing w:before="217" w:line="218" w:lineRule="auto"/>
        <w:ind w:left="624"/>
        <w:rPr>
          <w:rFonts w:ascii="宋体" w:hAnsi="宋体" w:eastAsia="宋体" w:cs="宋体"/>
          <w:sz w:val="24"/>
          <w:szCs w:val="24"/>
        </w:rPr>
      </w:pPr>
      <w:r>
        <w:rPr>
          <w:rFonts w:ascii="宋体" w:hAnsi="宋体" w:eastAsia="宋体" w:cs="宋体"/>
          <w:spacing w:val="6"/>
          <w:sz w:val="24"/>
          <w:szCs w:val="24"/>
        </w:rPr>
        <w:t>12.1采矿权评估价值</w:t>
      </w:r>
    </w:p>
    <w:p w14:paraId="13669E3F">
      <w:pPr>
        <w:spacing w:before="225" w:line="382" w:lineRule="auto"/>
        <w:ind w:left="114" w:right="68" w:firstLine="500"/>
        <w:rPr>
          <w:rFonts w:ascii="宋体" w:hAnsi="宋体" w:eastAsia="宋体" w:cs="宋体"/>
          <w:sz w:val="24"/>
          <w:szCs w:val="24"/>
        </w:rPr>
      </w:pPr>
      <w:r>
        <w:rPr>
          <w:rFonts w:ascii="宋体" w:hAnsi="宋体" w:eastAsia="宋体" w:cs="宋体"/>
          <w:spacing w:val="2"/>
          <w:sz w:val="24"/>
          <w:szCs w:val="24"/>
        </w:rPr>
        <w:t xml:space="preserve">本公司在充分调查、了解和分析评估对象及市场情况的基础上，依据采矿权 </w:t>
      </w:r>
      <w:r>
        <w:rPr>
          <w:rFonts w:ascii="宋体" w:hAnsi="宋体" w:eastAsia="宋体" w:cs="宋体"/>
          <w:spacing w:val="3"/>
          <w:sz w:val="24"/>
          <w:szCs w:val="24"/>
        </w:rPr>
        <w:t>评估的原则和程序，选取合理的评估方法和评估参数，经估算“云南罗</w:t>
      </w:r>
      <w:r>
        <w:rPr>
          <w:rFonts w:ascii="宋体" w:hAnsi="宋体" w:eastAsia="宋体" w:cs="宋体"/>
          <w:spacing w:val="2"/>
          <w:sz w:val="24"/>
          <w:szCs w:val="24"/>
        </w:rPr>
        <w:t>平锌电股</w:t>
      </w:r>
      <w:r>
        <w:rPr>
          <w:rFonts w:ascii="宋体" w:hAnsi="宋体" w:eastAsia="宋体" w:cs="宋体"/>
          <w:sz w:val="24"/>
          <w:szCs w:val="24"/>
        </w:rPr>
        <w:t xml:space="preserve"> </w:t>
      </w:r>
      <w:r>
        <w:rPr>
          <w:rFonts w:ascii="宋体" w:hAnsi="宋体" w:eastAsia="宋体" w:cs="宋体"/>
          <w:spacing w:val="3"/>
          <w:sz w:val="24"/>
          <w:szCs w:val="24"/>
        </w:rPr>
        <w:t>份有限公司富乐铅锌矿采矿权”评估价值(</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P₁)</w:t>
      </w:r>
      <w:r>
        <w:rPr>
          <w:rFonts w:ascii="Times New Roman" w:hAnsi="Times New Roman" w:eastAsia="Times New Roman" w:cs="Times New Roman"/>
          <w:spacing w:val="59"/>
          <w:w w:val="101"/>
          <w:sz w:val="24"/>
          <w:szCs w:val="24"/>
        </w:rPr>
        <w:t xml:space="preserve"> </w:t>
      </w:r>
      <w:r>
        <w:rPr>
          <w:rFonts w:ascii="宋体" w:hAnsi="宋体" w:eastAsia="宋体" w:cs="宋体"/>
          <w:spacing w:val="3"/>
          <w:sz w:val="24"/>
          <w:szCs w:val="24"/>
        </w:rPr>
        <w:t>为人民币</w:t>
      </w:r>
      <w:r>
        <w:rPr>
          <w:rFonts w:ascii="宋体" w:hAnsi="宋体" w:eastAsia="宋体" w:cs="宋体"/>
          <w:spacing w:val="2"/>
          <w:sz w:val="24"/>
          <w:szCs w:val="24"/>
        </w:rPr>
        <w:t>1219.21万元，大写人民</w:t>
      </w:r>
      <w:r>
        <w:rPr>
          <w:rFonts w:ascii="宋体" w:hAnsi="宋体" w:eastAsia="宋体" w:cs="宋体"/>
          <w:sz w:val="24"/>
          <w:szCs w:val="24"/>
        </w:rPr>
        <w:t xml:space="preserve"> </w:t>
      </w:r>
      <w:r>
        <w:rPr>
          <w:rFonts w:ascii="宋体" w:hAnsi="宋体" w:eastAsia="宋体" w:cs="宋体"/>
          <w:spacing w:val="3"/>
          <w:sz w:val="24"/>
          <w:szCs w:val="24"/>
        </w:rPr>
        <w:t>币壹仟贰佰壹拾玖万贰仟壹佰元整。不同矿种按销</w:t>
      </w:r>
      <w:r>
        <w:rPr>
          <w:rFonts w:ascii="宋体" w:hAnsi="宋体" w:eastAsia="宋体" w:cs="宋体"/>
          <w:spacing w:val="2"/>
          <w:sz w:val="24"/>
          <w:szCs w:val="24"/>
        </w:rPr>
        <w:t>售收入占比分割后，其中：锌</w:t>
      </w:r>
      <w:r>
        <w:rPr>
          <w:rFonts w:ascii="宋体" w:hAnsi="宋体" w:eastAsia="宋体" w:cs="宋体"/>
          <w:sz w:val="24"/>
          <w:szCs w:val="24"/>
        </w:rPr>
        <w:t xml:space="preserve"> 评估价值为1103.09万元，伴生铅评估价值为113.03万元，伴生</w:t>
      </w:r>
      <w:r>
        <w:rPr>
          <w:rFonts w:ascii="宋体" w:hAnsi="宋体" w:eastAsia="宋体" w:cs="宋体"/>
          <w:spacing w:val="-1"/>
          <w:sz w:val="24"/>
          <w:szCs w:val="24"/>
        </w:rPr>
        <w:t>镉评估价值为3.08</w:t>
      </w:r>
      <w:r>
        <w:rPr>
          <w:rFonts w:ascii="宋体" w:hAnsi="宋体" w:eastAsia="宋体" w:cs="宋体"/>
          <w:sz w:val="24"/>
          <w:szCs w:val="24"/>
        </w:rPr>
        <w:t xml:space="preserve"> </w:t>
      </w:r>
      <w:r>
        <w:rPr>
          <w:rFonts w:ascii="宋体" w:hAnsi="宋体" w:eastAsia="宋体" w:cs="宋体"/>
          <w:spacing w:val="-12"/>
          <w:sz w:val="24"/>
          <w:szCs w:val="24"/>
        </w:rPr>
        <w:t>万元。</w:t>
      </w:r>
    </w:p>
    <w:p w14:paraId="57247FC0">
      <w:pPr>
        <w:spacing w:before="22" w:line="218" w:lineRule="auto"/>
        <w:ind w:left="614"/>
        <w:rPr>
          <w:rFonts w:ascii="宋体" w:hAnsi="宋体" w:eastAsia="宋体" w:cs="宋体"/>
          <w:sz w:val="24"/>
          <w:szCs w:val="24"/>
        </w:rPr>
      </w:pPr>
      <w:r>
        <w:rPr>
          <w:rFonts w:ascii="宋体" w:hAnsi="宋体" w:eastAsia="宋体" w:cs="宋体"/>
          <w:spacing w:val="3"/>
          <w:sz w:val="24"/>
          <w:szCs w:val="24"/>
        </w:rPr>
        <w:t>12.2采矿权出让收益评估价值</w:t>
      </w:r>
    </w:p>
    <w:p w14:paraId="60F1085E">
      <w:pPr>
        <w:spacing w:before="205" w:line="385" w:lineRule="auto"/>
        <w:ind w:left="104" w:right="69" w:firstLine="500"/>
        <w:rPr>
          <w:rFonts w:ascii="宋体" w:hAnsi="宋体" w:eastAsia="宋体" w:cs="宋体"/>
          <w:sz w:val="24"/>
          <w:szCs w:val="24"/>
        </w:rPr>
      </w:pPr>
      <w:r>
        <w:rPr>
          <w:rFonts w:ascii="宋体" w:hAnsi="宋体" w:eastAsia="宋体" w:cs="宋体"/>
          <w:spacing w:val="6"/>
          <w:sz w:val="24"/>
          <w:szCs w:val="24"/>
        </w:rPr>
        <w:t>根据《矿业权出让收益评估应用指南(试行)》,采用折现现金流量法、收入</w:t>
      </w:r>
      <w:r>
        <w:rPr>
          <w:rFonts w:ascii="宋体" w:hAnsi="宋体" w:eastAsia="宋体" w:cs="宋体"/>
          <w:spacing w:val="15"/>
          <w:sz w:val="24"/>
          <w:szCs w:val="24"/>
        </w:rPr>
        <w:t xml:space="preserve"> </w:t>
      </w:r>
      <w:r>
        <w:rPr>
          <w:rFonts w:ascii="宋体" w:hAnsi="宋体" w:eastAsia="宋体" w:cs="宋体"/>
          <w:sz w:val="24"/>
          <w:szCs w:val="24"/>
        </w:rPr>
        <w:t>权益法时，矿业权出让收益评估价值按以下方式处理。</w:t>
      </w:r>
    </w:p>
    <w:p w14:paraId="1ACBA841">
      <w:pPr>
        <w:spacing w:before="5" w:line="342" w:lineRule="auto"/>
        <w:ind w:left="104" w:right="62" w:firstLine="619"/>
        <w:rPr>
          <w:rFonts w:ascii="宋体" w:hAnsi="宋体" w:eastAsia="宋体" w:cs="宋体"/>
          <w:sz w:val="24"/>
          <w:szCs w:val="24"/>
        </w:rPr>
      </w:pPr>
      <w:r>
        <w:rPr>
          <w:rFonts w:ascii="宋体" w:hAnsi="宋体" w:eastAsia="宋体" w:cs="宋体"/>
          <w:spacing w:val="6"/>
          <w:sz w:val="24"/>
          <w:szCs w:val="24"/>
        </w:rPr>
        <w:t>(1)按照相应的评估方法和模型，估算评估计算年限内333以上类型全部资</w:t>
      </w:r>
      <w:r>
        <w:rPr>
          <w:rFonts w:ascii="宋体" w:hAnsi="宋体" w:eastAsia="宋体" w:cs="宋体"/>
          <w:spacing w:val="16"/>
          <w:sz w:val="24"/>
          <w:szCs w:val="24"/>
        </w:rPr>
        <w:t xml:space="preserve"> </w:t>
      </w:r>
      <w:r>
        <w:rPr>
          <w:rFonts w:ascii="宋体" w:hAnsi="宋体" w:eastAsia="宋体" w:cs="宋体"/>
          <w:sz w:val="24"/>
          <w:szCs w:val="24"/>
        </w:rPr>
        <w:t xml:space="preserve">源储量的评估价值，并计算其单位资源储量价值，其中推断的内蕴经济资源量333 </w:t>
      </w:r>
      <w:r>
        <w:rPr>
          <w:rFonts w:ascii="宋体" w:hAnsi="宋体" w:eastAsia="宋体" w:cs="宋体"/>
          <w:spacing w:val="3"/>
          <w:sz w:val="24"/>
          <w:szCs w:val="24"/>
        </w:rPr>
        <w:t>不做可信度系数调整。计算单位资源储量价值时，矿山服务年限超过30年的，评</w:t>
      </w:r>
      <w:r>
        <w:rPr>
          <w:rFonts w:ascii="宋体" w:hAnsi="宋体" w:eastAsia="宋体" w:cs="宋体"/>
          <w:spacing w:val="10"/>
          <w:sz w:val="24"/>
          <w:szCs w:val="24"/>
        </w:rPr>
        <w:t xml:space="preserve"> </w:t>
      </w:r>
      <w:r>
        <w:rPr>
          <w:rFonts w:ascii="宋体" w:hAnsi="宋体" w:eastAsia="宋体" w:cs="宋体"/>
          <w:spacing w:val="8"/>
          <w:sz w:val="24"/>
          <w:szCs w:val="24"/>
        </w:rPr>
        <w:t>估计算的服务年限按30年计算。</w:t>
      </w:r>
    </w:p>
    <w:p w14:paraId="4AFB4B01">
      <w:pPr>
        <w:spacing w:before="228" w:line="297" w:lineRule="auto"/>
        <w:ind w:left="114" w:right="48" w:firstLine="609"/>
        <w:rPr>
          <w:rFonts w:ascii="宋体" w:hAnsi="宋体" w:eastAsia="宋体" w:cs="宋体"/>
          <w:sz w:val="24"/>
          <w:szCs w:val="24"/>
        </w:rPr>
      </w:pPr>
      <w:r>
        <w:rPr>
          <w:rFonts w:ascii="宋体" w:hAnsi="宋体" w:eastAsia="宋体" w:cs="宋体"/>
          <w:spacing w:val="11"/>
          <w:sz w:val="24"/>
          <w:szCs w:val="24"/>
        </w:rPr>
        <w:t>(2)根据矿业权范围内全部评估利用资源储</w:t>
      </w:r>
      <w:r>
        <w:rPr>
          <w:rFonts w:ascii="宋体" w:hAnsi="宋体" w:eastAsia="宋体" w:cs="宋体"/>
          <w:spacing w:val="10"/>
          <w:sz w:val="24"/>
          <w:szCs w:val="24"/>
        </w:rPr>
        <w:t>量(含预测的资源量)及地质风</w:t>
      </w:r>
      <w:r>
        <w:rPr>
          <w:rFonts w:ascii="宋体" w:hAnsi="宋体" w:eastAsia="宋体" w:cs="宋体"/>
          <w:sz w:val="24"/>
          <w:szCs w:val="24"/>
        </w:rPr>
        <w:t xml:space="preserve"> 险调整系数，估算出资源储量对应的矿业权出让收益评估价值。</w:t>
      </w:r>
    </w:p>
    <w:p w14:paraId="79FDEE67">
      <w:pPr>
        <w:pStyle w:val="2"/>
        <w:spacing w:line="465" w:lineRule="auto"/>
      </w:pPr>
    </w:p>
    <w:p w14:paraId="4E466B24">
      <w:pPr>
        <w:spacing w:before="1" w:line="820" w:lineRule="exact"/>
        <w:ind w:firstLine="1234"/>
      </w:pPr>
      <w:r>
        <w:rPr>
          <w:position w:val="-16"/>
        </w:rPr>
        <w:drawing>
          <wp:inline distT="0" distB="0" distL="0" distR="0">
            <wp:extent cx="1136015" cy="520065"/>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55"/>
                    <a:stretch>
                      <a:fillRect/>
                    </a:stretch>
                  </pic:blipFill>
                  <pic:spPr>
                    <a:xfrm>
                      <a:off x="0" y="0"/>
                      <a:ext cx="1136648" cy="520673"/>
                    </a:xfrm>
                    <a:prstGeom prst="rect">
                      <a:avLst/>
                    </a:prstGeom>
                  </pic:spPr>
                </pic:pic>
              </a:graphicData>
            </a:graphic>
          </wp:inline>
        </w:drawing>
      </w:r>
    </w:p>
    <w:p w14:paraId="2417FE9C">
      <w:pPr>
        <w:spacing w:before="188" w:line="218" w:lineRule="auto"/>
        <w:ind w:left="515"/>
        <w:rPr>
          <w:rFonts w:ascii="宋体" w:hAnsi="宋体" w:eastAsia="宋体" w:cs="宋体"/>
          <w:sz w:val="24"/>
          <w:szCs w:val="24"/>
        </w:rPr>
      </w:pPr>
      <w:r>
        <w:rPr>
          <w:rFonts w:ascii="宋体" w:hAnsi="宋体" w:eastAsia="宋体" w:cs="宋体"/>
          <w:sz w:val="24"/>
          <w:szCs w:val="24"/>
        </w:rPr>
        <w:t>式中：</w:t>
      </w:r>
      <w:r>
        <w:rPr>
          <w:rFonts w:ascii="Times New Roman" w:hAnsi="Times New Roman" w:eastAsia="Times New Roman" w:cs="Times New Roman"/>
          <w:sz w:val="24"/>
          <w:szCs w:val="24"/>
        </w:rPr>
        <w:t>P—</w:t>
      </w:r>
      <w:r>
        <w:rPr>
          <w:rFonts w:ascii="宋体" w:hAnsi="宋体" w:eastAsia="宋体" w:cs="宋体"/>
          <w:sz w:val="24"/>
          <w:szCs w:val="24"/>
        </w:rPr>
        <w:t>矿业权出让收益评估价值；</w:t>
      </w:r>
    </w:p>
    <w:p w14:paraId="52F5CF42">
      <w:pPr>
        <w:spacing w:line="218" w:lineRule="auto"/>
        <w:rPr>
          <w:rFonts w:ascii="宋体" w:hAnsi="宋体" w:eastAsia="宋体" w:cs="宋体"/>
          <w:sz w:val="24"/>
          <w:szCs w:val="24"/>
        </w:rPr>
        <w:sectPr>
          <w:headerReference r:id="rId120" w:type="default"/>
          <w:footerReference r:id="rId121" w:type="default"/>
          <w:pgSz w:w="11900" w:h="16830"/>
          <w:pgMar w:top="1233" w:right="1420" w:bottom="1299" w:left="1785" w:header="870" w:footer="948" w:gutter="0"/>
          <w:cols w:space="720" w:num="1"/>
        </w:sectPr>
      </w:pPr>
    </w:p>
    <w:p w14:paraId="57C2CFD8">
      <w:pPr>
        <w:pStyle w:val="2"/>
        <w:spacing w:line="337" w:lineRule="auto"/>
      </w:pPr>
    </w:p>
    <w:p w14:paraId="2D68794D">
      <w:pPr>
        <w:spacing w:before="78" w:line="218" w:lineRule="auto"/>
        <w:ind w:left="1352"/>
        <w:rPr>
          <w:rFonts w:ascii="宋体" w:hAnsi="宋体" w:eastAsia="宋体" w:cs="宋体"/>
          <w:sz w:val="24"/>
          <w:szCs w:val="24"/>
        </w:rPr>
      </w:pPr>
      <w:r>
        <w:rPr>
          <w:rFonts w:ascii="Times New Roman" w:hAnsi="Times New Roman" w:eastAsia="Times New Roman" w:cs="Times New Roman"/>
          <w:sz w:val="24"/>
          <w:szCs w:val="24"/>
        </w:rPr>
        <w:t>P₁—</w:t>
      </w:r>
      <w:r>
        <w:rPr>
          <w:rFonts w:ascii="宋体" w:hAnsi="宋体" w:eastAsia="宋体" w:cs="宋体"/>
          <w:sz w:val="24"/>
          <w:szCs w:val="24"/>
        </w:rPr>
        <w:t>评估计算年限内333以上类型全部资源储量的评估价值；</w:t>
      </w:r>
    </w:p>
    <w:p w14:paraId="25CBCA54">
      <w:pPr>
        <w:spacing w:before="185" w:line="212" w:lineRule="auto"/>
        <w:ind w:left="1352"/>
        <w:rPr>
          <w:rFonts w:ascii="宋体" w:hAnsi="宋体" w:eastAsia="宋体" w:cs="宋体"/>
          <w:sz w:val="24"/>
          <w:szCs w:val="24"/>
        </w:rPr>
      </w:pPr>
      <w:r>
        <w:rPr>
          <w:rFonts w:ascii="Times New Roman" w:hAnsi="Times New Roman" w:eastAsia="Times New Roman" w:cs="Times New Roman"/>
          <w:spacing w:val="-5"/>
          <w:sz w:val="24"/>
          <w:szCs w:val="24"/>
        </w:rPr>
        <w:t>Q₁</w:t>
      </w:r>
      <w:r>
        <w:rPr>
          <w:rFonts w:ascii="宋体" w:hAnsi="宋体" w:eastAsia="宋体" w:cs="宋体"/>
          <w:spacing w:val="-5"/>
          <w:sz w:val="24"/>
          <w:szCs w:val="24"/>
        </w:rPr>
        <w:t>一估算评估计算年限内的评估利用资源储</w:t>
      </w:r>
      <w:r>
        <w:rPr>
          <w:rFonts w:ascii="宋体" w:hAnsi="宋体" w:eastAsia="宋体" w:cs="宋体"/>
          <w:spacing w:val="-6"/>
          <w:sz w:val="24"/>
          <w:szCs w:val="24"/>
        </w:rPr>
        <w:t>量；</w:t>
      </w:r>
    </w:p>
    <w:p w14:paraId="1BA8CD95">
      <w:pPr>
        <w:spacing w:before="174" w:line="212" w:lineRule="auto"/>
        <w:ind w:left="1352"/>
        <w:rPr>
          <w:rFonts w:ascii="宋体" w:hAnsi="宋体" w:eastAsia="宋体" w:cs="宋体"/>
          <w:sz w:val="24"/>
          <w:szCs w:val="24"/>
        </w:rPr>
      </w:pPr>
      <w:r>
        <w:rPr>
          <w:rFonts w:ascii="Times New Roman" w:hAnsi="Times New Roman" w:eastAsia="Times New Roman" w:cs="Times New Roman"/>
          <w:spacing w:val="11"/>
          <w:sz w:val="24"/>
          <w:szCs w:val="24"/>
        </w:rPr>
        <w:t>Q—</w:t>
      </w:r>
      <w:r>
        <w:rPr>
          <w:rFonts w:ascii="宋体" w:hAnsi="宋体" w:eastAsia="宋体" w:cs="宋体"/>
          <w:spacing w:val="11"/>
          <w:sz w:val="24"/>
          <w:szCs w:val="24"/>
        </w:rPr>
        <w:t>全部评估利用资源储量，含预测的资源量(334)?;</w:t>
      </w:r>
    </w:p>
    <w:p w14:paraId="2649EEB9">
      <w:pPr>
        <w:spacing w:before="237" w:line="219" w:lineRule="auto"/>
        <w:ind w:left="1352"/>
        <w:rPr>
          <w:rFonts w:ascii="宋体" w:hAnsi="宋体" w:eastAsia="宋体" w:cs="宋体"/>
          <w:sz w:val="24"/>
          <w:szCs w:val="24"/>
        </w:rPr>
      </w:pPr>
      <w:r>
        <w:rPr>
          <w:rFonts w:ascii="Times New Roman" w:hAnsi="Times New Roman" w:eastAsia="Times New Roman" w:cs="Times New Roman"/>
          <w:spacing w:val="-4"/>
          <w:sz w:val="24"/>
          <w:szCs w:val="24"/>
        </w:rPr>
        <w:t>k—</w:t>
      </w:r>
      <w:r>
        <w:rPr>
          <w:rFonts w:ascii="宋体" w:hAnsi="宋体" w:eastAsia="宋体" w:cs="宋体"/>
          <w:spacing w:val="-4"/>
          <w:sz w:val="24"/>
          <w:szCs w:val="24"/>
        </w:rPr>
        <w:t>地质风险调整系数。</w:t>
      </w:r>
    </w:p>
    <w:p w14:paraId="55F831C3">
      <w:pPr>
        <w:spacing w:before="167" w:line="374" w:lineRule="auto"/>
        <w:ind w:left="132" w:right="111" w:firstLine="609"/>
        <w:jc w:val="both"/>
        <w:rPr>
          <w:rFonts w:ascii="宋体" w:hAnsi="宋体" w:eastAsia="宋体" w:cs="宋体"/>
          <w:sz w:val="24"/>
          <w:szCs w:val="24"/>
        </w:rPr>
      </w:pPr>
      <w:r>
        <w:rPr>
          <w:rFonts w:ascii="宋体" w:hAnsi="宋体" w:eastAsia="宋体" w:cs="宋体"/>
          <w:spacing w:val="8"/>
          <w:sz w:val="24"/>
          <w:szCs w:val="24"/>
        </w:rPr>
        <w:t>(3)地质风险调整系数(</w:t>
      </w:r>
      <w:r>
        <w:rPr>
          <w:rFonts w:ascii="宋体" w:hAnsi="宋体" w:eastAsia="宋体" w:cs="宋体"/>
          <w:spacing w:val="-41"/>
          <w:sz w:val="24"/>
          <w:szCs w:val="24"/>
        </w:rPr>
        <w:t xml:space="preserve"> </w:t>
      </w:r>
      <w:r>
        <w:rPr>
          <w:rFonts w:ascii="Times New Roman" w:hAnsi="Times New Roman" w:eastAsia="Times New Roman" w:cs="Times New Roman"/>
          <w:spacing w:val="8"/>
          <w:sz w:val="24"/>
          <w:szCs w:val="24"/>
        </w:rPr>
        <w:t xml:space="preserve">k)  </w:t>
      </w:r>
      <w:r>
        <w:rPr>
          <w:rFonts w:ascii="宋体" w:hAnsi="宋体" w:eastAsia="宋体" w:cs="宋体"/>
          <w:spacing w:val="8"/>
          <w:sz w:val="24"/>
          <w:szCs w:val="24"/>
        </w:rPr>
        <w:t>取值应考虑矿种、矿床类型、矿床地质工作程</w:t>
      </w:r>
      <w:r>
        <w:rPr>
          <w:rFonts w:ascii="宋体" w:hAnsi="宋体" w:eastAsia="宋体" w:cs="宋体"/>
          <w:sz w:val="24"/>
          <w:szCs w:val="24"/>
        </w:rPr>
        <w:t xml:space="preserve"> </w:t>
      </w:r>
      <w:r>
        <w:rPr>
          <w:rFonts w:ascii="宋体" w:hAnsi="宋体" w:eastAsia="宋体" w:cs="宋体"/>
          <w:spacing w:val="2"/>
          <w:sz w:val="24"/>
          <w:szCs w:val="24"/>
        </w:rPr>
        <w:t>度、矿床勘查类型以及矿业权范围内预测的资源量与全</w:t>
      </w:r>
      <w:r>
        <w:rPr>
          <w:rFonts w:ascii="宋体" w:hAnsi="宋体" w:eastAsia="宋体" w:cs="宋体"/>
          <w:spacing w:val="1"/>
          <w:sz w:val="24"/>
          <w:szCs w:val="24"/>
        </w:rPr>
        <w:t>部资源储量的比例关系等</w:t>
      </w:r>
      <w:r>
        <w:rPr>
          <w:rFonts w:ascii="宋体" w:hAnsi="宋体" w:eastAsia="宋体" w:cs="宋体"/>
          <w:sz w:val="24"/>
          <w:szCs w:val="24"/>
        </w:rPr>
        <w:t xml:space="preserve"> 因素综合确定。</w:t>
      </w:r>
    </w:p>
    <w:p w14:paraId="222D2279">
      <w:pPr>
        <w:spacing w:before="35" w:line="378" w:lineRule="auto"/>
        <w:ind w:left="132" w:right="89" w:firstLine="469"/>
        <w:jc w:val="both"/>
        <w:rPr>
          <w:rFonts w:ascii="宋体" w:hAnsi="宋体" w:eastAsia="宋体" w:cs="宋体"/>
          <w:sz w:val="24"/>
          <w:szCs w:val="24"/>
        </w:rPr>
      </w:pPr>
      <w:r>
        <w:rPr>
          <w:rFonts w:ascii="宋体" w:hAnsi="宋体" w:eastAsia="宋体" w:cs="宋体"/>
          <w:spacing w:val="5"/>
          <w:sz w:val="24"/>
          <w:szCs w:val="24"/>
        </w:rPr>
        <w:t>根据《矿业权出让收益评估应用指南(试行</w:t>
      </w:r>
      <w:r>
        <w:rPr>
          <w:rFonts w:ascii="宋体" w:hAnsi="宋体" w:eastAsia="宋体" w:cs="宋体"/>
          <w:spacing w:val="4"/>
          <w:sz w:val="24"/>
          <w:szCs w:val="24"/>
        </w:rPr>
        <w:t>)》(中国矿业权评估师协会公告</w:t>
      </w:r>
      <w:r>
        <w:rPr>
          <w:rFonts w:ascii="宋体" w:hAnsi="宋体" w:eastAsia="宋体" w:cs="宋体"/>
          <w:sz w:val="24"/>
          <w:szCs w:val="24"/>
        </w:rPr>
        <w:t xml:space="preserve"> </w:t>
      </w:r>
      <w:r>
        <w:rPr>
          <w:rFonts w:ascii="宋体" w:hAnsi="宋体" w:eastAsia="宋体" w:cs="宋体"/>
          <w:spacing w:val="17"/>
          <w:sz w:val="24"/>
          <w:szCs w:val="24"/>
        </w:rPr>
        <w:t>2017年第3号发布),评估年限内出让收益“评估利用资源储量</w:t>
      </w:r>
      <w:r>
        <w:rPr>
          <w:rFonts w:ascii="宋体" w:hAnsi="宋体" w:eastAsia="宋体" w:cs="宋体"/>
          <w:spacing w:val="-50"/>
          <w:sz w:val="24"/>
          <w:szCs w:val="24"/>
        </w:rPr>
        <w:t xml:space="preserve"> </w:t>
      </w:r>
      <w:r>
        <w:rPr>
          <w:rFonts w:ascii="Times New Roman" w:hAnsi="Times New Roman" w:eastAsia="Times New Roman" w:cs="Times New Roman"/>
          <w:spacing w:val="17"/>
          <w:sz w:val="24"/>
          <w:szCs w:val="24"/>
        </w:rPr>
        <w:t>Q”</w:t>
      </w:r>
      <w:r>
        <w:rPr>
          <w:rFonts w:ascii="Times New Roman" w:hAnsi="Times New Roman" w:eastAsia="Times New Roman" w:cs="Times New Roman"/>
          <w:spacing w:val="29"/>
          <w:sz w:val="24"/>
          <w:szCs w:val="24"/>
        </w:rPr>
        <w:t xml:space="preserve">  </w:t>
      </w:r>
      <w:r>
        <w:rPr>
          <w:rFonts w:ascii="宋体" w:hAnsi="宋体" w:eastAsia="宋体" w:cs="宋体"/>
          <w:spacing w:val="17"/>
          <w:sz w:val="24"/>
          <w:szCs w:val="24"/>
        </w:rPr>
        <w:t>锌金属量</w:t>
      </w:r>
      <w:r>
        <w:rPr>
          <w:rFonts w:ascii="宋体" w:hAnsi="宋体" w:eastAsia="宋体" w:cs="宋体"/>
          <w:sz w:val="24"/>
          <w:szCs w:val="24"/>
        </w:rPr>
        <w:t xml:space="preserve"> </w:t>
      </w:r>
      <w:r>
        <w:rPr>
          <w:rFonts w:ascii="宋体" w:hAnsi="宋体" w:eastAsia="宋体" w:cs="宋体"/>
          <w:spacing w:val="2"/>
          <w:sz w:val="24"/>
          <w:szCs w:val="24"/>
        </w:rPr>
        <w:t>60957.00吨、伴生铅金属量6015.00吨、伴生镉金属量1888.00吨。“全部评估利</w:t>
      </w:r>
      <w:r>
        <w:rPr>
          <w:rFonts w:ascii="宋体" w:hAnsi="宋体" w:eastAsia="宋体" w:cs="宋体"/>
          <w:spacing w:val="14"/>
          <w:sz w:val="24"/>
          <w:szCs w:val="24"/>
        </w:rPr>
        <w:t xml:space="preserve"> </w:t>
      </w:r>
      <w:r>
        <w:rPr>
          <w:rFonts w:ascii="宋体" w:hAnsi="宋体" w:eastAsia="宋体" w:cs="宋体"/>
          <w:spacing w:val="5"/>
          <w:sz w:val="24"/>
          <w:szCs w:val="24"/>
        </w:rPr>
        <w:t>用资源储量</w:t>
      </w:r>
      <w:r>
        <w:rPr>
          <w:rFonts w:ascii="Times New Roman" w:hAnsi="Times New Roman" w:eastAsia="Times New Roman" w:cs="Times New Roman"/>
          <w:spacing w:val="5"/>
          <w:sz w:val="24"/>
          <w:szCs w:val="24"/>
        </w:rPr>
        <w:t xml:space="preserve">Q”   </w:t>
      </w:r>
      <w:r>
        <w:rPr>
          <w:rFonts w:ascii="宋体" w:hAnsi="宋体" w:eastAsia="宋体" w:cs="宋体"/>
          <w:spacing w:val="5"/>
          <w:sz w:val="24"/>
          <w:szCs w:val="24"/>
        </w:rPr>
        <w:t>锌金属量101140.33吨、</w:t>
      </w:r>
      <w:r>
        <w:rPr>
          <w:rFonts w:ascii="宋体" w:hAnsi="宋体" w:eastAsia="宋体" w:cs="宋体"/>
          <w:spacing w:val="4"/>
          <w:sz w:val="24"/>
          <w:szCs w:val="24"/>
        </w:rPr>
        <w:t>伴生铅金属量11787.42吨、伴生镉金属</w:t>
      </w:r>
      <w:r>
        <w:rPr>
          <w:rFonts w:ascii="宋体" w:hAnsi="宋体" w:eastAsia="宋体" w:cs="宋体"/>
          <w:sz w:val="24"/>
          <w:szCs w:val="24"/>
        </w:rPr>
        <w:t xml:space="preserve"> </w:t>
      </w:r>
      <w:r>
        <w:rPr>
          <w:rFonts w:ascii="宋体" w:hAnsi="宋体" w:eastAsia="宋体" w:cs="宋体"/>
          <w:spacing w:val="9"/>
          <w:sz w:val="24"/>
          <w:szCs w:val="24"/>
        </w:rPr>
        <w:t>量2913.08吨。本次评估对象范围未估算(334)?资源量，</w:t>
      </w:r>
      <w:r>
        <w:rPr>
          <w:rFonts w:ascii="仿宋" w:hAnsi="仿宋" w:eastAsia="仿宋" w:cs="仿宋"/>
          <w:spacing w:val="9"/>
          <w:sz w:val="24"/>
          <w:szCs w:val="24"/>
        </w:rPr>
        <w:t>地质风险系数(</w:t>
      </w:r>
      <w:r>
        <w:rPr>
          <w:rFonts w:ascii="仿宋" w:hAnsi="仿宋" w:eastAsia="仿宋" w:cs="仿宋"/>
          <w:spacing w:val="-55"/>
          <w:sz w:val="24"/>
          <w:szCs w:val="24"/>
        </w:rPr>
        <w:t xml:space="preserve"> </w:t>
      </w:r>
      <w:r>
        <w:rPr>
          <w:rFonts w:ascii="Times New Roman" w:hAnsi="Times New Roman" w:eastAsia="Times New Roman" w:cs="Times New Roman"/>
          <w:spacing w:val="9"/>
          <w:sz w:val="24"/>
          <w:szCs w:val="24"/>
        </w:rPr>
        <w:t xml:space="preserve">k)  </w:t>
      </w:r>
      <w:r>
        <w:rPr>
          <w:rFonts w:ascii="仿宋" w:hAnsi="仿宋" w:eastAsia="仿宋" w:cs="仿宋"/>
          <w:spacing w:val="9"/>
          <w:sz w:val="24"/>
          <w:szCs w:val="24"/>
        </w:rPr>
        <w:t>取</w:t>
      </w:r>
      <w:r>
        <w:rPr>
          <w:rFonts w:ascii="仿宋" w:hAnsi="仿宋" w:eastAsia="仿宋" w:cs="仿宋"/>
          <w:sz w:val="24"/>
          <w:szCs w:val="24"/>
        </w:rPr>
        <w:t xml:space="preserve"> </w:t>
      </w:r>
      <w:r>
        <w:rPr>
          <w:rFonts w:ascii="宋体" w:hAnsi="宋体" w:eastAsia="宋体" w:cs="宋体"/>
          <w:spacing w:val="3"/>
          <w:sz w:val="24"/>
          <w:szCs w:val="24"/>
        </w:rPr>
        <w:t>值为1,因此“云南罗平锌电股份有限公司富乐铅锌矿采矿权</w:t>
      </w:r>
      <w:r>
        <w:rPr>
          <w:rFonts w:ascii="宋体" w:hAnsi="宋体" w:eastAsia="宋体" w:cs="宋体"/>
          <w:spacing w:val="2"/>
          <w:sz w:val="24"/>
          <w:szCs w:val="24"/>
        </w:rPr>
        <w:t>”全部资源储量出让</w:t>
      </w:r>
      <w:r>
        <w:rPr>
          <w:rFonts w:ascii="宋体" w:hAnsi="宋体" w:eastAsia="宋体" w:cs="宋体"/>
          <w:sz w:val="24"/>
          <w:szCs w:val="24"/>
        </w:rPr>
        <w:t xml:space="preserve"> </w:t>
      </w:r>
      <w:r>
        <w:rPr>
          <w:rFonts w:ascii="宋体" w:hAnsi="宋体" w:eastAsia="宋体" w:cs="宋体"/>
          <w:spacing w:val="8"/>
          <w:sz w:val="24"/>
          <w:szCs w:val="24"/>
        </w:rPr>
        <w:t>收益评估价值(</w:t>
      </w:r>
      <w:r>
        <w:rPr>
          <w:rFonts w:ascii="宋体" w:hAnsi="宋体" w:eastAsia="宋体" w:cs="宋体"/>
          <w:spacing w:val="-49"/>
          <w:sz w:val="24"/>
          <w:szCs w:val="24"/>
        </w:rPr>
        <w:t xml:space="preserve"> </w:t>
      </w:r>
      <w:r>
        <w:rPr>
          <w:rFonts w:ascii="Times New Roman" w:hAnsi="Times New Roman" w:eastAsia="Times New Roman" w:cs="Times New Roman"/>
          <w:spacing w:val="8"/>
          <w:sz w:val="24"/>
          <w:szCs w:val="24"/>
        </w:rPr>
        <w:t xml:space="preserve">P)  </w:t>
      </w:r>
      <w:r>
        <w:rPr>
          <w:rFonts w:ascii="宋体" w:hAnsi="宋体" w:eastAsia="宋体" w:cs="宋体"/>
          <w:spacing w:val="8"/>
          <w:sz w:val="24"/>
          <w:szCs w:val="24"/>
        </w:rPr>
        <w:t>为2,056.53万元。不同矿种</w:t>
      </w:r>
      <w:r>
        <w:rPr>
          <w:rFonts w:ascii="宋体" w:hAnsi="宋体" w:eastAsia="宋体" w:cs="宋体"/>
          <w:spacing w:val="7"/>
          <w:sz w:val="24"/>
          <w:szCs w:val="24"/>
        </w:rPr>
        <w:t>按销售收入占比分割后，锌出让</w:t>
      </w:r>
      <w:r>
        <w:rPr>
          <w:rFonts w:ascii="宋体" w:hAnsi="宋体" w:eastAsia="宋体" w:cs="宋体"/>
          <w:sz w:val="24"/>
          <w:szCs w:val="24"/>
        </w:rPr>
        <w:t xml:space="preserve"> </w:t>
      </w:r>
      <w:r>
        <w:rPr>
          <w:rFonts w:ascii="宋体" w:hAnsi="宋体" w:eastAsia="宋体" w:cs="宋体"/>
          <w:spacing w:val="9"/>
          <w:sz w:val="24"/>
          <w:szCs w:val="24"/>
        </w:rPr>
        <w:t>收益评估值1830.26万元，伴生铅221.51万元，伴生镉4.76万元。</w:t>
      </w:r>
    </w:p>
    <w:p w14:paraId="21338E9C">
      <w:pPr>
        <w:spacing w:before="53" w:line="219" w:lineRule="auto"/>
        <w:ind w:left="602"/>
        <w:rPr>
          <w:rFonts w:ascii="宋体" w:hAnsi="宋体" w:eastAsia="宋体" w:cs="宋体"/>
          <w:sz w:val="24"/>
          <w:szCs w:val="24"/>
        </w:rPr>
      </w:pPr>
      <w:r>
        <w:rPr>
          <w:rFonts w:ascii="宋体" w:hAnsi="宋体" w:eastAsia="宋体" w:cs="宋体"/>
          <w:spacing w:val="4"/>
          <w:sz w:val="24"/>
          <w:szCs w:val="24"/>
        </w:rPr>
        <w:t>12.2.1以往有偿处置情况</w:t>
      </w:r>
    </w:p>
    <w:p w14:paraId="3E9DF629">
      <w:pPr>
        <w:spacing w:before="204" w:line="368" w:lineRule="auto"/>
        <w:ind w:left="132" w:right="89" w:firstLine="469"/>
        <w:rPr>
          <w:rFonts w:ascii="宋体" w:hAnsi="宋体" w:eastAsia="宋体" w:cs="宋体"/>
          <w:sz w:val="25"/>
          <w:szCs w:val="25"/>
        </w:rPr>
      </w:pPr>
      <w:r>
        <w:rPr>
          <w:rFonts w:ascii="宋体" w:hAnsi="宋体" w:eastAsia="宋体" w:cs="宋体"/>
          <w:spacing w:val="-16"/>
          <w:sz w:val="25"/>
          <w:szCs w:val="25"/>
        </w:rPr>
        <w:t>根据《云南罗平锌电股份有限公司富乐铅锌</w:t>
      </w:r>
      <w:r>
        <w:rPr>
          <w:rFonts w:ascii="宋体" w:hAnsi="宋体" w:eastAsia="宋体" w:cs="宋体"/>
          <w:spacing w:val="-17"/>
          <w:sz w:val="25"/>
          <w:szCs w:val="25"/>
        </w:rPr>
        <w:t>矿采矿权评估报告》(俊成矿评报字</w:t>
      </w:r>
      <w:r>
        <w:rPr>
          <w:rFonts w:ascii="宋体" w:hAnsi="宋体" w:eastAsia="宋体" w:cs="宋体"/>
          <w:sz w:val="25"/>
          <w:szCs w:val="25"/>
        </w:rPr>
        <w:t xml:space="preserve"> </w:t>
      </w:r>
      <w:r>
        <w:rPr>
          <w:rFonts w:ascii="宋体" w:hAnsi="宋体" w:eastAsia="宋体" w:cs="宋体"/>
          <w:spacing w:val="-5"/>
          <w:sz w:val="25"/>
          <w:szCs w:val="25"/>
        </w:rPr>
        <w:t>[2015]第020号),采矿权价款1104.34万元，该价款已缴</w:t>
      </w:r>
      <w:r>
        <w:rPr>
          <w:rFonts w:ascii="宋体" w:hAnsi="宋体" w:eastAsia="宋体" w:cs="宋体"/>
          <w:spacing w:val="-6"/>
          <w:sz w:val="25"/>
          <w:szCs w:val="25"/>
        </w:rPr>
        <w:t>清。缴纳采矿权价款对应</w:t>
      </w:r>
      <w:r>
        <w:rPr>
          <w:rFonts w:ascii="宋体" w:hAnsi="宋体" w:eastAsia="宋体" w:cs="宋体"/>
          <w:sz w:val="25"/>
          <w:szCs w:val="25"/>
        </w:rPr>
        <w:t xml:space="preserve"> </w:t>
      </w:r>
      <w:r>
        <w:rPr>
          <w:rFonts w:ascii="宋体" w:hAnsi="宋体" w:eastAsia="宋体" w:cs="宋体"/>
          <w:spacing w:val="-3"/>
          <w:sz w:val="25"/>
          <w:szCs w:val="25"/>
        </w:rPr>
        <w:t>处置的资源储量(111</w:t>
      </w:r>
      <w:r>
        <w:rPr>
          <w:rFonts w:ascii="Times New Roman" w:hAnsi="Times New Roman" w:eastAsia="Times New Roman" w:cs="Times New Roman"/>
          <w:spacing w:val="-3"/>
          <w:sz w:val="25"/>
          <w:szCs w:val="25"/>
        </w:rPr>
        <w:t>b+122b+333)</w:t>
      </w:r>
      <w:r>
        <w:rPr>
          <w:rFonts w:ascii="Times New Roman" w:hAnsi="Times New Roman" w:eastAsia="Times New Roman" w:cs="Times New Roman"/>
          <w:spacing w:val="-4"/>
          <w:sz w:val="25"/>
          <w:szCs w:val="25"/>
        </w:rPr>
        <w:t xml:space="preserve">   </w:t>
      </w:r>
      <w:r>
        <w:rPr>
          <w:rFonts w:ascii="宋体" w:hAnsi="宋体" w:eastAsia="宋体" w:cs="宋体"/>
          <w:spacing w:val="-4"/>
          <w:sz w:val="25"/>
          <w:szCs w:val="25"/>
        </w:rPr>
        <w:t>锌矿石量196.41万吨，锌金属量86251吨；伴</w:t>
      </w:r>
      <w:r>
        <w:rPr>
          <w:rFonts w:ascii="宋体" w:hAnsi="宋体" w:eastAsia="宋体" w:cs="宋体"/>
          <w:sz w:val="25"/>
          <w:szCs w:val="25"/>
        </w:rPr>
        <w:t xml:space="preserve"> </w:t>
      </w:r>
      <w:r>
        <w:rPr>
          <w:rFonts w:ascii="宋体" w:hAnsi="宋体" w:eastAsia="宋体" w:cs="宋体"/>
          <w:spacing w:val="-8"/>
          <w:sz w:val="25"/>
          <w:szCs w:val="25"/>
        </w:rPr>
        <w:t>生铅矿石量114.27万吨，铅金属量9780.07吨；伴生镉矿石量196.41</w:t>
      </w:r>
      <w:r>
        <w:rPr>
          <w:rFonts w:ascii="宋体" w:hAnsi="宋体" w:eastAsia="宋体" w:cs="宋体"/>
          <w:spacing w:val="-9"/>
          <w:sz w:val="25"/>
          <w:szCs w:val="25"/>
        </w:rPr>
        <w:t>万吨，镉金属</w:t>
      </w:r>
      <w:r>
        <w:rPr>
          <w:rFonts w:ascii="宋体" w:hAnsi="宋体" w:eastAsia="宋体" w:cs="宋体"/>
          <w:sz w:val="25"/>
          <w:szCs w:val="25"/>
        </w:rPr>
        <w:t xml:space="preserve"> </w:t>
      </w:r>
      <w:r>
        <w:rPr>
          <w:rFonts w:ascii="宋体" w:hAnsi="宋体" w:eastAsia="宋体" w:cs="宋体"/>
          <w:spacing w:val="3"/>
          <w:sz w:val="25"/>
          <w:szCs w:val="25"/>
        </w:rPr>
        <w:t>量2339.56吨。</w:t>
      </w:r>
    </w:p>
    <w:p w14:paraId="76BB9233">
      <w:pPr>
        <w:spacing w:before="18" w:line="219" w:lineRule="auto"/>
        <w:ind w:left="602"/>
        <w:rPr>
          <w:rFonts w:ascii="宋体" w:hAnsi="宋体" w:eastAsia="宋体" w:cs="宋体"/>
          <w:sz w:val="24"/>
          <w:szCs w:val="24"/>
        </w:rPr>
      </w:pPr>
      <w:r>
        <w:rPr>
          <w:rFonts w:ascii="宋体" w:hAnsi="宋体" w:eastAsia="宋体" w:cs="宋体"/>
          <w:spacing w:val="4"/>
          <w:sz w:val="24"/>
          <w:szCs w:val="24"/>
        </w:rPr>
        <w:t>12.2.2应缴纳的采矿权出让收益</w:t>
      </w:r>
    </w:p>
    <w:p w14:paraId="4E115CC6">
      <w:pPr>
        <w:spacing w:before="225" w:line="366" w:lineRule="auto"/>
        <w:ind w:left="132" w:right="109" w:firstLine="469"/>
        <w:rPr>
          <w:rFonts w:ascii="宋体" w:hAnsi="宋体" w:eastAsia="宋体" w:cs="宋体"/>
          <w:sz w:val="24"/>
          <w:szCs w:val="24"/>
        </w:rPr>
      </w:pPr>
      <w:r>
        <w:rPr>
          <w:rFonts w:ascii="宋体" w:hAnsi="宋体" w:eastAsia="宋体" w:cs="宋体"/>
          <w:spacing w:val="4"/>
          <w:sz w:val="24"/>
          <w:szCs w:val="24"/>
        </w:rPr>
        <w:t>根据“10.1.4本次评估需要有偿处置的资源储</w:t>
      </w:r>
      <w:r>
        <w:rPr>
          <w:rFonts w:ascii="宋体" w:hAnsi="宋体" w:eastAsia="宋体" w:cs="宋体"/>
          <w:spacing w:val="3"/>
          <w:sz w:val="24"/>
          <w:szCs w:val="24"/>
        </w:rPr>
        <w:t>量”,富乐铅锌矿采矿权范围</w:t>
      </w:r>
      <w:r>
        <w:rPr>
          <w:rFonts w:ascii="宋体" w:hAnsi="宋体" w:eastAsia="宋体" w:cs="宋体"/>
          <w:sz w:val="24"/>
          <w:szCs w:val="24"/>
        </w:rPr>
        <w:t xml:space="preserve"> </w:t>
      </w:r>
      <w:r>
        <w:rPr>
          <w:rFonts w:ascii="宋体" w:hAnsi="宋体" w:eastAsia="宋体" w:cs="宋体"/>
          <w:spacing w:val="8"/>
          <w:sz w:val="24"/>
          <w:szCs w:val="24"/>
        </w:rPr>
        <w:t>内全部评估利用资源量</w:t>
      </w:r>
      <w:r>
        <w:rPr>
          <w:rFonts w:ascii="宋体" w:hAnsi="宋体" w:eastAsia="宋体" w:cs="宋体"/>
          <w:spacing w:val="-70"/>
          <w:sz w:val="24"/>
          <w:szCs w:val="24"/>
        </w:rPr>
        <w:t xml:space="preserve"> </w:t>
      </w:r>
      <w:r>
        <w:rPr>
          <w:rFonts w:ascii="Times New Roman" w:hAnsi="Times New Roman" w:eastAsia="Times New Roman" w:cs="Times New Roman"/>
          <w:spacing w:val="8"/>
          <w:sz w:val="24"/>
          <w:szCs w:val="24"/>
        </w:rPr>
        <w:t xml:space="preserve">Q </w:t>
      </w:r>
      <w:r>
        <w:rPr>
          <w:rFonts w:ascii="宋体" w:hAnsi="宋体" w:eastAsia="宋体" w:cs="宋体"/>
          <w:spacing w:val="8"/>
          <w:sz w:val="24"/>
          <w:szCs w:val="24"/>
        </w:rPr>
        <w:t>保有</w:t>
      </w:r>
      <w:r>
        <w:rPr>
          <w:rFonts w:ascii="宋体" w:hAnsi="宋体" w:eastAsia="宋体" w:cs="宋体"/>
          <w:spacing w:val="-52"/>
          <w:sz w:val="24"/>
          <w:szCs w:val="24"/>
        </w:rPr>
        <w:t xml:space="preserve"> </w:t>
      </w:r>
      <w:r>
        <w:rPr>
          <w:rFonts w:ascii="Times New Roman" w:hAnsi="Times New Roman" w:eastAsia="Times New Roman" w:cs="Times New Roman"/>
          <w:sz w:val="24"/>
          <w:szCs w:val="24"/>
        </w:rPr>
        <w:t>TM</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2"/>
          <w:sz w:val="24"/>
          <w:szCs w:val="24"/>
        </w:rPr>
        <w:t xml:space="preserve"> </w:t>
      </w:r>
      <w:r>
        <w:rPr>
          <w:rFonts w:ascii="宋体" w:hAnsi="宋体" w:eastAsia="宋体" w:cs="宋体"/>
          <w:spacing w:val="8"/>
          <w:sz w:val="24"/>
          <w:szCs w:val="24"/>
        </w:rPr>
        <w:t>类锌矿石量232.86万吨，</w:t>
      </w:r>
      <w:r>
        <w:rPr>
          <w:rFonts w:ascii="宋体" w:hAnsi="宋体" w:eastAsia="宋体" w:cs="宋体"/>
          <w:spacing w:val="7"/>
          <w:sz w:val="24"/>
          <w:szCs w:val="24"/>
        </w:rPr>
        <w:t>锌金属量</w:t>
      </w:r>
      <w:r>
        <w:rPr>
          <w:rFonts w:ascii="宋体" w:hAnsi="宋体" w:eastAsia="宋体" w:cs="宋体"/>
          <w:sz w:val="24"/>
          <w:szCs w:val="24"/>
        </w:rPr>
        <w:t xml:space="preserve"> </w:t>
      </w:r>
      <w:r>
        <w:rPr>
          <w:rFonts w:ascii="宋体" w:hAnsi="宋体" w:eastAsia="宋体" w:cs="宋体"/>
          <w:spacing w:val="4"/>
          <w:sz w:val="24"/>
          <w:szCs w:val="24"/>
        </w:rPr>
        <w:t>101140.33吨，锌平均品位4.34%;</w:t>
      </w:r>
      <w:r>
        <w:rPr>
          <w:rFonts w:ascii="宋体" w:hAnsi="宋体" w:eastAsia="宋体" w:cs="宋体"/>
          <w:spacing w:val="3"/>
          <w:sz w:val="24"/>
          <w:szCs w:val="24"/>
        </w:rPr>
        <w:t>保有</w:t>
      </w:r>
      <w:r>
        <w:rPr>
          <w:rFonts w:ascii="Times New Roman" w:hAnsi="Times New Roman" w:eastAsia="Times New Roman" w:cs="Times New Roman"/>
          <w:sz w:val="24"/>
          <w:szCs w:val="24"/>
        </w:rPr>
        <w:t>TM</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TD</w:t>
      </w:r>
      <w:r>
        <w:rPr>
          <w:rFonts w:ascii="宋体" w:hAnsi="宋体" w:eastAsia="宋体" w:cs="宋体"/>
          <w:spacing w:val="3"/>
          <w:sz w:val="24"/>
          <w:szCs w:val="24"/>
        </w:rPr>
        <w:t>类伴生铅矿石量140.44万吨，</w:t>
      </w:r>
      <w:r>
        <w:rPr>
          <w:rFonts w:ascii="宋体" w:hAnsi="宋体" w:eastAsia="宋体" w:cs="宋体"/>
          <w:sz w:val="24"/>
          <w:szCs w:val="24"/>
        </w:rPr>
        <w:t xml:space="preserve"> </w:t>
      </w:r>
      <w:r>
        <w:rPr>
          <w:rFonts w:ascii="宋体" w:hAnsi="宋体" w:eastAsia="宋体" w:cs="宋体"/>
          <w:spacing w:val="14"/>
          <w:sz w:val="24"/>
          <w:szCs w:val="24"/>
        </w:rPr>
        <w:t>铅金属量11787.42吨，铅平均品位0.84%;保有</w:t>
      </w:r>
      <w:r>
        <w:rPr>
          <w:rFonts w:ascii="宋体" w:hAnsi="宋体" w:eastAsia="宋体" w:cs="宋体"/>
          <w:spacing w:val="-19"/>
          <w:sz w:val="24"/>
          <w:szCs w:val="24"/>
        </w:rPr>
        <w:t xml:space="preserve"> </w:t>
      </w:r>
      <w:r>
        <w:rPr>
          <w:rFonts w:ascii="Times New Roman" w:hAnsi="Times New Roman" w:eastAsia="Times New Roman" w:cs="Times New Roman"/>
          <w:sz w:val="24"/>
          <w:szCs w:val="24"/>
        </w:rPr>
        <w:t>TM</w:t>
      </w:r>
      <w:r>
        <w:rPr>
          <w:rFonts w:ascii="Times New Roman" w:hAnsi="Times New Roman" w:eastAsia="Times New Roman" w:cs="Times New Roman"/>
          <w:spacing w:val="14"/>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14"/>
          <w:sz w:val="24"/>
          <w:szCs w:val="24"/>
        </w:rPr>
        <w:t>+</w:t>
      </w:r>
      <w:r>
        <w:rPr>
          <w:rFonts w:ascii="Times New Roman" w:hAnsi="Times New Roman" w:eastAsia="Times New Roman" w:cs="Times New Roman"/>
          <w:sz w:val="24"/>
          <w:szCs w:val="24"/>
        </w:rPr>
        <w:t>TD</w:t>
      </w:r>
      <w:r>
        <w:rPr>
          <w:rFonts w:ascii="Times New Roman" w:hAnsi="Times New Roman" w:eastAsia="Times New Roman" w:cs="Times New Roman"/>
          <w:spacing w:val="14"/>
          <w:sz w:val="24"/>
          <w:szCs w:val="24"/>
        </w:rPr>
        <w:t xml:space="preserve"> </w:t>
      </w:r>
      <w:r>
        <w:rPr>
          <w:rFonts w:ascii="宋体" w:hAnsi="宋体" w:eastAsia="宋体" w:cs="宋体"/>
          <w:spacing w:val="14"/>
          <w:sz w:val="24"/>
          <w:szCs w:val="24"/>
        </w:rPr>
        <w:t>类伴生镉矿石量</w:t>
      </w:r>
      <w:r>
        <w:rPr>
          <w:rFonts w:ascii="宋体" w:hAnsi="宋体" w:eastAsia="宋体" w:cs="宋体"/>
          <w:sz w:val="24"/>
          <w:szCs w:val="24"/>
        </w:rPr>
        <w:t xml:space="preserve"> </w:t>
      </w:r>
      <w:r>
        <w:rPr>
          <w:rFonts w:ascii="宋体" w:hAnsi="宋体" w:eastAsia="宋体" w:cs="宋体"/>
          <w:spacing w:val="8"/>
          <w:sz w:val="24"/>
          <w:szCs w:val="24"/>
        </w:rPr>
        <w:t>232.86万吨，镉金属量2913.0</w:t>
      </w:r>
      <w:r>
        <w:rPr>
          <w:rFonts w:ascii="宋体" w:hAnsi="宋体" w:eastAsia="宋体" w:cs="宋体"/>
          <w:spacing w:val="7"/>
          <w:sz w:val="24"/>
          <w:szCs w:val="24"/>
        </w:rPr>
        <w:t>8吨，镉平均品位0.125%。</w:t>
      </w:r>
    </w:p>
    <w:p w14:paraId="7CF41BF8">
      <w:pPr>
        <w:spacing w:before="21" w:line="218" w:lineRule="auto"/>
        <w:ind w:left="602"/>
        <w:rPr>
          <w:rFonts w:ascii="宋体" w:hAnsi="宋体" w:eastAsia="宋体" w:cs="宋体"/>
          <w:sz w:val="24"/>
          <w:szCs w:val="24"/>
        </w:rPr>
      </w:pPr>
      <w:r>
        <w:rPr>
          <w:rFonts w:ascii="宋体" w:hAnsi="宋体" w:eastAsia="宋体" w:cs="宋体"/>
          <w:spacing w:val="1"/>
          <w:sz w:val="24"/>
          <w:szCs w:val="24"/>
        </w:rPr>
        <w:t>扣除已缴纳采矿权价款对应的资源储量后，本次出让收益评估</w:t>
      </w:r>
      <w:r>
        <w:rPr>
          <w:rFonts w:ascii="宋体" w:hAnsi="宋体" w:eastAsia="宋体" w:cs="宋体"/>
          <w:sz w:val="24"/>
          <w:szCs w:val="24"/>
        </w:rPr>
        <w:t>需处置新增保</w:t>
      </w:r>
    </w:p>
    <w:p w14:paraId="68F61073">
      <w:pPr>
        <w:spacing w:line="218" w:lineRule="auto"/>
        <w:rPr>
          <w:rFonts w:ascii="宋体" w:hAnsi="宋体" w:eastAsia="宋体" w:cs="宋体"/>
          <w:sz w:val="24"/>
          <w:szCs w:val="24"/>
        </w:rPr>
        <w:sectPr>
          <w:headerReference r:id="rId122" w:type="default"/>
          <w:footerReference r:id="rId123" w:type="default"/>
          <w:pgSz w:w="12050" w:h="16930"/>
          <w:pgMar w:top="1300" w:right="1499" w:bottom="1320" w:left="1807" w:header="980" w:footer="988" w:gutter="0"/>
          <w:cols w:space="720" w:num="1"/>
        </w:sectPr>
      </w:pPr>
    </w:p>
    <w:p w14:paraId="1906B0AE">
      <w:pPr>
        <w:pStyle w:val="2"/>
        <w:spacing w:line="379" w:lineRule="auto"/>
      </w:pPr>
    </w:p>
    <w:p w14:paraId="7F80E31E">
      <w:pPr>
        <w:spacing w:before="81" w:line="376" w:lineRule="auto"/>
        <w:ind w:left="64" w:right="238"/>
        <w:jc w:val="both"/>
        <w:rPr>
          <w:rFonts w:ascii="宋体" w:hAnsi="宋体" w:eastAsia="宋体" w:cs="宋体"/>
          <w:sz w:val="24"/>
          <w:szCs w:val="24"/>
        </w:rPr>
      </w:pPr>
      <w:r>
        <w:rPr>
          <w:rFonts w:ascii="宋体" w:hAnsi="宋体" w:eastAsia="宋体" w:cs="宋体"/>
          <w:spacing w:val="-7"/>
          <w:sz w:val="25"/>
          <w:szCs w:val="25"/>
        </w:rPr>
        <w:t>有</w:t>
      </w:r>
      <w:r>
        <w:rPr>
          <w:rFonts w:ascii="Times New Roman" w:hAnsi="Times New Roman" w:eastAsia="Times New Roman" w:cs="Times New Roman"/>
          <w:spacing w:val="-7"/>
          <w:sz w:val="25"/>
          <w:szCs w:val="25"/>
        </w:rPr>
        <w:t>TM+KZ+TD</w:t>
      </w:r>
      <w:r>
        <w:rPr>
          <w:rFonts w:ascii="宋体" w:hAnsi="宋体" w:eastAsia="宋体" w:cs="宋体"/>
          <w:spacing w:val="-7"/>
          <w:sz w:val="25"/>
          <w:szCs w:val="25"/>
        </w:rPr>
        <w:t>类锌矿石量36.45万吨，锌金属量1</w:t>
      </w:r>
      <w:r>
        <w:rPr>
          <w:rFonts w:ascii="宋体" w:hAnsi="宋体" w:eastAsia="宋体" w:cs="宋体"/>
          <w:spacing w:val="-8"/>
          <w:sz w:val="25"/>
          <w:szCs w:val="25"/>
        </w:rPr>
        <w:t>4889.33吨，锌平均品位4.08%;</w:t>
      </w:r>
      <w:r>
        <w:rPr>
          <w:rFonts w:ascii="宋体" w:hAnsi="宋体" w:eastAsia="宋体" w:cs="宋体"/>
          <w:sz w:val="25"/>
          <w:szCs w:val="25"/>
        </w:rPr>
        <w:t xml:space="preserve"> </w:t>
      </w:r>
      <w:r>
        <w:rPr>
          <w:rFonts w:ascii="宋体" w:hAnsi="宋体" w:eastAsia="宋体" w:cs="宋体"/>
          <w:spacing w:val="-5"/>
          <w:sz w:val="25"/>
          <w:szCs w:val="25"/>
        </w:rPr>
        <w:t>保有</w:t>
      </w:r>
      <w:r>
        <w:rPr>
          <w:rFonts w:ascii="Times New Roman" w:hAnsi="Times New Roman" w:eastAsia="Times New Roman" w:cs="Times New Roman"/>
          <w:spacing w:val="-5"/>
          <w:sz w:val="25"/>
          <w:szCs w:val="25"/>
        </w:rPr>
        <w:t>TM+KZ+TD</w:t>
      </w:r>
      <w:r>
        <w:rPr>
          <w:rFonts w:ascii="宋体" w:hAnsi="宋体" w:eastAsia="宋体" w:cs="宋体"/>
          <w:spacing w:val="-5"/>
          <w:sz w:val="25"/>
          <w:szCs w:val="25"/>
        </w:rPr>
        <w:t>类伴生铅矿石量26.17万吨，铅金属量2007</w:t>
      </w:r>
      <w:r>
        <w:rPr>
          <w:rFonts w:ascii="宋体" w:hAnsi="宋体" w:eastAsia="宋体" w:cs="宋体"/>
          <w:spacing w:val="-6"/>
          <w:sz w:val="25"/>
          <w:szCs w:val="25"/>
        </w:rPr>
        <w:t>.35吨，铅平均品位</w:t>
      </w:r>
      <w:r>
        <w:rPr>
          <w:rFonts w:ascii="宋体" w:hAnsi="宋体" w:eastAsia="宋体" w:cs="宋体"/>
          <w:sz w:val="25"/>
          <w:szCs w:val="25"/>
        </w:rPr>
        <w:t xml:space="preserve"> </w:t>
      </w:r>
      <w:r>
        <w:rPr>
          <w:rFonts w:ascii="宋体" w:hAnsi="宋体" w:eastAsia="宋体" w:cs="宋体"/>
          <w:spacing w:val="7"/>
          <w:sz w:val="24"/>
          <w:szCs w:val="24"/>
        </w:rPr>
        <w:t>0.77%;保有</w:t>
      </w:r>
      <w:r>
        <w:rPr>
          <w:rFonts w:ascii="Times New Roman" w:hAnsi="Times New Roman" w:eastAsia="Times New Roman" w:cs="Times New Roman"/>
          <w:sz w:val="24"/>
          <w:szCs w:val="24"/>
        </w:rPr>
        <w:t>TM</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KZ</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TD</w:t>
      </w:r>
      <w:r>
        <w:rPr>
          <w:rFonts w:ascii="宋体" w:hAnsi="宋体" w:eastAsia="宋体" w:cs="宋体"/>
          <w:spacing w:val="7"/>
          <w:sz w:val="24"/>
          <w:szCs w:val="24"/>
        </w:rPr>
        <w:t>类伴生镉矿石量36.45万吨，镉金属量573.52</w:t>
      </w:r>
      <w:r>
        <w:rPr>
          <w:rFonts w:ascii="宋体" w:hAnsi="宋体" w:eastAsia="宋体" w:cs="宋体"/>
          <w:spacing w:val="6"/>
          <w:sz w:val="24"/>
          <w:szCs w:val="24"/>
        </w:rPr>
        <w:t>吨，镉平</w:t>
      </w:r>
      <w:r>
        <w:rPr>
          <w:rFonts w:ascii="宋体" w:hAnsi="宋体" w:eastAsia="宋体" w:cs="宋体"/>
          <w:sz w:val="24"/>
          <w:szCs w:val="24"/>
        </w:rPr>
        <w:t xml:space="preserve"> </w:t>
      </w:r>
      <w:r>
        <w:rPr>
          <w:rFonts w:ascii="宋体" w:hAnsi="宋体" w:eastAsia="宋体" w:cs="宋体"/>
          <w:spacing w:val="5"/>
          <w:sz w:val="24"/>
          <w:szCs w:val="24"/>
        </w:rPr>
        <w:t>均品位0.157%。</w:t>
      </w:r>
    </w:p>
    <w:p w14:paraId="1AEEADDC">
      <w:pPr>
        <w:spacing w:before="23" w:line="378" w:lineRule="auto"/>
        <w:ind w:left="64" w:right="131" w:firstLine="510"/>
        <w:jc w:val="both"/>
        <w:rPr>
          <w:rFonts w:ascii="宋体" w:hAnsi="宋体" w:eastAsia="宋体" w:cs="宋体"/>
          <w:sz w:val="24"/>
          <w:szCs w:val="24"/>
        </w:rPr>
      </w:pPr>
      <w:r>
        <w:rPr>
          <w:rFonts w:ascii="宋体" w:hAnsi="宋体" w:eastAsia="宋体" w:cs="宋体"/>
          <w:spacing w:val="-5"/>
          <w:sz w:val="24"/>
          <w:szCs w:val="24"/>
        </w:rPr>
        <w:t>经计算，“云南罗平锌电股份有限公司富乐铅锌</w:t>
      </w:r>
      <w:r>
        <w:rPr>
          <w:rFonts w:ascii="宋体" w:hAnsi="宋体" w:eastAsia="宋体" w:cs="宋体"/>
          <w:spacing w:val="-6"/>
          <w:sz w:val="24"/>
          <w:szCs w:val="24"/>
        </w:rPr>
        <w:t>矿采矿权”新增资源储量应缴</w:t>
      </w:r>
      <w:r>
        <w:rPr>
          <w:rFonts w:ascii="宋体" w:hAnsi="宋体" w:eastAsia="宋体" w:cs="宋体"/>
          <w:sz w:val="24"/>
          <w:szCs w:val="24"/>
        </w:rPr>
        <w:t xml:space="preserve"> </w:t>
      </w:r>
      <w:r>
        <w:rPr>
          <w:rFonts w:ascii="宋体" w:hAnsi="宋体" w:eastAsia="宋体" w:cs="宋体"/>
          <w:spacing w:val="1"/>
          <w:sz w:val="24"/>
          <w:szCs w:val="24"/>
        </w:rPr>
        <w:t>纳的采矿权出让对应的出让收益评估值为308.10万元。不同矿种按销售收入占比</w:t>
      </w:r>
      <w:r>
        <w:rPr>
          <w:rFonts w:ascii="宋体" w:hAnsi="宋体" w:eastAsia="宋体" w:cs="宋体"/>
          <w:spacing w:val="16"/>
          <w:sz w:val="24"/>
          <w:szCs w:val="24"/>
        </w:rPr>
        <w:t xml:space="preserve"> </w:t>
      </w:r>
      <w:r>
        <w:rPr>
          <w:rFonts w:ascii="宋体" w:hAnsi="宋体" w:eastAsia="宋体" w:cs="宋体"/>
          <w:spacing w:val="5"/>
          <w:sz w:val="24"/>
          <w:szCs w:val="24"/>
        </w:rPr>
        <w:t>分割后，其中：锌出让收益269.44万元，伴生铅出让收</w:t>
      </w:r>
      <w:r>
        <w:rPr>
          <w:rFonts w:ascii="宋体" w:hAnsi="宋体" w:eastAsia="宋体" w:cs="宋体"/>
          <w:spacing w:val="4"/>
          <w:sz w:val="24"/>
          <w:szCs w:val="24"/>
        </w:rPr>
        <w:t>益37.72万元，伴生镉出</w:t>
      </w:r>
      <w:r>
        <w:rPr>
          <w:rFonts w:ascii="宋体" w:hAnsi="宋体" w:eastAsia="宋体" w:cs="宋体"/>
          <w:sz w:val="24"/>
          <w:szCs w:val="24"/>
        </w:rPr>
        <w:t xml:space="preserve"> </w:t>
      </w:r>
      <w:r>
        <w:rPr>
          <w:rFonts w:ascii="宋体" w:hAnsi="宋体" w:eastAsia="宋体" w:cs="宋体"/>
          <w:spacing w:val="10"/>
          <w:sz w:val="24"/>
          <w:szCs w:val="24"/>
        </w:rPr>
        <w:t>让收益0.94万元。</w:t>
      </w:r>
    </w:p>
    <w:p w14:paraId="4A96254E">
      <w:pPr>
        <w:spacing w:before="16" w:line="361" w:lineRule="auto"/>
        <w:ind w:left="64" w:right="125" w:firstLine="510"/>
        <w:jc w:val="both"/>
        <w:rPr>
          <w:rFonts w:ascii="宋体" w:hAnsi="宋体" w:eastAsia="宋体" w:cs="宋体"/>
          <w:sz w:val="24"/>
          <w:szCs w:val="24"/>
        </w:rPr>
      </w:pPr>
      <w:r>
        <w:rPr>
          <w:rFonts w:ascii="宋体" w:hAnsi="宋体" w:eastAsia="宋体" w:cs="宋体"/>
          <w:spacing w:val="2"/>
          <w:sz w:val="24"/>
          <w:szCs w:val="24"/>
        </w:rPr>
        <w:t>按出让收益市场基准价计算结果：根据云南省国土资源厅《</w:t>
      </w:r>
      <w:r>
        <w:rPr>
          <w:rFonts w:ascii="宋体" w:hAnsi="宋体" w:eastAsia="宋体" w:cs="宋体"/>
          <w:spacing w:val="1"/>
          <w:sz w:val="24"/>
          <w:szCs w:val="24"/>
        </w:rPr>
        <w:t>云南省国土资源</w:t>
      </w:r>
      <w:r>
        <w:rPr>
          <w:rFonts w:ascii="宋体" w:hAnsi="宋体" w:eastAsia="宋体" w:cs="宋体"/>
          <w:sz w:val="24"/>
          <w:szCs w:val="24"/>
        </w:rPr>
        <w:t xml:space="preserve"> </w:t>
      </w:r>
      <w:r>
        <w:rPr>
          <w:rFonts w:ascii="宋体" w:hAnsi="宋体" w:eastAsia="宋体" w:cs="宋体"/>
          <w:spacing w:val="4"/>
          <w:sz w:val="24"/>
          <w:szCs w:val="24"/>
        </w:rPr>
        <w:t>厅公告》(云国土资公告[2018]1号),“附件1云南省主要矿种采矿权出让收益市</w:t>
      </w:r>
      <w:r>
        <w:rPr>
          <w:rFonts w:ascii="宋体" w:hAnsi="宋体" w:eastAsia="宋体" w:cs="宋体"/>
          <w:spacing w:val="12"/>
          <w:sz w:val="24"/>
          <w:szCs w:val="24"/>
        </w:rPr>
        <w:t xml:space="preserve"> </w:t>
      </w:r>
      <w:r>
        <w:rPr>
          <w:rFonts w:ascii="宋体" w:hAnsi="宋体" w:eastAsia="宋体" w:cs="宋体"/>
          <w:spacing w:val="9"/>
          <w:sz w:val="24"/>
          <w:szCs w:val="24"/>
        </w:rPr>
        <w:t>场基准价”及“附件4云南省主要矿种矿业权出让收益市场基准价的说明”,云</w:t>
      </w:r>
      <w:r>
        <w:rPr>
          <w:rFonts w:ascii="宋体" w:hAnsi="宋体" w:eastAsia="宋体" w:cs="宋体"/>
          <w:spacing w:val="18"/>
          <w:sz w:val="24"/>
          <w:szCs w:val="24"/>
        </w:rPr>
        <w:t xml:space="preserve"> </w:t>
      </w:r>
      <w:r>
        <w:rPr>
          <w:rFonts w:ascii="宋体" w:hAnsi="宋体" w:eastAsia="宋体" w:cs="宋体"/>
          <w:spacing w:val="5"/>
          <w:sz w:val="24"/>
          <w:szCs w:val="24"/>
        </w:rPr>
        <w:t>南省锌基准价为155.00元/吨，铅基准价为174.00元/吨(</w:t>
      </w:r>
      <w:r>
        <w:rPr>
          <w:rFonts w:ascii="宋体" w:hAnsi="宋体" w:eastAsia="宋体" w:cs="宋体"/>
          <w:spacing w:val="4"/>
          <w:sz w:val="24"/>
          <w:szCs w:val="24"/>
        </w:rPr>
        <w:t>伴生矿调整系数0.70),</w:t>
      </w:r>
      <w:r>
        <w:rPr>
          <w:rFonts w:ascii="宋体" w:hAnsi="宋体" w:eastAsia="宋体" w:cs="宋体"/>
          <w:sz w:val="24"/>
          <w:szCs w:val="24"/>
        </w:rPr>
        <w:t xml:space="preserve"> </w:t>
      </w:r>
      <w:r>
        <w:rPr>
          <w:rFonts w:ascii="宋体" w:hAnsi="宋体" w:eastAsia="宋体" w:cs="宋体"/>
          <w:spacing w:val="-4"/>
          <w:sz w:val="24"/>
          <w:szCs w:val="24"/>
        </w:rPr>
        <w:t>伴生镉未明确基准价。“云南罗平锌电股份有限公司富乐铅锌矿采</w:t>
      </w:r>
      <w:r>
        <w:rPr>
          <w:rFonts w:ascii="宋体" w:hAnsi="宋体" w:eastAsia="宋体" w:cs="宋体"/>
          <w:spacing w:val="-5"/>
          <w:sz w:val="24"/>
          <w:szCs w:val="24"/>
        </w:rPr>
        <w:t>矿权”新增资源</w:t>
      </w:r>
      <w:r>
        <w:rPr>
          <w:rFonts w:ascii="宋体" w:hAnsi="宋体" w:eastAsia="宋体" w:cs="宋体"/>
          <w:sz w:val="24"/>
          <w:szCs w:val="24"/>
        </w:rPr>
        <w:t xml:space="preserve"> </w:t>
      </w:r>
      <w:r>
        <w:rPr>
          <w:rFonts w:ascii="宋体" w:hAnsi="宋体" w:eastAsia="宋体" w:cs="宋体"/>
          <w:spacing w:val="5"/>
          <w:sz w:val="24"/>
          <w:szCs w:val="24"/>
        </w:rPr>
        <w:t>储量为锌金属量14889.33吨，伴生铅2007.35吨，按出让收益市场基准价计算结</w:t>
      </w:r>
      <w:r>
        <w:rPr>
          <w:rFonts w:ascii="宋体" w:hAnsi="宋体" w:eastAsia="宋体" w:cs="宋体"/>
          <w:spacing w:val="2"/>
          <w:sz w:val="24"/>
          <w:szCs w:val="24"/>
        </w:rPr>
        <w:t xml:space="preserve"> </w:t>
      </w:r>
      <w:r>
        <w:rPr>
          <w:rFonts w:ascii="黑体" w:hAnsi="黑体" w:eastAsia="黑体" w:cs="黑体"/>
          <w:spacing w:val="13"/>
          <w:sz w:val="24"/>
          <w:szCs w:val="24"/>
        </w:rPr>
        <w:t>果为人民币255.23</w:t>
      </w:r>
      <w:r>
        <w:rPr>
          <w:rFonts w:ascii="黑体" w:hAnsi="黑体" w:eastAsia="黑体" w:cs="黑体"/>
          <w:spacing w:val="-10"/>
          <w:sz w:val="24"/>
          <w:szCs w:val="24"/>
        </w:rPr>
        <w:t xml:space="preserve"> </w:t>
      </w:r>
      <w:r>
        <w:rPr>
          <w:rFonts w:ascii="黑体" w:hAnsi="黑体" w:eastAsia="黑体" w:cs="黑体"/>
          <w:spacing w:val="13"/>
          <w:sz w:val="24"/>
          <w:szCs w:val="24"/>
        </w:rPr>
        <w:t>万元(=(14889.33×155.00+2007.35×174.00×0.70)÷</w:t>
      </w:r>
      <w:r>
        <w:rPr>
          <w:rFonts w:ascii="黑体" w:hAnsi="黑体" w:eastAsia="黑体" w:cs="黑体"/>
          <w:sz w:val="24"/>
          <w:szCs w:val="24"/>
        </w:rPr>
        <w:t xml:space="preserve"> </w:t>
      </w:r>
      <w:r>
        <w:rPr>
          <w:rFonts w:ascii="宋体" w:hAnsi="宋体" w:eastAsia="宋体" w:cs="宋体"/>
          <w:spacing w:val="10"/>
          <w:sz w:val="24"/>
          <w:szCs w:val="24"/>
        </w:rPr>
        <w:t>10000.00),其中，锌为230.78万元</w:t>
      </w:r>
      <w:r>
        <w:rPr>
          <w:rFonts w:ascii="宋体" w:hAnsi="宋体" w:eastAsia="宋体" w:cs="宋体"/>
          <w:spacing w:val="9"/>
          <w:sz w:val="24"/>
          <w:szCs w:val="24"/>
        </w:rPr>
        <w:t>，铅为24.45万元。</w:t>
      </w:r>
    </w:p>
    <w:p w14:paraId="77033CC8">
      <w:pPr>
        <w:tabs>
          <w:tab w:val="left" w:pos="225"/>
        </w:tabs>
        <w:spacing w:before="83" w:line="364" w:lineRule="auto"/>
        <w:ind w:left="64" w:firstLine="510"/>
        <w:jc w:val="both"/>
        <w:rPr>
          <w:rFonts w:ascii="宋体" w:hAnsi="宋体" w:eastAsia="宋体" w:cs="宋体"/>
          <w:sz w:val="24"/>
          <w:szCs w:val="24"/>
        </w:rPr>
      </w:pPr>
      <w:r>
        <w:rPr>
          <w:rFonts w:ascii="宋体" w:hAnsi="宋体" w:eastAsia="宋体" w:cs="宋体"/>
          <w:spacing w:val="5"/>
          <w:sz w:val="24"/>
          <w:szCs w:val="24"/>
        </w:rPr>
        <w:t>根据《财政部国土部关于印发&lt;矿业权出让收益征收管理暂行办法&gt;的通知》</w:t>
      </w:r>
      <w:r>
        <w:rPr>
          <w:rFonts w:ascii="宋体" w:hAnsi="宋体" w:eastAsia="宋体" w:cs="宋体"/>
          <w:spacing w:val="18"/>
          <w:sz w:val="24"/>
          <w:szCs w:val="24"/>
        </w:rPr>
        <w:t xml:space="preserve"> </w:t>
      </w:r>
      <w:r>
        <w:rPr>
          <w:rFonts w:ascii="宋体" w:hAnsi="宋体" w:eastAsia="宋体" w:cs="宋体"/>
          <w:sz w:val="24"/>
          <w:szCs w:val="24"/>
        </w:rPr>
        <w:tab/>
      </w:r>
      <w:r>
        <w:rPr>
          <w:rFonts w:ascii="宋体" w:hAnsi="宋体" w:eastAsia="宋体" w:cs="宋体"/>
          <w:spacing w:val="5"/>
          <w:sz w:val="24"/>
          <w:szCs w:val="24"/>
        </w:rPr>
        <w:t>(财综[2017]35号)的规定，矿业权出让收益按照评估价值、市场基准价就高确</w:t>
      </w:r>
      <w:r>
        <w:rPr>
          <w:rFonts w:ascii="宋体" w:hAnsi="宋体" w:eastAsia="宋体" w:cs="宋体"/>
          <w:spacing w:val="1"/>
          <w:sz w:val="24"/>
          <w:szCs w:val="24"/>
        </w:rPr>
        <w:t xml:space="preserve">  </w:t>
      </w:r>
      <w:r>
        <w:rPr>
          <w:rFonts w:ascii="宋体" w:hAnsi="宋体" w:eastAsia="宋体" w:cs="宋体"/>
          <w:spacing w:val="6"/>
          <w:sz w:val="24"/>
          <w:szCs w:val="24"/>
        </w:rPr>
        <w:t>定，故本次评估“云南罗平锌电股份有限公司富乐铅锌矿采矿权”新增量(锌金</w:t>
      </w:r>
      <w:r>
        <w:rPr>
          <w:rFonts w:ascii="宋体" w:hAnsi="宋体" w:eastAsia="宋体" w:cs="宋体"/>
          <w:sz w:val="24"/>
          <w:szCs w:val="24"/>
        </w:rPr>
        <w:t xml:space="preserve">  </w:t>
      </w:r>
      <w:r>
        <w:rPr>
          <w:rFonts w:ascii="宋体" w:hAnsi="宋体" w:eastAsia="宋体" w:cs="宋体"/>
          <w:spacing w:val="13"/>
          <w:sz w:val="24"/>
          <w:szCs w:val="24"/>
        </w:rPr>
        <w:t>属量14889.33吨，伴生铅金属量2007.35吨，伴生镉金属量573.52吨)出让收</w:t>
      </w:r>
      <w:r>
        <w:rPr>
          <w:rFonts w:ascii="宋体" w:hAnsi="宋体" w:eastAsia="宋体" w:cs="宋体"/>
          <w:spacing w:val="7"/>
          <w:sz w:val="24"/>
          <w:szCs w:val="24"/>
        </w:rPr>
        <w:t xml:space="preserve">  </w:t>
      </w:r>
      <w:r>
        <w:rPr>
          <w:rFonts w:ascii="宋体" w:hAnsi="宋体" w:eastAsia="宋体" w:cs="宋体"/>
          <w:spacing w:val="4"/>
          <w:sz w:val="24"/>
          <w:szCs w:val="24"/>
        </w:rPr>
        <w:t>益为308.10万元，大写人民币叁佰零捌万壹仟元整。</w:t>
      </w:r>
    </w:p>
    <w:p w14:paraId="03E3C869">
      <w:pPr>
        <w:spacing w:before="24" w:line="219" w:lineRule="auto"/>
        <w:ind w:left="64"/>
        <w:outlineLvl w:val="0"/>
        <w:rPr>
          <w:rFonts w:ascii="宋体" w:hAnsi="宋体" w:eastAsia="宋体" w:cs="宋体"/>
          <w:sz w:val="24"/>
          <w:szCs w:val="24"/>
        </w:rPr>
      </w:pPr>
      <w:bookmarkStart w:id="60" w:name="bookmark40"/>
      <w:bookmarkEnd w:id="60"/>
      <w:r>
        <w:rPr>
          <w:rFonts w:ascii="Times New Roman" w:hAnsi="Times New Roman" w:eastAsia="Times New Roman" w:cs="Times New Roman"/>
          <w:spacing w:val="2"/>
          <w:sz w:val="24"/>
          <w:szCs w:val="24"/>
        </w:rPr>
        <w:t xml:space="preserve">13. </w:t>
      </w:r>
      <w:r>
        <w:rPr>
          <w:rFonts w:ascii="宋体" w:hAnsi="宋体" w:eastAsia="宋体" w:cs="宋体"/>
          <w:spacing w:val="2"/>
          <w:sz w:val="24"/>
          <w:szCs w:val="24"/>
        </w:rPr>
        <w:t>特别事项说明</w:t>
      </w:r>
    </w:p>
    <w:p w14:paraId="01F2E3ED">
      <w:pPr>
        <w:spacing w:before="203" w:line="218" w:lineRule="auto"/>
        <w:ind w:left="575"/>
        <w:rPr>
          <w:rFonts w:ascii="宋体" w:hAnsi="宋体" w:eastAsia="宋体" w:cs="宋体"/>
          <w:sz w:val="24"/>
          <w:szCs w:val="24"/>
        </w:rPr>
      </w:pPr>
      <w:r>
        <w:rPr>
          <w:rFonts w:ascii="宋体" w:hAnsi="宋体" w:eastAsia="宋体" w:cs="宋体"/>
          <w:spacing w:val="5"/>
          <w:sz w:val="24"/>
          <w:szCs w:val="24"/>
        </w:rPr>
        <w:t>13.1评估结论使用的有效期</w:t>
      </w:r>
    </w:p>
    <w:p w14:paraId="0D110D0F">
      <w:pPr>
        <w:spacing w:before="206" w:line="370" w:lineRule="auto"/>
        <w:ind w:left="64" w:right="159" w:firstLine="510"/>
        <w:rPr>
          <w:rFonts w:ascii="宋体" w:hAnsi="宋体" w:eastAsia="宋体" w:cs="宋体"/>
          <w:sz w:val="24"/>
          <w:szCs w:val="24"/>
        </w:rPr>
      </w:pPr>
      <w:r>
        <w:rPr>
          <w:rFonts w:ascii="宋体" w:hAnsi="宋体" w:eastAsia="宋体" w:cs="宋体"/>
          <w:spacing w:val="4"/>
          <w:sz w:val="24"/>
          <w:szCs w:val="24"/>
        </w:rPr>
        <w:t>根据《矿业权出让收益评估应用指南(试行)》(中国矿业权评估师协会公告</w:t>
      </w:r>
      <w:r>
        <w:rPr>
          <w:rFonts w:ascii="宋体" w:hAnsi="宋体" w:eastAsia="宋体" w:cs="宋体"/>
          <w:spacing w:val="10"/>
          <w:sz w:val="24"/>
          <w:szCs w:val="24"/>
        </w:rPr>
        <w:t xml:space="preserve"> </w:t>
      </w:r>
      <w:r>
        <w:rPr>
          <w:rFonts w:ascii="宋体" w:hAnsi="宋体" w:eastAsia="宋体" w:cs="宋体"/>
          <w:spacing w:val="8"/>
          <w:sz w:val="24"/>
          <w:szCs w:val="24"/>
        </w:rPr>
        <w:t>2017年第3号发布),评估结果公开的，即评估报告需向自然资源主管部门报送</w:t>
      </w:r>
      <w:r>
        <w:rPr>
          <w:rFonts w:ascii="宋体" w:hAnsi="宋体" w:eastAsia="宋体" w:cs="宋体"/>
          <w:spacing w:val="6"/>
          <w:sz w:val="24"/>
          <w:szCs w:val="24"/>
        </w:rPr>
        <w:t xml:space="preserve">  </w:t>
      </w:r>
      <w:r>
        <w:rPr>
          <w:rFonts w:ascii="宋体" w:hAnsi="宋体" w:eastAsia="宋体" w:cs="宋体"/>
          <w:spacing w:val="-5"/>
          <w:sz w:val="24"/>
          <w:szCs w:val="24"/>
        </w:rPr>
        <w:t>公示无异议予以公开后使用的，评估结论使用有效期自评估报告公开之日起一年；</w:t>
      </w:r>
      <w:r>
        <w:rPr>
          <w:rFonts w:ascii="宋体" w:hAnsi="宋体" w:eastAsia="宋体" w:cs="宋体"/>
          <w:sz w:val="24"/>
          <w:szCs w:val="24"/>
        </w:rPr>
        <w:t xml:space="preserve"> </w:t>
      </w:r>
      <w:r>
        <w:rPr>
          <w:rFonts w:ascii="宋体" w:hAnsi="宋体" w:eastAsia="宋体" w:cs="宋体"/>
          <w:spacing w:val="1"/>
          <w:sz w:val="24"/>
          <w:szCs w:val="24"/>
        </w:rPr>
        <w:t>评估结果不公开的，评估结论使用有效期自评估基准日起一年。超过有效期，需</w:t>
      </w:r>
      <w:r>
        <w:rPr>
          <w:rFonts w:ascii="宋体" w:hAnsi="宋体" w:eastAsia="宋体" w:cs="宋体"/>
          <w:sz w:val="24"/>
          <w:szCs w:val="24"/>
        </w:rPr>
        <w:t xml:space="preserve"> </w:t>
      </w:r>
      <w:r>
        <w:rPr>
          <w:rFonts w:ascii="宋体" w:hAnsi="宋体" w:eastAsia="宋体" w:cs="宋体"/>
          <w:spacing w:val="-1"/>
          <w:sz w:val="24"/>
          <w:szCs w:val="24"/>
        </w:rPr>
        <w:t>要重新进行评估。</w:t>
      </w:r>
    </w:p>
    <w:p w14:paraId="281F05D4">
      <w:pPr>
        <w:spacing w:line="370" w:lineRule="auto"/>
        <w:rPr>
          <w:rFonts w:ascii="宋体" w:hAnsi="宋体" w:eastAsia="宋体" w:cs="宋体"/>
          <w:sz w:val="24"/>
          <w:szCs w:val="24"/>
        </w:rPr>
        <w:sectPr>
          <w:headerReference r:id="rId124" w:type="default"/>
          <w:footerReference r:id="rId125" w:type="default"/>
          <w:pgSz w:w="11900" w:h="16830"/>
          <w:pgMar w:top="1157" w:right="1430" w:bottom="1310" w:left="1785" w:header="880" w:footer="955" w:gutter="0"/>
          <w:cols w:space="720" w:num="1"/>
        </w:sectPr>
      </w:pPr>
    </w:p>
    <w:p w14:paraId="443E4E4D">
      <w:pPr>
        <w:pStyle w:val="2"/>
        <w:spacing w:line="380" w:lineRule="auto"/>
      </w:pPr>
    </w:p>
    <w:p w14:paraId="3E2C2434">
      <w:pPr>
        <w:spacing w:before="78" w:line="218" w:lineRule="auto"/>
        <w:ind w:left="614"/>
        <w:rPr>
          <w:rFonts w:ascii="宋体" w:hAnsi="宋体" w:eastAsia="宋体" w:cs="宋体"/>
          <w:sz w:val="24"/>
          <w:szCs w:val="24"/>
        </w:rPr>
      </w:pPr>
      <w:r>
        <w:rPr>
          <w:rFonts w:ascii="宋体" w:hAnsi="宋体" w:eastAsia="宋体" w:cs="宋体"/>
          <w:sz w:val="24"/>
          <w:szCs w:val="24"/>
        </w:rPr>
        <w:t>13.2评估基准日后的调整事项</w:t>
      </w:r>
    </w:p>
    <w:p w14:paraId="7D8B4832">
      <w:pPr>
        <w:spacing w:before="208" w:line="369" w:lineRule="auto"/>
        <w:ind w:left="104" w:right="149" w:firstLine="510"/>
        <w:rPr>
          <w:rFonts w:ascii="宋体" w:hAnsi="宋体" w:eastAsia="宋体" w:cs="宋体"/>
          <w:sz w:val="24"/>
          <w:szCs w:val="24"/>
        </w:rPr>
      </w:pPr>
      <w:r>
        <w:rPr>
          <w:rFonts w:ascii="宋体" w:hAnsi="宋体" w:eastAsia="宋体" w:cs="宋体"/>
          <w:spacing w:val="1"/>
          <w:sz w:val="24"/>
          <w:szCs w:val="24"/>
        </w:rPr>
        <w:t>在本评估结论使用的有效时间内，如果本项目采矿权所依附的矿</w:t>
      </w:r>
      <w:r>
        <w:rPr>
          <w:rFonts w:ascii="宋体" w:hAnsi="宋体" w:eastAsia="宋体" w:cs="宋体"/>
          <w:sz w:val="24"/>
          <w:szCs w:val="24"/>
        </w:rPr>
        <w:t xml:space="preserve">产资源储量 </w:t>
      </w:r>
      <w:r>
        <w:rPr>
          <w:rFonts w:ascii="宋体" w:hAnsi="宋体" w:eastAsia="宋体" w:cs="宋体"/>
          <w:spacing w:val="2"/>
          <w:sz w:val="24"/>
          <w:szCs w:val="24"/>
        </w:rPr>
        <w:t>发生明显变化，或者由于矿山再扩大生产规模而追加投</w:t>
      </w:r>
      <w:r>
        <w:rPr>
          <w:rFonts w:ascii="宋体" w:hAnsi="宋体" w:eastAsia="宋体" w:cs="宋体"/>
          <w:spacing w:val="1"/>
          <w:sz w:val="24"/>
          <w:szCs w:val="24"/>
        </w:rPr>
        <w:t>资随之造成采矿权价值发</w:t>
      </w:r>
      <w:r>
        <w:rPr>
          <w:rFonts w:ascii="宋体" w:hAnsi="宋体" w:eastAsia="宋体" w:cs="宋体"/>
          <w:sz w:val="24"/>
          <w:szCs w:val="24"/>
        </w:rPr>
        <w:t xml:space="preserve"> </w:t>
      </w:r>
      <w:r>
        <w:rPr>
          <w:rFonts w:ascii="宋体" w:hAnsi="宋体" w:eastAsia="宋体" w:cs="宋体"/>
          <w:spacing w:val="1"/>
          <w:sz w:val="24"/>
          <w:szCs w:val="24"/>
        </w:rPr>
        <w:t>生明显变化，委托方可重新委托本公司按原评估方法对原评估结论进行相应的调</w:t>
      </w:r>
      <w:r>
        <w:rPr>
          <w:rFonts w:ascii="宋体" w:hAnsi="宋体" w:eastAsia="宋体" w:cs="宋体"/>
          <w:spacing w:val="13"/>
          <w:sz w:val="24"/>
          <w:szCs w:val="24"/>
        </w:rPr>
        <w:t xml:space="preserve"> </w:t>
      </w:r>
      <w:r>
        <w:rPr>
          <w:rFonts w:ascii="宋体" w:hAnsi="宋体" w:eastAsia="宋体" w:cs="宋体"/>
          <w:spacing w:val="2"/>
          <w:sz w:val="24"/>
          <w:szCs w:val="24"/>
        </w:rPr>
        <w:t>整；如果本项目评估所采用的资产价格标准或税费标准</w:t>
      </w:r>
      <w:r>
        <w:rPr>
          <w:rFonts w:ascii="宋体" w:hAnsi="宋体" w:eastAsia="宋体" w:cs="宋体"/>
          <w:spacing w:val="1"/>
          <w:sz w:val="24"/>
          <w:szCs w:val="24"/>
        </w:rPr>
        <w:t>发生不可抗逆的变化，并</w:t>
      </w:r>
      <w:r>
        <w:rPr>
          <w:rFonts w:ascii="宋体" w:hAnsi="宋体" w:eastAsia="宋体" w:cs="宋体"/>
          <w:sz w:val="24"/>
          <w:szCs w:val="24"/>
        </w:rPr>
        <w:t xml:space="preserve"> </w:t>
      </w:r>
      <w:r>
        <w:rPr>
          <w:rFonts w:ascii="宋体" w:hAnsi="宋体" w:eastAsia="宋体" w:cs="宋体"/>
          <w:spacing w:val="-1"/>
          <w:sz w:val="24"/>
          <w:szCs w:val="24"/>
        </w:rPr>
        <w:t>对评估结论产生明显影响时，委托方可及时委托本公司重</w:t>
      </w:r>
      <w:r>
        <w:rPr>
          <w:rFonts w:ascii="宋体" w:hAnsi="宋体" w:eastAsia="宋体" w:cs="宋体"/>
          <w:spacing w:val="-2"/>
          <w:sz w:val="24"/>
          <w:szCs w:val="24"/>
        </w:rPr>
        <w:t>新确定采矿权价值。</w:t>
      </w:r>
    </w:p>
    <w:p w14:paraId="3875D861">
      <w:pPr>
        <w:spacing w:before="1" w:line="217" w:lineRule="auto"/>
        <w:ind w:left="614"/>
        <w:rPr>
          <w:rFonts w:ascii="宋体" w:hAnsi="宋体" w:eastAsia="宋体" w:cs="宋体"/>
          <w:sz w:val="24"/>
          <w:szCs w:val="24"/>
        </w:rPr>
      </w:pPr>
      <w:r>
        <w:rPr>
          <w:rFonts w:ascii="宋体" w:hAnsi="宋体" w:eastAsia="宋体" w:cs="宋体"/>
          <w:sz w:val="24"/>
          <w:szCs w:val="24"/>
        </w:rPr>
        <w:t>13.3评估结论有效的其他条件</w:t>
      </w:r>
    </w:p>
    <w:p w14:paraId="70FA59E2">
      <w:pPr>
        <w:spacing w:before="194" w:line="363" w:lineRule="auto"/>
        <w:ind w:left="104" w:right="39" w:firstLine="510"/>
        <w:rPr>
          <w:rFonts w:ascii="宋体" w:hAnsi="宋体" w:eastAsia="宋体" w:cs="宋体"/>
          <w:sz w:val="24"/>
          <w:szCs w:val="24"/>
        </w:rPr>
      </w:pPr>
      <w:r>
        <w:rPr>
          <w:rFonts w:ascii="宋体" w:hAnsi="宋体" w:eastAsia="宋体" w:cs="宋体"/>
          <w:spacing w:val="2"/>
          <w:sz w:val="24"/>
          <w:szCs w:val="24"/>
        </w:rPr>
        <w:t>本项目评估结论是以特定的评估目的为前提，根据国家的法律</w:t>
      </w:r>
      <w:r>
        <w:rPr>
          <w:rFonts w:ascii="宋体" w:hAnsi="宋体" w:eastAsia="宋体" w:cs="宋体"/>
          <w:spacing w:val="1"/>
          <w:sz w:val="24"/>
          <w:szCs w:val="24"/>
        </w:rPr>
        <w:t>、法规和有关</w:t>
      </w:r>
      <w:r>
        <w:rPr>
          <w:rFonts w:ascii="宋体" w:hAnsi="宋体" w:eastAsia="宋体" w:cs="宋体"/>
          <w:sz w:val="24"/>
          <w:szCs w:val="24"/>
        </w:rPr>
        <w:t xml:space="preserve"> </w:t>
      </w:r>
      <w:r>
        <w:rPr>
          <w:rFonts w:ascii="宋体" w:hAnsi="宋体" w:eastAsia="宋体" w:cs="宋体"/>
          <w:spacing w:val="2"/>
          <w:sz w:val="24"/>
          <w:szCs w:val="24"/>
        </w:rPr>
        <w:t>技术经济资料，并在特定的假设条件下确定的采矿权出让收</w:t>
      </w:r>
      <w:r>
        <w:rPr>
          <w:rFonts w:ascii="宋体" w:hAnsi="宋体" w:eastAsia="宋体" w:cs="宋体"/>
          <w:spacing w:val="1"/>
          <w:sz w:val="24"/>
          <w:szCs w:val="24"/>
        </w:rPr>
        <w:t>益价值，评估中没有</w:t>
      </w:r>
      <w:r>
        <w:rPr>
          <w:rFonts w:ascii="宋体" w:hAnsi="宋体" w:eastAsia="宋体" w:cs="宋体"/>
          <w:sz w:val="24"/>
          <w:szCs w:val="24"/>
        </w:rPr>
        <w:t xml:space="preserve">  </w:t>
      </w:r>
      <w:r>
        <w:rPr>
          <w:rFonts w:ascii="宋体" w:hAnsi="宋体" w:eastAsia="宋体" w:cs="宋体"/>
          <w:spacing w:val="2"/>
          <w:sz w:val="24"/>
          <w:szCs w:val="24"/>
        </w:rPr>
        <w:t>考虑将采矿权用于其他目的可能对采矿权价值所带来的</w:t>
      </w:r>
      <w:r>
        <w:rPr>
          <w:rFonts w:ascii="宋体" w:hAnsi="宋体" w:eastAsia="宋体" w:cs="宋体"/>
          <w:spacing w:val="1"/>
          <w:sz w:val="24"/>
          <w:szCs w:val="24"/>
        </w:rPr>
        <w:t>影响，也未考虑其他不可</w:t>
      </w:r>
      <w:r>
        <w:rPr>
          <w:rFonts w:ascii="宋体" w:hAnsi="宋体" w:eastAsia="宋体" w:cs="宋体"/>
          <w:sz w:val="24"/>
          <w:szCs w:val="24"/>
        </w:rPr>
        <w:t xml:space="preserve">  </w:t>
      </w:r>
      <w:r>
        <w:rPr>
          <w:rFonts w:ascii="宋体" w:hAnsi="宋体" w:eastAsia="宋体" w:cs="宋体"/>
          <w:spacing w:val="-2"/>
          <w:sz w:val="24"/>
          <w:szCs w:val="24"/>
        </w:rPr>
        <w:t>抗力可能对其造成的影响。在评估报告出具日期之后和本评估结论使用有效期内，</w:t>
      </w:r>
      <w:r>
        <w:rPr>
          <w:rFonts w:ascii="宋体" w:hAnsi="宋体" w:eastAsia="宋体" w:cs="宋体"/>
          <w:spacing w:val="1"/>
          <w:sz w:val="24"/>
          <w:szCs w:val="24"/>
        </w:rPr>
        <w:t xml:space="preserve"> </w:t>
      </w:r>
      <w:r>
        <w:rPr>
          <w:rFonts w:ascii="宋体" w:hAnsi="宋体" w:eastAsia="宋体" w:cs="宋体"/>
          <w:spacing w:val="-2"/>
          <w:sz w:val="24"/>
          <w:szCs w:val="24"/>
        </w:rPr>
        <w:t>如发生影响委估采矿权出让收益评估价值的重大事项，不能直接使用本评估结论。</w:t>
      </w:r>
      <w:r>
        <w:rPr>
          <w:rFonts w:ascii="宋体" w:hAnsi="宋体" w:eastAsia="宋体" w:cs="宋体"/>
          <w:spacing w:val="1"/>
          <w:sz w:val="24"/>
          <w:szCs w:val="24"/>
        </w:rPr>
        <w:t xml:space="preserve"> </w:t>
      </w:r>
      <w:r>
        <w:rPr>
          <w:rFonts w:ascii="宋体" w:hAnsi="宋体" w:eastAsia="宋体" w:cs="宋体"/>
          <w:spacing w:val="2"/>
          <w:sz w:val="24"/>
          <w:szCs w:val="24"/>
        </w:rPr>
        <w:t>若评估基准日后评估结论使用有效期以内资源储量等数</w:t>
      </w:r>
      <w:r>
        <w:rPr>
          <w:rFonts w:ascii="宋体" w:hAnsi="宋体" w:eastAsia="宋体" w:cs="宋体"/>
          <w:spacing w:val="1"/>
          <w:sz w:val="24"/>
          <w:szCs w:val="24"/>
        </w:rPr>
        <w:t>量发生变化，在实际作价</w:t>
      </w:r>
      <w:r>
        <w:rPr>
          <w:rFonts w:ascii="宋体" w:hAnsi="宋体" w:eastAsia="宋体" w:cs="宋体"/>
          <w:sz w:val="24"/>
          <w:szCs w:val="24"/>
        </w:rPr>
        <w:t xml:space="preserve">  </w:t>
      </w:r>
      <w:r>
        <w:rPr>
          <w:rFonts w:ascii="宋体" w:hAnsi="宋体" w:eastAsia="宋体" w:cs="宋体"/>
          <w:spacing w:val="3"/>
          <w:sz w:val="24"/>
          <w:szCs w:val="24"/>
        </w:rPr>
        <w:t>时应根据原评估方法对采矿权出让收益评估价</w:t>
      </w:r>
      <w:r>
        <w:rPr>
          <w:rFonts w:ascii="宋体" w:hAnsi="宋体" w:eastAsia="宋体" w:cs="宋体"/>
          <w:spacing w:val="2"/>
          <w:sz w:val="24"/>
          <w:szCs w:val="24"/>
        </w:rPr>
        <w:t>值进行相应调整；当价格标准发生</w:t>
      </w:r>
      <w:r>
        <w:rPr>
          <w:rFonts w:ascii="宋体" w:hAnsi="宋体" w:eastAsia="宋体" w:cs="宋体"/>
          <w:sz w:val="24"/>
          <w:szCs w:val="24"/>
        </w:rPr>
        <w:t xml:space="preserve"> </w:t>
      </w:r>
      <w:r>
        <w:rPr>
          <w:rFonts w:ascii="宋体" w:hAnsi="宋体" w:eastAsia="宋体" w:cs="宋体"/>
          <w:spacing w:val="2"/>
          <w:sz w:val="24"/>
          <w:szCs w:val="24"/>
        </w:rPr>
        <w:t>重大变化而对采矿权出让收益评估价值产生明显影响时，</w:t>
      </w:r>
      <w:r>
        <w:rPr>
          <w:rFonts w:ascii="宋体" w:hAnsi="宋体" w:eastAsia="宋体" w:cs="宋体"/>
          <w:spacing w:val="1"/>
          <w:sz w:val="24"/>
          <w:szCs w:val="24"/>
        </w:rPr>
        <w:t>评估委托人应及时聘请</w:t>
      </w:r>
      <w:r>
        <w:rPr>
          <w:rFonts w:ascii="宋体" w:hAnsi="宋体" w:eastAsia="宋体" w:cs="宋体"/>
          <w:sz w:val="24"/>
          <w:szCs w:val="24"/>
        </w:rPr>
        <w:t xml:space="preserve">  </w:t>
      </w:r>
      <w:r>
        <w:rPr>
          <w:rFonts w:ascii="宋体" w:hAnsi="宋体" w:eastAsia="宋体" w:cs="宋体"/>
          <w:spacing w:val="-1"/>
          <w:sz w:val="24"/>
          <w:szCs w:val="24"/>
        </w:rPr>
        <w:t>评估机构重新确定采矿权出让收益评估价值。</w:t>
      </w:r>
    </w:p>
    <w:p w14:paraId="56F61186">
      <w:pPr>
        <w:spacing w:before="67" w:line="219" w:lineRule="auto"/>
        <w:ind w:left="614"/>
        <w:rPr>
          <w:rFonts w:ascii="宋体" w:hAnsi="宋体" w:eastAsia="宋体" w:cs="宋体"/>
          <w:sz w:val="24"/>
          <w:szCs w:val="24"/>
        </w:rPr>
      </w:pPr>
      <w:r>
        <w:rPr>
          <w:rFonts w:ascii="宋体" w:hAnsi="宋体" w:eastAsia="宋体" w:cs="宋体"/>
          <w:spacing w:val="8"/>
          <w:sz w:val="24"/>
          <w:szCs w:val="24"/>
        </w:rPr>
        <w:t>13.4责任划分</w:t>
      </w:r>
    </w:p>
    <w:p w14:paraId="10CA96AF">
      <w:pPr>
        <w:spacing w:before="193" w:line="370" w:lineRule="auto"/>
        <w:ind w:left="104" w:right="87" w:firstLine="510"/>
        <w:rPr>
          <w:rFonts w:ascii="宋体" w:hAnsi="宋体" w:eastAsia="宋体" w:cs="宋体"/>
          <w:sz w:val="24"/>
          <w:szCs w:val="24"/>
        </w:rPr>
      </w:pPr>
      <w:r>
        <w:rPr>
          <w:rFonts w:ascii="宋体" w:hAnsi="宋体" w:eastAsia="宋体" w:cs="宋体"/>
          <w:spacing w:val="3"/>
          <w:sz w:val="24"/>
          <w:szCs w:val="24"/>
        </w:rPr>
        <w:t>本项目评估机构只对本项目的评估结论本身是否符合执业</w:t>
      </w:r>
      <w:r>
        <w:rPr>
          <w:rFonts w:ascii="宋体" w:hAnsi="宋体" w:eastAsia="宋体" w:cs="宋体"/>
          <w:spacing w:val="2"/>
          <w:sz w:val="24"/>
          <w:szCs w:val="24"/>
        </w:rPr>
        <w:t>规范要求负责，而</w:t>
      </w:r>
      <w:r>
        <w:rPr>
          <w:rFonts w:ascii="宋体" w:hAnsi="宋体" w:eastAsia="宋体" w:cs="宋体"/>
          <w:sz w:val="24"/>
          <w:szCs w:val="24"/>
        </w:rPr>
        <w:t xml:space="preserve"> </w:t>
      </w:r>
      <w:r>
        <w:rPr>
          <w:rFonts w:ascii="宋体" w:hAnsi="宋体" w:eastAsia="宋体" w:cs="宋体"/>
          <w:spacing w:val="2"/>
          <w:sz w:val="24"/>
          <w:szCs w:val="24"/>
        </w:rPr>
        <w:t>不对采矿权资产定价决策负责。本项目评估结果是根据本项目特定的评估目的得</w:t>
      </w:r>
      <w:r>
        <w:rPr>
          <w:rFonts w:ascii="宋体" w:hAnsi="宋体" w:eastAsia="宋体" w:cs="宋体"/>
          <w:spacing w:val="18"/>
          <w:sz w:val="24"/>
          <w:szCs w:val="24"/>
        </w:rPr>
        <w:t xml:space="preserve"> </w:t>
      </w:r>
      <w:r>
        <w:rPr>
          <w:rFonts w:ascii="宋体" w:hAnsi="宋体" w:eastAsia="宋体" w:cs="宋体"/>
          <w:sz w:val="24"/>
          <w:szCs w:val="24"/>
        </w:rPr>
        <w:t>出的价值参考意见，不得用于其他目的。</w:t>
      </w:r>
    </w:p>
    <w:p w14:paraId="24BD2DC1">
      <w:pPr>
        <w:spacing w:before="8" w:line="219" w:lineRule="auto"/>
        <w:ind w:left="614"/>
        <w:rPr>
          <w:rFonts w:ascii="宋体" w:hAnsi="宋体" w:eastAsia="宋体" w:cs="宋体"/>
          <w:sz w:val="24"/>
          <w:szCs w:val="24"/>
        </w:rPr>
      </w:pPr>
      <w:r>
        <w:rPr>
          <w:rFonts w:ascii="宋体" w:hAnsi="宋体" w:eastAsia="宋体" w:cs="宋体"/>
          <w:spacing w:val="4"/>
          <w:sz w:val="24"/>
          <w:szCs w:val="24"/>
        </w:rPr>
        <w:t>13.5其他需要说明的事项</w:t>
      </w:r>
    </w:p>
    <w:p w14:paraId="6AB9DD9E">
      <w:pPr>
        <w:spacing w:before="184" w:line="218" w:lineRule="auto"/>
        <w:ind w:left="704"/>
        <w:rPr>
          <w:rFonts w:ascii="宋体" w:hAnsi="宋体" w:eastAsia="宋体" w:cs="宋体"/>
          <w:sz w:val="24"/>
          <w:szCs w:val="24"/>
        </w:rPr>
      </w:pPr>
      <w:r>
        <w:rPr>
          <w:rFonts w:ascii="宋体" w:hAnsi="宋体" w:eastAsia="宋体" w:cs="宋体"/>
          <w:spacing w:val="2"/>
          <w:sz w:val="24"/>
          <w:szCs w:val="24"/>
        </w:rPr>
        <w:t>(1)伴生镉金属量基准价计算</w:t>
      </w:r>
    </w:p>
    <w:p w14:paraId="1A1AA13A">
      <w:pPr>
        <w:spacing w:before="218" w:line="362" w:lineRule="auto"/>
        <w:ind w:left="104" w:right="9" w:firstLine="479"/>
        <w:rPr>
          <w:rFonts w:ascii="宋体" w:hAnsi="宋体" w:eastAsia="宋体" w:cs="宋体"/>
          <w:sz w:val="24"/>
          <w:szCs w:val="24"/>
        </w:rPr>
      </w:pPr>
      <w:r>
        <w:rPr>
          <w:rFonts w:ascii="宋体" w:hAnsi="宋体" w:eastAsia="宋体" w:cs="宋体"/>
          <w:spacing w:val="-4"/>
          <w:sz w:val="24"/>
          <w:szCs w:val="24"/>
        </w:rPr>
        <w:t>《云南省国土资源厅公告》(云国土资公告[2018]1号)中未明确伴生</w:t>
      </w:r>
      <w:r>
        <w:rPr>
          <w:rFonts w:ascii="宋体" w:hAnsi="宋体" w:eastAsia="宋体" w:cs="宋体"/>
          <w:spacing w:val="-5"/>
          <w:sz w:val="24"/>
          <w:szCs w:val="24"/>
        </w:rPr>
        <w:t>镉基准价，</w:t>
      </w:r>
      <w:r>
        <w:rPr>
          <w:rFonts w:ascii="宋体" w:hAnsi="宋体" w:eastAsia="宋体" w:cs="宋体"/>
          <w:sz w:val="24"/>
          <w:szCs w:val="24"/>
        </w:rPr>
        <w:t xml:space="preserve"> </w:t>
      </w:r>
      <w:r>
        <w:rPr>
          <w:rFonts w:ascii="宋体" w:hAnsi="宋体" w:eastAsia="宋体" w:cs="宋体"/>
          <w:spacing w:val="3"/>
          <w:sz w:val="24"/>
          <w:szCs w:val="24"/>
        </w:rPr>
        <w:t>本次评估新增资源储量按出让收益市场基准价计算结果255.23万元，未包含伴生</w:t>
      </w:r>
      <w:r>
        <w:rPr>
          <w:rFonts w:ascii="宋体" w:hAnsi="宋体" w:eastAsia="宋体" w:cs="宋体"/>
          <w:spacing w:val="6"/>
          <w:sz w:val="24"/>
          <w:szCs w:val="24"/>
        </w:rPr>
        <w:t xml:space="preserve"> </w:t>
      </w:r>
      <w:r>
        <w:rPr>
          <w:rFonts w:ascii="宋体" w:hAnsi="宋体" w:eastAsia="宋体" w:cs="宋体"/>
          <w:sz w:val="24"/>
          <w:szCs w:val="24"/>
        </w:rPr>
        <w:t>镉。特提请报告使用者注意。</w:t>
      </w:r>
    </w:p>
    <w:p w14:paraId="4F6874F2">
      <w:pPr>
        <w:spacing w:before="26" w:line="290" w:lineRule="auto"/>
        <w:ind w:left="104" w:right="81" w:firstLine="599"/>
        <w:rPr>
          <w:rFonts w:ascii="宋体" w:hAnsi="宋体" w:eastAsia="宋体" w:cs="宋体"/>
          <w:sz w:val="24"/>
          <w:szCs w:val="24"/>
        </w:rPr>
      </w:pPr>
      <w:r>
        <w:rPr>
          <w:rFonts w:ascii="宋体" w:hAnsi="宋体" w:eastAsia="宋体" w:cs="宋体"/>
          <w:spacing w:val="4"/>
          <w:sz w:val="24"/>
          <w:szCs w:val="24"/>
        </w:rPr>
        <w:t>(2)本次评估是在独立、客观、公正、科学的原则下做</w:t>
      </w:r>
      <w:r>
        <w:rPr>
          <w:rFonts w:ascii="宋体" w:hAnsi="宋体" w:eastAsia="宋体" w:cs="宋体"/>
          <w:spacing w:val="3"/>
          <w:sz w:val="24"/>
          <w:szCs w:val="24"/>
        </w:rPr>
        <w:t>出的，我公司及参加</w:t>
      </w:r>
      <w:r>
        <w:rPr>
          <w:rFonts w:ascii="宋体" w:hAnsi="宋体" w:eastAsia="宋体" w:cs="宋体"/>
          <w:sz w:val="24"/>
          <w:szCs w:val="24"/>
        </w:rPr>
        <w:t xml:space="preserve"> 评估的人员与委托方没有任何特殊利害关系。</w:t>
      </w:r>
    </w:p>
    <w:p w14:paraId="042D8E43">
      <w:pPr>
        <w:spacing w:before="208" w:line="290" w:lineRule="auto"/>
        <w:ind w:left="104" w:right="84" w:firstLine="599"/>
        <w:rPr>
          <w:rFonts w:ascii="宋体" w:hAnsi="宋体" w:eastAsia="宋体" w:cs="宋体"/>
          <w:sz w:val="24"/>
          <w:szCs w:val="24"/>
        </w:rPr>
      </w:pPr>
      <w:r>
        <w:rPr>
          <w:rFonts w:ascii="宋体" w:hAnsi="宋体" w:eastAsia="宋体" w:cs="宋体"/>
          <w:spacing w:val="3"/>
          <w:sz w:val="24"/>
          <w:szCs w:val="24"/>
        </w:rPr>
        <w:t>(3)评估采用的地质资料及相关资产状况的原始资料、有关法律文件及相关</w:t>
      </w:r>
      <w:r>
        <w:rPr>
          <w:rFonts w:ascii="宋体" w:hAnsi="宋体" w:eastAsia="宋体" w:cs="宋体"/>
          <w:spacing w:val="18"/>
          <w:sz w:val="24"/>
          <w:szCs w:val="24"/>
        </w:rPr>
        <w:t xml:space="preserve"> </w:t>
      </w:r>
      <w:r>
        <w:rPr>
          <w:rFonts w:ascii="宋体" w:hAnsi="宋体" w:eastAsia="宋体" w:cs="宋体"/>
          <w:spacing w:val="4"/>
          <w:sz w:val="24"/>
          <w:szCs w:val="24"/>
        </w:rPr>
        <w:t>产权证明文件、材料等由委托方提供，委托</w:t>
      </w:r>
      <w:r>
        <w:rPr>
          <w:rFonts w:ascii="宋体" w:hAnsi="宋体" w:eastAsia="宋体" w:cs="宋体"/>
          <w:spacing w:val="3"/>
          <w:sz w:val="24"/>
          <w:szCs w:val="24"/>
        </w:rPr>
        <w:t>方对其真实性、完整性及合法性负责</w:t>
      </w:r>
    </w:p>
    <w:p w14:paraId="340055C6">
      <w:pPr>
        <w:spacing w:line="290" w:lineRule="auto"/>
        <w:rPr>
          <w:rFonts w:ascii="宋体" w:hAnsi="宋体" w:eastAsia="宋体" w:cs="宋体"/>
          <w:sz w:val="24"/>
          <w:szCs w:val="24"/>
        </w:rPr>
        <w:sectPr>
          <w:headerReference r:id="rId126" w:type="default"/>
          <w:footerReference r:id="rId127" w:type="default"/>
          <w:pgSz w:w="11900" w:h="16830"/>
          <w:pgMar w:top="1166" w:right="1400" w:bottom="1290" w:left="1785" w:header="890" w:footer="938" w:gutter="0"/>
          <w:cols w:space="720" w:num="1"/>
        </w:sectPr>
      </w:pPr>
    </w:p>
    <w:p w14:paraId="31ADED44">
      <w:pPr>
        <w:pStyle w:val="2"/>
        <w:spacing w:line="392" w:lineRule="auto"/>
      </w:pPr>
    </w:p>
    <w:p w14:paraId="4CB11415">
      <w:pPr>
        <w:spacing w:before="78" w:line="219" w:lineRule="auto"/>
        <w:ind w:left="144"/>
        <w:rPr>
          <w:rFonts w:ascii="宋体" w:hAnsi="宋体" w:eastAsia="宋体" w:cs="宋体"/>
          <w:sz w:val="24"/>
          <w:szCs w:val="24"/>
        </w:rPr>
      </w:pPr>
      <w:r>
        <w:rPr>
          <w:rFonts w:ascii="宋体" w:hAnsi="宋体" w:eastAsia="宋体" w:cs="宋体"/>
          <w:spacing w:val="-5"/>
          <w:sz w:val="24"/>
          <w:szCs w:val="24"/>
        </w:rPr>
        <w:t>并承担相关法律责任。</w:t>
      </w:r>
    </w:p>
    <w:p w14:paraId="704D23E0">
      <w:pPr>
        <w:spacing w:before="193" w:line="218" w:lineRule="auto"/>
        <w:ind w:left="144"/>
        <w:outlineLvl w:val="0"/>
        <w:rPr>
          <w:rFonts w:ascii="宋体" w:hAnsi="宋体" w:eastAsia="宋体" w:cs="宋体"/>
          <w:sz w:val="24"/>
          <w:szCs w:val="24"/>
        </w:rPr>
      </w:pPr>
      <w:bookmarkStart w:id="61" w:name="bookmark41"/>
      <w:bookmarkEnd w:id="61"/>
      <w:r>
        <w:rPr>
          <w:rFonts w:ascii="Times New Roman" w:hAnsi="Times New Roman" w:eastAsia="Times New Roman" w:cs="Times New Roman"/>
          <w:sz w:val="24"/>
          <w:szCs w:val="24"/>
        </w:rPr>
        <w:t>14.</w:t>
      </w:r>
      <w:r>
        <w:rPr>
          <w:rFonts w:ascii="Times New Roman" w:hAnsi="Times New Roman" w:eastAsia="Times New Roman" w:cs="Times New Roman"/>
          <w:spacing w:val="-11"/>
          <w:sz w:val="24"/>
          <w:szCs w:val="24"/>
        </w:rPr>
        <w:t xml:space="preserve"> </w:t>
      </w:r>
      <w:r>
        <w:rPr>
          <w:rFonts w:ascii="宋体" w:hAnsi="宋体" w:eastAsia="宋体" w:cs="宋体"/>
          <w:sz w:val="24"/>
          <w:szCs w:val="24"/>
        </w:rPr>
        <w:t>矿业权评估报告的使用限制</w:t>
      </w:r>
    </w:p>
    <w:p w14:paraId="429AF67A">
      <w:pPr>
        <w:spacing w:before="206" w:line="292" w:lineRule="auto"/>
        <w:ind w:left="144" w:right="71" w:firstLine="510"/>
        <w:rPr>
          <w:rFonts w:ascii="宋体" w:hAnsi="宋体" w:eastAsia="宋体" w:cs="宋体"/>
          <w:sz w:val="24"/>
          <w:szCs w:val="24"/>
        </w:rPr>
      </w:pPr>
      <w:r>
        <w:rPr>
          <w:rFonts w:ascii="Times New Roman" w:hAnsi="Times New Roman" w:eastAsia="Times New Roman" w:cs="Times New Roman"/>
          <w:spacing w:val="5"/>
          <w:sz w:val="24"/>
          <w:szCs w:val="24"/>
        </w:rPr>
        <w:t xml:space="preserve">14.1   </w:t>
      </w:r>
      <w:r>
        <w:rPr>
          <w:rFonts w:ascii="宋体" w:hAnsi="宋体" w:eastAsia="宋体" w:cs="宋体"/>
          <w:spacing w:val="5"/>
          <w:sz w:val="24"/>
          <w:szCs w:val="24"/>
        </w:rPr>
        <w:t>本评估报告及评估结论仅供委托方用于评估报告载</w:t>
      </w:r>
      <w:r>
        <w:rPr>
          <w:rFonts w:ascii="宋体" w:hAnsi="宋体" w:eastAsia="宋体" w:cs="宋体"/>
          <w:spacing w:val="4"/>
          <w:sz w:val="24"/>
          <w:szCs w:val="24"/>
        </w:rPr>
        <w:t>明的评估目的和用</w:t>
      </w:r>
      <w:r>
        <w:rPr>
          <w:rFonts w:ascii="宋体" w:hAnsi="宋体" w:eastAsia="宋体" w:cs="宋体"/>
          <w:sz w:val="24"/>
          <w:szCs w:val="24"/>
        </w:rPr>
        <w:t xml:space="preserve"> </w:t>
      </w:r>
      <w:r>
        <w:rPr>
          <w:rFonts w:ascii="宋体" w:hAnsi="宋体" w:eastAsia="宋体" w:cs="宋体"/>
          <w:spacing w:val="-3"/>
          <w:sz w:val="24"/>
          <w:szCs w:val="24"/>
        </w:rPr>
        <w:t>途，不应同时用于或另行用于其他目的。</w:t>
      </w:r>
    </w:p>
    <w:p w14:paraId="635CAFAE">
      <w:pPr>
        <w:spacing w:before="199" w:line="314" w:lineRule="auto"/>
        <w:ind w:left="144" w:right="88" w:firstLine="510"/>
        <w:rPr>
          <w:rFonts w:ascii="宋体" w:hAnsi="宋体" w:eastAsia="宋体" w:cs="宋体"/>
          <w:sz w:val="24"/>
          <w:szCs w:val="24"/>
        </w:rPr>
      </w:pPr>
      <w:r>
        <w:rPr>
          <w:rFonts w:ascii="宋体" w:hAnsi="宋体" w:eastAsia="宋体" w:cs="宋体"/>
          <w:spacing w:val="1"/>
          <w:sz w:val="24"/>
          <w:szCs w:val="24"/>
        </w:rPr>
        <w:t>14.2本评估报告仅供委托方了解评估的有关事宜并报送评估管理机关或其授</w:t>
      </w:r>
      <w:r>
        <w:rPr>
          <w:rFonts w:ascii="宋体" w:hAnsi="宋体" w:eastAsia="宋体" w:cs="宋体"/>
          <w:spacing w:val="5"/>
          <w:sz w:val="24"/>
          <w:szCs w:val="24"/>
        </w:rPr>
        <w:t xml:space="preserve"> </w:t>
      </w:r>
      <w:r>
        <w:rPr>
          <w:rFonts w:ascii="宋体" w:hAnsi="宋体" w:eastAsia="宋体" w:cs="宋体"/>
          <w:spacing w:val="2"/>
          <w:sz w:val="24"/>
          <w:szCs w:val="24"/>
        </w:rPr>
        <w:t>权的单位审查评估报告和检查评估工作之用；正确理解并合理使用评估报告</w:t>
      </w:r>
      <w:r>
        <w:rPr>
          <w:rFonts w:ascii="宋体" w:hAnsi="宋体" w:eastAsia="宋体" w:cs="宋体"/>
          <w:spacing w:val="1"/>
          <w:sz w:val="24"/>
          <w:szCs w:val="24"/>
        </w:rPr>
        <w:t>是评</w:t>
      </w:r>
      <w:r>
        <w:rPr>
          <w:rFonts w:ascii="宋体" w:hAnsi="宋体" w:eastAsia="宋体" w:cs="宋体"/>
          <w:sz w:val="24"/>
          <w:szCs w:val="24"/>
        </w:rPr>
        <w:t xml:space="preserve"> </w:t>
      </w:r>
      <w:r>
        <w:rPr>
          <w:rFonts w:ascii="宋体" w:hAnsi="宋体" w:eastAsia="宋体" w:cs="宋体"/>
          <w:spacing w:val="-3"/>
          <w:sz w:val="24"/>
          <w:szCs w:val="24"/>
        </w:rPr>
        <w:t>估委托方和相关当事方的责任。</w:t>
      </w:r>
    </w:p>
    <w:p w14:paraId="5CCD3F08">
      <w:pPr>
        <w:spacing w:before="215" w:line="317" w:lineRule="auto"/>
        <w:ind w:left="144" w:right="77" w:firstLine="510"/>
        <w:rPr>
          <w:rFonts w:ascii="宋体" w:hAnsi="宋体" w:eastAsia="宋体" w:cs="宋体"/>
          <w:sz w:val="24"/>
          <w:szCs w:val="24"/>
        </w:rPr>
      </w:pPr>
      <w:r>
        <w:rPr>
          <w:rFonts w:ascii="宋体" w:hAnsi="宋体" w:eastAsia="宋体" w:cs="宋体"/>
          <w:spacing w:val="1"/>
          <w:sz w:val="24"/>
          <w:szCs w:val="24"/>
        </w:rPr>
        <w:t>14.3本评估报告所有权归评估委托方所有，除依据法律法规规定以及相关当</w:t>
      </w:r>
      <w:r>
        <w:rPr>
          <w:rFonts w:ascii="宋体" w:hAnsi="宋体" w:eastAsia="宋体" w:cs="宋体"/>
          <w:spacing w:val="16"/>
          <w:sz w:val="24"/>
          <w:szCs w:val="24"/>
        </w:rPr>
        <w:t xml:space="preserve"> </w:t>
      </w:r>
      <w:r>
        <w:rPr>
          <w:rFonts w:ascii="宋体" w:hAnsi="宋体" w:eastAsia="宋体" w:cs="宋体"/>
          <w:spacing w:val="2"/>
          <w:sz w:val="24"/>
          <w:szCs w:val="24"/>
        </w:rPr>
        <w:t>事方另有约定外，未征得本机构及矿业权评估师同意，矿业权评估报告的全部或</w:t>
      </w:r>
      <w:r>
        <w:rPr>
          <w:rFonts w:ascii="宋体" w:hAnsi="宋体" w:eastAsia="宋体" w:cs="宋体"/>
          <w:sz w:val="24"/>
          <w:szCs w:val="24"/>
        </w:rPr>
        <w:t xml:space="preserve"> </w:t>
      </w:r>
      <w:r>
        <w:rPr>
          <w:rFonts w:ascii="宋体" w:hAnsi="宋体" w:eastAsia="宋体" w:cs="宋体"/>
          <w:spacing w:val="-1"/>
          <w:sz w:val="24"/>
          <w:szCs w:val="24"/>
        </w:rPr>
        <w:t>部分内容不得被摘抄、引用或披露于公开媒体。</w:t>
      </w:r>
    </w:p>
    <w:p w14:paraId="2EF7125D">
      <w:pPr>
        <w:spacing w:before="185" w:line="218" w:lineRule="auto"/>
        <w:ind w:left="654"/>
        <w:rPr>
          <w:rFonts w:ascii="宋体" w:hAnsi="宋体" w:eastAsia="宋体" w:cs="宋体"/>
          <w:sz w:val="24"/>
          <w:szCs w:val="24"/>
        </w:rPr>
      </w:pPr>
      <w:r>
        <w:rPr>
          <w:rFonts w:ascii="宋体" w:hAnsi="宋体" w:eastAsia="宋体" w:cs="宋体"/>
          <w:sz w:val="24"/>
          <w:szCs w:val="24"/>
        </w:rPr>
        <w:t>14.4本评估报告的复印件不具有任何法律效力。</w:t>
      </w:r>
    </w:p>
    <w:p w14:paraId="0E6A1D19">
      <w:pPr>
        <w:spacing w:line="218" w:lineRule="auto"/>
        <w:rPr>
          <w:rFonts w:ascii="宋体" w:hAnsi="宋体" w:eastAsia="宋体" w:cs="宋体"/>
          <w:sz w:val="24"/>
          <w:szCs w:val="24"/>
        </w:rPr>
        <w:sectPr>
          <w:headerReference r:id="rId128" w:type="default"/>
          <w:footerReference r:id="rId129" w:type="default"/>
          <w:pgSz w:w="11900" w:h="16830"/>
          <w:pgMar w:top="1166" w:right="1410" w:bottom="1299" w:left="1785" w:header="890" w:footer="948" w:gutter="0"/>
          <w:cols w:space="720" w:num="1"/>
        </w:sectPr>
      </w:pPr>
    </w:p>
    <w:p w14:paraId="2CE86E1A">
      <w:pPr>
        <w:pStyle w:val="2"/>
        <w:spacing w:line="289" w:lineRule="auto"/>
      </w:pPr>
    </w:p>
    <w:p w14:paraId="28836219">
      <w:pPr>
        <w:pStyle w:val="2"/>
        <w:spacing w:line="289" w:lineRule="auto"/>
      </w:pPr>
    </w:p>
    <w:p w14:paraId="0D4D7074">
      <w:pPr>
        <w:pStyle w:val="2"/>
        <w:spacing w:line="289" w:lineRule="auto"/>
      </w:pPr>
    </w:p>
    <w:p w14:paraId="076ADCF1">
      <w:pPr>
        <w:spacing w:before="78" w:line="218" w:lineRule="auto"/>
        <w:ind w:left="104"/>
        <w:outlineLvl w:val="0"/>
        <w:rPr>
          <w:rFonts w:ascii="宋体" w:hAnsi="宋体" w:eastAsia="宋体" w:cs="宋体"/>
          <w:sz w:val="24"/>
          <w:szCs w:val="24"/>
        </w:rPr>
      </w:pPr>
      <w:bookmarkStart w:id="62" w:name="bookmark42"/>
      <w:bookmarkEnd w:id="62"/>
      <w:r>
        <w:rPr>
          <w:rFonts w:ascii="Times New Roman" w:hAnsi="Times New Roman" w:eastAsia="Times New Roman" w:cs="Times New Roman"/>
          <w:spacing w:val="2"/>
          <w:sz w:val="24"/>
          <w:szCs w:val="24"/>
        </w:rPr>
        <w:t xml:space="preserve">15. </w:t>
      </w:r>
      <w:r>
        <w:rPr>
          <w:rFonts w:ascii="宋体" w:hAnsi="宋体" w:eastAsia="宋体" w:cs="宋体"/>
          <w:spacing w:val="2"/>
          <w:sz w:val="24"/>
          <w:szCs w:val="24"/>
        </w:rPr>
        <w:t>评估报告日</w:t>
      </w:r>
    </w:p>
    <w:p w14:paraId="343303DA">
      <w:pPr>
        <w:spacing w:before="256" w:line="218" w:lineRule="auto"/>
        <w:ind w:left="565"/>
        <w:rPr>
          <w:rFonts w:ascii="宋体" w:hAnsi="宋体" w:eastAsia="宋体" w:cs="宋体"/>
          <w:sz w:val="24"/>
          <w:szCs w:val="24"/>
        </w:rPr>
      </w:pPr>
      <w:r>
        <w:rPr>
          <w:rFonts w:ascii="宋体" w:hAnsi="宋体" w:eastAsia="宋体" w:cs="宋体"/>
          <w:spacing w:val="16"/>
          <w:sz w:val="24"/>
          <w:szCs w:val="24"/>
        </w:rPr>
        <w:t>本评估报告日为2022年11月8日。</w:t>
      </w:r>
    </w:p>
    <w:p w14:paraId="0F675E04">
      <w:pPr>
        <w:spacing w:before="246" w:line="218" w:lineRule="auto"/>
        <w:ind w:left="104"/>
        <w:outlineLvl w:val="0"/>
        <w:rPr>
          <w:rFonts w:ascii="宋体" w:hAnsi="宋体" w:eastAsia="宋体" w:cs="宋体"/>
          <w:sz w:val="24"/>
          <w:szCs w:val="24"/>
        </w:rPr>
      </w:pPr>
      <w:bookmarkStart w:id="63" w:name="bookmark43"/>
      <w:bookmarkEnd w:id="63"/>
      <w:r>
        <w:rPr>
          <w:rFonts w:ascii="Times New Roman" w:hAnsi="Times New Roman" w:eastAsia="Times New Roman" w:cs="Times New Roman"/>
          <w:spacing w:val="-1"/>
          <w:sz w:val="24"/>
          <w:szCs w:val="24"/>
        </w:rPr>
        <w:t>16.</w:t>
      </w:r>
      <w:r>
        <w:rPr>
          <w:rFonts w:ascii="Times New Roman" w:hAnsi="Times New Roman" w:eastAsia="Times New Roman" w:cs="Times New Roman"/>
          <w:spacing w:val="22"/>
          <w:sz w:val="24"/>
          <w:szCs w:val="24"/>
        </w:rPr>
        <w:t xml:space="preserve"> </w:t>
      </w:r>
      <w:r>
        <w:rPr>
          <w:rFonts w:ascii="宋体" w:hAnsi="宋体" w:eastAsia="宋体" w:cs="宋体"/>
          <w:spacing w:val="-1"/>
          <w:sz w:val="24"/>
          <w:szCs w:val="24"/>
        </w:rPr>
        <w:t>评估机构和评估责任人</w:t>
      </w:r>
    </w:p>
    <w:p w14:paraId="33AFAA14">
      <w:pPr>
        <w:pStyle w:val="2"/>
        <w:spacing w:line="250" w:lineRule="auto"/>
      </w:pPr>
    </w:p>
    <w:p w14:paraId="045B902B">
      <w:pPr>
        <w:pStyle w:val="2"/>
        <w:spacing w:line="250" w:lineRule="auto"/>
      </w:pPr>
    </w:p>
    <w:p w14:paraId="584A504F">
      <w:pPr>
        <w:pStyle w:val="2"/>
        <w:spacing w:line="251" w:lineRule="auto"/>
      </w:pPr>
    </w:p>
    <w:p w14:paraId="4058B0AA">
      <w:pPr>
        <w:pStyle w:val="2"/>
        <w:spacing w:line="251" w:lineRule="auto"/>
      </w:pPr>
    </w:p>
    <w:p w14:paraId="71FD1624">
      <w:pPr>
        <w:pStyle w:val="2"/>
        <w:spacing w:line="251" w:lineRule="auto"/>
      </w:pPr>
    </w:p>
    <w:p w14:paraId="30C2A4E2">
      <w:pPr>
        <w:spacing w:before="78" w:line="219" w:lineRule="auto"/>
        <w:ind w:left="565"/>
        <w:rPr>
          <w:rFonts w:ascii="宋体" w:hAnsi="宋体" w:eastAsia="宋体" w:cs="宋体"/>
          <w:sz w:val="24"/>
          <w:szCs w:val="24"/>
        </w:rPr>
      </w:pPr>
      <w:r>
        <w:rPr>
          <w:rFonts w:ascii="宋体" w:hAnsi="宋体" w:eastAsia="宋体" w:cs="宋体"/>
          <w:spacing w:val="-3"/>
          <w:sz w:val="24"/>
          <w:szCs w:val="24"/>
        </w:rPr>
        <w:t>法定代表人：</w:t>
      </w:r>
    </w:p>
    <w:p w14:paraId="0B12A20D">
      <w:pPr>
        <w:spacing w:before="243"/>
        <w:ind w:left="2439"/>
        <w:rPr>
          <w:rFonts w:ascii="宋体" w:hAnsi="宋体" w:eastAsia="宋体" w:cs="宋体"/>
          <w:sz w:val="24"/>
          <w:szCs w:val="24"/>
        </w:rPr>
      </w:pPr>
      <w:r>
        <w:rPr>
          <w:rFonts w:ascii="宋体" w:hAnsi="宋体" w:eastAsia="宋体" w:cs="宋体"/>
          <w:sz w:val="24"/>
          <w:szCs w:val="24"/>
        </w:rPr>
        <w:t>3</w:t>
      </w:r>
    </w:p>
    <w:p w14:paraId="3B4DC244">
      <w:pPr>
        <w:pStyle w:val="2"/>
        <w:spacing w:line="248" w:lineRule="auto"/>
      </w:pPr>
    </w:p>
    <w:p w14:paraId="67875B62">
      <w:pPr>
        <w:pStyle w:val="2"/>
        <w:spacing w:line="248" w:lineRule="auto"/>
      </w:pPr>
    </w:p>
    <w:p w14:paraId="5DAB5D4D">
      <w:pPr>
        <w:pStyle w:val="2"/>
        <w:spacing w:line="248" w:lineRule="auto"/>
      </w:pPr>
    </w:p>
    <w:p w14:paraId="2BB0B105">
      <w:pPr>
        <w:pStyle w:val="2"/>
        <w:spacing w:line="248" w:lineRule="auto"/>
      </w:pPr>
      <w:r>
        <w:drawing>
          <wp:anchor distT="0" distB="0" distL="0" distR="0" simplePos="0" relativeHeight="251837440" behindDoc="0" locked="0" layoutInCell="1" allowOverlap="1">
            <wp:simplePos x="0" y="0"/>
            <wp:positionH relativeFrom="column">
              <wp:posOffset>2212340</wp:posOffset>
            </wp:positionH>
            <wp:positionV relativeFrom="paragraph">
              <wp:posOffset>69850</wp:posOffset>
            </wp:positionV>
            <wp:extent cx="750570" cy="749300"/>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56"/>
                    <a:stretch>
                      <a:fillRect/>
                    </a:stretch>
                  </pic:blipFill>
                  <pic:spPr>
                    <a:xfrm>
                      <a:off x="0" y="0"/>
                      <a:ext cx="750429" cy="749287"/>
                    </a:xfrm>
                    <a:prstGeom prst="rect">
                      <a:avLst/>
                    </a:prstGeom>
                  </pic:spPr>
                </pic:pic>
              </a:graphicData>
            </a:graphic>
          </wp:anchor>
        </w:drawing>
      </w:r>
      <w:r>
        <w:drawing>
          <wp:anchor distT="0" distB="0" distL="0" distR="0" simplePos="0" relativeHeight="251836416" behindDoc="0" locked="0" layoutInCell="1" allowOverlap="1">
            <wp:simplePos x="0" y="0"/>
            <wp:positionH relativeFrom="column">
              <wp:posOffset>3641090</wp:posOffset>
            </wp:positionH>
            <wp:positionV relativeFrom="paragraph">
              <wp:posOffset>88900</wp:posOffset>
            </wp:positionV>
            <wp:extent cx="1092835" cy="743585"/>
            <wp:effectExtent l="0" t="0" r="0" b="0"/>
            <wp:wrapNone/>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57"/>
                    <a:stretch>
                      <a:fillRect/>
                    </a:stretch>
                  </pic:blipFill>
                  <pic:spPr>
                    <a:xfrm>
                      <a:off x="0" y="0"/>
                      <a:ext cx="1092624" cy="743293"/>
                    </a:xfrm>
                    <a:prstGeom prst="rect">
                      <a:avLst/>
                    </a:prstGeom>
                  </pic:spPr>
                </pic:pic>
              </a:graphicData>
            </a:graphic>
          </wp:anchor>
        </w:drawing>
      </w:r>
    </w:p>
    <w:p w14:paraId="2F01D6AC">
      <w:pPr>
        <w:pStyle w:val="2"/>
        <w:spacing w:line="249" w:lineRule="auto"/>
      </w:pPr>
    </w:p>
    <w:p w14:paraId="7B789BE3">
      <w:pPr>
        <w:spacing w:before="78" w:line="168" w:lineRule="auto"/>
        <w:ind w:left="565"/>
        <w:rPr>
          <w:rFonts w:ascii="宋体" w:hAnsi="宋体" w:eastAsia="宋体" w:cs="宋体"/>
          <w:sz w:val="24"/>
          <w:szCs w:val="24"/>
        </w:rPr>
      </w:pPr>
      <w:r>
        <w:rPr>
          <w:rFonts w:ascii="宋体" w:hAnsi="宋体" w:eastAsia="宋体" w:cs="宋体"/>
          <w:spacing w:val="-5"/>
          <w:sz w:val="24"/>
          <w:szCs w:val="24"/>
        </w:rPr>
        <w:t>矿业权评估师：</w:t>
      </w:r>
    </w:p>
    <w:p w14:paraId="45F8A5C3">
      <w:pPr>
        <w:spacing w:line="224" w:lineRule="auto"/>
        <w:ind w:left="2754"/>
        <w:rPr>
          <w:rFonts w:ascii="宋体" w:hAnsi="宋体" w:eastAsia="宋体" w:cs="宋体"/>
          <w:sz w:val="24"/>
          <w:szCs w:val="24"/>
        </w:rPr>
      </w:pPr>
      <w:r>
        <w:rPr>
          <w:rFonts w:ascii="宋体" w:hAnsi="宋体" w:eastAsia="宋体" w:cs="宋体"/>
          <w:sz w:val="24"/>
          <w:szCs w:val="24"/>
        </w:rPr>
        <w:t>2</w:t>
      </w:r>
    </w:p>
    <w:p w14:paraId="566D5821">
      <w:pPr>
        <w:pStyle w:val="2"/>
        <w:spacing w:line="263" w:lineRule="auto"/>
      </w:pPr>
    </w:p>
    <w:p w14:paraId="24C8BAAC">
      <w:pPr>
        <w:pStyle w:val="2"/>
        <w:spacing w:line="263" w:lineRule="auto"/>
      </w:pPr>
    </w:p>
    <w:p w14:paraId="2F45C85B">
      <w:pPr>
        <w:pStyle w:val="2"/>
        <w:spacing w:line="263" w:lineRule="auto"/>
      </w:pPr>
    </w:p>
    <w:p w14:paraId="1C83D3E8">
      <w:pPr>
        <w:pStyle w:val="2"/>
        <w:spacing w:line="263" w:lineRule="auto"/>
      </w:pPr>
    </w:p>
    <w:p w14:paraId="2F852658">
      <w:pPr>
        <w:pStyle w:val="2"/>
        <w:spacing w:line="263" w:lineRule="auto"/>
      </w:pPr>
    </w:p>
    <w:p w14:paraId="41FB1996">
      <w:pPr>
        <w:pStyle w:val="2"/>
        <w:spacing w:line="264" w:lineRule="auto"/>
      </w:pPr>
    </w:p>
    <w:p w14:paraId="64510571">
      <w:pPr>
        <w:spacing w:before="83" w:line="218" w:lineRule="auto"/>
        <w:ind w:left="5295"/>
        <w:rPr>
          <w:rFonts w:ascii="宋体" w:hAnsi="宋体" w:eastAsia="宋体" w:cs="宋体"/>
          <w:sz w:val="25"/>
          <w:szCs w:val="25"/>
        </w:rPr>
      </w:pPr>
      <w:r>
        <w:drawing>
          <wp:anchor distT="0" distB="0" distL="0" distR="0" simplePos="0" relativeHeight="251838464" behindDoc="0" locked="0" layoutInCell="1" allowOverlap="1">
            <wp:simplePos x="0" y="0"/>
            <wp:positionH relativeFrom="column">
              <wp:posOffset>3711575</wp:posOffset>
            </wp:positionH>
            <wp:positionV relativeFrom="paragraph">
              <wp:posOffset>-372110</wp:posOffset>
            </wp:positionV>
            <wp:extent cx="1543050" cy="151765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58"/>
                    <a:stretch>
                      <a:fillRect/>
                    </a:stretch>
                  </pic:blipFill>
                  <pic:spPr>
                    <a:xfrm>
                      <a:off x="0" y="0"/>
                      <a:ext cx="1543037" cy="1517667"/>
                    </a:xfrm>
                    <a:prstGeom prst="rect">
                      <a:avLst/>
                    </a:prstGeom>
                  </pic:spPr>
                </pic:pic>
              </a:graphicData>
            </a:graphic>
          </wp:anchor>
        </w:drawing>
      </w:r>
      <w:r>
        <w:rPr>
          <w:rFonts w:ascii="宋体" w:hAnsi="宋体" w:eastAsia="宋体" w:cs="宋体"/>
          <w:spacing w:val="-10"/>
          <w:sz w:val="25"/>
          <w:szCs w:val="25"/>
        </w:rPr>
        <w:t>云南俊成矿业权评估有限公司</w:t>
      </w:r>
    </w:p>
    <w:p w14:paraId="16D0E2D4">
      <w:pPr>
        <w:spacing w:before="177" w:line="356" w:lineRule="exact"/>
        <w:ind w:left="6094"/>
        <w:rPr>
          <w:rFonts w:ascii="宋体" w:hAnsi="宋体" w:eastAsia="宋体" w:cs="宋体"/>
          <w:sz w:val="25"/>
          <w:szCs w:val="25"/>
        </w:rPr>
      </w:pPr>
      <w:r>
        <w:rPr>
          <w:rFonts w:ascii="宋体" w:hAnsi="宋体" w:eastAsia="宋体" w:cs="宋体"/>
          <w:spacing w:val="-34"/>
          <w:position w:val="2"/>
          <w:sz w:val="25"/>
          <w:szCs w:val="25"/>
        </w:rPr>
        <w:t>〇二二二年十一月八日</w:t>
      </w:r>
    </w:p>
    <w:sectPr>
      <w:headerReference r:id="rId130" w:type="default"/>
      <w:footerReference r:id="rId131" w:type="default"/>
      <w:pgSz w:w="11900" w:h="16830"/>
      <w:pgMar w:top="1186" w:right="1450" w:bottom="1249" w:left="1785" w:header="910" w:footer="91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6F50">
    <w:pPr>
      <w:spacing w:before="90" w:line="226" w:lineRule="auto"/>
      <w:ind w:left="2764"/>
      <w:rPr>
        <w:rFonts w:ascii="Times New Roman" w:hAnsi="Times New Roman" w:eastAsia="Times New Roman" w:cs="Times New Roman"/>
        <w:sz w:val="15"/>
        <w:szCs w:val="15"/>
      </w:rPr>
    </w:pPr>
    <w:r>
      <w:drawing>
        <wp:anchor distT="0" distB="0" distL="0" distR="0" simplePos="0" relativeHeight="251659264" behindDoc="0" locked="0" layoutInCell="0" allowOverlap="1">
          <wp:simplePos x="0" y="0"/>
          <wp:positionH relativeFrom="page">
            <wp:posOffset>1193165</wp:posOffset>
          </wp:positionH>
          <wp:positionV relativeFrom="page">
            <wp:posOffset>9848850</wp:posOffset>
          </wp:positionV>
          <wp:extent cx="5264150" cy="127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5264160"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15"/>
        <w:szCs w:val="15"/>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C8945">
    <w:pPr>
      <w:spacing w:before="109" w:line="214" w:lineRule="auto"/>
      <w:ind w:left="2975"/>
      <w:rPr>
        <w:rFonts w:ascii="Times New Roman" w:hAnsi="Times New Roman" w:eastAsia="Times New Roman" w:cs="Times New Roman"/>
        <w:sz w:val="18"/>
        <w:szCs w:val="18"/>
      </w:rPr>
    </w:pPr>
    <w:r>
      <w:drawing>
        <wp:anchor distT="0" distB="0" distL="0" distR="0" simplePos="0" relativeHeight="251676672" behindDoc="0" locked="0" layoutInCell="0" allowOverlap="1">
          <wp:simplePos x="0" y="0"/>
          <wp:positionH relativeFrom="page">
            <wp:posOffset>1186815</wp:posOffset>
          </wp:positionH>
          <wp:positionV relativeFrom="page">
            <wp:posOffset>9874250</wp:posOffset>
          </wp:positionV>
          <wp:extent cx="5480050" cy="127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
                  <a:stretch>
                    <a:fillRect/>
                  </a:stretch>
                </pic:blipFill>
                <pic:spPr>
                  <a:xfrm>
                    <a:off x="0" y="0"/>
                    <a:ext cx="5480048" cy="12611"/>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18"/>
        <w:szCs w:val="18"/>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223">
    <w:pPr>
      <w:pStyle w:val="2"/>
      <w:spacing w:before="100" w:line="222" w:lineRule="auto"/>
      <w:ind w:left="2994"/>
      <w:rPr>
        <w:sz w:val="17"/>
        <w:szCs w:val="17"/>
      </w:rPr>
    </w:pPr>
    <w:r>
      <w:drawing>
        <wp:anchor distT="0" distB="0" distL="0" distR="0" simplePos="0" relativeHeight="251678720" behindDoc="0" locked="0" layoutInCell="0" allowOverlap="1">
          <wp:simplePos x="0" y="0"/>
          <wp:positionH relativeFrom="page">
            <wp:posOffset>1212215</wp:posOffset>
          </wp:positionH>
          <wp:positionV relativeFrom="page">
            <wp:posOffset>9867265</wp:posOffset>
          </wp:positionV>
          <wp:extent cx="5486400" cy="1270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z w:val="18"/>
        <w:szCs w:val="18"/>
      </w:rPr>
      <w:t xml:space="preserve">                                                           </w:t>
    </w:r>
    <w:r>
      <w:rPr>
        <w:spacing w:val="27"/>
        <w:position w:val="1"/>
        <w:sz w:val="17"/>
        <w:szCs w:val="17"/>
      </w:rPr>
      <w:t>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0A718">
    <w:pPr>
      <w:spacing w:before="90" w:line="205" w:lineRule="auto"/>
      <w:ind w:left="2984"/>
      <w:rPr>
        <w:rFonts w:ascii="Times New Roman" w:hAnsi="Times New Roman" w:eastAsia="Times New Roman" w:cs="Times New Roman"/>
        <w:sz w:val="20"/>
        <w:szCs w:val="20"/>
      </w:rPr>
    </w:pPr>
    <w:r>
      <w:drawing>
        <wp:anchor distT="0" distB="0" distL="0" distR="0" simplePos="0" relativeHeight="251680768" behindDoc="0" locked="0" layoutInCell="0" allowOverlap="1">
          <wp:simplePos x="0" y="0"/>
          <wp:positionH relativeFrom="page">
            <wp:posOffset>1193165</wp:posOffset>
          </wp:positionH>
          <wp:positionV relativeFrom="page">
            <wp:posOffset>9867265</wp:posOffset>
          </wp:positionV>
          <wp:extent cx="5480050" cy="127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
                  <a:stretch>
                    <a:fillRect/>
                  </a:stretch>
                </pic:blipFill>
                <pic:spPr>
                  <a:xfrm>
                    <a:off x="0" y="0"/>
                    <a:ext cx="5480048" cy="12717"/>
                  </a:xfrm>
                  <a:prstGeom prst="rect">
                    <a:avLst/>
                  </a:prstGeom>
                </pic:spPr>
              </pic:pic>
            </a:graphicData>
          </a:graphic>
        </wp:anchor>
      </w:drawing>
    </w:r>
    <w:r>
      <w:rPr>
        <w:rFonts w:ascii="华文行楷" w:hAnsi="华文行楷" w:eastAsia="华文行楷" w:cs="华文行楷"/>
        <w:spacing w:val="26"/>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6"/>
        <w:position w:val="2"/>
        <w:sz w:val="20"/>
        <w:szCs w:val="20"/>
      </w:rPr>
      <w:t>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0A845">
    <w:pPr>
      <w:spacing w:line="213" w:lineRule="auto"/>
      <w:ind w:left="4779"/>
      <w:rPr>
        <w:rFonts w:ascii="Times New Roman" w:hAnsi="Times New Roman" w:eastAsia="Times New Roman" w:cs="Times New Roman"/>
        <w:sz w:val="18"/>
        <w:szCs w:val="18"/>
      </w:rPr>
    </w:pP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18"/>
        <w:szCs w:val="18"/>
      </w:rPr>
      <w:t>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C4A43">
    <w:pPr>
      <w:spacing w:line="213" w:lineRule="auto"/>
      <w:ind w:left="2965"/>
      <w:rPr>
        <w:rFonts w:ascii="Times New Roman" w:hAnsi="Times New Roman" w:eastAsia="Times New Roman" w:cs="Times New Roman"/>
        <w:sz w:val="18"/>
        <w:szCs w:val="18"/>
      </w:rPr>
    </w:pP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18"/>
        <w:szCs w:val="18"/>
      </w:rPr>
      <w:t>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A803E">
    <w:pPr>
      <w:pStyle w:val="2"/>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4FA62">
    <w:pPr>
      <w:pStyle w:val="2"/>
      <w:spacing w:before="81" w:line="212" w:lineRule="auto"/>
      <w:ind w:left="2945"/>
      <w:rPr>
        <w:sz w:val="19"/>
        <w:szCs w:val="19"/>
      </w:rPr>
    </w:pPr>
    <w:r>
      <w:drawing>
        <wp:anchor distT="0" distB="0" distL="0" distR="0" simplePos="0" relativeHeight="251699200" behindDoc="0" locked="0" layoutInCell="0" allowOverlap="1">
          <wp:simplePos x="0" y="0"/>
          <wp:positionH relativeFrom="page">
            <wp:posOffset>1212215</wp:posOffset>
          </wp:positionH>
          <wp:positionV relativeFrom="page">
            <wp:posOffset>9861550</wp:posOffset>
          </wp:positionV>
          <wp:extent cx="5486400" cy="1270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5"/>
        <w:position w:val="3"/>
        <w:sz w:val="19"/>
        <w:szCs w:val="19"/>
      </w:rPr>
      <w:t>12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5DDD1">
    <w:pPr>
      <w:pStyle w:val="2"/>
      <w:spacing w:before="20" w:line="311" w:lineRule="exact"/>
      <w:ind w:left="2935"/>
      <w:rPr>
        <w:sz w:val="19"/>
        <w:szCs w:val="19"/>
      </w:rPr>
    </w:pPr>
    <w:r>
      <w:drawing>
        <wp:anchor distT="0" distB="0" distL="0" distR="0" simplePos="0" relativeHeight="251701248" behindDoc="0" locked="0" layoutInCell="0" allowOverlap="1">
          <wp:simplePos x="0" y="0"/>
          <wp:positionH relativeFrom="page">
            <wp:posOffset>1199515</wp:posOffset>
          </wp:positionH>
          <wp:positionV relativeFrom="page">
            <wp:posOffset>9867265</wp:posOffset>
          </wp:positionV>
          <wp:extent cx="5467350" cy="1270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
                  <a:stretch>
                    <a:fillRect/>
                  </a:stretch>
                </pic:blipFill>
                <pic:spPr>
                  <a:xfrm>
                    <a:off x="0" y="0"/>
                    <a:ext cx="5467354" cy="12717"/>
                  </a:xfrm>
                  <a:prstGeom prst="rect">
                    <a:avLst/>
                  </a:prstGeom>
                </pic:spPr>
              </pic:pic>
            </a:graphicData>
          </a:graphic>
        </wp:anchor>
      </w:drawing>
    </w:r>
    <w:r>
      <w:rPr>
        <w:rFonts w:ascii="华文行楷" w:hAnsi="华文行楷" w:eastAsia="华文行楷" w:cs="华文行楷"/>
        <w:spacing w:val="24"/>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4"/>
        <w:position w:val="5"/>
        <w:sz w:val="19"/>
        <w:szCs w:val="19"/>
      </w:rPr>
      <w:t>13</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619A6">
    <w:pPr>
      <w:pStyle w:val="2"/>
      <w:spacing w:before="90" w:line="213" w:lineRule="auto"/>
      <w:ind w:left="2955"/>
      <w:rPr>
        <w:sz w:val="19"/>
        <w:szCs w:val="19"/>
      </w:rPr>
    </w:pPr>
    <w:r>
      <w:drawing>
        <wp:anchor distT="0" distB="0" distL="0" distR="0" simplePos="0" relativeHeight="251703296" behindDoc="0" locked="0" layoutInCell="0" allowOverlap="1">
          <wp:simplePos x="0" y="0"/>
          <wp:positionH relativeFrom="page">
            <wp:posOffset>1193165</wp:posOffset>
          </wp:positionH>
          <wp:positionV relativeFrom="page">
            <wp:posOffset>9886315</wp:posOffset>
          </wp:positionV>
          <wp:extent cx="5499100" cy="1270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
                  <a:stretch>
                    <a:fillRect/>
                  </a:stretch>
                </pic:blipFill>
                <pic:spPr>
                  <a:xfrm>
                    <a:off x="0" y="0"/>
                    <a:ext cx="5499090" cy="12717"/>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4"/>
        <w:sz w:val="19"/>
        <w:szCs w:val="19"/>
      </w:rPr>
      <w:t>14</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5C7A5">
    <w:pPr>
      <w:spacing w:before="100" w:line="205" w:lineRule="auto"/>
      <w:ind w:left="2925"/>
      <w:rPr>
        <w:rFonts w:ascii="Times New Roman" w:hAnsi="Times New Roman" w:eastAsia="Times New Roman" w:cs="Times New Roman"/>
        <w:sz w:val="20"/>
        <w:szCs w:val="20"/>
      </w:rPr>
    </w:pPr>
    <w:r>
      <w:drawing>
        <wp:anchor distT="0" distB="0" distL="0" distR="0" simplePos="0" relativeHeight="251705344" behindDoc="0" locked="0" layoutInCell="0" allowOverlap="1">
          <wp:simplePos x="0" y="0"/>
          <wp:positionH relativeFrom="page">
            <wp:posOffset>1193165</wp:posOffset>
          </wp:positionH>
          <wp:positionV relativeFrom="page">
            <wp:posOffset>9880600</wp:posOffset>
          </wp:positionV>
          <wp:extent cx="5486400" cy="1270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5486396" cy="12717"/>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4"/>
        <w:sz w:val="20"/>
        <w:szCs w:val="20"/>
      </w:rPr>
      <w:t>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803D">
    <w:pPr>
      <w:pStyle w:val="2"/>
      <w:spacing w:before="110" w:line="222" w:lineRule="auto"/>
      <w:ind w:left="2784"/>
      <w:rPr>
        <w:sz w:val="17"/>
        <w:szCs w:val="17"/>
      </w:rPr>
    </w:pPr>
    <w:r>
      <w:drawing>
        <wp:anchor distT="0" distB="0" distL="0" distR="0" simplePos="0" relativeHeight="251661312" behindDoc="0" locked="0" layoutInCell="0" allowOverlap="1">
          <wp:simplePos x="0" y="0"/>
          <wp:positionH relativeFrom="page">
            <wp:posOffset>1199515</wp:posOffset>
          </wp:positionH>
          <wp:positionV relativeFrom="page">
            <wp:posOffset>9880600</wp:posOffset>
          </wp:positionV>
          <wp:extent cx="5270500" cy="127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5270507"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7"/>
        <w:position w:val="1"/>
        <w:sz w:val="17"/>
        <w:szCs w:val="17"/>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366BD">
    <w:pPr>
      <w:spacing w:before="90" w:line="205" w:lineRule="auto"/>
      <w:ind w:left="2925"/>
      <w:rPr>
        <w:rFonts w:ascii="Times New Roman" w:hAnsi="Times New Roman" w:eastAsia="Times New Roman" w:cs="Times New Roman"/>
        <w:sz w:val="20"/>
        <w:szCs w:val="20"/>
      </w:rPr>
    </w:pPr>
    <w:r>
      <w:drawing>
        <wp:anchor distT="0" distB="0" distL="0" distR="0" simplePos="0" relativeHeight="251707392" behindDoc="0" locked="0" layoutInCell="0" allowOverlap="1">
          <wp:simplePos x="0" y="0"/>
          <wp:positionH relativeFrom="page">
            <wp:posOffset>1186815</wp:posOffset>
          </wp:positionH>
          <wp:positionV relativeFrom="page">
            <wp:posOffset>9867265</wp:posOffset>
          </wp:positionV>
          <wp:extent cx="5492750" cy="1270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5492745" cy="12717"/>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4"/>
        <w:position w:val="2"/>
        <w:sz w:val="20"/>
        <w:szCs w:val="20"/>
      </w:rPr>
      <w:t>16</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2DC0">
    <w:pPr>
      <w:pStyle w:val="2"/>
      <w:spacing w:before="91" w:line="212" w:lineRule="auto"/>
      <w:ind w:left="4370"/>
      <w:rPr>
        <w:sz w:val="19"/>
        <w:szCs w:val="19"/>
      </w:rPr>
    </w:pPr>
    <w:r>
      <w:drawing>
        <wp:anchor distT="0" distB="0" distL="0" distR="0" simplePos="0" relativeHeight="251709440" behindDoc="0" locked="0" layoutInCell="0" allowOverlap="1">
          <wp:simplePos x="0" y="0"/>
          <wp:positionH relativeFrom="page">
            <wp:posOffset>1205865</wp:posOffset>
          </wp:positionH>
          <wp:positionV relativeFrom="page">
            <wp:posOffset>9874250</wp:posOffset>
          </wp:positionV>
          <wp:extent cx="5499100" cy="1270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
                  <a:stretch>
                    <a:fillRect/>
                  </a:stretch>
                </pic:blipFill>
                <pic:spPr>
                  <a:xfrm>
                    <a:off x="0" y="0"/>
                    <a:ext cx="5499091" cy="12611"/>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4"/>
        <w:position w:val="1"/>
        <w:sz w:val="19"/>
        <w:szCs w:val="19"/>
      </w:rPr>
      <w:t>17</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4DB8">
    <w:pPr>
      <w:spacing w:before="90" w:line="205" w:lineRule="auto"/>
      <w:ind w:left="2905"/>
      <w:rPr>
        <w:rFonts w:ascii="Times New Roman" w:hAnsi="Times New Roman" w:eastAsia="Times New Roman" w:cs="Times New Roman"/>
        <w:sz w:val="20"/>
        <w:szCs w:val="20"/>
      </w:rPr>
    </w:pPr>
    <w:r>
      <w:drawing>
        <wp:anchor distT="0" distB="0" distL="0" distR="0" simplePos="0" relativeHeight="251711488" behindDoc="0" locked="0" layoutInCell="0" allowOverlap="1">
          <wp:simplePos x="0" y="0"/>
          <wp:positionH relativeFrom="page">
            <wp:posOffset>1180465</wp:posOffset>
          </wp:positionH>
          <wp:positionV relativeFrom="page">
            <wp:posOffset>9880600</wp:posOffset>
          </wp:positionV>
          <wp:extent cx="5480050" cy="127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
                  <a:stretch>
                    <a:fillRect/>
                  </a:stretch>
                </pic:blipFill>
                <pic:spPr>
                  <a:xfrm>
                    <a:off x="0" y="0"/>
                    <a:ext cx="5480050" cy="12717"/>
                  </a:xfrm>
                  <a:prstGeom prst="rect">
                    <a:avLst/>
                  </a:prstGeom>
                </pic:spPr>
              </pic:pic>
            </a:graphicData>
          </a:graphic>
        </wp:anchor>
      </w:drawing>
    </w:r>
    <w:r>
      <w:rPr>
        <w:rFonts w:ascii="华文行楷" w:hAnsi="华文行楷" w:eastAsia="华文行楷" w:cs="华文行楷"/>
        <w:spacing w:val="23"/>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3"/>
        <w:sz w:val="20"/>
        <w:szCs w:val="20"/>
      </w:rPr>
      <w:t>18</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AAEF8">
    <w:pPr>
      <w:spacing w:before="110" w:line="205" w:lineRule="auto"/>
      <w:ind w:left="2885"/>
      <w:rPr>
        <w:rFonts w:ascii="Times New Roman" w:hAnsi="Times New Roman" w:eastAsia="Times New Roman" w:cs="Times New Roman"/>
        <w:sz w:val="20"/>
        <w:szCs w:val="20"/>
      </w:rPr>
    </w:pPr>
    <w:r>
      <w:drawing>
        <wp:anchor distT="0" distB="0" distL="0" distR="0" simplePos="0" relativeHeight="251713536" behindDoc="0" locked="0" layoutInCell="0" allowOverlap="1">
          <wp:simplePos x="0" y="0"/>
          <wp:positionH relativeFrom="page">
            <wp:posOffset>1161415</wp:posOffset>
          </wp:positionH>
          <wp:positionV relativeFrom="page">
            <wp:posOffset>9880600</wp:posOffset>
          </wp:positionV>
          <wp:extent cx="5499100" cy="1270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
                  <a:stretch>
                    <a:fillRect/>
                  </a:stretch>
                </pic:blipFill>
                <pic:spPr>
                  <a:xfrm>
                    <a:off x="0" y="0"/>
                    <a:ext cx="5499092"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19</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6552E">
    <w:pPr>
      <w:pStyle w:val="2"/>
      <w:spacing w:before="30" w:line="301" w:lineRule="exact"/>
      <w:ind w:left="2945"/>
      <w:rPr>
        <w:sz w:val="19"/>
        <w:szCs w:val="19"/>
      </w:rPr>
    </w:pPr>
    <w:r>
      <w:drawing>
        <wp:anchor distT="0" distB="0" distL="0" distR="0" simplePos="0" relativeHeight="251715584" behindDoc="0" locked="0" layoutInCell="0" allowOverlap="1">
          <wp:simplePos x="0" y="0"/>
          <wp:positionH relativeFrom="page">
            <wp:posOffset>1193165</wp:posOffset>
          </wp:positionH>
          <wp:positionV relativeFrom="page">
            <wp:posOffset>9880600</wp:posOffset>
          </wp:positionV>
          <wp:extent cx="5480050" cy="1270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5480048" cy="12717"/>
                  </a:xfrm>
                  <a:prstGeom prst="rect">
                    <a:avLst/>
                  </a:prstGeom>
                </pic:spPr>
              </pic:pic>
            </a:graphicData>
          </a:graphic>
        </wp:anchor>
      </w:drawing>
    </w:r>
    <w:r>
      <w:rPr>
        <w:rFonts w:ascii="华文行楷" w:hAnsi="华文行楷" w:eastAsia="华文行楷" w:cs="华文行楷"/>
        <w:spacing w:val="25"/>
        <w:position w:val="3"/>
        <w:sz w:val="18"/>
        <w:szCs w:val="18"/>
      </w:rPr>
      <w:t>云南俊成矿业权评估有限公司</w:t>
    </w:r>
    <w:r>
      <w:rPr>
        <w:rFonts w:ascii="华文行楷" w:hAnsi="华文行楷" w:eastAsia="华文行楷" w:cs="华文行楷"/>
        <w:position w:val="3"/>
        <w:sz w:val="18"/>
        <w:szCs w:val="18"/>
      </w:rPr>
      <w:t xml:space="preserve">                                                           </w:t>
    </w:r>
    <w:r>
      <w:rPr>
        <w:spacing w:val="25"/>
        <w:position w:val="4"/>
        <w:sz w:val="19"/>
        <w:szCs w:val="19"/>
      </w:rPr>
      <w:t>20</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DB2DB">
    <w:pPr>
      <w:pStyle w:val="2"/>
      <w:spacing w:before="81" w:line="212" w:lineRule="auto"/>
      <w:ind w:left="2885"/>
      <w:rPr>
        <w:sz w:val="19"/>
        <w:szCs w:val="19"/>
      </w:rPr>
    </w:pPr>
    <w:r>
      <w:drawing>
        <wp:anchor distT="0" distB="0" distL="0" distR="0" simplePos="0" relativeHeight="251717632" behindDoc="0" locked="0" layoutInCell="0" allowOverlap="1">
          <wp:simplePos x="0" y="0"/>
          <wp:positionH relativeFrom="page">
            <wp:posOffset>1180465</wp:posOffset>
          </wp:positionH>
          <wp:positionV relativeFrom="page">
            <wp:posOffset>9886315</wp:posOffset>
          </wp:positionV>
          <wp:extent cx="5480050" cy="12700"/>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
                  <a:stretch>
                    <a:fillRect/>
                  </a:stretch>
                </pic:blipFill>
                <pic:spPr>
                  <a:xfrm>
                    <a:off x="0" y="0"/>
                    <a:ext cx="5480050"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5"/>
        <w:position w:val="1"/>
        <w:sz w:val="19"/>
        <w:szCs w:val="19"/>
      </w:rPr>
      <w:t>21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BC625">
    <w:pPr>
      <w:pStyle w:val="2"/>
      <w:spacing w:before="100" w:line="213" w:lineRule="auto"/>
      <w:ind w:left="2855"/>
      <w:rPr>
        <w:sz w:val="19"/>
        <w:szCs w:val="19"/>
      </w:rPr>
    </w:pPr>
    <w:r>
      <w:drawing>
        <wp:anchor distT="0" distB="0" distL="0" distR="0" simplePos="0" relativeHeight="251719680" behindDoc="0" locked="0" layoutInCell="0" allowOverlap="1">
          <wp:simplePos x="0" y="0"/>
          <wp:positionH relativeFrom="page">
            <wp:posOffset>1155065</wp:posOffset>
          </wp:positionH>
          <wp:positionV relativeFrom="page">
            <wp:posOffset>9880600</wp:posOffset>
          </wp:positionV>
          <wp:extent cx="5480050" cy="1270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
                  <a:stretch>
                    <a:fillRect/>
                  </a:stretch>
                </pic:blipFill>
                <pic:spPr>
                  <a:xfrm>
                    <a:off x="0" y="0"/>
                    <a:ext cx="5480049"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spacing w:val="25"/>
        <w:sz w:val="19"/>
        <w:szCs w:val="19"/>
      </w:rPr>
      <w:t>22</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1952B">
    <w:pPr>
      <w:pStyle w:val="2"/>
      <w:spacing w:before="30" w:line="301" w:lineRule="exact"/>
      <w:ind w:left="2905"/>
      <w:rPr>
        <w:sz w:val="19"/>
        <w:szCs w:val="19"/>
      </w:rPr>
    </w:pPr>
    <w:r>
      <w:drawing>
        <wp:anchor distT="0" distB="0" distL="0" distR="0" simplePos="0" relativeHeight="251721728" behindDoc="0" locked="0" layoutInCell="0" allowOverlap="1">
          <wp:simplePos x="0" y="0"/>
          <wp:positionH relativeFrom="page">
            <wp:posOffset>1180465</wp:posOffset>
          </wp:positionH>
          <wp:positionV relativeFrom="page">
            <wp:posOffset>9861550</wp:posOffset>
          </wp:positionV>
          <wp:extent cx="5473700" cy="1270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
                  <a:stretch>
                    <a:fillRect/>
                  </a:stretch>
                </pic:blipFill>
                <pic:spPr>
                  <a:xfrm>
                    <a:off x="0" y="0"/>
                    <a:ext cx="5473702" cy="12717"/>
                  </a:xfrm>
                  <a:prstGeom prst="rect">
                    <a:avLst/>
                  </a:prstGeom>
                </pic:spPr>
              </pic:pic>
            </a:graphicData>
          </a:graphic>
        </wp:anchor>
      </w:drawing>
    </w:r>
    <w:r>
      <w:rPr>
        <w:rFonts w:ascii="华文行楷" w:hAnsi="华文行楷" w:eastAsia="华文行楷" w:cs="华文行楷"/>
        <w:spacing w:val="24"/>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4"/>
        <w:position w:val="4"/>
        <w:sz w:val="19"/>
        <w:szCs w:val="19"/>
      </w:rPr>
      <w:t>23</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3831">
    <w:pPr>
      <w:pStyle w:val="2"/>
      <w:spacing w:before="100" w:line="213" w:lineRule="auto"/>
      <w:ind w:left="2989"/>
      <w:rPr>
        <w:sz w:val="19"/>
        <w:szCs w:val="19"/>
      </w:rPr>
    </w:pPr>
    <w:r>
      <w:drawing>
        <wp:anchor distT="0" distB="0" distL="0" distR="0" simplePos="0" relativeHeight="251723776" behindDoc="0" locked="0" layoutInCell="0" allowOverlap="1">
          <wp:simplePos x="0" y="0"/>
          <wp:positionH relativeFrom="page">
            <wp:posOffset>1186815</wp:posOffset>
          </wp:positionH>
          <wp:positionV relativeFrom="page">
            <wp:posOffset>9861550</wp:posOffset>
          </wp:positionV>
          <wp:extent cx="5486400" cy="1270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spacing w:val="25"/>
        <w:sz w:val="19"/>
        <w:szCs w:val="19"/>
      </w:rPr>
      <w:t>24</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3AAE9">
    <w:pPr>
      <w:pStyle w:val="2"/>
      <w:spacing w:before="40" w:line="294" w:lineRule="exact"/>
      <w:ind w:left="2905"/>
      <w:rPr>
        <w:sz w:val="19"/>
        <w:szCs w:val="19"/>
      </w:rPr>
    </w:pPr>
    <w:r>
      <w:drawing>
        <wp:anchor distT="0" distB="0" distL="0" distR="0" simplePos="0" relativeHeight="251725824" behindDoc="0" locked="0" layoutInCell="0" allowOverlap="1">
          <wp:simplePos x="0" y="0"/>
          <wp:positionH relativeFrom="page">
            <wp:posOffset>1180465</wp:posOffset>
          </wp:positionH>
          <wp:positionV relativeFrom="page">
            <wp:posOffset>9874250</wp:posOffset>
          </wp:positionV>
          <wp:extent cx="5492750" cy="1270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
                  <a:stretch>
                    <a:fillRect/>
                  </a:stretch>
                </pic:blipFill>
                <pic:spPr>
                  <a:xfrm>
                    <a:off x="0" y="0"/>
                    <a:ext cx="5492743" cy="12611"/>
                  </a:xfrm>
                  <a:prstGeom prst="rect">
                    <a:avLst/>
                  </a:prstGeom>
                </pic:spPr>
              </pic:pic>
            </a:graphicData>
          </a:graphic>
        </wp:anchor>
      </w:drawing>
    </w:r>
    <w:r>
      <w:rPr>
        <w:rFonts w:ascii="华文行楷" w:hAnsi="华文行楷" w:eastAsia="华文行楷" w:cs="华文行楷"/>
        <w:spacing w:val="25"/>
        <w:position w:val="4"/>
        <w:sz w:val="18"/>
        <w:szCs w:val="18"/>
      </w:rPr>
      <w:t>云南俊成矿业权评估有限公司</w:t>
    </w:r>
    <w:r>
      <w:rPr>
        <w:rFonts w:ascii="华文行楷" w:hAnsi="华文行楷" w:eastAsia="华文行楷" w:cs="华文行楷"/>
        <w:position w:val="4"/>
        <w:sz w:val="18"/>
        <w:szCs w:val="18"/>
      </w:rPr>
      <w:t xml:space="preserve">                                                           </w:t>
    </w:r>
    <w:r>
      <w:rPr>
        <w:spacing w:val="25"/>
        <w:position w:val="4"/>
        <w:sz w:val="19"/>
        <w:szCs w:val="19"/>
      </w:rPr>
      <w:t>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3CB7">
    <w:pPr>
      <w:spacing w:before="90" w:line="205" w:lineRule="auto"/>
      <w:ind w:left="2734"/>
      <w:rPr>
        <w:rFonts w:ascii="Times New Roman" w:hAnsi="Times New Roman" w:eastAsia="Times New Roman" w:cs="Times New Roman"/>
        <w:sz w:val="20"/>
        <w:szCs w:val="20"/>
      </w:rPr>
    </w:pPr>
    <w:r>
      <w:drawing>
        <wp:anchor distT="0" distB="0" distL="0" distR="0" simplePos="0" relativeHeight="251663360" behindDoc="0" locked="0" layoutInCell="0" allowOverlap="1">
          <wp:simplePos x="0" y="0"/>
          <wp:positionH relativeFrom="page">
            <wp:posOffset>1186815</wp:posOffset>
          </wp:positionH>
          <wp:positionV relativeFrom="page">
            <wp:posOffset>9886315</wp:posOffset>
          </wp:positionV>
          <wp:extent cx="5251450" cy="127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5251465"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20"/>
        <w:szCs w:val="20"/>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F112">
    <w:pPr>
      <w:spacing w:before="13" w:line="221" w:lineRule="auto"/>
      <w:ind w:left="2945"/>
      <w:rPr>
        <w:rFonts w:ascii="宋体" w:hAnsi="宋体" w:eastAsia="宋体" w:cs="宋体"/>
        <w:sz w:val="24"/>
        <w:szCs w:val="24"/>
      </w:rPr>
    </w:pPr>
    <w:r>
      <w:drawing>
        <wp:anchor distT="0" distB="0" distL="0" distR="0" simplePos="0" relativeHeight="251727872" behindDoc="0" locked="0" layoutInCell="1" allowOverlap="1">
          <wp:simplePos x="0" y="0"/>
          <wp:positionH relativeFrom="column">
            <wp:posOffset>78740</wp:posOffset>
          </wp:positionH>
          <wp:positionV relativeFrom="paragraph">
            <wp:posOffset>0</wp:posOffset>
          </wp:positionV>
          <wp:extent cx="5467350" cy="12700"/>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
                  <a:stretch>
                    <a:fillRect/>
                  </a:stretch>
                </pic:blipFill>
                <pic:spPr>
                  <a:xfrm>
                    <a:off x="0" y="0"/>
                    <a:ext cx="5467355"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宋体" w:hAnsi="宋体" w:eastAsia="宋体" w:cs="宋体"/>
        <w:spacing w:val="25"/>
        <w:position w:val="2"/>
        <w:sz w:val="24"/>
        <w:szCs w:val="24"/>
      </w:rPr>
      <w:t>26</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3F7AC">
    <w:pPr>
      <w:spacing w:before="90" w:line="205" w:lineRule="auto"/>
      <w:ind w:left="2925"/>
      <w:rPr>
        <w:rFonts w:ascii="Times New Roman" w:hAnsi="Times New Roman" w:eastAsia="Times New Roman" w:cs="Times New Roman"/>
        <w:sz w:val="20"/>
        <w:szCs w:val="20"/>
      </w:rPr>
    </w:pPr>
    <w:r>
      <w:drawing>
        <wp:anchor distT="0" distB="0" distL="0" distR="0" simplePos="0" relativeHeight="251729920" behindDoc="0" locked="0" layoutInCell="0" allowOverlap="1">
          <wp:simplePos x="0" y="0"/>
          <wp:positionH relativeFrom="page">
            <wp:posOffset>1193165</wp:posOffset>
          </wp:positionH>
          <wp:positionV relativeFrom="page">
            <wp:posOffset>9867265</wp:posOffset>
          </wp:positionV>
          <wp:extent cx="5480050" cy="12700"/>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
                  <a:stretch>
                    <a:fillRect/>
                  </a:stretch>
                </pic:blipFill>
                <pic:spPr>
                  <a:xfrm>
                    <a:off x="0" y="0"/>
                    <a:ext cx="5480048"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position w:val="1"/>
        <w:sz w:val="20"/>
        <w:szCs w:val="20"/>
      </w:rPr>
      <w:t>27</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C4852">
    <w:pPr>
      <w:spacing w:before="90" w:line="205" w:lineRule="auto"/>
      <w:ind w:left="2895"/>
      <w:rPr>
        <w:rFonts w:ascii="Times New Roman" w:hAnsi="Times New Roman" w:eastAsia="Times New Roman" w:cs="Times New Roman"/>
        <w:sz w:val="20"/>
        <w:szCs w:val="20"/>
      </w:rPr>
    </w:pPr>
    <w:r>
      <w:drawing>
        <wp:anchor distT="0" distB="0" distL="0" distR="0" simplePos="0" relativeHeight="251731968" behindDoc="0" locked="0" layoutInCell="0" allowOverlap="1">
          <wp:simplePos x="0" y="0"/>
          <wp:positionH relativeFrom="page">
            <wp:posOffset>1174115</wp:posOffset>
          </wp:positionH>
          <wp:positionV relativeFrom="page">
            <wp:posOffset>9880600</wp:posOffset>
          </wp:positionV>
          <wp:extent cx="5486400" cy="1270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
                  <a:stretch>
                    <a:fillRect/>
                  </a:stretch>
                </pic:blipFill>
                <pic:spPr>
                  <a:xfrm>
                    <a:off x="0" y="0"/>
                    <a:ext cx="5486396"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28</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43C69">
    <w:pPr>
      <w:spacing w:before="70" w:line="205" w:lineRule="auto"/>
      <w:ind w:left="3374"/>
      <w:rPr>
        <w:rFonts w:ascii="Times New Roman" w:hAnsi="Times New Roman" w:eastAsia="Times New Roman" w:cs="Times New Roman"/>
        <w:sz w:val="20"/>
        <w:szCs w:val="20"/>
      </w:rPr>
    </w:pPr>
    <w:r>
      <w:drawing>
        <wp:anchor distT="0" distB="0" distL="0" distR="0" simplePos="0" relativeHeight="251734016" behindDoc="0" locked="0" layoutInCell="0" allowOverlap="1">
          <wp:simplePos x="0" y="0"/>
          <wp:positionH relativeFrom="page">
            <wp:posOffset>1186815</wp:posOffset>
          </wp:positionH>
          <wp:positionV relativeFrom="page">
            <wp:posOffset>9854565</wp:posOffset>
          </wp:positionV>
          <wp:extent cx="5486400" cy="1270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4"/>
        <w:position w:val="2"/>
        <w:sz w:val="20"/>
        <w:szCs w:val="20"/>
      </w:rPr>
      <w:t>29</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3B40">
    <w:pPr>
      <w:spacing w:before="70" w:line="205" w:lineRule="auto"/>
      <w:ind w:left="3395"/>
      <w:rPr>
        <w:rFonts w:ascii="Times New Roman" w:hAnsi="Times New Roman" w:eastAsia="Times New Roman" w:cs="Times New Roman"/>
        <w:sz w:val="20"/>
        <w:szCs w:val="20"/>
      </w:rPr>
    </w:pPr>
    <w:r>
      <w:drawing>
        <wp:anchor distT="0" distB="0" distL="0" distR="0" simplePos="0" relativeHeight="251736064" behindDoc="0" locked="0" layoutInCell="0" allowOverlap="1">
          <wp:simplePos x="0" y="0"/>
          <wp:positionH relativeFrom="page">
            <wp:posOffset>1199515</wp:posOffset>
          </wp:positionH>
          <wp:positionV relativeFrom="page">
            <wp:posOffset>9841865</wp:posOffset>
          </wp:positionV>
          <wp:extent cx="5473700" cy="1270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
                  <a:stretch>
                    <a:fillRect/>
                  </a:stretch>
                </pic:blipFill>
                <pic:spPr>
                  <a:xfrm>
                    <a:off x="0" y="0"/>
                    <a:ext cx="5473702"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position w:val="1"/>
        <w:sz w:val="20"/>
        <w:szCs w:val="20"/>
      </w:rPr>
      <w:t>30</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13A3B">
    <w:pPr>
      <w:pStyle w:val="2"/>
      <w:spacing w:before="29" w:line="312" w:lineRule="exact"/>
      <w:ind w:left="2955"/>
      <w:rPr>
        <w:sz w:val="20"/>
        <w:szCs w:val="20"/>
      </w:rPr>
    </w:pPr>
    <w:r>
      <w:drawing>
        <wp:anchor distT="0" distB="0" distL="0" distR="0" simplePos="0" relativeHeight="251738112" behindDoc="0" locked="0" layoutInCell="0" allowOverlap="1">
          <wp:simplePos x="0" y="0"/>
          <wp:positionH relativeFrom="page">
            <wp:posOffset>1199515</wp:posOffset>
          </wp:positionH>
          <wp:positionV relativeFrom="page">
            <wp:posOffset>9854565</wp:posOffset>
          </wp:positionV>
          <wp:extent cx="5492750" cy="1270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1"/>
                  <a:stretch>
                    <a:fillRect/>
                  </a:stretch>
                </pic:blipFill>
                <pic:spPr>
                  <a:xfrm>
                    <a:off x="0" y="0"/>
                    <a:ext cx="5492743" cy="12717"/>
                  </a:xfrm>
                  <a:prstGeom prst="rect">
                    <a:avLst/>
                  </a:prstGeom>
                </pic:spPr>
              </pic:pic>
            </a:graphicData>
          </a:graphic>
        </wp:anchor>
      </w:drawing>
    </w:r>
    <w:r>
      <w:rPr>
        <w:rFonts w:ascii="华文行楷" w:hAnsi="华文行楷" w:eastAsia="华文行楷" w:cs="华文行楷"/>
        <w:spacing w:val="24"/>
        <w:position w:val="3"/>
        <w:sz w:val="18"/>
        <w:szCs w:val="18"/>
      </w:rPr>
      <w:t>云南俊成矿业权评估有限公司</w:t>
    </w:r>
    <w:r>
      <w:rPr>
        <w:rFonts w:ascii="华文行楷" w:hAnsi="华文行楷" w:eastAsia="华文行楷" w:cs="华文行楷"/>
        <w:position w:val="3"/>
        <w:sz w:val="18"/>
        <w:szCs w:val="18"/>
      </w:rPr>
      <w:t xml:space="preserve">                                                           </w:t>
    </w:r>
    <w:r>
      <w:rPr>
        <w:spacing w:val="24"/>
        <w:position w:val="4"/>
        <w:sz w:val="20"/>
        <w:szCs w:val="20"/>
      </w:rPr>
      <w:t>31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723DC">
    <w:pPr>
      <w:pStyle w:val="2"/>
      <w:spacing w:before="40" w:line="294" w:lineRule="exact"/>
      <w:ind w:left="2895"/>
      <w:rPr>
        <w:sz w:val="19"/>
        <w:szCs w:val="19"/>
      </w:rPr>
    </w:pPr>
    <w:r>
      <w:drawing>
        <wp:anchor distT="0" distB="0" distL="0" distR="0" simplePos="0" relativeHeight="251740160" behindDoc="0" locked="0" layoutInCell="0" allowOverlap="1">
          <wp:simplePos x="0" y="0"/>
          <wp:positionH relativeFrom="page">
            <wp:posOffset>1180465</wp:posOffset>
          </wp:positionH>
          <wp:positionV relativeFrom="page">
            <wp:posOffset>9880600</wp:posOffset>
          </wp:positionV>
          <wp:extent cx="5480050" cy="12700"/>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1"/>
                  <a:stretch>
                    <a:fillRect/>
                  </a:stretch>
                </pic:blipFill>
                <pic:spPr>
                  <a:xfrm>
                    <a:off x="0" y="0"/>
                    <a:ext cx="5480050" cy="12717"/>
                  </a:xfrm>
                  <a:prstGeom prst="rect">
                    <a:avLst/>
                  </a:prstGeom>
                </pic:spPr>
              </pic:pic>
            </a:graphicData>
          </a:graphic>
        </wp:anchor>
      </w:drawing>
    </w:r>
    <w:r>
      <w:rPr>
        <w:rFonts w:ascii="华文行楷" w:hAnsi="华文行楷" w:eastAsia="华文行楷" w:cs="华文行楷"/>
        <w:spacing w:val="25"/>
        <w:position w:val="4"/>
        <w:sz w:val="18"/>
        <w:szCs w:val="18"/>
      </w:rPr>
      <w:t>云南俊成矿业权评估有限公司</w:t>
    </w:r>
    <w:r>
      <w:rPr>
        <w:rFonts w:ascii="华文行楷" w:hAnsi="华文行楷" w:eastAsia="华文行楷" w:cs="华文行楷"/>
        <w:position w:val="4"/>
        <w:sz w:val="18"/>
        <w:szCs w:val="18"/>
      </w:rPr>
      <w:t xml:space="preserve">                                                           </w:t>
    </w:r>
    <w:r>
      <w:rPr>
        <w:spacing w:val="25"/>
        <w:position w:val="4"/>
        <w:sz w:val="19"/>
        <w:szCs w:val="19"/>
      </w:rPr>
      <w:t>32</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B67EB">
    <w:pPr>
      <w:pStyle w:val="2"/>
      <w:spacing w:before="30" w:line="301" w:lineRule="exact"/>
      <w:ind w:left="2925"/>
      <w:rPr>
        <w:sz w:val="19"/>
        <w:szCs w:val="19"/>
      </w:rPr>
    </w:pPr>
    <w:r>
      <w:drawing>
        <wp:anchor distT="0" distB="0" distL="0" distR="0" simplePos="0" relativeHeight="251742208" behindDoc="0" locked="0" layoutInCell="0" allowOverlap="1">
          <wp:simplePos x="0" y="0"/>
          <wp:positionH relativeFrom="page">
            <wp:posOffset>1193165</wp:posOffset>
          </wp:positionH>
          <wp:positionV relativeFrom="page">
            <wp:posOffset>9861550</wp:posOffset>
          </wp:positionV>
          <wp:extent cx="5486400" cy="12700"/>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1"/>
                  <a:stretch>
                    <a:fillRect/>
                  </a:stretch>
                </pic:blipFill>
                <pic:spPr>
                  <a:xfrm>
                    <a:off x="0" y="0"/>
                    <a:ext cx="5486396" cy="12717"/>
                  </a:xfrm>
                  <a:prstGeom prst="rect">
                    <a:avLst/>
                  </a:prstGeom>
                </pic:spPr>
              </pic:pic>
            </a:graphicData>
          </a:graphic>
        </wp:anchor>
      </w:drawing>
    </w:r>
    <w:r>
      <w:rPr>
        <w:rFonts w:ascii="华文行楷" w:hAnsi="华文行楷" w:eastAsia="华文行楷" w:cs="华文行楷"/>
        <w:spacing w:val="25"/>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5"/>
        <w:position w:val="4"/>
        <w:sz w:val="19"/>
        <w:szCs w:val="19"/>
      </w:rPr>
      <w:t>33</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65928">
    <w:pPr>
      <w:pStyle w:val="2"/>
      <w:spacing w:before="30" w:line="301" w:lineRule="exact"/>
      <w:ind w:left="2955"/>
      <w:rPr>
        <w:sz w:val="18"/>
        <w:szCs w:val="18"/>
      </w:rPr>
    </w:pPr>
    <w:r>
      <w:drawing>
        <wp:anchor distT="0" distB="0" distL="0" distR="0" simplePos="0" relativeHeight="251744256" behindDoc="0" locked="0" layoutInCell="0" allowOverlap="1">
          <wp:simplePos x="0" y="0"/>
          <wp:positionH relativeFrom="page">
            <wp:posOffset>1205865</wp:posOffset>
          </wp:positionH>
          <wp:positionV relativeFrom="page">
            <wp:posOffset>9854565</wp:posOffset>
          </wp:positionV>
          <wp:extent cx="5499100" cy="1270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1"/>
                  <a:stretch>
                    <a:fillRect/>
                  </a:stretch>
                </pic:blipFill>
                <pic:spPr>
                  <a:xfrm>
                    <a:off x="0" y="0"/>
                    <a:ext cx="5499091" cy="12717"/>
                  </a:xfrm>
                  <a:prstGeom prst="rect">
                    <a:avLst/>
                  </a:prstGeom>
                </pic:spPr>
              </pic:pic>
            </a:graphicData>
          </a:graphic>
        </wp:anchor>
      </w:drawing>
    </w:r>
    <w:r>
      <w:rPr>
        <w:rFonts w:ascii="华文行楷" w:hAnsi="华文行楷" w:eastAsia="华文行楷" w:cs="华文行楷"/>
        <w:spacing w:val="25"/>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5"/>
        <w:position w:val="5"/>
        <w:sz w:val="18"/>
        <w:szCs w:val="18"/>
      </w:rPr>
      <w:t>34</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483F">
    <w:pPr>
      <w:spacing w:before="23" w:line="221" w:lineRule="auto"/>
      <w:ind w:left="2955"/>
      <w:rPr>
        <w:rFonts w:ascii="宋体" w:hAnsi="宋体" w:eastAsia="宋体" w:cs="宋体"/>
        <w:sz w:val="24"/>
        <w:szCs w:val="24"/>
      </w:rPr>
    </w:pPr>
    <w:r>
      <w:drawing>
        <wp:anchor distT="0" distB="0" distL="0" distR="0" simplePos="0" relativeHeight="251746304" behindDoc="0" locked="0" layoutInCell="0" allowOverlap="1">
          <wp:simplePos x="0" y="0"/>
          <wp:positionH relativeFrom="page">
            <wp:posOffset>1218565</wp:posOffset>
          </wp:positionH>
          <wp:positionV relativeFrom="page">
            <wp:posOffset>9867265</wp:posOffset>
          </wp:positionV>
          <wp:extent cx="5473700" cy="1270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
                  <a:stretch>
                    <a:fillRect/>
                  </a:stretch>
                </pic:blipFill>
                <pic:spPr>
                  <a:xfrm>
                    <a:off x="0" y="0"/>
                    <a:ext cx="5473700" cy="12717"/>
                  </a:xfrm>
                  <a:prstGeom prst="rect">
                    <a:avLst/>
                  </a:prstGeom>
                </pic:spPr>
              </pic:pic>
            </a:graphicData>
          </a:graphic>
        </wp:anchor>
      </w:drawing>
    </w:r>
    <w:r>
      <w:rPr>
        <w:rFonts w:ascii="华文行楷" w:hAnsi="华文行楷" w:eastAsia="华文行楷" w:cs="华文行楷"/>
        <w:spacing w:val="24"/>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宋体" w:hAnsi="宋体" w:eastAsia="宋体" w:cs="宋体"/>
        <w:spacing w:val="24"/>
        <w:position w:val="2"/>
        <w:sz w:val="24"/>
        <w:szCs w:val="24"/>
      </w:rPr>
      <w:t>35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346D8">
    <w:pPr>
      <w:pStyle w:val="2"/>
      <w:spacing w:before="96" w:line="216" w:lineRule="auto"/>
      <w:ind w:left="2784"/>
      <w:rPr>
        <w:sz w:val="17"/>
        <w:szCs w:val="17"/>
      </w:rPr>
    </w:pPr>
    <w:r>
      <w:drawing>
        <wp:anchor distT="0" distB="0" distL="0" distR="0" simplePos="0" relativeHeight="251665408" behindDoc="0" locked="0" layoutInCell="0" allowOverlap="1">
          <wp:simplePos x="0" y="0"/>
          <wp:positionH relativeFrom="page">
            <wp:posOffset>1205865</wp:posOffset>
          </wp:positionH>
          <wp:positionV relativeFrom="page">
            <wp:posOffset>9874250</wp:posOffset>
          </wp:positionV>
          <wp:extent cx="5257800" cy="127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5257812" cy="12611"/>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z w:val="18"/>
        <w:szCs w:val="18"/>
      </w:rPr>
      <w:t xml:space="preserve">                                                           </w:t>
    </w:r>
    <w:r>
      <w:rPr>
        <w:spacing w:val="27"/>
        <w:position w:val="2"/>
        <w:sz w:val="17"/>
        <w:szCs w:val="17"/>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24606">
    <w:pPr>
      <w:pStyle w:val="2"/>
      <w:spacing w:before="30" w:line="311" w:lineRule="exact"/>
      <w:ind w:left="2915"/>
      <w:rPr>
        <w:sz w:val="19"/>
        <w:szCs w:val="19"/>
      </w:rPr>
    </w:pPr>
    <w:r>
      <w:drawing>
        <wp:anchor distT="0" distB="0" distL="0" distR="0" simplePos="0" relativeHeight="251748352" behindDoc="0" locked="0" layoutInCell="0" allowOverlap="1">
          <wp:simplePos x="0" y="0"/>
          <wp:positionH relativeFrom="page">
            <wp:posOffset>1199515</wp:posOffset>
          </wp:positionH>
          <wp:positionV relativeFrom="page">
            <wp:posOffset>9874250</wp:posOffset>
          </wp:positionV>
          <wp:extent cx="5473700" cy="12700"/>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1"/>
                  <a:stretch>
                    <a:fillRect/>
                  </a:stretch>
                </pic:blipFill>
                <pic:spPr>
                  <a:xfrm>
                    <a:off x="0" y="0"/>
                    <a:ext cx="5473702" cy="12611"/>
                  </a:xfrm>
                  <a:prstGeom prst="rect">
                    <a:avLst/>
                  </a:prstGeom>
                </pic:spPr>
              </pic:pic>
            </a:graphicData>
          </a:graphic>
        </wp:anchor>
      </w:drawing>
    </w:r>
    <w:r>
      <w:rPr>
        <w:rFonts w:ascii="华文行楷" w:hAnsi="华文行楷" w:eastAsia="华文行楷" w:cs="华文行楷"/>
        <w:spacing w:val="25"/>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5"/>
        <w:position w:val="5"/>
        <w:sz w:val="19"/>
        <w:szCs w:val="19"/>
      </w:rPr>
      <w:t>36</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FCA41">
    <w:pPr>
      <w:pStyle w:val="2"/>
      <w:spacing w:before="10" w:line="321" w:lineRule="exact"/>
      <w:ind w:left="3004"/>
      <w:rPr>
        <w:sz w:val="19"/>
        <w:szCs w:val="19"/>
      </w:rPr>
    </w:pPr>
    <w:r>
      <w:drawing>
        <wp:anchor distT="0" distB="0" distL="0" distR="0" simplePos="0" relativeHeight="251750400" behindDoc="0" locked="0" layoutInCell="1" allowOverlap="1">
          <wp:simplePos x="0" y="0"/>
          <wp:positionH relativeFrom="column">
            <wp:posOffset>98425</wp:posOffset>
          </wp:positionH>
          <wp:positionV relativeFrom="paragraph">
            <wp:posOffset>0</wp:posOffset>
          </wp:positionV>
          <wp:extent cx="5486400" cy="1270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5"/>
        <w:position w:val="4"/>
        <w:sz w:val="18"/>
        <w:szCs w:val="18"/>
      </w:rPr>
      <w:t>云南俊成矿业权评估有限公司</w:t>
    </w:r>
    <w:r>
      <w:rPr>
        <w:rFonts w:ascii="华文行楷" w:hAnsi="华文行楷" w:eastAsia="华文行楷" w:cs="华文行楷"/>
        <w:spacing w:val="1"/>
        <w:position w:val="4"/>
        <w:sz w:val="18"/>
        <w:szCs w:val="18"/>
      </w:rPr>
      <w:t xml:space="preserve">                                         </w:t>
    </w:r>
    <w:r>
      <w:rPr>
        <w:rFonts w:ascii="华文行楷" w:hAnsi="华文行楷" w:eastAsia="华文行楷" w:cs="华文行楷"/>
        <w:position w:val="4"/>
        <w:sz w:val="18"/>
        <w:szCs w:val="18"/>
      </w:rPr>
      <w:t xml:space="preserve">                 </w:t>
    </w:r>
    <w:r>
      <w:rPr>
        <w:spacing w:val="25"/>
        <w:position w:val="6"/>
        <w:sz w:val="19"/>
        <w:szCs w:val="19"/>
      </w:rPr>
      <w:t>37</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2C2C5">
    <w:pPr>
      <w:spacing w:before="100" w:line="205" w:lineRule="auto"/>
      <w:ind w:left="2935"/>
      <w:rPr>
        <w:rFonts w:ascii="Times New Roman" w:hAnsi="Times New Roman" w:eastAsia="Times New Roman" w:cs="Times New Roman"/>
        <w:sz w:val="20"/>
        <w:szCs w:val="20"/>
      </w:rPr>
    </w:pPr>
    <w:r>
      <w:drawing>
        <wp:anchor distT="0" distB="0" distL="0" distR="0" simplePos="0" relativeHeight="251752448" behindDoc="0" locked="0" layoutInCell="0" allowOverlap="1">
          <wp:simplePos x="0" y="0"/>
          <wp:positionH relativeFrom="page">
            <wp:posOffset>1186815</wp:posOffset>
          </wp:positionH>
          <wp:positionV relativeFrom="page">
            <wp:posOffset>9874250</wp:posOffset>
          </wp:positionV>
          <wp:extent cx="5486400" cy="12700"/>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
                  <a:stretch>
                    <a:fillRect/>
                  </a:stretch>
                </pic:blipFill>
                <pic:spPr>
                  <a:xfrm>
                    <a:off x="0" y="0"/>
                    <a:ext cx="5486397" cy="12611"/>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38</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E3483">
    <w:pPr>
      <w:pStyle w:val="2"/>
      <w:spacing w:before="40" w:line="294" w:lineRule="exact"/>
      <w:ind w:left="4330"/>
      <w:rPr>
        <w:sz w:val="19"/>
        <w:szCs w:val="19"/>
      </w:rPr>
    </w:pPr>
    <w:r>
      <w:drawing>
        <wp:anchor distT="0" distB="0" distL="0" distR="0" simplePos="0" relativeHeight="251754496" behindDoc="0" locked="0" layoutInCell="0" allowOverlap="1">
          <wp:simplePos x="0" y="0"/>
          <wp:positionH relativeFrom="page">
            <wp:posOffset>1199515</wp:posOffset>
          </wp:positionH>
          <wp:positionV relativeFrom="page">
            <wp:posOffset>9880600</wp:posOffset>
          </wp:positionV>
          <wp:extent cx="5486400" cy="12700"/>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1"/>
                  <a:stretch>
                    <a:fillRect/>
                  </a:stretch>
                </pic:blipFill>
                <pic:spPr>
                  <a:xfrm>
                    <a:off x="0" y="0"/>
                    <a:ext cx="5486396" cy="12717"/>
                  </a:xfrm>
                  <a:prstGeom prst="rect">
                    <a:avLst/>
                  </a:prstGeom>
                </pic:spPr>
              </pic:pic>
            </a:graphicData>
          </a:graphic>
        </wp:anchor>
      </w:drawing>
    </w:r>
    <w:r>
      <w:rPr>
        <w:rFonts w:ascii="华文行楷" w:hAnsi="华文行楷" w:eastAsia="华文行楷" w:cs="华文行楷"/>
        <w:spacing w:val="25"/>
        <w:position w:val="4"/>
        <w:sz w:val="18"/>
        <w:szCs w:val="18"/>
      </w:rPr>
      <w:t>云南俊成矿业权评估有限公司</w:t>
    </w:r>
    <w:r>
      <w:rPr>
        <w:rFonts w:ascii="华文行楷" w:hAnsi="华文行楷" w:eastAsia="华文行楷" w:cs="华文行楷"/>
        <w:spacing w:val="1"/>
        <w:position w:val="4"/>
        <w:sz w:val="18"/>
        <w:szCs w:val="18"/>
      </w:rPr>
      <w:t xml:space="preserve">                           </w:t>
    </w:r>
    <w:r>
      <w:rPr>
        <w:rFonts w:ascii="华文行楷" w:hAnsi="华文行楷" w:eastAsia="华文行楷" w:cs="华文行楷"/>
        <w:position w:val="4"/>
        <w:sz w:val="18"/>
        <w:szCs w:val="18"/>
      </w:rPr>
      <w:t xml:space="preserve">                                </w:t>
    </w:r>
    <w:r>
      <w:rPr>
        <w:spacing w:val="25"/>
        <w:position w:val="4"/>
        <w:sz w:val="19"/>
        <w:szCs w:val="19"/>
      </w:rPr>
      <w:t>39</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29A5">
    <w:pPr>
      <w:spacing w:before="86" w:line="201" w:lineRule="auto"/>
      <w:ind w:left="2905"/>
      <w:rPr>
        <w:rFonts w:ascii="Times New Roman" w:hAnsi="Times New Roman" w:eastAsia="Times New Roman" w:cs="Times New Roman"/>
        <w:sz w:val="22"/>
        <w:szCs w:val="22"/>
      </w:rPr>
    </w:pPr>
    <w:r>
      <w:drawing>
        <wp:anchor distT="0" distB="0" distL="0" distR="0" simplePos="0" relativeHeight="251756544" behindDoc="0" locked="0" layoutInCell="0" allowOverlap="1">
          <wp:simplePos x="0" y="0"/>
          <wp:positionH relativeFrom="page">
            <wp:posOffset>1167765</wp:posOffset>
          </wp:positionH>
          <wp:positionV relativeFrom="page">
            <wp:posOffset>9874250</wp:posOffset>
          </wp:positionV>
          <wp:extent cx="5486400" cy="12700"/>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1"/>
                  <a:stretch>
                    <a:fillRect/>
                  </a:stretch>
                </pic:blipFill>
                <pic:spPr>
                  <a:xfrm>
                    <a:off x="0" y="0"/>
                    <a:ext cx="5486396" cy="12611"/>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2"/>
        <w:szCs w:val="22"/>
      </w:rPr>
      <w:t>40</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B843E">
    <w:pPr>
      <w:spacing w:before="92" w:line="203" w:lineRule="auto"/>
      <w:ind w:left="3215"/>
      <w:rPr>
        <w:rFonts w:ascii="Times New Roman" w:hAnsi="Times New Roman" w:eastAsia="Times New Roman" w:cs="Times New Roman"/>
        <w:sz w:val="20"/>
        <w:szCs w:val="20"/>
      </w:rPr>
    </w:pPr>
    <w:r>
      <w:drawing>
        <wp:anchor distT="0" distB="0" distL="0" distR="0" simplePos="0" relativeHeight="251758592" behindDoc="0" locked="0" layoutInCell="0" allowOverlap="1">
          <wp:simplePos x="0" y="0"/>
          <wp:positionH relativeFrom="page">
            <wp:posOffset>1186815</wp:posOffset>
          </wp:positionH>
          <wp:positionV relativeFrom="page">
            <wp:posOffset>9874250</wp:posOffset>
          </wp:positionV>
          <wp:extent cx="5499100" cy="12700"/>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1"/>
                  <a:stretch>
                    <a:fillRect/>
                  </a:stretch>
                </pic:blipFill>
                <pic:spPr>
                  <a:xfrm>
                    <a:off x="0" y="0"/>
                    <a:ext cx="5499091" cy="12611"/>
                  </a:xfrm>
                  <a:prstGeom prst="rect">
                    <a:avLst/>
                  </a:prstGeom>
                </pic:spPr>
              </pic:pic>
            </a:graphicData>
          </a:graphic>
        </wp:anchor>
      </w:drawing>
    </w:r>
    <w:r>
      <w:rPr>
        <w:rFonts w:ascii="华文行楷" w:hAnsi="华文行楷" w:eastAsia="华文行楷" w:cs="华文行楷"/>
        <w:spacing w:val="26"/>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6"/>
        <w:position w:val="1"/>
        <w:sz w:val="20"/>
        <w:szCs w:val="20"/>
      </w:rPr>
      <w:t>41</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22499">
    <w:pPr>
      <w:pStyle w:val="2"/>
      <w:spacing w:before="110" w:line="213" w:lineRule="auto"/>
      <w:ind w:left="2875"/>
      <w:rPr>
        <w:sz w:val="19"/>
        <w:szCs w:val="19"/>
      </w:rPr>
    </w:pPr>
    <w:r>
      <w:drawing>
        <wp:anchor distT="0" distB="0" distL="0" distR="0" simplePos="0" relativeHeight="251760640" behindDoc="0" locked="0" layoutInCell="0" allowOverlap="1">
          <wp:simplePos x="0" y="0"/>
          <wp:positionH relativeFrom="page">
            <wp:posOffset>1180465</wp:posOffset>
          </wp:positionH>
          <wp:positionV relativeFrom="page">
            <wp:posOffset>9874250</wp:posOffset>
          </wp:positionV>
          <wp:extent cx="5473700" cy="12700"/>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1"/>
                  <a:stretch>
                    <a:fillRect/>
                  </a:stretch>
                </pic:blipFill>
                <pic:spPr>
                  <a:xfrm>
                    <a:off x="0" y="0"/>
                    <a:ext cx="5473702" cy="12611"/>
                  </a:xfrm>
                  <a:prstGeom prst="rect">
                    <a:avLst/>
                  </a:prstGeom>
                </pic:spPr>
              </pic:pic>
            </a:graphicData>
          </a:graphic>
        </wp:anchor>
      </w:drawing>
    </w:r>
    <w:r>
      <w:rPr>
        <w:rFonts w:ascii="华文行楷" w:hAnsi="华文行楷" w:eastAsia="华文行楷" w:cs="华文行楷"/>
        <w:spacing w:val="26"/>
        <w:sz w:val="18"/>
        <w:szCs w:val="18"/>
      </w:rPr>
      <w:t>云南俊成矿业权评估有限公司</w:t>
    </w:r>
    <w:r>
      <w:rPr>
        <w:rFonts w:ascii="华文行楷" w:hAnsi="华文行楷" w:eastAsia="华文行楷" w:cs="华文行楷"/>
        <w:sz w:val="18"/>
        <w:szCs w:val="18"/>
      </w:rPr>
      <w:t xml:space="preserve">                                                           </w:t>
    </w:r>
    <w:r>
      <w:rPr>
        <w:spacing w:val="26"/>
        <w:sz w:val="19"/>
        <w:szCs w:val="19"/>
      </w:rPr>
      <w:t>42</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7870">
    <w:pPr>
      <w:pStyle w:val="2"/>
      <w:spacing w:before="30" w:line="301" w:lineRule="exact"/>
      <w:ind w:left="2965"/>
      <w:rPr>
        <w:sz w:val="19"/>
        <w:szCs w:val="19"/>
      </w:rPr>
    </w:pPr>
    <w:r>
      <w:drawing>
        <wp:anchor distT="0" distB="0" distL="0" distR="0" simplePos="0" relativeHeight="251762688" behindDoc="0" locked="0" layoutInCell="0" allowOverlap="1">
          <wp:simplePos x="0" y="0"/>
          <wp:positionH relativeFrom="page">
            <wp:posOffset>1205865</wp:posOffset>
          </wp:positionH>
          <wp:positionV relativeFrom="page">
            <wp:posOffset>9854565</wp:posOffset>
          </wp:positionV>
          <wp:extent cx="5486400" cy="12700"/>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
                  <a:stretch>
                    <a:fillRect/>
                  </a:stretch>
                </pic:blipFill>
                <pic:spPr>
                  <a:xfrm>
                    <a:off x="0" y="0"/>
                    <a:ext cx="5486395" cy="12717"/>
                  </a:xfrm>
                  <a:prstGeom prst="rect">
                    <a:avLst/>
                  </a:prstGeom>
                </pic:spPr>
              </pic:pic>
            </a:graphicData>
          </a:graphic>
        </wp:anchor>
      </w:drawing>
    </w:r>
    <w:r>
      <w:rPr>
        <w:rFonts w:ascii="华文行楷" w:hAnsi="华文行楷" w:eastAsia="华文行楷" w:cs="华文行楷"/>
        <w:spacing w:val="25"/>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5"/>
        <w:position w:val="4"/>
        <w:sz w:val="19"/>
        <w:szCs w:val="19"/>
      </w:rPr>
      <w:t>43</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AA5D8">
    <w:pPr>
      <w:pStyle w:val="2"/>
      <w:spacing w:before="91" w:line="212" w:lineRule="auto"/>
      <w:ind w:left="2955"/>
      <w:rPr>
        <w:sz w:val="19"/>
        <w:szCs w:val="19"/>
      </w:rPr>
    </w:pPr>
    <w:r>
      <w:drawing>
        <wp:anchor distT="0" distB="0" distL="0" distR="0" simplePos="0" relativeHeight="251764736" behindDoc="0" locked="0" layoutInCell="0" allowOverlap="1">
          <wp:simplePos x="0" y="0"/>
          <wp:positionH relativeFrom="page">
            <wp:posOffset>1205865</wp:posOffset>
          </wp:positionH>
          <wp:positionV relativeFrom="page">
            <wp:posOffset>9867265</wp:posOffset>
          </wp:positionV>
          <wp:extent cx="5480050" cy="12700"/>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1"/>
                  <a:stretch>
                    <a:fillRect/>
                  </a:stretch>
                </pic:blipFill>
                <pic:spPr>
                  <a:xfrm>
                    <a:off x="0" y="0"/>
                    <a:ext cx="5480048"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spacing w:val="25"/>
        <w:position w:val="1"/>
        <w:sz w:val="19"/>
        <w:szCs w:val="19"/>
      </w:rPr>
      <w:t>44</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67AD">
    <w:pPr>
      <w:pStyle w:val="2"/>
      <w:spacing w:before="20" w:line="311" w:lineRule="exact"/>
      <w:ind w:left="2975"/>
      <w:rPr>
        <w:sz w:val="19"/>
        <w:szCs w:val="19"/>
      </w:rPr>
    </w:pPr>
    <w:r>
      <w:drawing>
        <wp:anchor distT="0" distB="0" distL="0" distR="0" simplePos="0" relativeHeight="251765760" behindDoc="0" locked="0" layoutInCell="0" allowOverlap="1">
          <wp:simplePos x="0" y="0"/>
          <wp:positionH relativeFrom="page">
            <wp:posOffset>1218565</wp:posOffset>
          </wp:positionH>
          <wp:positionV relativeFrom="page">
            <wp:posOffset>9854565</wp:posOffset>
          </wp:positionV>
          <wp:extent cx="5492750" cy="1270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1"/>
                  <a:stretch>
                    <a:fillRect/>
                  </a:stretch>
                </pic:blipFill>
                <pic:spPr>
                  <a:xfrm>
                    <a:off x="0" y="0"/>
                    <a:ext cx="5492819" cy="12717"/>
                  </a:xfrm>
                  <a:prstGeom prst="rect">
                    <a:avLst/>
                  </a:prstGeom>
                </pic:spPr>
              </pic:pic>
            </a:graphicData>
          </a:graphic>
        </wp:anchor>
      </w:drawing>
    </w:r>
    <w:r>
      <w:rPr>
        <w:rFonts w:ascii="华文行楷" w:hAnsi="华文行楷" w:eastAsia="华文行楷" w:cs="华文行楷"/>
        <w:spacing w:val="26"/>
        <w:position w:val="3"/>
        <w:sz w:val="18"/>
        <w:szCs w:val="18"/>
      </w:rPr>
      <w:t>云南俊成矿业权评估有限公司</w:t>
    </w:r>
    <w:r>
      <w:rPr>
        <w:rFonts w:ascii="华文行楷" w:hAnsi="华文行楷" w:eastAsia="华文行楷" w:cs="华文行楷"/>
        <w:spacing w:val="1"/>
        <w:position w:val="3"/>
        <w:sz w:val="18"/>
        <w:szCs w:val="18"/>
      </w:rPr>
      <w:t xml:space="preserve">                                        </w:t>
    </w:r>
    <w:r>
      <w:rPr>
        <w:rFonts w:ascii="华文行楷" w:hAnsi="华文行楷" w:eastAsia="华文行楷" w:cs="华文行楷"/>
        <w:position w:val="3"/>
        <w:sz w:val="18"/>
        <w:szCs w:val="18"/>
      </w:rPr>
      <w:t xml:space="preserve">                  </w:t>
    </w:r>
    <w:r>
      <w:rPr>
        <w:spacing w:val="26"/>
        <w:position w:val="5"/>
        <w:sz w:val="19"/>
        <w:szCs w:val="19"/>
      </w:rPr>
      <w:t>45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4C847">
    <w:pPr>
      <w:spacing w:before="93" w:line="202" w:lineRule="auto"/>
      <w:ind w:left="2734"/>
      <w:rPr>
        <w:rFonts w:ascii="Times New Roman" w:hAnsi="Times New Roman" w:eastAsia="Times New Roman" w:cs="Times New Roman"/>
        <w:sz w:val="20"/>
        <w:szCs w:val="20"/>
      </w:rPr>
    </w:pPr>
    <w:r>
      <w:drawing>
        <wp:anchor distT="0" distB="0" distL="0" distR="0" simplePos="0" relativeHeight="251667456" behindDoc="0" locked="0" layoutInCell="0" allowOverlap="1">
          <wp:simplePos x="0" y="0"/>
          <wp:positionH relativeFrom="page">
            <wp:posOffset>1205865</wp:posOffset>
          </wp:positionH>
          <wp:positionV relativeFrom="page">
            <wp:posOffset>9886315</wp:posOffset>
          </wp:positionV>
          <wp:extent cx="5238750" cy="127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
                  <a:stretch>
                    <a:fillRect/>
                  </a:stretch>
                </pic:blipFill>
                <pic:spPr>
                  <a:xfrm>
                    <a:off x="0" y="0"/>
                    <a:ext cx="5238770"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7"/>
        <w:position w:val="1"/>
        <w:sz w:val="20"/>
        <w:szCs w:val="20"/>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4FFFB">
    <w:pPr>
      <w:pStyle w:val="2"/>
      <w:spacing w:before="20" w:line="311" w:lineRule="exact"/>
      <w:ind w:left="2935"/>
      <w:rPr>
        <w:sz w:val="19"/>
        <w:szCs w:val="19"/>
      </w:rPr>
    </w:pPr>
    <w:r>
      <w:drawing>
        <wp:anchor distT="0" distB="0" distL="0" distR="0" simplePos="0" relativeHeight="251767808" behindDoc="0" locked="0" layoutInCell="0" allowOverlap="1">
          <wp:simplePos x="0" y="0"/>
          <wp:positionH relativeFrom="page">
            <wp:posOffset>1199515</wp:posOffset>
          </wp:positionH>
          <wp:positionV relativeFrom="page">
            <wp:posOffset>9854565</wp:posOffset>
          </wp:positionV>
          <wp:extent cx="5499100" cy="12700"/>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
                  <a:stretch>
                    <a:fillRect/>
                  </a:stretch>
                </pic:blipFill>
                <pic:spPr>
                  <a:xfrm>
                    <a:off x="0" y="0"/>
                    <a:ext cx="5499092" cy="12717"/>
                  </a:xfrm>
                  <a:prstGeom prst="rect">
                    <a:avLst/>
                  </a:prstGeom>
                </pic:spPr>
              </pic:pic>
            </a:graphicData>
          </a:graphic>
        </wp:anchor>
      </w:drawing>
    </w:r>
    <w:r>
      <w:rPr>
        <w:rFonts w:ascii="华文行楷" w:hAnsi="华文行楷" w:eastAsia="华文行楷" w:cs="华文行楷"/>
        <w:spacing w:val="26"/>
        <w:position w:val="3"/>
        <w:sz w:val="18"/>
        <w:szCs w:val="18"/>
      </w:rPr>
      <w:t>云南俊成矿业权评估有限公司</w:t>
    </w:r>
    <w:r>
      <w:rPr>
        <w:rFonts w:ascii="华文行楷" w:hAnsi="华文行楷" w:eastAsia="华文行楷" w:cs="华文行楷"/>
        <w:position w:val="3"/>
        <w:sz w:val="18"/>
        <w:szCs w:val="18"/>
      </w:rPr>
      <w:t xml:space="preserve">                                                           </w:t>
    </w:r>
    <w:r>
      <w:rPr>
        <w:spacing w:val="26"/>
        <w:position w:val="5"/>
        <w:sz w:val="19"/>
        <w:szCs w:val="19"/>
      </w:rPr>
      <w:t>46</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41E6">
    <w:pPr>
      <w:pStyle w:val="2"/>
      <w:spacing w:before="90" w:line="213" w:lineRule="auto"/>
      <w:ind w:left="2905"/>
      <w:rPr>
        <w:sz w:val="19"/>
        <w:szCs w:val="19"/>
      </w:rPr>
    </w:pPr>
    <w:r>
      <w:drawing>
        <wp:anchor distT="0" distB="0" distL="0" distR="0" simplePos="0" relativeHeight="251769856" behindDoc="0" locked="0" layoutInCell="0" allowOverlap="1">
          <wp:simplePos x="0" y="0"/>
          <wp:positionH relativeFrom="page">
            <wp:posOffset>1180465</wp:posOffset>
          </wp:positionH>
          <wp:positionV relativeFrom="page">
            <wp:posOffset>9867265</wp:posOffset>
          </wp:positionV>
          <wp:extent cx="5486400" cy="1270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1"/>
                  <a:stretch>
                    <a:fillRect/>
                  </a:stretch>
                </pic:blipFill>
                <pic:spPr>
                  <a:xfrm>
                    <a:off x="0" y="0"/>
                    <a:ext cx="5486395"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spacing w:val="25"/>
        <w:sz w:val="19"/>
        <w:szCs w:val="19"/>
      </w:rPr>
      <w:t>47</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6C06D">
    <w:pPr>
      <w:spacing w:before="90" w:line="205" w:lineRule="auto"/>
      <w:ind w:left="2905"/>
      <w:rPr>
        <w:rFonts w:ascii="Times New Roman" w:hAnsi="Times New Roman" w:eastAsia="Times New Roman" w:cs="Times New Roman"/>
        <w:sz w:val="20"/>
        <w:szCs w:val="20"/>
      </w:rPr>
    </w:pPr>
    <w:r>
      <w:drawing>
        <wp:anchor distT="0" distB="0" distL="0" distR="0" simplePos="0" relativeHeight="251771904" behindDoc="0" locked="0" layoutInCell="0" allowOverlap="1">
          <wp:simplePos x="0" y="0"/>
          <wp:positionH relativeFrom="page">
            <wp:posOffset>1180465</wp:posOffset>
          </wp:positionH>
          <wp:positionV relativeFrom="page">
            <wp:posOffset>9867265</wp:posOffset>
          </wp:positionV>
          <wp:extent cx="5467350" cy="12700"/>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1"/>
                  <a:stretch>
                    <a:fillRect/>
                  </a:stretch>
                </pic:blipFill>
                <pic:spPr>
                  <a:xfrm>
                    <a:off x="0" y="0"/>
                    <a:ext cx="5467353"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48</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CA826">
    <w:pPr>
      <w:pStyle w:val="2"/>
      <w:spacing w:before="40" w:line="301" w:lineRule="exact"/>
      <w:ind w:left="2905"/>
      <w:rPr>
        <w:sz w:val="19"/>
        <w:szCs w:val="19"/>
      </w:rPr>
    </w:pPr>
    <w:r>
      <w:drawing>
        <wp:anchor distT="0" distB="0" distL="0" distR="0" simplePos="0" relativeHeight="251773952" behindDoc="0" locked="0" layoutInCell="0" allowOverlap="1">
          <wp:simplePos x="0" y="0"/>
          <wp:positionH relativeFrom="page">
            <wp:posOffset>1174115</wp:posOffset>
          </wp:positionH>
          <wp:positionV relativeFrom="page">
            <wp:posOffset>9867265</wp:posOffset>
          </wp:positionV>
          <wp:extent cx="5480050" cy="1270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1"/>
                  <a:stretch>
                    <a:fillRect/>
                  </a:stretch>
                </pic:blipFill>
                <pic:spPr>
                  <a:xfrm>
                    <a:off x="0" y="0"/>
                    <a:ext cx="5480048" cy="12717"/>
                  </a:xfrm>
                  <a:prstGeom prst="rect">
                    <a:avLst/>
                  </a:prstGeom>
                </pic:spPr>
              </pic:pic>
            </a:graphicData>
          </a:graphic>
        </wp:anchor>
      </w:drawing>
    </w:r>
    <w:r>
      <w:rPr>
        <w:rFonts w:ascii="华文行楷" w:hAnsi="华文行楷" w:eastAsia="华文行楷" w:cs="华文行楷"/>
        <w:spacing w:val="24"/>
        <w:position w:val="3"/>
        <w:sz w:val="18"/>
        <w:szCs w:val="18"/>
      </w:rPr>
      <w:t>云南俊成矿业权评估有限公司</w:t>
    </w:r>
    <w:r>
      <w:rPr>
        <w:rFonts w:ascii="华文行楷" w:hAnsi="华文行楷" w:eastAsia="华文行楷" w:cs="华文行楷"/>
        <w:position w:val="3"/>
        <w:sz w:val="18"/>
        <w:szCs w:val="18"/>
      </w:rPr>
      <w:t xml:space="preserve">                                                           </w:t>
    </w:r>
    <w:r>
      <w:rPr>
        <w:spacing w:val="24"/>
        <w:position w:val="4"/>
        <w:sz w:val="19"/>
        <w:szCs w:val="19"/>
      </w:rPr>
      <w:t>49</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1AC68">
    <w:pPr>
      <w:spacing w:before="90" w:line="205" w:lineRule="auto"/>
      <w:ind w:left="2955"/>
      <w:rPr>
        <w:rFonts w:ascii="Times New Roman" w:hAnsi="Times New Roman" w:eastAsia="Times New Roman" w:cs="Times New Roman"/>
        <w:sz w:val="20"/>
        <w:szCs w:val="20"/>
      </w:rPr>
    </w:pPr>
    <w:r>
      <w:drawing>
        <wp:anchor distT="0" distB="0" distL="0" distR="0" simplePos="0" relativeHeight="251776000" behindDoc="0" locked="0" layoutInCell="0" allowOverlap="1">
          <wp:simplePos x="0" y="0"/>
          <wp:positionH relativeFrom="page">
            <wp:posOffset>1212215</wp:posOffset>
          </wp:positionH>
          <wp:positionV relativeFrom="page">
            <wp:posOffset>9867265</wp:posOffset>
          </wp:positionV>
          <wp:extent cx="5486400" cy="12700"/>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
                  <a:stretch>
                    <a:fillRect/>
                  </a:stretch>
                </pic:blipFill>
                <pic:spPr>
                  <a:xfrm>
                    <a:off x="0" y="0"/>
                    <a:ext cx="5486397"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position w:val="1"/>
        <w:sz w:val="20"/>
        <w:szCs w:val="20"/>
      </w:rPr>
      <w:t>50</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3C61">
    <w:pPr>
      <w:spacing w:before="110" w:line="205" w:lineRule="auto"/>
      <w:ind w:left="4300"/>
      <w:rPr>
        <w:rFonts w:ascii="Times New Roman" w:hAnsi="Times New Roman" w:eastAsia="Times New Roman" w:cs="Times New Roman"/>
        <w:sz w:val="20"/>
        <w:szCs w:val="20"/>
      </w:rPr>
    </w:pPr>
    <w:r>
      <w:drawing>
        <wp:anchor distT="0" distB="0" distL="0" distR="0" simplePos="0" relativeHeight="251778048" behindDoc="0" locked="0" layoutInCell="0" allowOverlap="1">
          <wp:simplePos x="0" y="0"/>
          <wp:positionH relativeFrom="page">
            <wp:posOffset>1186815</wp:posOffset>
          </wp:positionH>
          <wp:positionV relativeFrom="page">
            <wp:posOffset>9874250</wp:posOffset>
          </wp:positionV>
          <wp:extent cx="5486400" cy="12700"/>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
                  <a:stretch>
                    <a:fillRect/>
                  </a:stretch>
                </pic:blipFill>
                <pic:spPr>
                  <a:xfrm>
                    <a:off x="0" y="0"/>
                    <a:ext cx="5486397" cy="12611"/>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51</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A066A">
    <w:pPr>
      <w:spacing w:before="43" w:line="221" w:lineRule="auto"/>
      <w:ind w:left="2895"/>
      <w:rPr>
        <w:rFonts w:ascii="宋体" w:hAnsi="宋体" w:eastAsia="宋体" w:cs="宋体"/>
        <w:sz w:val="24"/>
        <w:szCs w:val="24"/>
      </w:rPr>
    </w:pPr>
    <w:r>
      <w:drawing>
        <wp:anchor distT="0" distB="0" distL="0" distR="0" simplePos="0" relativeHeight="251780096" behindDoc="0" locked="0" layoutInCell="0" allowOverlap="1">
          <wp:simplePos x="0" y="0"/>
          <wp:positionH relativeFrom="page">
            <wp:posOffset>1161415</wp:posOffset>
          </wp:positionH>
          <wp:positionV relativeFrom="page">
            <wp:posOffset>9861550</wp:posOffset>
          </wp:positionV>
          <wp:extent cx="5492750" cy="12700"/>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1"/>
                  <a:stretch>
                    <a:fillRect/>
                  </a:stretch>
                </pic:blipFill>
                <pic:spPr>
                  <a:xfrm>
                    <a:off x="0" y="0"/>
                    <a:ext cx="5492745"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宋体" w:hAnsi="宋体" w:eastAsia="宋体" w:cs="宋体"/>
        <w:spacing w:val="25"/>
        <w:sz w:val="24"/>
        <w:szCs w:val="24"/>
      </w:rPr>
      <w:t>52</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EC577">
    <w:pPr>
      <w:spacing w:after="60" w:line="29" w:lineRule="exact"/>
      <w:ind w:firstLine="102"/>
    </w:pPr>
    <w:r>
      <w:drawing>
        <wp:inline distT="0" distB="0" distL="0" distR="0">
          <wp:extent cx="5485765" cy="1841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
                  <a:stretch>
                    <a:fillRect/>
                  </a:stretch>
                </pic:blipFill>
                <pic:spPr>
                  <a:xfrm>
                    <a:off x="0" y="0"/>
                    <a:ext cx="5486381" cy="19028"/>
                  </a:xfrm>
                  <a:prstGeom prst="rect">
                    <a:avLst/>
                  </a:prstGeom>
                </pic:spPr>
              </pic:pic>
            </a:graphicData>
          </a:graphic>
        </wp:inline>
      </w:drawing>
    </w:r>
  </w:p>
  <w:p w14:paraId="556C11EE">
    <w:pPr>
      <w:spacing w:line="214" w:lineRule="auto"/>
      <w:ind w:left="2932"/>
      <w:rPr>
        <w:rFonts w:ascii="Times New Roman" w:hAnsi="Times New Roman" w:eastAsia="Times New Roman" w:cs="Times New Roman"/>
        <w:sz w:val="20"/>
        <w:szCs w:val="20"/>
      </w:rPr>
    </w:pP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position w:val="-1"/>
        <w:sz w:val="20"/>
        <w:szCs w:val="20"/>
      </w:rPr>
      <w:t>53</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2B7D">
    <w:pPr>
      <w:pStyle w:val="2"/>
      <w:spacing w:before="50" w:line="294" w:lineRule="exact"/>
      <w:ind w:left="2885"/>
      <w:rPr>
        <w:sz w:val="19"/>
        <w:szCs w:val="19"/>
      </w:rPr>
    </w:pPr>
    <w:r>
      <w:drawing>
        <wp:anchor distT="0" distB="0" distL="0" distR="0" simplePos="0" relativeHeight="251783168" behindDoc="0" locked="0" layoutInCell="0" allowOverlap="1">
          <wp:simplePos x="0" y="0"/>
          <wp:positionH relativeFrom="page">
            <wp:posOffset>1161415</wp:posOffset>
          </wp:positionH>
          <wp:positionV relativeFrom="page">
            <wp:posOffset>9854565</wp:posOffset>
          </wp:positionV>
          <wp:extent cx="5467350" cy="12700"/>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1"/>
                  <a:stretch>
                    <a:fillRect/>
                  </a:stretch>
                </pic:blipFill>
                <pic:spPr>
                  <a:xfrm>
                    <a:off x="0" y="0"/>
                    <a:ext cx="5467355" cy="12717"/>
                  </a:xfrm>
                  <a:prstGeom prst="rect">
                    <a:avLst/>
                  </a:prstGeom>
                </pic:spPr>
              </pic:pic>
            </a:graphicData>
          </a:graphic>
        </wp:anchor>
      </w:drawing>
    </w:r>
    <w:r>
      <w:rPr>
        <w:rFonts w:ascii="华文行楷" w:hAnsi="华文行楷" w:eastAsia="华文行楷" w:cs="华文行楷"/>
        <w:spacing w:val="25"/>
        <w:position w:val="4"/>
        <w:sz w:val="18"/>
        <w:szCs w:val="18"/>
      </w:rPr>
      <w:t>云南俊成矿业权评估有限公司</w:t>
    </w:r>
    <w:r>
      <w:rPr>
        <w:rFonts w:ascii="华文行楷" w:hAnsi="华文行楷" w:eastAsia="华文行楷" w:cs="华文行楷"/>
        <w:spacing w:val="1"/>
        <w:position w:val="4"/>
        <w:sz w:val="18"/>
        <w:szCs w:val="18"/>
      </w:rPr>
      <w:t xml:space="preserve">                                         </w:t>
    </w:r>
    <w:r>
      <w:rPr>
        <w:rFonts w:ascii="华文行楷" w:hAnsi="华文行楷" w:eastAsia="华文行楷" w:cs="华文行楷"/>
        <w:position w:val="4"/>
        <w:sz w:val="18"/>
        <w:szCs w:val="18"/>
      </w:rPr>
      <w:t xml:space="preserve">                 </w:t>
    </w:r>
    <w:r>
      <w:rPr>
        <w:spacing w:val="25"/>
        <w:position w:val="4"/>
        <w:sz w:val="19"/>
        <w:szCs w:val="19"/>
      </w:rPr>
      <w:t>54</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8D92">
    <w:pPr>
      <w:spacing w:before="110" w:line="205" w:lineRule="auto"/>
      <w:ind w:left="2895"/>
      <w:rPr>
        <w:rFonts w:ascii="Times New Roman" w:hAnsi="Times New Roman" w:eastAsia="Times New Roman" w:cs="Times New Roman"/>
        <w:sz w:val="20"/>
        <w:szCs w:val="20"/>
      </w:rPr>
    </w:pPr>
    <w:r>
      <w:drawing>
        <wp:anchor distT="0" distB="0" distL="0" distR="0" simplePos="0" relativeHeight="251785216" behindDoc="0" locked="0" layoutInCell="0" allowOverlap="1">
          <wp:simplePos x="0" y="0"/>
          <wp:positionH relativeFrom="page">
            <wp:posOffset>1180465</wp:posOffset>
          </wp:positionH>
          <wp:positionV relativeFrom="page">
            <wp:posOffset>9867265</wp:posOffset>
          </wp:positionV>
          <wp:extent cx="5486400" cy="12700"/>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
                  <a:stretch>
                    <a:fillRect/>
                  </a:stretch>
                </pic:blipFill>
                <pic:spPr>
                  <a:xfrm>
                    <a:off x="0" y="0"/>
                    <a:ext cx="5486395"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55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10E0D">
    <w:pPr>
      <w:pStyle w:val="2"/>
      <w:spacing w:before="90" w:line="226" w:lineRule="auto"/>
      <w:ind w:left="2734"/>
      <w:rPr>
        <w:sz w:val="17"/>
        <w:szCs w:val="17"/>
      </w:rPr>
    </w:pPr>
    <w:r>
      <w:drawing>
        <wp:anchor distT="0" distB="0" distL="0" distR="0" simplePos="0" relativeHeight="251669504" behindDoc="0" locked="0" layoutInCell="0" allowOverlap="1">
          <wp:simplePos x="0" y="0"/>
          <wp:positionH relativeFrom="page">
            <wp:posOffset>1180465</wp:posOffset>
          </wp:positionH>
          <wp:positionV relativeFrom="page">
            <wp:posOffset>9886315</wp:posOffset>
          </wp:positionV>
          <wp:extent cx="5270500" cy="127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
                  <a:stretch>
                    <a:fillRect/>
                  </a:stretch>
                </pic:blipFill>
                <pic:spPr>
                  <a:xfrm>
                    <a:off x="0" y="0"/>
                    <a:ext cx="5270507" cy="12717"/>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b/>
        <w:bCs/>
        <w:spacing w:val="27"/>
        <w:sz w:val="17"/>
        <w:szCs w:val="17"/>
      </w:rPr>
      <w:t>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773EE">
    <w:pPr>
      <w:spacing w:before="110" w:line="205" w:lineRule="auto"/>
      <w:ind w:left="2905"/>
      <w:rPr>
        <w:rFonts w:ascii="Times New Roman" w:hAnsi="Times New Roman" w:eastAsia="Times New Roman" w:cs="Times New Roman"/>
        <w:sz w:val="20"/>
        <w:szCs w:val="20"/>
      </w:rPr>
    </w:pPr>
    <w:r>
      <w:drawing>
        <wp:anchor distT="0" distB="0" distL="0" distR="0" simplePos="0" relativeHeight="251787264" behindDoc="0" locked="0" layoutInCell="0" allowOverlap="1">
          <wp:simplePos x="0" y="0"/>
          <wp:positionH relativeFrom="page">
            <wp:posOffset>1167765</wp:posOffset>
          </wp:positionH>
          <wp:positionV relativeFrom="page">
            <wp:posOffset>9861550</wp:posOffset>
          </wp:positionV>
          <wp:extent cx="5492750" cy="12700"/>
          <wp:effectExtent l="0" t="0" r="0" b="0"/>
          <wp:wrapNone/>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1"/>
                  <a:stretch>
                    <a:fillRect/>
                  </a:stretch>
                </pic:blipFill>
                <pic:spPr>
                  <a:xfrm>
                    <a:off x="0" y="0"/>
                    <a:ext cx="5492745"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56</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825A">
    <w:pPr>
      <w:spacing w:before="90" w:line="205" w:lineRule="auto"/>
      <w:ind w:left="2845"/>
      <w:rPr>
        <w:rFonts w:ascii="Times New Roman" w:hAnsi="Times New Roman" w:eastAsia="Times New Roman" w:cs="Times New Roman"/>
        <w:sz w:val="20"/>
        <w:szCs w:val="20"/>
      </w:rPr>
    </w:pPr>
    <w:r>
      <w:drawing>
        <wp:anchor distT="0" distB="0" distL="0" distR="0" simplePos="0" relativeHeight="251789312" behindDoc="0" locked="0" layoutInCell="0" allowOverlap="1">
          <wp:simplePos x="0" y="0"/>
          <wp:positionH relativeFrom="page">
            <wp:posOffset>1174115</wp:posOffset>
          </wp:positionH>
          <wp:positionV relativeFrom="page">
            <wp:posOffset>9893300</wp:posOffset>
          </wp:positionV>
          <wp:extent cx="5461000" cy="12700"/>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1"/>
                  <a:stretch>
                    <a:fillRect/>
                  </a:stretch>
                </pic:blipFill>
                <pic:spPr>
                  <a:xfrm>
                    <a:off x="0" y="0"/>
                    <a:ext cx="5461006" cy="12717"/>
                  </a:xfrm>
                  <a:prstGeom prst="rect">
                    <a:avLst/>
                  </a:prstGeom>
                </pic:spPr>
              </pic:pic>
            </a:graphicData>
          </a:graphic>
        </wp:anchor>
      </w:drawing>
    </w:r>
    <w:r>
      <w:rPr>
        <w:rFonts w:ascii="华文行楷" w:hAnsi="华文行楷" w:eastAsia="华文行楷" w:cs="华文行楷"/>
        <w:spacing w:val="25"/>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rFonts w:ascii="Times New Roman" w:hAnsi="Times New Roman" w:eastAsia="Times New Roman" w:cs="Times New Roman"/>
        <w:spacing w:val="25"/>
        <w:sz w:val="20"/>
        <w:szCs w:val="20"/>
      </w:rPr>
      <w:t>57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E60C">
    <w:pPr>
      <w:pStyle w:val="2"/>
      <w:spacing w:before="64" w:line="210" w:lineRule="auto"/>
      <w:ind w:left="2764"/>
      <w:rPr>
        <w:sz w:val="20"/>
        <w:szCs w:val="20"/>
      </w:rPr>
    </w:pPr>
    <w:r>
      <w:drawing>
        <wp:anchor distT="0" distB="0" distL="0" distR="0" simplePos="0" relativeHeight="251670528" behindDoc="0" locked="0" layoutInCell="0" allowOverlap="1">
          <wp:simplePos x="0" y="0"/>
          <wp:positionH relativeFrom="page">
            <wp:posOffset>1193165</wp:posOffset>
          </wp:positionH>
          <wp:positionV relativeFrom="page">
            <wp:posOffset>9886315</wp:posOffset>
          </wp:positionV>
          <wp:extent cx="5264150" cy="1270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
                  <a:stretch>
                    <a:fillRect/>
                  </a:stretch>
                </pic:blipFill>
                <pic:spPr>
                  <a:xfrm>
                    <a:off x="0" y="0"/>
                    <a:ext cx="5264160" cy="12717"/>
                  </a:xfrm>
                  <a:prstGeom prst="rect">
                    <a:avLst/>
                  </a:prstGeom>
                </pic:spPr>
              </pic:pic>
            </a:graphicData>
          </a:graphic>
        </wp:anchor>
      </w:drawing>
    </w:r>
    <w:r>
      <w:rPr>
        <w:rFonts w:ascii="华文行楷" w:hAnsi="华文行楷" w:eastAsia="华文行楷" w:cs="华文行楷"/>
        <w:spacing w:val="26"/>
        <w:sz w:val="18"/>
        <w:szCs w:val="18"/>
      </w:rPr>
      <w:t>云南俊成矿业权评估有限公司</w:t>
    </w:r>
    <w:r>
      <w:rPr>
        <w:rFonts w:ascii="华文行楷" w:hAnsi="华文行楷" w:eastAsia="华文行楷" w:cs="华文行楷"/>
        <w:sz w:val="18"/>
        <w:szCs w:val="18"/>
      </w:rPr>
      <w:t xml:space="preserve">                                                           </w:t>
    </w:r>
    <w:r>
      <w:rPr>
        <w:spacing w:val="26"/>
        <w:position w:val="2"/>
        <w:sz w:val="20"/>
        <w:szCs w:val="20"/>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20FC">
    <w:pPr>
      <w:spacing w:before="90" w:line="205" w:lineRule="auto"/>
      <w:ind w:left="2724"/>
      <w:rPr>
        <w:rFonts w:ascii="Times New Roman" w:hAnsi="Times New Roman" w:eastAsia="Times New Roman" w:cs="Times New Roman"/>
        <w:sz w:val="20"/>
        <w:szCs w:val="20"/>
      </w:rPr>
    </w:pPr>
    <w:r>
      <w:drawing>
        <wp:anchor distT="0" distB="0" distL="0" distR="0" simplePos="0" relativeHeight="251672576" behindDoc="0" locked="0" layoutInCell="0" allowOverlap="1">
          <wp:simplePos x="0" y="0"/>
          <wp:positionH relativeFrom="page">
            <wp:posOffset>1180465</wp:posOffset>
          </wp:positionH>
          <wp:positionV relativeFrom="page">
            <wp:posOffset>9880600</wp:posOffset>
          </wp:positionV>
          <wp:extent cx="5251450" cy="1270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
                  <a:stretch>
                    <a:fillRect/>
                  </a:stretch>
                </pic:blipFill>
                <pic:spPr>
                  <a:xfrm>
                    <a:off x="0" y="0"/>
                    <a:ext cx="5251465" cy="12717"/>
                  </a:xfrm>
                  <a:prstGeom prst="rect">
                    <a:avLst/>
                  </a:prstGeom>
                </pic:spPr>
              </pic:pic>
            </a:graphicData>
          </a:graphic>
        </wp:anchor>
      </w:drawing>
    </w:r>
    <w:r>
      <w:rPr>
        <w:rFonts w:ascii="华文行楷" w:hAnsi="华文行楷" w:eastAsia="华文行楷" w:cs="华文行楷"/>
        <w:spacing w:val="28"/>
        <w:sz w:val="18"/>
        <w:szCs w:val="18"/>
      </w:rPr>
      <w:t>云南俊成矿业权评估有限公司</w:t>
    </w:r>
    <w:r>
      <w:rPr>
        <w:rFonts w:ascii="华文行楷" w:hAnsi="华文行楷" w:eastAsia="华文行楷" w:cs="华文行楷"/>
        <w:sz w:val="18"/>
        <w:szCs w:val="18"/>
      </w:rPr>
      <w:t xml:space="preserve">                                                           </w:t>
    </w:r>
    <w:r>
      <w:rPr>
        <w:rFonts w:ascii="Times New Roman" w:hAnsi="Times New Roman" w:eastAsia="Times New Roman" w:cs="Times New Roman"/>
        <w:spacing w:val="28"/>
        <w:sz w:val="20"/>
        <w:szCs w:val="20"/>
      </w:rP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2FB05">
    <w:pPr>
      <w:pStyle w:val="2"/>
      <w:spacing w:before="90" w:line="222" w:lineRule="auto"/>
      <w:ind w:left="2734"/>
      <w:rPr>
        <w:sz w:val="17"/>
        <w:szCs w:val="17"/>
      </w:rPr>
    </w:pPr>
    <w:r>
      <w:drawing>
        <wp:anchor distT="0" distB="0" distL="0" distR="0" simplePos="0" relativeHeight="251674624" behindDoc="0" locked="0" layoutInCell="0" allowOverlap="1">
          <wp:simplePos x="0" y="0"/>
          <wp:positionH relativeFrom="page">
            <wp:posOffset>1193165</wp:posOffset>
          </wp:positionH>
          <wp:positionV relativeFrom="page">
            <wp:posOffset>9906000</wp:posOffset>
          </wp:positionV>
          <wp:extent cx="5251450" cy="1270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
                  <a:stretch>
                    <a:fillRect/>
                  </a:stretch>
                </pic:blipFill>
                <pic:spPr>
                  <a:xfrm>
                    <a:off x="0" y="0"/>
                    <a:ext cx="5251465" cy="12611"/>
                  </a:xfrm>
                  <a:prstGeom prst="rect">
                    <a:avLst/>
                  </a:prstGeom>
                </pic:spPr>
              </pic:pic>
            </a:graphicData>
          </a:graphic>
        </wp:anchor>
      </w:drawing>
    </w:r>
    <w:r>
      <w:rPr>
        <w:rFonts w:ascii="华文行楷" w:hAnsi="华文行楷" w:eastAsia="华文行楷" w:cs="华文行楷"/>
        <w:spacing w:val="27"/>
        <w:sz w:val="18"/>
        <w:szCs w:val="18"/>
      </w:rPr>
      <w:t>云南俊成矿业权评估有限公司</w:t>
    </w:r>
    <w:r>
      <w:rPr>
        <w:rFonts w:ascii="华文行楷" w:hAnsi="华文行楷" w:eastAsia="华文行楷" w:cs="华文行楷"/>
        <w:spacing w:val="1"/>
        <w:sz w:val="18"/>
        <w:szCs w:val="18"/>
      </w:rPr>
      <w:t xml:space="preserve">                                                    </w:t>
    </w:r>
    <w:r>
      <w:rPr>
        <w:rFonts w:ascii="华文行楷" w:hAnsi="华文行楷" w:eastAsia="华文行楷" w:cs="华文行楷"/>
        <w:sz w:val="18"/>
        <w:szCs w:val="18"/>
      </w:rPr>
      <w:t xml:space="preserve">      </w:t>
    </w:r>
    <w:r>
      <w:rPr>
        <w:spacing w:val="27"/>
        <w:position w:val="1"/>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A6589">
    <w:pPr>
      <w:spacing w:before="40" w:line="221" w:lineRule="auto"/>
      <w:ind w:left="532"/>
      <w:rPr>
        <w:rFonts w:ascii="华文行楷" w:hAnsi="华文行楷" w:eastAsia="华文行楷" w:cs="华文行楷"/>
        <w:sz w:val="18"/>
        <w:szCs w:val="18"/>
      </w:rPr>
    </w:pPr>
    <w:r>
      <w:drawing>
        <wp:anchor distT="0" distB="0" distL="0" distR="0" simplePos="0" relativeHeight="251660288" behindDoc="0" locked="0" layoutInCell="1" allowOverlap="1">
          <wp:simplePos x="0" y="0"/>
          <wp:positionH relativeFrom="column">
            <wp:posOffset>53340</wp:posOffset>
          </wp:positionH>
          <wp:positionV relativeFrom="paragraph">
            <wp:posOffset>144145</wp:posOffset>
          </wp:positionV>
          <wp:extent cx="541020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71034">
    <w:pPr>
      <w:spacing w:before="40" w:line="221" w:lineRule="auto"/>
      <w:ind w:left="512"/>
      <w:rPr>
        <w:rFonts w:ascii="华文行楷" w:hAnsi="华文行楷" w:eastAsia="华文行楷" w:cs="华文行楷"/>
        <w:sz w:val="18"/>
        <w:szCs w:val="18"/>
      </w:rPr>
    </w:pPr>
    <w:r>
      <w:drawing>
        <wp:anchor distT="0" distB="0" distL="0" distR="0" simplePos="0" relativeHeight="251677696" behindDoc="0" locked="0" layoutInCell="1" allowOverlap="1">
          <wp:simplePos x="0" y="0"/>
          <wp:positionH relativeFrom="column">
            <wp:posOffset>40640</wp:posOffset>
          </wp:positionH>
          <wp:positionV relativeFrom="paragraph">
            <wp:posOffset>144145</wp:posOffset>
          </wp:positionV>
          <wp:extent cx="5410200" cy="635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3EB1F">
    <w:pPr>
      <w:spacing w:before="40" w:line="221" w:lineRule="auto"/>
      <w:ind w:left="531"/>
      <w:rPr>
        <w:rFonts w:ascii="华文行楷" w:hAnsi="华文行楷" w:eastAsia="华文行楷" w:cs="华文行楷"/>
        <w:sz w:val="18"/>
        <w:szCs w:val="18"/>
      </w:rPr>
    </w:pPr>
    <w:r>
      <w:drawing>
        <wp:anchor distT="0" distB="0" distL="0" distR="0" simplePos="0" relativeHeight="251679744" behindDoc="0" locked="0" layoutInCell="1" allowOverlap="1">
          <wp:simplePos x="0" y="0"/>
          <wp:positionH relativeFrom="column">
            <wp:posOffset>53340</wp:posOffset>
          </wp:positionH>
          <wp:positionV relativeFrom="paragraph">
            <wp:posOffset>144145</wp:posOffset>
          </wp:positionV>
          <wp:extent cx="5403850" cy="635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
                  <a:stretch>
                    <a:fillRect/>
                  </a:stretch>
                </pic:blipFill>
                <pic:spPr>
                  <a:xfrm>
                    <a:off x="0" y="0"/>
                    <a:ext cx="5403881"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   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0"/>
        <w:sz w:val="18"/>
        <w:szCs w:val="18"/>
      </w:rPr>
      <w:t>锌   矿   采</w:t>
    </w:r>
    <w:r>
      <w:rPr>
        <w:rFonts w:ascii="华文行楷" w:hAnsi="华文行楷" w:eastAsia="华文行楷" w:cs="华文行楷"/>
        <w:spacing w:val="-11"/>
        <w:sz w:val="18"/>
        <w:szCs w:val="18"/>
      </w:rPr>
      <w:t xml:space="preserve">   矿   权   出   让   收   益   评   估   报   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10280">
    <w:pPr>
      <w:spacing w:before="40" w:line="221" w:lineRule="auto"/>
      <w:ind w:left="503"/>
      <w:rPr>
        <w:rFonts w:ascii="华文行楷" w:hAnsi="华文行楷" w:eastAsia="华文行楷" w:cs="华文行楷"/>
        <w:sz w:val="18"/>
        <w:szCs w:val="18"/>
      </w:rPr>
    </w:pPr>
    <w:r>
      <w:drawing>
        <wp:anchor distT="0" distB="0" distL="0" distR="0" simplePos="0" relativeHeight="251681792" behindDoc="0" locked="0" layoutInCell="1" allowOverlap="1">
          <wp:simplePos x="0" y="0"/>
          <wp:positionH relativeFrom="column">
            <wp:posOffset>34290</wp:posOffset>
          </wp:positionH>
          <wp:positionV relativeFrom="paragraph">
            <wp:posOffset>144145</wp:posOffset>
          </wp:positionV>
          <wp:extent cx="5416550" cy="63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922BC">
    <w:pPr>
      <w:pStyle w:val="2"/>
      <w:spacing w:line="14" w:lineRule="auto"/>
      <w:rPr>
        <w:sz w:val="2"/>
      </w:rPr>
    </w:pPr>
    <w:r>
      <w:pict>
        <v:shape id="WordPictureWatermark2" o:spid="_x0000_s2049" o:spt="75" type="#_x0000_t75" style="position:absolute;left:0pt;margin-left:0pt;margin-top:0pt;height:841.5pt;width:594.55pt;mso-position-horizontal-relative:page;mso-position-vertical-relative:page;z-index:-251633664;mso-width-relative:page;mso-height-relative:page;" filled="f" stroked="f" coordsize="21600,21600" o:allowincell="f">
          <v:path/>
          <v:fill on="f" focussize="0,0"/>
          <v:stroke on="f"/>
          <v:imagedata r:id="rId1" o:title=""/>
          <o:lock v:ext="edit" aspectratio="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50CB">
    <w:pPr>
      <w:spacing w:before="40" w:line="221" w:lineRule="auto"/>
      <w:ind w:left="493"/>
      <w:rPr>
        <w:rFonts w:ascii="华文行楷" w:hAnsi="华文行楷" w:eastAsia="华文行楷" w:cs="华文行楷"/>
        <w:sz w:val="18"/>
        <w:szCs w:val="18"/>
      </w:rPr>
    </w:pPr>
    <w:r>
      <w:drawing>
        <wp:anchor distT="0" distB="0" distL="0" distR="0" simplePos="0" relativeHeight="251683840" behindDoc="0" locked="0" layoutInCell="1" allowOverlap="1">
          <wp:simplePos x="0" y="0"/>
          <wp:positionH relativeFrom="column">
            <wp:posOffset>27940</wp:posOffset>
          </wp:positionH>
          <wp:positionV relativeFrom="paragraph">
            <wp:posOffset>144145</wp:posOffset>
          </wp:positionV>
          <wp:extent cx="5416550" cy="635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6C7B1">
    <w:pPr>
      <w:spacing w:before="40" w:line="221" w:lineRule="auto"/>
      <w:ind w:left="690"/>
      <w:rPr>
        <w:rFonts w:ascii="华文行楷" w:hAnsi="华文行楷" w:eastAsia="华文行楷" w:cs="华文行楷"/>
        <w:sz w:val="18"/>
        <w:szCs w:val="18"/>
      </w:rPr>
    </w:pPr>
    <w:r>
      <w:drawing>
        <wp:anchor distT="0" distB="0" distL="0" distR="0" simplePos="0" relativeHeight="251685888" behindDoc="0" locked="0" layoutInCell="1" allowOverlap="1">
          <wp:simplePos x="0" y="0"/>
          <wp:positionH relativeFrom="column">
            <wp:posOffset>21590</wp:posOffset>
          </wp:positionH>
          <wp:positionV relativeFrom="paragraph">
            <wp:posOffset>144145</wp:posOffset>
          </wp:positionV>
          <wp:extent cx="5416550" cy="635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
                  <a:stretch>
                    <a:fillRect/>
                  </a:stretch>
                </pic:blipFill>
                <pic:spPr>
                  <a:xfrm>
                    <a:off x="0" y="0"/>
                    <a:ext cx="5416574"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3E0AF">
    <w:pPr>
      <w:spacing w:before="40" w:line="221" w:lineRule="auto"/>
      <w:ind w:left="710"/>
      <w:rPr>
        <w:rFonts w:ascii="华文行楷" w:hAnsi="华文行楷" w:eastAsia="华文行楷" w:cs="华文行楷"/>
        <w:sz w:val="18"/>
        <w:szCs w:val="18"/>
      </w:rPr>
    </w:pPr>
    <w:r>
      <w:drawing>
        <wp:anchor distT="0" distB="0" distL="0" distR="0" simplePos="0" relativeHeight="251687936" behindDoc="0" locked="0" layoutInCell="1" allowOverlap="1">
          <wp:simplePos x="0" y="0"/>
          <wp:positionH relativeFrom="column">
            <wp:posOffset>34290</wp:posOffset>
          </wp:positionH>
          <wp:positionV relativeFrom="paragraph">
            <wp:posOffset>144145</wp:posOffset>
          </wp:positionV>
          <wp:extent cx="5416550" cy="63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DC453">
    <w:pPr>
      <w:spacing w:before="40" w:line="221" w:lineRule="auto"/>
      <w:ind w:left="543"/>
      <w:rPr>
        <w:rFonts w:ascii="华文行楷" w:hAnsi="华文行楷" w:eastAsia="华文行楷" w:cs="华文行楷"/>
        <w:sz w:val="18"/>
        <w:szCs w:val="18"/>
      </w:rPr>
    </w:pPr>
    <w:r>
      <w:drawing>
        <wp:anchor distT="0" distB="0" distL="0" distR="0" simplePos="0" relativeHeight="251689984" behindDoc="0" locked="0" layoutInCell="1" allowOverlap="1">
          <wp:simplePos x="0" y="0"/>
          <wp:positionH relativeFrom="column">
            <wp:posOffset>59690</wp:posOffset>
          </wp:positionH>
          <wp:positionV relativeFrom="paragraph">
            <wp:posOffset>144145</wp:posOffset>
          </wp:positionV>
          <wp:extent cx="5416550" cy="635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0E71">
    <w:pPr>
      <w:spacing w:before="40" w:line="221" w:lineRule="auto"/>
      <w:ind w:left="3160"/>
      <w:rPr>
        <w:rFonts w:ascii="华文行楷" w:hAnsi="华文行楷" w:eastAsia="华文行楷" w:cs="华文行楷"/>
        <w:sz w:val="18"/>
        <w:szCs w:val="18"/>
      </w:rPr>
    </w:pPr>
    <w:r>
      <w:pict>
        <v:shape id="WordPictureWatermark54" o:spid="_x0000_s2050" o:spt="75" type="#_x0000_t75" style="position:absolute;left:0pt;margin-left:0pt;margin-top:-44.95pt;height:841.5pt;width:594.55pt;z-index:-251624448;mso-width-relative:page;mso-height-relative:page;" filled="f" stroked="f" coordsize="21600,21600">
          <v:path/>
          <v:fill on="f" focussize="0,0"/>
          <v:stroke on="f"/>
          <v:imagedata r:id="rId1" o:title=""/>
          <o:lock v:ext="edit" aspectratio="t"/>
        </v:shape>
      </w:pict>
    </w:r>
    <w:r>
      <w:rPr>
        <w:rFonts w:ascii="华文行楷" w:hAnsi="华文行楷" w:eastAsia="华文行楷" w:cs="华文行楷"/>
        <w:spacing w:val="28"/>
        <w:sz w:val="18"/>
        <w:szCs w:val="18"/>
      </w:rPr>
      <w:t>云南罗平锌电股份有限公司富乐铅锌矿采矿权出让收益评估报告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3188">
    <w:pPr>
      <w:spacing w:before="40" w:line="221" w:lineRule="auto"/>
      <w:ind w:left="532"/>
      <w:rPr>
        <w:rFonts w:ascii="华文行楷" w:hAnsi="华文行楷" w:eastAsia="华文行楷" w:cs="华文行楷"/>
        <w:sz w:val="18"/>
        <w:szCs w:val="18"/>
      </w:rPr>
    </w:pPr>
    <w:r>
      <w:drawing>
        <wp:anchor distT="0" distB="0" distL="0" distR="0" simplePos="0" relativeHeight="251695104" behindDoc="0" locked="0" layoutInCell="1" allowOverlap="1">
          <wp:simplePos x="0" y="0"/>
          <wp:positionH relativeFrom="column">
            <wp:posOffset>53340</wp:posOffset>
          </wp:positionH>
          <wp:positionV relativeFrom="paragraph">
            <wp:posOffset>144145</wp:posOffset>
          </wp:positionV>
          <wp:extent cx="5410200" cy="635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A0CA">
    <w:pPr>
      <w:spacing w:before="40" w:line="221" w:lineRule="auto"/>
      <w:ind w:left="738"/>
      <w:rPr>
        <w:rFonts w:ascii="华文行楷" w:hAnsi="华文行楷" w:eastAsia="华文行楷" w:cs="华文行楷"/>
        <w:sz w:val="18"/>
        <w:szCs w:val="18"/>
      </w:rPr>
    </w:pPr>
    <w:r>
      <w:drawing>
        <wp:anchor distT="0" distB="0" distL="0" distR="0" simplePos="0" relativeHeight="251662336" behindDoc="0" locked="0" layoutInCell="1" allowOverlap="1">
          <wp:simplePos x="0" y="0"/>
          <wp:positionH relativeFrom="column">
            <wp:posOffset>53340</wp:posOffset>
          </wp:positionH>
          <wp:positionV relativeFrom="paragraph">
            <wp:posOffset>144145</wp:posOffset>
          </wp:positionV>
          <wp:extent cx="5410200" cy="63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43959">
    <w:pPr>
      <w:spacing w:before="40" w:line="221" w:lineRule="auto"/>
      <w:ind w:left="757"/>
      <w:rPr>
        <w:rFonts w:ascii="华文行楷" w:hAnsi="华文行楷" w:eastAsia="华文行楷" w:cs="华文行楷"/>
        <w:sz w:val="18"/>
        <w:szCs w:val="18"/>
      </w:rPr>
    </w:pPr>
    <w:r>
      <w:drawing>
        <wp:anchor distT="0" distB="0" distL="0" distR="0" simplePos="0" relativeHeight="251697152" behindDoc="0" locked="0" layoutInCell="1" allowOverlap="1">
          <wp:simplePos x="0" y="0"/>
          <wp:positionH relativeFrom="column">
            <wp:posOffset>66040</wp:posOffset>
          </wp:positionH>
          <wp:positionV relativeFrom="paragraph">
            <wp:posOffset>144145</wp:posOffset>
          </wp:positionV>
          <wp:extent cx="5403850" cy="6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7A849">
    <w:pPr>
      <w:spacing w:before="40" w:line="221" w:lineRule="auto"/>
      <w:ind w:left="700"/>
      <w:rPr>
        <w:rFonts w:ascii="华文行楷" w:hAnsi="华文行楷" w:eastAsia="华文行楷" w:cs="华文行楷"/>
        <w:sz w:val="18"/>
        <w:szCs w:val="18"/>
      </w:rPr>
    </w:pPr>
    <w:r>
      <w:drawing>
        <wp:anchor distT="0" distB="0" distL="0" distR="0" simplePos="0" relativeHeight="251700224" behindDoc="0" locked="0" layoutInCell="1" allowOverlap="1">
          <wp:simplePos x="0" y="0"/>
          <wp:positionH relativeFrom="column">
            <wp:posOffset>27940</wp:posOffset>
          </wp:positionH>
          <wp:positionV relativeFrom="paragraph">
            <wp:posOffset>144145</wp:posOffset>
          </wp:positionV>
          <wp:extent cx="5416550" cy="635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8E73D">
    <w:pPr>
      <w:spacing w:before="40" w:line="221" w:lineRule="auto"/>
      <w:ind w:left="698"/>
      <w:rPr>
        <w:rFonts w:ascii="华文行楷" w:hAnsi="华文行楷" w:eastAsia="华文行楷" w:cs="华文行楷"/>
        <w:sz w:val="18"/>
        <w:szCs w:val="18"/>
      </w:rPr>
    </w:pPr>
    <w:r>
      <w:drawing>
        <wp:anchor distT="0" distB="0" distL="0" distR="0" simplePos="0" relativeHeight="251702272" behindDoc="0" locked="0" layoutInCell="1" allowOverlap="1">
          <wp:simplePos x="0" y="0"/>
          <wp:positionH relativeFrom="column">
            <wp:posOffset>27940</wp:posOffset>
          </wp:positionH>
          <wp:positionV relativeFrom="paragraph">
            <wp:posOffset>144145</wp:posOffset>
          </wp:positionV>
          <wp:extent cx="5410200" cy="635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A4CE9">
    <w:pPr>
      <w:spacing w:before="40" w:line="221" w:lineRule="auto"/>
      <w:ind w:left="788"/>
      <w:rPr>
        <w:rFonts w:ascii="华文行楷" w:hAnsi="华文行楷" w:eastAsia="华文行楷" w:cs="华文行楷"/>
        <w:sz w:val="18"/>
        <w:szCs w:val="18"/>
      </w:rPr>
    </w:pPr>
    <w:r>
      <w:drawing>
        <wp:anchor distT="0" distB="0" distL="0" distR="0" simplePos="0" relativeHeight="251704320" behindDoc="0" locked="0" layoutInCell="1" allowOverlap="1">
          <wp:simplePos x="0" y="0"/>
          <wp:positionH relativeFrom="column">
            <wp:posOffset>85090</wp:posOffset>
          </wp:positionH>
          <wp:positionV relativeFrom="paragraph">
            <wp:posOffset>144145</wp:posOffset>
          </wp:positionV>
          <wp:extent cx="5410200" cy="635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418A9">
    <w:pPr>
      <w:spacing w:before="40" w:line="221" w:lineRule="auto"/>
      <w:ind w:left="720"/>
      <w:rPr>
        <w:rFonts w:ascii="华文行楷" w:hAnsi="华文行楷" w:eastAsia="华文行楷" w:cs="华文行楷"/>
        <w:sz w:val="18"/>
        <w:szCs w:val="18"/>
      </w:rPr>
    </w:pPr>
    <w:r>
      <w:drawing>
        <wp:anchor distT="0" distB="0" distL="0" distR="0" simplePos="0" relativeHeight="251706368" behindDoc="0" locked="0" layoutInCell="1" allowOverlap="1">
          <wp:simplePos x="0" y="0"/>
          <wp:positionH relativeFrom="column">
            <wp:posOffset>40640</wp:posOffset>
          </wp:positionH>
          <wp:positionV relativeFrom="paragraph">
            <wp:posOffset>144145</wp:posOffset>
          </wp:positionV>
          <wp:extent cx="5416550" cy="635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29F1E">
    <w:pPr>
      <w:spacing w:before="40" w:line="221" w:lineRule="auto"/>
      <w:ind w:left="512"/>
      <w:rPr>
        <w:rFonts w:ascii="华文行楷" w:hAnsi="华文行楷" w:eastAsia="华文行楷" w:cs="华文行楷"/>
        <w:sz w:val="18"/>
        <w:szCs w:val="18"/>
      </w:rPr>
    </w:pPr>
    <w:r>
      <w:drawing>
        <wp:anchor distT="0" distB="0" distL="0" distR="0" simplePos="0" relativeHeight="251708416" behindDoc="0" locked="0" layoutInCell="1" allowOverlap="1">
          <wp:simplePos x="0" y="0"/>
          <wp:positionH relativeFrom="column">
            <wp:posOffset>40640</wp:posOffset>
          </wp:positionH>
          <wp:positionV relativeFrom="paragraph">
            <wp:posOffset>144145</wp:posOffset>
          </wp:positionV>
          <wp:extent cx="5410200" cy="635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94702">
    <w:pPr>
      <w:spacing w:before="40" w:line="221" w:lineRule="auto"/>
      <w:ind w:left="1957"/>
      <w:rPr>
        <w:rFonts w:ascii="华文行楷" w:hAnsi="华文行楷" w:eastAsia="华文行楷" w:cs="华文行楷"/>
        <w:sz w:val="18"/>
        <w:szCs w:val="18"/>
      </w:rPr>
    </w:pPr>
    <w:r>
      <w:drawing>
        <wp:anchor distT="0" distB="0" distL="0" distR="0" simplePos="0" relativeHeight="251710464" behindDoc="0" locked="0" layoutInCell="1" allowOverlap="1">
          <wp:simplePos x="0" y="0"/>
          <wp:positionH relativeFrom="column">
            <wp:posOffset>958215</wp:posOffset>
          </wp:positionH>
          <wp:positionV relativeFrom="paragraph">
            <wp:posOffset>144145</wp:posOffset>
          </wp:positionV>
          <wp:extent cx="5410200" cy="635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184EF">
    <w:pPr>
      <w:spacing w:before="40" w:line="221" w:lineRule="auto"/>
      <w:ind w:left="700"/>
      <w:rPr>
        <w:rFonts w:ascii="华文行楷" w:hAnsi="华文行楷" w:eastAsia="华文行楷" w:cs="华文行楷"/>
        <w:sz w:val="18"/>
        <w:szCs w:val="18"/>
      </w:rPr>
    </w:pPr>
    <w:r>
      <w:drawing>
        <wp:anchor distT="0" distB="0" distL="0" distR="0" simplePos="0" relativeHeight="251712512" behindDoc="0" locked="0" layoutInCell="1" allowOverlap="1">
          <wp:simplePos x="0" y="0"/>
          <wp:positionH relativeFrom="column">
            <wp:posOffset>27940</wp:posOffset>
          </wp:positionH>
          <wp:positionV relativeFrom="paragraph">
            <wp:posOffset>144145</wp:posOffset>
          </wp:positionV>
          <wp:extent cx="5416550" cy="635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393AA">
    <w:pPr>
      <w:spacing w:before="40" w:line="221" w:lineRule="auto"/>
      <w:ind w:left="748"/>
      <w:rPr>
        <w:rFonts w:ascii="华文行楷" w:hAnsi="华文行楷" w:eastAsia="华文行楷" w:cs="华文行楷"/>
        <w:sz w:val="18"/>
        <w:szCs w:val="18"/>
      </w:rPr>
    </w:pPr>
    <w:r>
      <w:drawing>
        <wp:anchor distT="0" distB="0" distL="0" distR="0" simplePos="0" relativeHeight="251714560" behindDoc="0" locked="0" layoutInCell="1" allowOverlap="1">
          <wp:simplePos x="0" y="0"/>
          <wp:positionH relativeFrom="column">
            <wp:posOffset>59690</wp:posOffset>
          </wp:positionH>
          <wp:positionV relativeFrom="paragraph">
            <wp:posOffset>144145</wp:posOffset>
          </wp:positionV>
          <wp:extent cx="5410200" cy="6350"/>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5BC6E">
    <w:pPr>
      <w:spacing w:before="40" w:line="221" w:lineRule="auto"/>
      <w:ind w:left="750"/>
      <w:rPr>
        <w:rFonts w:ascii="华文行楷" w:hAnsi="华文行楷" w:eastAsia="华文行楷" w:cs="华文行楷"/>
        <w:sz w:val="18"/>
        <w:szCs w:val="18"/>
      </w:rPr>
    </w:pPr>
    <w:r>
      <w:drawing>
        <wp:anchor distT="0" distB="0" distL="0" distR="0" simplePos="0" relativeHeight="251716608" behindDoc="0" locked="0" layoutInCell="1" allowOverlap="1">
          <wp:simplePos x="0" y="0"/>
          <wp:positionH relativeFrom="column">
            <wp:posOffset>59690</wp:posOffset>
          </wp:positionH>
          <wp:positionV relativeFrom="paragraph">
            <wp:posOffset>144145</wp:posOffset>
          </wp:positionV>
          <wp:extent cx="5416550" cy="635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2BDAD">
    <w:pPr>
      <w:spacing w:before="40" w:line="221" w:lineRule="auto"/>
      <w:ind w:left="511"/>
      <w:rPr>
        <w:rFonts w:ascii="华文行楷" w:hAnsi="华文行楷" w:eastAsia="华文行楷" w:cs="华文行楷"/>
        <w:sz w:val="18"/>
        <w:szCs w:val="18"/>
      </w:rPr>
    </w:pPr>
    <w:r>
      <w:drawing>
        <wp:anchor distT="0" distB="0" distL="0" distR="0" simplePos="0" relativeHeight="251664384" behindDoc="0" locked="0" layoutInCell="1" allowOverlap="1">
          <wp:simplePos x="0" y="0"/>
          <wp:positionH relativeFrom="column">
            <wp:posOffset>40640</wp:posOffset>
          </wp:positionH>
          <wp:positionV relativeFrom="paragraph">
            <wp:posOffset>144145</wp:posOffset>
          </wp:positionV>
          <wp:extent cx="5403850" cy="6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   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0"/>
        <w:sz w:val="18"/>
        <w:szCs w:val="18"/>
      </w:rPr>
      <w:t>锌   矿   采</w:t>
    </w:r>
    <w:r>
      <w:rPr>
        <w:rFonts w:ascii="华文行楷" w:hAnsi="华文行楷" w:eastAsia="华文行楷" w:cs="华文行楷"/>
        <w:spacing w:val="-11"/>
        <w:sz w:val="18"/>
        <w:szCs w:val="18"/>
      </w:rPr>
      <w:t xml:space="preserve">   矿   权   出   让   收   益   评   估   报   告</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0DBD">
    <w:pPr>
      <w:spacing w:before="40" w:line="221" w:lineRule="auto"/>
      <w:ind w:left="710"/>
      <w:rPr>
        <w:rFonts w:ascii="华文行楷" w:hAnsi="华文行楷" w:eastAsia="华文行楷" w:cs="华文行楷"/>
        <w:sz w:val="18"/>
        <w:szCs w:val="18"/>
      </w:rPr>
    </w:pPr>
    <w:r>
      <w:drawing>
        <wp:anchor distT="0" distB="0" distL="0" distR="0" simplePos="0" relativeHeight="251718656" behindDoc="0" locked="0" layoutInCell="1" allowOverlap="1">
          <wp:simplePos x="0" y="0"/>
          <wp:positionH relativeFrom="column">
            <wp:posOffset>34290</wp:posOffset>
          </wp:positionH>
          <wp:positionV relativeFrom="paragraph">
            <wp:posOffset>144145</wp:posOffset>
          </wp:positionV>
          <wp:extent cx="5416550" cy="635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2F96F">
    <w:pPr>
      <w:spacing w:before="40" w:line="221" w:lineRule="auto"/>
      <w:ind w:left="727"/>
      <w:rPr>
        <w:rFonts w:ascii="华文行楷" w:hAnsi="华文行楷" w:eastAsia="华文行楷" w:cs="华文行楷"/>
        <w:sz w:val="18"/>
        <w:szCs w:val="18"/>
      </w:rPr>
    </w:pPr>
    <w:r>
      <w:drawing>
        <wp:anchor distT="0" distB="0" distL="0" distR="0" simplePos="0" relativeHeight="251720704" behindDoc="0" locked="0" layoutInCell="1" allowOverlap="1">
          <wp:simplePos x="0" y="0"/>
          <wp:positionH relativeFrom="column">
            <wp:posOffset>46990</wp:posOffset>
          </wp:positionH>
          <wp:positionV relativeFrom="paragraph">
            <wp:posOffset>144145</wp:posOffset>
          </wp:positionV>
          <wp:extent cx="5403850" cy="635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B7775">
    <w:pPr>
      <w:spacing w:before="40" w:line="221" w:lineRule="auto"/>
      <w:ind w:left="611"/>
      <w:rPr>
        <w:rFonts w:ascii="华文行楷" w:hAnsi="华文行楷" w:eastAsia="华文行楷" w:cs="华文行楷"/>
        <w:sz w:val="18"/>
        <w:szCs w:val="18"/>
      </w:rPr>
    </w:pPr>
    <w:r>
      <w:drawing>
        <wp:anchor distT="0" distB="0" distL="0" distR="0" simplePos="0" relativeHeight="251722752" behindDoc="0" locked="0" layoutInCell="1" allowOverlap="1">
          <wp:simplePos x="0" y="0"/>
          <wp:positionH relativeFrom="column">
            <wp:posOffset>34290</wp:posOffset>
          </wp:positionH>
          <wp:positionV relativeFrom="paragraph">
            <wp:posOffset>144145</wp:posOffset>
          </wp:positionV>
          <wp:extent cx="5410200" cy="635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1"/>
        <w:sz w:val="18"/>
        <w:szCs w:val="18"/>
      </w:rPr>
      <w:t>云   南   罗   平   锌   电   股   份   有   限   公   司   富   乐   铅</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锌</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矿   采   矿</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权   出   让</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收   益</w:t>
    </w:r>
    <w:r>
      <w:rPr>
        <w:rFonts w:ascii="华文行楷" w:hAnsi="华文行楷" w:eastAsia="华文行楷" w:cs="华文行楷"/>
        <w:spacing w:val="5"/>
        <w:sz w:val="18"/>
        <w:szCs w:val="18"/>
      </w:rPr>
      <w:t xml:space="preserve">  </w:t>
    </w:r>
    <w:r>
      <w:rPr>
        <w:rFonts w:ascii="华文行楷" w:hAnsi="华文行楷" w:eastAsia="华文行楷" w:cs="华文行楷"/>
        <w:spacing w:val="-11"/>
        <w:sz w:val="18"/>
        <w:szCs w:val="18"/>
      </w:rPr>
      <w:t>评</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估</w:t>
    </w:r>
    <w:r>
      <w:rPr>
        <w:rFonts w:ascii="华文行楷" w:hAnsi="华文行楷" w:eastAsia="华文行楷" w:cs="华文行楷"/>
        <w:spacing w:val="11"/>
        <w:sz w:val="18"/>
        <w:szCs w:val="18"/>
      </w:rPr>
      <w:t xml:space="preserve">  </w:t>
    </w:r>
    <w:r>
      <w:rPr>
        <w:rFonts w:ascii="华文行楷" w:hAnsi="华文行楷" w:eastAsia="华文行楷" w:cs="华文行楷"/>
        <w:spacing w:val="-11"/>
        <w:sz w:val="18"/>
        <w:szCs w:val="18"/>
      </w:rPr>
      <w:t>报</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告</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E0697">
    <w:pPr>
      <w:spacing w:before="40" w:line="221" w:lineRule="auto"/>
      <w:ind w:left="823"/>
      <w:rPr>
        <w:rFonts w:ascii="华文行楷" w:hAnsi="华文行楷" w:eastAsia="华文行楷" w:cs="华文行楷"/>
        <w:sz w:val="18"/>
        <w:szCs w:val="18"/>
      </w:rPr>
    </w:pPr>
    <w:r>
      <w:drawing>
        <wp:anchor distT="0" distB="0" distL="0" distR="0" simplePos="0" relativeHeight="251724800" behindDoc="0" locked="0" layoutInCell="1" allowOverlap="1">
          <wp:simplePos x="0" y="0"/>
          <wp:positionH relativeFrom="column">
            <wp:posOffset>107315</wp:posOffset>
          </wp:positionH>
          <wp:positionV relativeFrom="paragraph">
            <wp:posOffset>144145</wp:posOffset>
          </wp:positionV>
          <wp:extent cx="5410200" cy="635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F711B">
    <w:pPr>
      <w:spacing w:before="40" w:line="221" w:lineRule="auto"/>
      <w:ind w:left="768"/>
      <w:rPr>
        <w:rFonts w:ascii="华文行楷" w:hAnsi="华文行楷" w:eastAsia="华文行楷" w:cs="华文行楷"/>
        <w:sz w:val="18"/>
        <w:szCs w:val="18"/>
      </w:rPr>
    </w:pPr>
    <w:r>
      <w:drawing>
        <wp:anchor distT="0" distB="0" distL="0" distR="0" simplePos="0" relativeHeight="251726848" behindDoc="0" locked="0" layoutInCell="1" allowOverlap="1">
          <wp:simplePos x="0" y="0"/>
          <wp:positionH relativeFrom="column">
            <wp:posOffset>72390</wp:posOffset>
          </wp:positionH>
          <wp:positionV relativeFrom="paragraph">
            <wp:posOffset>144145</wp:posOffset>
          </wp:positionV>
          <wp:extent cx="5410200" cy="6350"/>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208C">
    <w:pPr>
      <w:spacing w:before="40" w:line="221" w:lineRule="auto"/>
      <w:ind w:left="1425"/>
      <w:rPr>
        <w:rFonts w:ascii="华文行楷" w:hAnsi="华文行楷" w:eastAsia="华文行楷" w:cs="华文行楷"/>
        <w:sz w:val="18"/>
        <w:szCs w:val="18"/>
      </w:rPr>
    </w:pPr>
    <w:r>
      <w:drawing>
        <wp:anchor distT="0" distB="0" distL="0" distR="0" simplePos="0" relativeHeight="251728896" behindDoc="0" locked="0" layoutInCell="1" allowOverlap="1">
          <wp:simplePos x="0" y="0"/>
          <wp:positionH relativeFrom="column">
            <wp:posOffset>40640</wp:posOffset>
          </wp:positionH>
          <wp:positionV relativeFrom="paragraph">
            <wp:posOffset>133985</wp:posOffset>
          </wp:positionV>
          <wp:extent cx="5410200" cy="762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
                  <a:stretch>
                    <a:fillRect/>
                  </a:stretch>
                </pic:blipFill>
                <pic:spPr>
                  <a:xfrm>
                    <a:off x="0" y="0"/>
                    <a:ext cx="5410226" cy="7619"/>
                  </a:xfrm>
                  <a:prstGeom prst="rect">
                    <a:avLst/>
                  </a:prstGeom>
                </pic:spPr>
              </pic:pic>
            </a:graphicData>
          </a:graphic>
        </wp:anchor>
      </w:drawing>
    </w:r>
    <w:r>
      <w:rPr>
        <w:rFonts w:ascii="华文行楷" w:hAnsi="华文行楷" w:eastAsia="华文行楷" w:cs="华文行楷"/>
        <w:spacing w:val="28"/>
        <w:sz w:val="18"/>
        <w:szCs w:val="18"/>
      </w:rPr>
      <w:t>云南罗平锌电股份有限公司富乐铅锌矿采矿权出让收益评估报告</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7DA5C">
    <w:pPr>
      <w:spacing w:before="40" w:line="221" w:lineRule="auto"/>
      <w:ind w:left="484"/>
      <w:rPr>
        <w:rFonts w:ascii="华文行楷" w:hAnsi="华文行楷" w:eastAsia="华文行楷" w:cs="华文行楷"/>
        <w:sz w:val="18"/>
        <w:szCs w:val="18"/>
      </w:rPr>
    </w:pPr>
    <w:r>
      <w:drawing>
        <wp:anchor distT="0" distB="0" distL="0" distR="0" simplePos="0" relativeHeight="251730944" behindDoc="0" locked="0" layoutInCell="1" allowOverlap="1">
          <wp:simplePos x="0" y="0"/>
          <wp:positionH relativeFrom="column">
            <wp:posOffset>21590</wp:posOffset>
          </wp:positionH>
          <wp:positionV relativeFrom="paragraph">
            <wp:posOffset>144145</wp:posOffset>
          </wp:positionV>
          <wp:extent cx="5422900" cy="635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
                  <a:stretch>
                    <a:fillRect/>
                  </a:stretch>
                </pic:blipFill>
                <pic:spPr>
                  <a:xfrm>
                    <a:off x="0" y="0"/>
                    <a:ext cx="5422921"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股</w:t>
    </w:r>
    <w:r>
      <w:rPr>
        <w:rFonts w:ascii="华文行楷" w:hAnsi="华文行楷" w:eastAsia="华文行楷" w:cs="华文行楷"/>
        <w:spacing w:val="16"/>
        <w:w w:val="101"/>
        <w:sz w:val="18"/>
        <w:szCs w:val="18"/>
      </w:rPr>
      <w:t xml:space="preserve">  </w:t>
    </w:r>
    <w:r>
      <w:rPr>
        <w:rFonts w:ascii="华文行楷" w:hAnsi="华文行楷" w:eastAsia="华文行楷" w:cs="华文行楷"/>
        <w:spacing w:val="-10"/>
        <w:sz w:val="18"/>
        <w:szCs w:val="18"/>
      </w:rPr>
      <w:t>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8"/>
        <w:sz w:val="18"/>
        <w:szCs w:val="18"/>
      </w:rPr>
      <w:t xml:space="preserve">  </w:t>
    </w:r>
    <w:r>
      <w:rPr>
        <w:rFonts w:ascii="华文行楷" w:hAnsi="华文行楷" w:eastAsia="华文行楷" w:cs="华文行楷"/>
        <w:spacing w:val="-10"/>
        <w:sz w:val="18"/>
        <w:szCs w:val="18"/>
      </w:rPr>
      <w:t>限   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锌   矿   采   矿   权  </w:t>
    </w:r>
    <w:r>
      <w:rPr>
        <w:rFonts w:ascii="华文行楷" w:hAnsi="华文行楷" w:eastAsia="华文行楷" w:cs="华文行楷"/>
        <w:spacing w:val="-11"/>
        <w:sz w:val="18"/>
        <w:szCs w:val="18"/>
      </w:rPr>
      <w:t xml:space="preserve"> 出   让   收   益   评   估   报   告</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934AA">
    <w:pPr>
      <w:spacing w:before="40" w:line="221" w:lineRule="auto"/>
      <w:ind w:left="750"/>
      <w:rPr>
        <w:rFonts w:ascii="华文行楷" w:hAnsi="华文行楷" w:eastAsia="华文行楷" w:cs="华文行楷"/>
        <w:sz w:val="18"/>
        <w:szCs w:val="18"/>
      </w:rPr>
    </w:pPr>
    <w:r>
      <w:drawing>
        <wp:anchor distT="0" distB="0" distL="0" distR="0" simplePos="0" relativeHeight="251732992" behindDoc="0" locked="0" layoutInCell="1" allowOverlap="1">
          <wp:simplePos x="0" y="0"/>
          <wp:positionH relativeFrom="column">
            <wp:posOffset>59690</wp:posOffset>
          </wp:positionH>
          <wp:positionV relativeFrom="paragraph">
            <wp:posOffset>144145</wp:posOffset>
          </wp:positionV>
          <wp:extent cx="5416550" cy="6350"/>
          <wp:effectExtent l="0" t="0" r="0" b="0"/>
          <wp:wrapNone/>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F8B62">
    <w:pPr>
      <w:spacing w:before="40" w:line="221" w:lineRule="auto"/>
      <w:ind w:left="923"/>
      <w:rPr>
        <w:rFonts w:ascii="华文行楷" w:hAnsi="华文行楷" w:eastAsia="华文行楷" w:cs="华文行楷"/>
        <w:sz w:val="18"/>
        <w:szCs w:val="18"/>
      </w:rPr>
    </w:pPr>
    <w:r>
      <w:drawing>
        <wp:anchor distT="0" distB="0" distL="0" distR="0" simplePos="0" relativeHeight="251735040" behindDoc="0" locked="0" layoutInCell="1" allowOverlap="1">
          <wp:simplePos x="0" y="0"/>
          <wp:positionH relativeFrom="column">
            <wp:posOffset>300990</wp:posOffset>
          </wp:positionH>
          <wp:positionV relativeFrom="paragraph">
            <wp:posOffset>144145</wp:posOffset>
          </wp:positionV>
          <wp:extent cx="5416550" cy="635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1AD28">
    <w:pPr>
      <w:spacing w:before="40" w:line="221" w:lineRule="auto"/>
      <w:ind w:left="972"/>
      <w:rPr>
        <w:rFonts w:ascii="华文行楷" w:hAnsi="华文行楷" w:eastAsia="华文行楷" w:cs="华文行楷"/>
        <w:sz w:val="18"/>
        <w:szCs w:val="18"/>
      </w:rPr>
    </w:pPr>
    <w:r>
      <w:drawing>
        <wp:anchor distT="0" distB="0" distL="0" distR="0" simplePos="0" relativeHeight="251737088" behindDoc="0" locked="0" layoutInCell="1" allowOverlap="1">
          <wp:simplePos x="0" y="0"/>
          <wp:positionH relativeFrom="column">
            <wp:posOffset>333375</wp:posOffset>
          </wp:positionH>
          <wp:positionV relativeFrom="paragraph">
            <wp:posOffset>144145</wp:posOffset>
          </wp:positionV>
          <wp:extent cx="5410200" cy="6350"/>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2FC75">
    <w:pPr>
      <w:spacing w:before="40" w:line="221" w:lineRule="auto"/>
      <w:ind w:left="542"/>
      <w:rPr>
        <w:rFonts w:ascii="华文行楷" w:hAnsi="华文行楷" w:eastAsia="华文行楷" w:cs="华文行楷"/>
        <w:sz w:val="18"/>
        <w:szCs w:val="18"/>
      </w:rPr>
    </w:pPr>
    <w:r>
      <w:drawing>
        <wp:anchor distT="0" distB="0" distL="0" distR="0" simplePos="0" relativeHeight="251666432" behindDoc="0" locked="0" layoutInCell="1" allowOverlap="1">
          <wp:simplePos x="0" y="0"/>
          <wp:positionH relativeFrom="column">
            <wp:posOffset>59690</wp:posOffset>
          </wp:positionH>
          <wp:positionV relativeFrom="paragraph">
            <wp:posOffset>144145</wp:posOffset>
          </wp:positionV>
          <wp:extent cx="5410200"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F229F">
    <w:pPr>
      <w:spacing w:before="40" w:line="221" w:lineRule="auto"/>
      <w:ind w:left="740"/>
      <w:rPr>
        <w:rFonts w:ascii="华文行楷" w:hAnsi="华文行楷" w:eastAsia="华文行楷" w:cs="华文行楷"/>
        <w:sz w:val="18"/>
        <w:szCs w:val="18"/>
      </w:rPr>
    </w:pPr>
    <w:r>
      <w:drawing>
        <wp:anchor distT="0" distB="0" distL="0" distR="0" simplePos="0" relativeHeight="251739136" behindDoc="0" locked="0" layoutInCell="1" allowOverlap="1">
          <wp:simplePos x="0" y="0"/>
          <wp:positionH relativeFrom="column">
            <wp:posOffset>53340</wp:posOffset>
          </wp:positionH>
          <wp:positionV relativeFrom="paragraph">
            <wp:posOffset>144145</wp:posOffset>
          </wp:positionV>
          <wp:extent cx="5416550" cy="6350"/>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9F43B">
    <w:pPr>
      <w:spacing w:before="40" w:line="221" w:lineRule="auto"/>
      <w:ind w:left="750"/>
      <w:rPr>
        <w:rFonts w:ascii="华文行楷" w:hAnsi="华文行楷" w:eastAsia="华文行楷" w:cs="华文行楷"/>
        <w:sz w:val="18"/>
        <w:szCs w:val="18"/>
      </w:rPr>
    </w:pPr>
    <w:r>
      <w:drawing>
        <wp:anchor distT="0" distB="0" distL="0" distR="0" simplePos="0" relativeHeight="251741184" behindDoc="0" locked="0" layoutInCell="1" allowOverlap="1">
          <wp:simplePos x="0" y="0"/>
          <wp:positionH relativeFrom="column">
            <wp:posOffset>59690</wp:posOffset>
          </wp:positionH>
          <wp:positionV relativeFrom="paragraph">
            <wp:posOffset>144145</wp:posOffset>
          </wp:positionV>
          <wp:extent cx="5416550" cy="6350"/>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50AB">
    <w:pPr>
      <w:spacing w:before="40" w:line="221" w:lineRule="auto"/>
      <w:ind w:left="513"/>
      <w:rPr>
        <w:rFonts w:ascii="华文行楷" w:hAnsi="华文行楷" w:eastAsia="华文行楷" w:cs="华文行楷"/>
        <w:sz w:val="18"/>
        <w:szCs w:val="18"/>
      </w:rPr>
    </w:pPr>
    <w:r>
      <w:drawing>
        <wp:anchor distT="0" distB="0" distL="0" distR="0" simplePos="0" relativeHeight="251743232" behindDoc="0" locked="0" layoutInCell="1" allowOverlap="1">
          <wp:simplePos x="0" y="0"/>
          <wp:positionH relativeFrom="column">
            <wp:posOffset>40640</wp:posOffset>
          </wp:positionH>
          <wp:positionV relativeFrom="paragraph">
            <wp:posOffset>144145</wp:posOffset>
          </wp:positionV>
          <wp:extent cx="5416550" cy="6350"/>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F12D5">
    <w:pPr>
      <w:spacing w:before="40" w:line="221" w:lineRule="auto"/>
      <w:ind w:left="522"/>
      <w:rPr>
        <w:rFonts w:ascii="华文行楷" w:hAnsi="华文行楷" w:eastAsia="华文行楷" w:cs="华文行楷"/>
        <w:sz w:val="18"/>
        <w:szCs w:val="18"/>
      </w:rPr>
    </w:pPr>
    <w:r>
      <w:drawing>
        <wp:anchor distT="0" distB="0" distL="0" distR="0" simplePos="0" relativeHeight="251745280" behindDoc="0" locked="0" layoutInCell="1" allowOverlap="1">
          <wp:simplePos x="0" y="0"/>
          <wp:positionH relativeFrom="column">
            <wp:posOffset>46990</wp:posOffset>
          </wp:positionH>
          <wp:positionV relativeFrom="paragraph">
            <wp:posOffset>144145</wp:posOffset>
          </wp:positionV>
          <wp:extent cx="5410200" cy="6350"/>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09F8">
    <w:pPr>
      <w:spacing w:before="40" w:line="221" w:lineRule="auto"/>
      <w:ind w:left="1445"/>
      <w:rPr>
        <w:rFonts w:ascii="华文行楷" w:hAnsi="华文行楷" w:eastAsia="华文行楷" w:cs="华文行楷"/>
        <w:sz w:val="18"/>
        <w:szCs w:val="18"/>
      </w:rPr>
    </w:pPr>
    <w:r>
      <w:drawing>
        <wp:anchor distT="0" distB="0" distL="0" distR="0" simplePos="0" relativeHeight="251747328" behindDoc="0" locked="0" layoutInCell="1" allowOverlap="1">
          <wp:simplePos x="0" y="0"/>
          <wp:positionH relativeFrom="column">
            <wp:posOffset>59690</wp:posOffset>
          </wp:positionH>
          <wp:positionV relativeFrom="paragraph">
            <wp:posOffset>140335</wp:posOffset>
          </wp:positionV>
          <wp:extent cx="5410200" cy="7620"/>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1"/>
                  <a:stretch>
                    <a:fillRect/>
                  </a:stretch>
                </pic:blipFill>
                <pic:spPr>
                  <a:xfrm>
                    <a:off x="0" y="0"/>
                    <a:ext cx="5410226" cy="7619"/>
                  </a:xfrm>
                  <a:prstGeom prst="rect">
                    <a:avLst/>
                  </a:prstGeom>
                </pic:spPr>
              </pic:pic>
            </a:graphicData>
          </a:graphic>
        </wp:anchor>
      </w:drawing>
    </w:r>
    <w:r>
      <w:rPr>
        <w:rFonts w:ascii="华文行楷" w:hAnsi="华文行楷" w:eastAsia="华文行楷" w:cs="华文行楷"/>
        <w:spacing w:val="28"/>
        <w:sz w:val="18"/>
        <w:szCs w:val="18"/>
      </w:rPr>
      <w:t>云南罗平锌电股份有限公司富乐铅锌矿采矿权出让收益评估报告</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F0936">
    <w:pPr>
      <w:spacing w:before="40" w:line="221" w:lineRule="auto"/>
      <w:ind w:left="737"/>
      <w:rPr>
        <w:rFonts w:ascii="华文行楷" w:hAnsi="华文行楷" w:eastAsia="华文行楷" w:cs="华文行楷"/>
        <w:sz w:val="18"/>
        <w:szCs w:val="18"/>
      </w:rPr>
    </w:pPr>
    <w:r>
      <w:drawing>
        <wp:anchor distT="0" distB="0" distL="0" distR="0" simplePos="0" relativeHeight="251749376" behindDoc="0" locked="0" layoutInCell="1" allowOverlap="1">
          <wp:simplePos x="0" y="0"/>
          <wp:positionH relativeFrom="column">
            <wp:posOffset>53340</wp:posOffset>
          </wp:positionH>
          <wp:positionV relativeFrom="paragraph">
            <wp:posOffset>144145</wp:posOffset>
          </wp:positionV>
          <wp:extent cx="5403850" cy="635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
                  <a:stretch>
                    <a:fillRect/>
                  </a:stretch>
                </pic:blipFill>
                <pic:spPr>
                  <a:xfrm>
                    <a:off x="0" y="0"/>
                    <a:ext cx="5403881"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837DF">
    <w:pPr>
      <w:spacing w:before="40" w:line="221" w:lineRule="auto"/>
      <w:ind w:left="730"/>
      <w:rPr>
        <w:rFonts w:ascii="华文行楷" w:hAnsi="华文行楷" w:eastAsia="华文行楷" w:cs="华文行楷"/>
        <w:sz w:val="18"/>
        <w:szCs w:val="18"/>
      </w:rPr>
    </w:pPr>
    <w:r>
      <w:drawing>
        <wp:anchor distT="0" distB="0" distL="0" distR="0" simplePos="0" relativeHeight="251751424" behindDoc="0" locked="0" layoutInCell="1" allowOverlap="1">
          <wp:simplePos x="0" y="0"/>
          <wp:positionH relativeFrom="column">
            <wp:posOffset>46990</wp:posOffset>
          </wp:positionH>
          <wp:positionV relativeFrom="paragraph">
            <wp:posOffset>144145</wp:posOffset>
          </wp:positionV>
          <wp:extent cx="5416550" cy="6350"/>
          <wp:effectExtent l="0" t="0" r="0" b="0"/>
          <wp:wrapNone/>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1"/>
                  <a:stretch>
                    <a:fillRect/>
                  </a:stretch>
                </pic:blipFill>
                <pic:spPr>
                  <a:xfrm>
                    <a:off x="0" y="0"/>
                    <a:ext cx="5416573"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9A21">
    <w:pPr>
      <w:spacing w:before="40" w:line="221" w:lineRule="auto"/>
      <w:ind w:left="778"/>
      <w:rPr>
        <w:rFonts w:ascii="华文行楷" w:hAnsi="华文行楷" w:eastAsia="华文行楷" w:cs="华文行楷"/>
        <w:sz w:val="18"/>
        <w:szCs w:val="18"/>
      </w:rPr>
    </w:pPr>
    <w:r>
      <w:drawing>
        <wp:anchor distT="0" distB="0" distL="0" distR="0" simplePos="0" relativeHeight="251753472" behindDoc="0" locked="0" layoutInCell="1" allowOverlap="1">
          <wp:simplePos x="0" y="0"/>
          <wp:positionH relativeFrom="column">
            <wp:posOffset>78740</wp:posOffset>
          </wp:positionH>
          <wp:positionV relativeFrom="paragraph">
            <wp:posOffset>144145</wp:posOffset>
          </wp:positionV>
          <wp:extent cx="5410200" cy="6350"/>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F282C">
    <w:pPr>
      <w:spacing w:before="40" w:line="221" w:lineRule="auto"/>
      <w:ind w:left="2193"/>
      <w:rPr>
        <w:rFonts w:ascii="华文行楷" w:hAnsi="华文行楷" w:eastAsia="华文行楷" w:cs="华文行楷"/>
        <w:sz w:val="18"/>
        <w:szCs w:val="18"/>
      </w:rPr>
    </w:pPr>
    <w:r>
      <w:drawing>
        <wp:anchor distT="0" distB="0" distL="0" distR="0" simplePos="0" relativeHeight="251755520" behindDoc="0" locked="0" layoutInCell="1" allowOverlap="1">
          <wp:simplePos x="0" y="0"/>
          <wp:positionH relativeFrom="column">
            <wp:posOffset>977265</wp:posOffset>
          </wp:positionH>
          <wp:positionV relativeFrom="paragraph">
            <wp:posOffset>144145</wp:posOffset>
          </wp:positionV>
          <wp:extent cx="5410200" cy="6350"/>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3C17A">
    <w:pPr>
      <w:spacing w:before="40" w:line="221" w:lineRule="auto"/>
      <w:ind w:left="768"/>
      <w:rPr>
        <w:rFonts w:ascii="华文行楷" w:hAnsi="华文行楷" w:eastAsia="华文行楷" w:cs="华文行楷"/>
        <w:sz w:val="18"/>
        <w:szCs w:val="18"/>
      </w:rPr>
    </w:pPr>
    <w:r>
      <w:drawing>
        <wp:anchor distT="0" distB="0" distL="0" distR="0" simplePos="0" relativeHeight="251757568" behindDoc="0" locked="0" layoutInCell="1" allowOverlap="1">
          <wp:simplePos x="0" y="0"/>
          <wp:positionH relativeFrom="column">
            <wp:posOffset>72390</wp:posOffset>
          </wp:positionH>
          <wp:positionV relativeFrom="paragraph">
            <wp:posOffset>144145</wp:posOffset>
          </wp:positionV>
          <wp:extent cx="5410200" cy="6350"/>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BB2D7">
    <w:pPr>
      <w:spacing w:before="40" w:line="221" w:lineRule="auto"/>
      <w:ind w:left="728"/>
      <w:rPr>
        <w:rFonts w:ascii="华文行楷" w:hAnsi="华文行楷" w:eastAsia="华文行楷" w:cs="华文行楷"/>
        <w:sz w:val="18"/>
        <w:szCs w:val="18"/>
      </w:rPr>
    </w:pPr>
    <w:r>
      <w:drawing>
        <wp:anchor distT="0" distB="0" distL="0" distR="0" simplePos="0" relativeHeight="251668480" behindDoc="0" locked="0" layoutInCell="1" allowOverlap="1">
          <wp:simplePos x="0" y="0"/>
          <wp:positionH relativeFrom="column">
            <wp:posOffset>46990</wp:posOffset>
          </wp:positionH>
          <wp:positionV relativeFrom="paragraph">
            <wp:posOffset>144145</wp:posOffset>
          </wp:positionV>
          <wp:extent cx="5410200" cy="63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2920">
    <w:pPr>
      <w:spacing w:before="40" w:line="221" w:lineRule="auto"/>
      <w:ind w:left="1038"/>
      <w:rPr>
        <w:rFonts w:ascii="华文行楷" w:hAnsi="华文行楷" w:eastAsia="华文行楷" w:cs="华文行楷"/>
        <w:sz w:val="18"/>
        <w:szCs w:val="18"/>
      </w:rPr>
    </w:pPr>
    <w:r>
      <w:drawing>
        <wp:anchor distT="0" distB="0" distL="0" distR="0" simplePos="0" relativeHeight="251759616" behindDoc="0" locked="0" layoutInCell="1" allowOverlap="1">
          <wp:simplePos x="0" y="0"/>
          <wp:positionH relativeFrom="column">
            <wp:posOffset>243840</wp:posOffset>
          </wp:positionH>
          <wp:positionV relativeFrom="paragraph">
            <wp:posOffset>144145</wp:posOffset>
          </wp:positionV>
          <wp:extent cx="5410200" cy="6350"/>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D64EC">
    <w:pPr>
      <w:spacing w:before="40" w:line="221" w:lineRule="auto"/>
      <w:ind w:left="747"/>
      <w:rPr>
        <w:rFonts w:ascii="华文行楷" w:hAnsi="华文行楷" w:eastAsia="华文行楷" w:cs="华文行楷"/>
        <w:sz w:val="18"/>
        <w:szCs w:val="18"/>
      </w:rPr>
    </w:pPr>
    <w:r>
      <w:drawing>
        <wp:anchor distT="0" distB="0" distL="0" distR="0" simplePos="0" relativeHeight="251761664" behindDoc="0" locked="0" layoutInCell="1" allowOverlap="1">
          <wp:simplePos x="0" y="0"/>
          <wp:positionH relativeFrom="column">
            <wp:posOffset>59690</wp:posOffset>
          </wp:positionH>
          <wp:positionV relativeFrom="paragraph">
            <wp:posOffset>144145</wp:posOffset>
          </wp:positionV>
          <wp:extent cx="5403850" cy="6350"/>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DFAEA">
    <w:pPr>
      <w:spacing w:before="40" w:line="221" w:lineRule="auto"/>
      <w:ind w:left="541"/>
      <w:rPr>
        <w:rFonts w:ascii="华文行楷" w:hAnsi="华文行楷" w:eastAsia="华文行楷" w:cs="华文行楷"/>
        <w:sz w:val="18"/>
        <w:szCs w:val="18"/>
      </w:rPr>
    </w:pPr>
    <w:r>
      <w:drawing>
        <wp:anchor distT="0" distB="0" distL="0" distR="0" simplePos="0" relativeHeight="251763712" behindDoc="0" locked="0" layoutInCell="1" allowOverlap="1">
          <wp:simplePos x="0" y="0"/>
          <wp:positionH relativeFrom="column">
            <wp:posOffset>59690</wp:posOffset>
          </wp:positionH>
          <wp:positionV relativeFrom="paragraph">
            <wp:posOffset>144145</wp:posOffset>
          </wp:positionV>
          <wp:extent cx="5403850" cy="6350"/>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   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0"/>
        <w:sz w:val="18"/>
        <w:szCs w:val="18"/>
      </w:rPr>
      <w:t>锌   矿   采</w:t>
    </w:r>
    <w:r>
      <w:rPr>
        <w:rFonts w:ascii="华文行楷" w:hAnsi="华文行楷" w:eastAsia="华文行楷" w:cs="华文行楷"/>
        <w:spacing w:val="-11"/>
        <w:sz w:val="18"/>
        <w:szCs w:val="18"/>
      </w:rPr>
      <w:t xml:space="preserve">   矿   权   出   让   收   益   评   估   报   告</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3188">
    <w:pPr>
      <w:spacing w:before="40" w:line="221" w:lineRule="auto"/>
      <w:ind w:left="532"/>
      <w:rPr>
        <w:rFonts w:ascii="华文行楷" w:hAnsi="华文行楷" w:eastAsia="华文行楷" w:cs="华文行楷"/>
        <w:sz w:val="18"/>
        <w:szCs w:val="18"/>
      </w:rPr>
    </w:pPr>
    <w:r>
      <w:drawing>
        <wp:anchor distT="0" distB="0" distL="0" distR="0" simplePos="0" relativeHeight="251695104" behindDoc="0" locked="0" layoutInCell="1" allowOverlap="1">
          <wp:simplePos x="0" y="0"/>
          <wp:positionH relativeFrom="column">
            <wp:posOffset>53340</wp:posOffset>
          </wp:positionH>
          <wp:positionV relativeFrom="paragraph">
            <wp:posOffset>144145</wp:posOffset>
          </wp:positionV>
          <wp:extent cx="5410200" cy="635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0E26">
    <w:pPr>
      <w:spacing w:before="40" w:line="221" w:lineRule="auto"/>
      <w:ind w:left="522"/>
      <w:rPr>
        <w:rFonts w:ascii="华文行楷" w:hAnsi="华文行楷" w:eastAsia="华文行楷" w:cs="华文行楷"/>
        <w:sz w:val="18"/>
        <w:szCs w:val="18"/>
      </w:rPr>
    </w:pPr>
    <w:r>
      <w:drawing>
        <wp:anchor distT="0" distB="0" distL="0" distR="0" simplePos="0" relativeHeight="251766784" behindDoc="0" locked="0" layoutInCell="1" allowOverlap="1">
          <wp:simplePos x="0" y="0"/>
          <wp:positionH relativeFrom="column">
            <wp:posOffset>46990</wp:posOffset>
          </wp:positionH>
          <wp:positionV relativeFrom="paragraph">
            <wp:posOffset>144145</wp:posOffset>
          </wp:positionV>
          <wp:extent cx="5410200" cy="6350"/>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1"/>
                  <a:stretch>
                    <a:fillRect/>
                  </a:stretch>
                </pic:blipFill>
                <pic:spPr>
                  <a:xfrm>
                    <a:off x="0" y="0"/>
                    <a:ext cx="5410228"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13E82">
    <w:pPr>
      <w:spacing w:before="40" w:line="221" w:lineRule="auto"/>
      <w:ind w:left="640"/>
      <w:rPr>
        <w:rFonts w:ascii="华文行楷" w:hAnsi="华文行楷" w:eastAsia="华文行楷" w:cs="华文行楷"/>
        <w:sz w:val="18"/>
        <w:szCs w:val="18"/>
      </w:rPr>
    </w:pPr>
    <w:r>
      <w:drawing>
        <wp:anchor distT="0" distB="0" distL="0" distR="0" simplePos="0" relativeHeight="251768832" behindDoc="0" locked="0" layoutInCell="1" allowOverlap="1">
          <wp:simplePos x="0" y="0"/>
          <wp:positionH relativeFrom="column">
            <wp:posOffset>53340</wp:posOffset>
          </wp:positionH>
          <wp:positionV relativeFrom="paragraph">
            <wp:posOffset>144145</wp:posOffset>
          </wp:positionV>
          <wp:extent cx="5403850" cy="6350"/>
          <wp:effectExtent l="0" t="0" r="0" b="0"/>
          <wp:wrapNone/>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1"/>
                  <a:stretch>
                    <a:fillRect/>
                  </a:stretch>
                </pic:blipFill>
                <pic:spPr>
                  <a:xfrm>
                    <a:off x="0" y="0"/>
                    <a:ext cx="5403881" cy="6350"/>
                  </a:xfrm>
                  <a:prstGeom prst="rect">
                    <a:avLst/>
                  </a:prstGeom>
                </pic:spPr>
              </pic:pic>
            </a:graphicData>
          </a:graphic>
        </wp:anchor>
      </w:drawing>
    </w:r>
    <w:r>
      <w:rPr>
        <w:rFonts w:ascii="华文行楷" w:hAnsi="华文行楷" w:eastAsia="华文行楷" w:cs="华文行楷"/>
        <w:spacing w:val="-11"/>
        <w:sz w:val="18"/>
        <w:szCs w:val="18"/>
      </w:rPr>
      <w:t>云   南   罗   平   锌   电   股   份   有   限   公   司   富   乐   铅</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锌</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矿   采</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矿</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 xml:space="preserve">权   </w:t>
    </w:r>
    <w:r>
      <w:rPr>
        <w:rFonts w:ascii="华文行楷" w:hAnsi="华文行楷" w:eastAsia="华文行楷" w:cs="华文行楷"/>
        <w:spacing w:val="-12"/>
        <w:sz w:val="18"/>
        <w:szCs w:val="18"/>
      </w:rPr>
      <w:t>出   让   收</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益</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评</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估</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13"/>
        <w:sz w:val="18"/>
        <w:szCs w:val="18"/>
      </w:rPr>
      <w:t xml:space="preserve">  </w:t>
    </w:r>
    <w:r>
      <w:rPr>
        <w:rFonts w:ascii="华文行楷" w:hAnsi="华文行楷" w:eastAsia="华文行楷" w:cs="华文行楷"/>
        <w:spacing w:val="-12"/>
        <w:sz w:val="18"/>
        <w:szCs w:val="18"/>
      </w:rPr>
      <w:t>告</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E60CB">
    <w:pPr>
      <w:spacing w:before="40" w:line="221" w:lineRule="auto"/>
      <w:ind w:left="727"/>
      <w:rPr>
        <w:rFonts w:ascii="华文行楷" w:hAnsi="华文行楷" w:eastAsia="华文行楷" w:cs="华文行楷"/>
        <w:sz w:val="18"/>
        <w:szCs w:val="18"/>
      </w:rPr>
    </w:pPr>
    <w:r>
      <w:drawing>
        <wp:anchor distT="0" distB="0" distL="0" distR="0" simplePos="0" relativeHeight="251770880" behindDoc="0" locked="0" layoutInCell="1" allowOverlap="1">
          <wp:simplePos x="0" y="0"/>
          <wp:positionH relativeFrom="column">
            <wp:posOffset>46990</wp:posOffset>
          </wp:positionH>
          <wp:positionV relativeFrom="paragraph">
            <wp:posOffset>144145</wp:posOffset>
          </wp:positionV>
          <wp:extent cx="5403850" cy="6350"/>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D186">
    <w:pPr>
      <w:spacing w:before="40" w:line="221" w:lineRule="auto"/>
      <w:ind w:left="501"/>
      <w:rPr>
        <w:rFonts w:ascii="华文行楷" w:hAnsi="华文行楷" w:eastAsia="华文行楷" w:cs="华文行楷"/>
        <w:sz w:val="18"/>
        <w:szCs w:val="18"/>
      </w:rPr>
    </w:pPr>
    <w:r>
      <w:drawing>
        <wp:anchor distT="0" distB="0" distL="0" distR="0" simplePos="0" relativeHeight="251772928" behindDoc="0" locked="0" layoutInCell="1" allowOverlap="1">
          <wp:simplePos x="0" y="0"/>
          <wp:positionH relativeFrom="column">
            <wp:posOffset>34290</wp:posOffset>
          </wp:positionH>
          <wp:positionV relativeFrom="paragraph">
            <wp:posOffset>144145</wp:posOffset>
          </wp:positionV>
          <wp:extent cx="5403850" cy="6350"/>
          <wp:effectExtent l="0" t="0" r="0" b="0"/>
          <wp:wrapNone/>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   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0"/>
        <w:sz w:val="18"/>
        <w:szCs w:val="18"/>
      </w:rPr>
      <w:t>锌   矿   采</w:t>
    </w:r>
    <w:r>
      <w:rPr>
        <w:rFonts w:ascii="华文行楷" w:hAnsi="华文行楷" w:eastAsia="华文行楷" w:cs="华文行楷"/>
        <w:spacing w:val="-11"/>
        <w:sz w:val="18"/>
        <w:szCs w:val="18"/>
      </w:rPr>
      <w:t xml:space="preserve">   矿   权   出   让   收   益   评   估   报   告</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FD6B1">
    <w:pPr>
      <w:spacing w:before="40" w:line="221" w:lineRule="auto"/>
      <w:ind w:left="720"/>
      <w:rPr>
        <w:rFonts w:ascii="华文行楷" w:hAnsi="华文行楷" w:eastAsia="华文行楷" w:cs="华文行楷"/>
        <w:sz w:val="18"/>
        <w:szCs w:val="18"/>
      </w:rPr>
    </w:pPr>
    <w:r>
      <w:drawing>
        <wp:anchor distT="0" distB="0" distL="0" distR="0" simplePos="0" relativeHeight="251774976" behindDoc="0" locked="0" layoutInCell="1" allowOverlap="1">
          <wp:simplePos x="0" y="0"/>
          <wp:positionH relativeFrom="column">
            <wp:posOffset>40640</wp:posOffset>
          </wp:positionH>
          <wp:positionV relativeFrom="paragraph">
            <wp:posOffset>144145</wp:posOffset>
          </wp:positionV>
          <wp:extent cx="5416550" cy="6350"/>
          <wp:effectExtent l="0" t="0" r="0" b="0"/>
          <wp:wrapNone/>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22A0C">
    <w:pPr>
      <w:spacing w:before="40" w:line="221" w:lineRule="auto"/>
      <w:ind w:left="778"/>
      <w:rPr>
        <w:rFonts w:ascii="华文行楷" w:hAnsi="华文行楷" w:eastAsia="华文行楷" w:cs="华文行楷"/>
        <w:sz w:val="18"/>
        <w:szCs w:val="18"/>
      </w:rPr>
    </w:pPr>
    <w:r>
      <w:drawing>
        <wp:anchor distT="0" distB="0" distL="0" distR="0" simplePos="0" relativeHeight="251777024" behindDoc="0" locked="0" layoutInCell="1" allowOverlap="1">
          <wp:simplePos x="0" y="0"/>
          <wp:positionH relativeFrom="column">
            <wp:posOffset>78740</wp:posOffset>
          </wp:positionH>
          <wp:positionV relativeFrom="paragraph">
            <wp:posOffset>144145</wp:posOffset>
          </wp:positionV>
          <wp:extent cx="5410200" cy="635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09A5F">
    <w:pPr>
      <w:spacing w:before="40" w:line="221" w:lineRule="auto"/>
      <w:ind w:left="1485"/>
      <w:rPr>
        <w:rFonts w:ascii="华文行楷" w:hAnsi="华文行楷" w:eastAsia="华文行楷" w:cs="华文行楷"/>
        <w:sz w:val="18"/>
        <w:szCs w:val="18"/>
      </w:rPr>
    </w:pPr>
    <w:r>
      <w:rPr>
        <w:rFonts w:ascii="华文行楷" w:hAnsi="华文行楷" w:eastAsia="华文行楷" w:cs="华文行楷"/>
        <w:spacing w:val="27"/>
        <w:sz w:val="18"/>
        <w:szCs w:val="18"/>
      </w:rPr>
      <w:t>云南罗平锌电股份有限公司富乐铅锌矿采矿权出让收益评估报告</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B6FD8">
    <w:pPr>
      <w:spacing w:before="40" w:line="221" w:lineRule="auto"/>
      <w:ind w:left="2183"/>
      <w:rPr>
        <w:rFonts w:ascii="华文行楷" w:hAnsi="华文行楷" w:eastAsia="华文行楷" w:cs="华文行楷"/>
        <w:sz w:val="18"/>
        <w:szCs w:val="18"/>
      </w:rPr>
    </w:pPr>
    <w:r>
      <w:drawing>
        <wp:anchor distT="0" distB="0" distL="0" distR="0" simplePos="0" relativeHeight="251779072" behindDoc="0" locked="0" layoutInCell="1" allowOverlap="1">
          <wp:simplePos x="0" y="0"/>
          <wp:positionH relativeFrom="column">
            <wp:posOffset>970915</wp:posOffset>
          </wp:positionH>
          <wp:positionV relativeFrom="paragraph">
            <wp:posOffset>144145</wp:posOffset>
          </wp:positionV>
          <wp:extent cx="5410200" cy="6350"/>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
                  <a:stretch>
                    <a:fillRect/>
                  </a:stretch>
                </pic:blipFill>
                <pic:spPr>
                  <a:xfrm>
                    <a:off x="0" y="0"/>
                    <a:ext cx="5410227" cy="6350"/>
                  </a:xfrm>
                  <a:prstGeom prst="rect">
                    <a:avLst/>
                  </a:prstGeom>
                </pic:spPr>
              </pic:pic>
            </a:graphicData>
          </a:graphic>
        </wp:anchor>
      </w:drawing>
    </w:r>
    <w:r>
      <w:rPr>
        <w:rFonts w:ascii="华文行楷" w:hAnsi="华文行楷" w:eastAsia="华文行楷" w:cs="华文行楷"/>
        <w:spacing w:val="-11"/>
        <w:sz w:val="18"/>
        <w:szCs w:val="18"/>
      </w:rPr>
      <w:t>云   南   罗   平  锌   电   股</w:t>
    </w:r>
    <w:r>
      <w:rPr>
        <w:rFonts w:ascii="华文行楷" w:hAnsi="华文行楷" w:eastAsia="华文行楷" w:cs="华文行楷"/>
        <w:spacing w:val="8"/>
        <w:sz w:val="18"/>
        <w:szCs w:val="18"/>
      </w:rPr>
      <w:t xml:space="preserve">  </w:t>
    </w:r>
    <w:r>
      <w:rPr>
        <w:rFonts w:ascii="华文行楷" w:hAnsi="华文行楷" w:eastAsia="华文行楷" w:cs="华文行楷"/>
        <w:spacing w:val="-11"/>
        <w:sz w:val="18"/>
        <w:szCs w:val="18"/>
      </w:rPr>
      <w:t>份   有</w:t>
    </w:r>
    <w:r>
      <w:rPr>
        <w:rFonts w:ascii="华文行楷" w:hAnsi="华文行楷" w:eastAsia="华文行楷" w:cs="华文行楷"/>
        <w:spacing w:val="10"/>
        <w:sz w:val="18"/>
        <w:szCs w:val="18"/>
      </w:rPr>
      <w:t xml:space="preserve">  </w:t>
    </w:r>
    <w:r>
      <w:rPr>
        <w:rFonts w:ascii="华文行楷" w:hAnsi="华文行楷" w:eastAsia="华文行楷" w:cs="华文行楷"/>
        <w:spacing w:val="-11"/>
        <w:sz w:val="18"/>
        <w:szCs w:val="18"/>
      </w:rPr>
      <w:t>限</w:t>
    </w:r>
    <w:r>
      <w:rPr>
        <w:rFonts w:ascii="华文行楷" w:hAnsi="华文行楷" w:eastAsia="华文行楷" w:cs="华文行楷"/>
        <w:spacing w:val="7"/>
        <w:sz w:val="18"/>
        <w:szCs w:val="18"/>
      </w:rPr>
      <w:t xml:space="preserve">  </w:t>
    </w:r>
    <w:r>
      <w:rPr>
        <w:rFonts w:ascii="华文行楷" w:hAnsi="华文行楷" w:eastAsia="华文行楷" w:cs="华文行楷"/>
        <w:spacing w:val="-11"/>
        <w:sz w:val="18"/>
        <w:szCs w:val="18"/>
      </w:rPr>
      <w:t>公   司</w:t>
    </w:r>
    <w:r>
      <w:rPr>
        <w:rFonts w:ascii="华文行楷" w:hAnsi="华文行楷" w:eastAsia="华文行楷" w:cs="华文行楷"/>
        <w:spacing w:val="11"/>
        <w:w w:val="101"/>
        <w:sz w:val="18"/>
        <w:szCs w:val="18"/>
      </w:rPr>
      <w:t xml:space="preserve">  </w:t>
    </w:r>
    <w:r>
      <w:rPr>
        <w:rFonts w:ascii="华文行楷" w:hAnsi="华文行楷" w:eastAsia="华文行楷" w:cs="华文行楷"/>
        <w:spacing w:val="-11"/>
        <w:sz w:val="18"/>
        <w:szCs w:val="18"/>
      </w:rPr>
      <w:t>富   乐  铅  锌   矿   采   矿  权</w:t>
    </w:r>
    <w:r>
      <w:rPr>
        <w:rFonts w:ascii="华文行楷" w:hAnsi="华文行楷" w:eastAsia="华文行楷" w:cs="华文行楷"/>
        <w:spacing w:val="-12"/>
        <w:sz w:val="18"/>
        <w:szCs w:val="18"/>
      </w:rPr>
      <w:t xml:space="preserve">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2715">
    <w:pPr>
      <w:spacing w:before="39" w:line="236" w:lineRule="auto"/>
      <w:ind w:left="1475"/>
      <w:rPr>
        <w:rFonts w:ascii="华文行楷" w:hAnsi="华文行楷" w:eastAsia="华文行楷" w:cs="华文行楷"/>
        <w:sz w:val="18"/>
        <w:szCs w:val="18"/>
      </w:rPr>
    </w:pPr>
    <w:r>
      <w:drawing>
        <wp:anchor distT="0" distB="0" distL="0" distR="0" simplePos="0" relativeHeight="251781120" behindDoc="0" locked="0" layoutInCell="0" allowOverlap="1">
          <wp:simplePos x="0" y="0"/>
          <wp:positionH relativeFrom="page">
            <wp:posOffset>1212215</wp:posOffset>
          </wp:positionH>
          <wp:positionV relativeFrom="page">
            <wp:posOffset>749935</wp:posOffset>
          </wp:positionV>
          <wp:extent cx="5410200" cy="7620"/>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
                  <a:stretch>
                    <a:fillRect/>
                  </a:stretch>
                </pic:blipFill>
                <pic:spPr>
                  <a:xfrm>
                    <a:off x="0" y="0"/>
                    <a:ext cx="5410227" cy="7619"/>
                  </a:xfrm>
                  <a:prstGeom prst="rect">
                    <a:avLst/>
                  </a:prstGeom>
                </pic:spPr>
              </pic:pic>
            </a:graphicData>
          </a:graphic>
        </wp:anchor>
      </w:drawing>
    </w:r>
    <w:r>
      <w:rPr>
        <w:rFonts w:ascii="华文行楷" w:hAnsi="华文行楷" w:eastAsia="华文行楷" w:cs="华文行楷"/>
        <w:spacing w:val="28"/>
        <w:sz w:val="18"/>
        <w:szCs w:val="18"/>
      </w:rPr>
      <w:t>云南罗平锌电股份有限公司富乐铅锌矿采矿权出让收益评估报告</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86982">
    <w:pPr>
      <w:spacing w:before="39" w:line="236" w:lineRule="auto"/>
      <w:ind w:left="1482"/>
      <w:rPr>
        <w:rFonts w:ascii="华文行楷" w:hAnsi="华文行楷" w:eastAsia="华文行楷" w:cs="华文行楷"/>
        <w:sz w:val="18"/>
        <w:szCs w:val="18"/>
      </w:rPr>
    </w:pPr>
    <w:r>
      <w:drawing>
        <wp:anchor distT="0" distB="0" distL="0" distR="0" simplePos="0" relativeHeight="251782144" behindDoc="0" locked="0" layoutInCell="0" allowOverlap="1">
          <wp:simplePos x="0" y="0"/>
          <wp:positionH relativeFrom="page">
            <wp:posOffset>1219200</wp:posOffset>
          </wp:positionH>
          <wp:positionV relativeFrom="page">
            <wp:posOffset>786765</wp:posOffset>
          </wp:positionV>
          <wp:extent cx="5435600" cy="12700"/>
          <wp:effectExtent l="0" t="0" r="0" b="0"/>
          <wp:wrapNone/>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1"/>
                  <a:stretch>
                    <a:fillRect/>
                  </a:stretch>
                </pic:blipFill>
                <pic:spPr>
                  <a:xfrm>
                    <a:off x="0" y="0"/>
                    <a:ext cx="5435574" cy="12684"/>
                  </a:xfrm>
                  <a:prstGeom prst="rect">
                    <a:avLst/>
                  </a:prstGeom>
                </pic:spPr>
              </pic:pic>
            </a:graphicData>
          </a:graphic>
        </wp:anchor>
      </w:drawing>
    </w:r>
    <w:r>
      <w:rPr>
        <w:rFonts w:ascii="华文行楷" w:hAnsi="华文行楷" w:eastAsia="华文行楷" w:cs="华文行楷"/>
        <w:spacing w:val="27"/>
        <w:sz w:val="18"/>
        <w:szCs w:val="18"/>
      </w:rPr>
      <w:t>云南罗平锌电股份有限公司富乐铅锌矿采矿权出让收益评估报告</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7EC40">
    <w:pPr>
      <w:spacing w:before="40" w:line="221" w:lineRule="auto"/>
      <w:ind w:left="720"/>
      <w:rPr>
        <w:rFonts w:ascii="华文行楷" w:hAnsi="华文行楷" w:eastAsia="华文行楷" w:cs="华文行楷"/>
        <w:sz w:val="18"/>
        <w:szCs w:val="18"/>
      </w:rPr>
    </w:pPr>
    <w:r>
      <w:drawing>
        <wp:anchor distT="0" distB="0" distL="0" distR="0" simplePos="0" relativeHeight="251784192" behindDoc="0" locked="0" layoutInCell="1" allowOverlap="1">
          <wp:simplePos x="0" y="0"/>
          <wp:positionH relativeFrom="column">
            <wp:posOffset>40640</wp:posOffset>
          </wp:positionH>
          <wp:positionV relativeFrom="paragraph">
            <wp:posOffset>144145</wp:posOffset>
          </wp:positionV>
          <wp:extent cx="5416550" cy="6350"/>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1"/>
        <w:sz w:val="18"/>
        <w:szCs w:val="18"/>
      </w:rPr>
      <w:t xml:space="preserve">云   南   罗   平  锌   电   股  </w:t>
    </w:r>
    <w:r>
      <w:rPr>
        <w:rFonts w:ascii="华文行楷" w:hAnsi="华文行楷" w:eastAsia="华文行楷" w:cs="华文行楷"/>
        <w:spacing w:val="-12"/>
        <w:sz w:val="18"/>
        <w:szCs w:val="18"/>
      </w:rPr>
      <w:t xml:space="preserve">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1"/>
        <w:sz w:val="18"/>
        <w:szCs w:val="18"/>
      </w:rPr>
      <w:t xml:space="preserve">  </w:t>
    </w:r>
    <w:r>
      <w:rPr>
        <w:rFonts w:ascii="华文行楷" w:hAnsi="华文行楷" w:eastAsia="华文行楷" w:cs="华文行楷"/>
        <w:spacing w:val="-12"/>
        <w:sz w:val="18"/>
        <w:szCs w:val="18"/>
      </w:rPr>
      <w:t>富   乐  铅   锌</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告</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1F67C">
    <w:pPr>
      <w:spacing w:before="40" w:line="221" w:lineRule="auto"/>
      <w:ind w:left="757"/>
      <w:rPr>
        <w:rFonts w:ascii="华文行楷" w:hAnsi="华文行楷" w:eastAsia="华文行楷" w:cs="华文行楷"/>
        <w:sz w:val="18"/>
        <w:szCs w:val="18"/>
      </w:rPr>
    </w:pPr>
    <w:r>
      <w:drawing>
        <wp:anchor distT="0" distB="0" distL="0" distR="0" simplePos="0" relativeHeight="251786240" behindDoc="0" locked="0" layoutInCell="1" allowOverlap="1">
          <wp:simplePos x="0" y="0"/>
          <wp:positionH relativeFrom="column">
            <wp:posOffset>66040</wp:posOffset>
          </wp:positionH>
          <wp:positionV relativeFrom="paragraph">
            <wp:posOffset>144145</wp:posOffset>
          </wp:positionV>
          <wp:extent cx="5403850" cy="6350"/>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2FAF1">
    <w:pPr>
      <w:spacing w:before="40" w:line="221" w:lineRule="auto"/>
      <w:ind w:left="797"/>
      <w:rPr>
        <w:rFonts w:ascii="华文行楷" w:hAnsi="华文行楷" w:eastAsia="华文行楷" w:cs="华文行楷"/>
        <w:sz w:val="18"/>
        <w:szCs w:val="18"/>
      </w:rPr>
    </w:pPr>
    <w:r>
      <w:drawing>
        <wp:anchor distT="0" distB="0" distL="0" distR="0" simplePos="0" relativeHeight="251788288" behindDoc="0" locked="0" layoutInCell="1" allowOverlap="1">
          <wp:simplePos x="0" y="0"/>
          <wp:positionH relativeFrom="column">
            <wp:posOffset>91440</wp:posOffset>
          </wp:positionH>
          <wp:positionV relativeFrom="paragraph">
            <wp:posOffset>144145</wp:posOffset>
          </wp:positionV>
          <wp:extent cx="5403850" cy="6350"/>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BA248">
    <w:pPr>
      <w:spacing w:before="40" w:line="221" w:lineRule="auto"/>
      <w:ind w:left="717"/>
      <w:rPr>
        <w:rFonts w:ascii="华文行楷" w:hAnsi="华文行楷" w:eastAsia="华文行楷" w:cs="华文行楷"/>
        <w:sz w:val="18"/>
        <w:szCs w:val="18"/>
      </w:rPr>
    </w:pPr>
    <w:r>
      <w:drawing>
        <wp:anchor distT="0" distB="0" distL="0" distR="0" simplePos="0" relativeHeight="251790336" behindDoc="0" locked="0" layoutInCell="1" allowOverlap="1">
          <wp:simplePos x="0" y="0"/>
          <wp:positionH relativeFrom="column">
            <wp:posOffset>40640</wp:posOffset>
          </wp:positionH>
          <wp:positionV relativeFrom="paragraph">
            <wp:posOffset>144145</wp:posOffset>
          </wp:positionV>
          <wp:extent cx="5403850" cy="6350"/>
          <wp:effectExtent l="0" t="0" r="0" b="0"/>
          <wp:wrapNone/>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
                  <a:stretch>
                    <a:fillRect/>
                  </a:stretch>
                </pic:blipFill>
                <pic:spPr>
                  <a:xfrm>
                    <a:off x="0" y="0"/>
                    <a:ext cx="5403879" cy="6350"/>
                  </a:xfrm>
                  <a:prstGeom prst="rect">
                    <a:avLst/>
                  </a:prstGeom>
                </pic:spPr>
              </pic:pic>
            </a:graphicData>
          </a:graphic>
        </wp:anchor>
      </w:drawing>
    </w:r>
    <w:r>
      <w:rPr>
        <w:rFonts w:ascii="华文行楷" w:hAnsi="华文行楷" w:eastAsia="华文行楷" w:cs="华文行楷"/>
        <w:spacing w:val="-12"/>
        <w:sz w:val="18"/>
        <w:szCs w:val="18"/>
      </w:rPr>
      <w:t>云   南   罗</w:t>
    </w:r>
    <w:r>
      <w:rPr>
        <w:rFonts w:ascii="华文行楷" w:hAnsi="华文行楷" w:eastAsia="华文行楷" w:cs="华文行楷"/>
        <w:spacing w:val="13"/>
        <w:w w:val="102"/>
        <w:sz w:val="18"/>
        <w:szCs w:val="18"/>
      </w:rPr>
      <w:t xml:space="preserve">  </w:t>
    </w:r>
    <w:r>
      <w:rPr>
        <w:rFonts w:ascii="华文行楷" w:hAnsi="华文行楷" w:eastAsia="华文行楷" w:cs="华文行楷"/>
        <w:spacing w:val="-12"/>
        <w:sz w:val="18"/>
        <w:szCs w:val="18"/>
      </w:rPr>
      <w:t>平  锌   电   股   份</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有</w:t>
    </w:r>
    <w:r>
      <w:rPr>
        <w:rFonts w:ascii="华文行楷" w:hAnsi="华文行楷" w:eastAsia="华文行楷" w:cs="华文行楷"/>
        <w:spacing w:val="9"/>
        <w:sz w:val="18"/>
        <w:szCs w:val="18"/>
      </w:rPr>
      <w:t xml:space="preserve">  </w:t>
    </w:r>
    <w:r>
      <w:rPr>
        <w:rFonts w:ascii="华文行楷" w:hAnsi="华文行楷" w:eastAsia="华文行楷" w:cs="华文行楷"/>
        <w:spacing w:val="-12"/>
        <w:sz w:val="18"/>
        <w:szCs w:val="18"/>
      </w:rPr>
      <w:t>限</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公   司</w:t>
    </w:r>
    <w:r>
      <w:rPr>
        <w:rFonts w:ascii="华文行楷" w:hAnsi="华文行楷" w:eastAsia="华文行楷" w:cs="华文行楷"/>
        <w:spacing w:val="10"/>
        <w:sz w:val="18"/>
        <w:szCs w:val="18"/>
      </w:rPr>
      <w:t xml:space="preserve">  </w:t>
    </w:r>
    <w:r>
      <w:rPr>
        <w:rFonts w:ascii="华文行楷" w:hAnsi="华文行楷" w:eastAsia="华文行楷" w:cs="华文行楷"/>
        <w:spacing w:val="-12"/>
        <w:sz w:val="18"/>
        <w:szCs w:val="18"/>
      </w:rPr>
      <w:t>富   乐  铅</w:t>
    </w:r>
    <w:r>
      <w:rPr>
        <w:rFonts w:ascii="华文行楷" w:hAnsi="华文行楷" w:eastAsia="华文行楷" w:cs="华文行楷"/>
        <w:spacing w:val="4"/>
        <w:sz w:val="18"/>
        <w:szCs w:val="18"/>
      </w:rPr>
      <w:t xml:space="preserve">  </w:t>
    </w:r>
    <w:r>
      <w:rPr>
        <w:rFonts w:ascii="华文行楷" w:hAnsi="华文行楷" w:eastAsia="华文行楷" w:cs="华文行楷"/>
        <w:spacing w:val="-12"/>
        <w:sz w:val="18"/>
        <w:szCs w:val="18"/>
      </w:rPr>
      <w:t>锌   矿   采</w:t>
    </w:r>
    <w:r>
      <w:rPr>
        <w:rFonts w:ascii="华文行楷" w:hAnsi="华文行楷" w:eastAsia="华文行楷" w:cs="华文行楷"/>
        <w:spacing w:val="6"/>
        <w:sz w:val="18"/>
        <w:szCs w:val="18"/>
      </w:rPr>
      <w:t xml:space="preserve">  </w:t>
    </w:r>
    <w:r>
      <w:rPr>
        <w:rFonts w:ascii="华文行楷" w:hAnsi="华文行楷" w:eastAsia="华文行楷" w:cs="华文行楷"/>
        <w:spacing w:val="-12"/>
        <w:sz w:val="18"/>
        <w:szCs w:val="18"/>
      </w:rPr>
      <w:t>矿  权   出   让</w:t>
    </w:r>
    <w:r>
      <w:rPr>
        <w:rFonts w:ascii="华文行楷" w:hAnsi="华文行楷" w:eastAsia="华文行楷" w:cs="华文行楷"/>
        <w:spacing w:val="5"/>
        <w:sz w:val="18"/>
        <w:szCs w:val="18"/>
      </w:rPr>
      <w:t xml:space="preserve">  </w:t>
    </w:r>
    <w:r>
      <w:rPr>
        <w:rFonts w:ascii="华文行楷" w:hAnsi="华文行楷" w:eastAsia="华文行楷" w:cs="华文行楷"/>
        <w:spacing w:val="-12"/>
        <w:sz w:val="18"/>
        <w:szCs w:val="18"/>
      </w:rPr>
      <w:t>收</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益  评   估</w:t>
    </w:r>
    <w:r>
      <w:rPr>
        <w:rFonts w:ascii="华文行楷" w:hAnsi="华文行楷" w:eastAsia="华文行楷" w:cs="华文行楷"/>
        <w:spacing w:val="7"/>
        <w:sz w:val="18"/>
        <w:szCs w:val="18"/>
      </w:rPr>
      <w:t xml:space="preserve">  </w:t>
    </w:r>
    <w:r>
      <w:rPr>
        <w:rFonts w:ascii="华文行楷" w:hAnsi="华文行楷" w:eastAsia="华文行楷" w:cs="华文行楷"/>
        <w:spacing w:val="-12"/>
        <w:sz w:val="18"/>
        <w:szCs w:val="18"/>
      </w:rPr>
      <w:t>报</w:t>
    </w:r>
    <w:r>
      <w:rPr>
        <w:rFonts w:ascii="华文行楷" w:hAnsi="华文行楷" w:eastAsia="华文行楷" w:cs="华文行楷"/>
        <w:spacing w:val="8"/>
        <w:sz w:val="18"/>
        <w:szCs w:val="18"/>
      </w:rPr>
      <w:t xml:space="preserve">  </w:t>
    </w:r>
    <w:r>
      <w:rPr>
        <w:rFonts w:ascii="华文行楷" w:hAnsi="华文行楷" w:eastAsia="华文行楷" w:cs="华文行楷"/>
        <w:spacing w:val="-12"/>
        <w:sz w:val="18"/>
        <w:szCs w:val="18"/>
      </w:rPr>
      <w:t>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221E">
    <w:pPr>
      <w:spacing w:before="40" w:line="221" w:lineRule="auto"/>
      <w:ind w:left="1425"/>
      <w:rPr>
        <w:rFonts w:ascii="华文行楷" w:hAnsi="华文行楷" w:eastAsia="华文行楷" w:cs="华文行楷"/>
        <w:sz w:val="18"/>
        <w:szCs w:val="18"/>
      </w:rPr>
    </w:pPr>
    <w:r>
      <w:rPr>
        <w:rFonts w:ascii="华文行楷" w:hAnsi="华文行楷" w:eastAsia="华文行楷" w:cs="华文行楷"/>
        <w:spacing w:val="28"/>
        <w:sz w:val="18"/>
        <w:szCs w:val="18"/>
      </w:rPr>
      <w:t>云南罗平锌电股份有限公司富乐铅锌矿采矿权出让收益评估报告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57B08">
    <w:pPr>
      <w:spacing w:before="40" w:line="221" w:lineRule="auto"/>
      <w:ind w:left="493"/>
      <w:rPr>
        <w:rFonts w:ascii="华文行楷" w:hAnsi="华文行楷" w:eastAsia="华文行楷" w:cs="华文行楷"/>
        <w:sz w:val="18"/>
        <w:szCs w:val="18"/>
      </w:rPr>
    </w:pPr>
    <w:r>
      <w:drawing>
        <wp:anchor distT="0" distB="0" distL="0" distR="0" simplePos="0" relativeHeight="251673600" behindDoc="0" locked="0" layoutInCell="1" allowOverlap="1">
          <wp:simplePos x="0" y="0"/>
          <wp:positionH relativeFrom="column">
            <wp:posOffset>27940</wp:posOffset>
          </wp:positionH>
          <wp:positionV relativeFrom="paragraph">
            <wp:posOffset>144145</wp:posOffset>
          </wp:positionV>
          <wp:extent cx="5416550" cy="635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
                  <a:stretch>
                    <a:fillRect/>
                  </a:stretch>
                </pic:blipFill>
                <pic:spPr>
                  <a:xfrm>
                    <a:off x="0" y="0"/>
                    <a:ext cx="5416575"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9"/>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2"/>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0"/>
        <w:sz w:val="18"/>
        <w:szCs w:val="18"/>
      </w:rPr>
      <w:t xml:space="preserve">铅  </w:t>
    </w:r>
    <w:r>
      <w:rPr>
        <w:rFonts w:ascii="华文行楷" w:hAnsi="华文行楷" w:eastAsia="华文行楷" w:cs="华文行楷"/>
        <w:spacing w:val="-11"/>
        <w:sz w:val="18"/>
        <w:szCs w:val="18"/>
      </w:rPr>
      <w:t xml:space="preserve"> 锌</w:t>
    </w:r>
    <w:r>
      <w:rPr>
        <w:rFonts w:ascii="华文行楷" w:hAnsi="华文行楷" w:eastAsia="华文行楷" w:cs="华文行楷"/>
        <w:spacing w:val="14"/>
        <w:sz w:val="18"/>
        <w:szCs w:val="18"/>
      </w:rPr>
      <w:t xml:space="preserve">  </w:t>
    </w:r>
    <w:r>
      <w:rPr>
        <w:rFonts w:ascii="华文行楷" w:hAnsi="华文行楷" w:eastAsia="华文行楷" w:cs="华文行楷"/>
        <w:spacing w:val="-11"/>
        <w:sz w:val="18"/>
        <w:szCs w:val="18"/>
      </w:rPr>
      <w:t>矿   采   矿   权   出   让   收   益   评   估   报   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92BE1">
    <w:pPr>
      <w:spacing w:before="40" w:line="221" w:lineRule="auto"/>
      <w:ind w:left="502"/>
      <w:rPr>
        <w:rFonts w:ascii="华文行楷" w:hAnsi="华文行楷" w:eastAsia="华文行楷" w:cs="华文行楷"/>
        <w:sz w:val="18"/>
        <w:szCs w:val="18"/>
      </w:rPr>
    </w:pPr>
    <w:r>
      <w:drawing>
        <wp:anchor distT="0" distB="0" distL="0" distR="0" simplePos="0" relativeHeight="251675648" behindDoc="0" locked="0" layoutInCell="1" allowOverlap="1">
          <wp:simplePos x="0" y="0"/>
          <wp:positionH relativeFrom="column">
            <wp:posOffset>34290</wp:posOffset>
          </wp:positionH>
          <wp:positionV relativeFrom="paragraph">
            <wp:posOffset>144145</wp:posOffset>
          </wp:positionV>
          <wp:extent cx="5410200" cy="63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
                  <a:stretch>
                    <a:fillRect/>
                  </a:stretch>
                </pic:blipFill>
                <pic:spPr>
                  <a:xfrm>
                    <a:off x="0" y="0"/>
                    <a:ext cx="5410226" cy="6350"/>
                  </a:xfrm>
                  <a:prstGeom prst="rect">
                    <a:avLst/>
                  </a:prstGeom>
                </pic:spPr>
              </pic:pic>
            </a:graphicData>
          </a:graphic>
        </wp:anchor>
      </w:drawing>
    </w:r>
    <w:r>
      <w:rPr>
        <w:rFonts w:ascii="华文行楷" w:hAnsi="华文行楷" w:eastAsia="华文行楷" w:cs="华文行楷"/>
        <w:spacing w:val="-10"/>
        <w:sz w:val="18"/>
        <w:szCs w:val="18"/>
      </w:rPr>
      <w:t>云   南   罗</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平   锌</w:t>
    </w:r>
    <w:r>
      <w:rPr>
        <w:rFonts w:ascii="华文行楷" w:hAnsi="华文行楷" w:eastAsia="华文行楷" w:cs="华文行楷"/>
        <w:spacing w:val="20"/>
        <w:sz w:val="18"/>
        <w:szCs w:val="18"/>
      </w:rPr>
      <w:t xml:space="preserve">  </w:t>
    </w:r>
    <w:r>
      <w:rPr>
        <w:rFonts w:ascii="华文行楷" w:hAnsi="华文行楷" w:eastAsia="华文行楷" w:cs="华文行楷"/>
        <w:spacing w:val="-10"/>
        <w:sz w:val="18"/>
        <w:szCs w:val="18"/>
      </w:rPr>
      <w:t>电</w:t>
    </w:r>
    <w:r>
      <w:rPr>
        <w:rFonts w:ascii="华文行楷" w:hAnsi="华文行楷" w:eastAsia="华文行楷" w:cs="华文行楷"/>
        <w:spacing w:val="18"/>
        <w:w w:val="101"/>
        <w:sz w:val="18"/>
        <w:szCs w:val="18"/>
      </w:rPr>
      <w:t xml:space="preserve">  </w:t>
    </w:r>
    <w:r>
      <w:rPr>
        <w:rFonts w:ascii="华文行楷" w:hAnsi="华文行楷" w:eastAsia="华文行楷" w:cs="华文行楷"/>
        <w:spacing w:val="-10"/>
        <w:sz w:val="18"/>
        <w:szCs w:val="18"/>
      </w:rPr>
      <w:t>股   份</w:t>
    </w:r>
    <w:r>
      <w:rPr>
        <w:rFonts w:ascii="华文行楷" w:hAnsi="华文行楷" w:eastAsia="华文行楷" w:cs="华文行楷"/>
        <w:spacing w:val="17"/>
        <w:w w:val="101"/>
        <w:sz w:val="18"/>
        <w:szCs w:val="18"/>
      </w:rPr>
      <w:t xml:space="preserve">  </w:t>
    </w:r>
    <w:r>
      <w:rPr>
        <w:rFonts w:ascii="华文行楷" w:hAnsi="华文行楷" w:eastAsia="华文行楷" w:cs="华文行楷"/>
        <w:spacing w:val="-10"/>
        <w:sz w:val="18"/>
        <w:szCs w:val="18"/>
      </w:rPr>
      <w:t>有</w:t>
    </w:r>
    <w:r>
      <w:rPr>
        <w:rFonts w:ascii="华文行楷" w:hAnsi="华文行楷" w:eastAsia="华文行楷" w:cs="华文行楷"/>
        <w:spacing w:val="17"/>
        <w:sz w:val="18"/>
        <w:szCs w:val="18"/>
      </w:rPr>
      <w:t xml:space="preserve">  </w:t>
    </w:r>
    <w:r>
      <w:rPr>
        <w:rFonts w:ascii="华文行楷" w:hAnsi="华文行楷" w:eastAsia="华文行楷" w:cs="华文行楷"/>
        <w:spacing w:val="-10"/>
        <w:sz w:val="18"/>
        <w:szCs w:val="18"/>
      </w:rPr>
      <w:t>限</w:t>
    </w:r>
    <w:r>
      <w:rPr>
        <w:rFonts w:ascii="华文行楷" w:hAnsi="华文行楷" w:eastAsia="华文行楷" w:cs="华文行楷"/>
        <w:spacing w:val="15"/>
        <w:w w:val="101"/>
        <w:sz w:val="18"/>
        <w:szCs w:val="18"/>
      </w:rPr>
      <w:t xml:space="preserve">  </w:t>
    </w:r>
    <w:r>
      <w:rPr>
        <w:rFonts w:ascii="华文行楷" w:hAnsi="华文行楷" w:eastAsia="华文行楷" w:cs="华文行楷"/>
        <w:spacing w:val="-10"/>
        <w:sz w:val="18"/>
        <w:szCs w:val="18"/>
      </w:rPr>
      <w:t>公    司   富    乐</w:t>
    </w:r>
    <w:r>
      <w:rPr>
        <w:rFonts w:ascii="华文行楷" w:hAnsi="华文行楷" w:eastAsia="华文行楷" w:cs="华文行楷"/>
        <w:spacing w:val="9"/>
        <w:sz w:val="18"/>
        <w:szCs w:val="18"/>
      </w:rPr>
      <w:t xml:space="preserve">  </w:t>
    </w:r>
    <w:r>
      <w:rPr>
        <w:rFonts w:ascii="华文行楷" w:hAnsi="华文行楷" w:eastAsia="华文行楷" w:cs="华文行楷"/>
        <w:spacing w:val="-11"/>
        <w:sz w:val="18"/>
        <w:szCs w:val="18"/>
      </w:rPr>
      <w:t>铅</w:t>
    </w:r>
    <w:r>
      <w:rPr>
        <w:rFonts w:ascii="华文行楷" w:hAnsi="华文行楷" w:eastAsia="华文行楷" w:cs="华文行楷"/>
        <w:spacing w:val="12"/>
        <w:w w:val="101"/>
        <w:sz w:val="18"/>
        <w:szCs w:val="18"/>
      </w:rPr>
      <w:t xml:space="preserve">  </w:t>
    </w:r>
    <w:r>
      <w:rPr>
        <w:rFonts w:ascii="华文行楷" w:hAnsi="华文行楷" w:eastAsia="华文行楷" w:cs="华文行楷"/>
        <w:spacing w:val="-11"/>
        <w:sz w:val="18"/>
        <w:szCs w:val="18"/>
      </w:rPr>
      <w:t>锌   矿   采   矿   权   出   让   收   益   评   估   报   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9DA4E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45.xml"/><Relationship Id="rId98" Type="http://schemas.openxmlformats.org/officeDocument/2006/relationships/header" Target="header50.xml"/><Relationship Id="rId97" Type="http://schemas.openxmlformats.org/officeDocument/2006/relationships/footer" Target="footer44.xml"/><Relationship Id="rId96" Type="http://schemas.openxmlformats.org/officeDocument/2006/relationships/header" Target="header49.xml"/><Relationship Id="rId95" Type="http://schemas.openxmlformats.org/officeDocument/2006/relationships/footer" Target="footer43.xml"/><Relationship Id="rId94" Type="http://schemas.openxmlformats.org/officeDocument/2006/relationships/header" Target="header48.xml"/><Relationship Id="rId93" Type="http://schemas.openxmlformats.org/officeDocument/2006/relationships/footer" Target="footer42.xml"/><Relationship Id="rId92" Type="http://schemas.openxmlformats.org/officeDocument/2006/relationships/header" Target="header47.xml"/><Relationship Id="rId91" Type="http://schemas.openxmlformats.org/officeDocument/2006/relationships/footer" Target="footer41.xml"/><Relationship Id="rId90" Type="http://schemas.openxmlformats.org/officeDocument/2006/relationships/header" Target="header46.xml"/><Relationship Id="rId9" Type="http://schemas.openxmlformats.org/officeDocument/2006/relationships/header" Target="header3.xml"/><Relationship Id="rId89" Type="http://schemas.openxmlformats.org/officeDocument/2006/relationships/footer" Target="footer40.xml"/><Relationship Id="rId88" Type="http://schemas.openxmlformats.org/officeDocument/2006/relationships/header" Target="header45.xml"/><Relationship Id="rId87" Type="http://schemas.openxmlformats.org/officeDocument/2006/relationships/footer" Target="footer39.xml"/><Relationship Id="rId86" Type="http://schemas.openxmlformats.org/officeDocument/2006/relationships/header" Target="header44.xml"/><Relationship Id="rId85" Type="http://schemas.openxmlformats.org/officeDocument/2006/relationships/footer" Target="footer38.xml"/><Relationship Id="rId84" Type="http://schemas.openxmlformats.org/officeDocument/2006/relationships/header" Target="header43.xml"/><Relationship Id="rId83" Type="http://schemas.openxmlformats.org/officeDocument/2006/relationships/footer" Target="footer37.xml"/><Relationship Id="rId82" Type="http://schemas.openxmlformats.org/officeDocument/2006/relationships/header" Target="header42.xml"/><Relationship Id="rId81" Type="http://schemas.openxmlformats.org/officeDocument/2006/relationships/footer" Target="footer36.xml"/><Relationship Id="rId80" Type="http://schemas.openxmlformats.org/officeDocument/2006/relationships/header" Target="header41.xml"/><Relationship Id="rId8" Type="http://schemas.openxmlformats.org/officeDocument/2006/relationships/footer" Target="footer2.xml"/><Relationship Id="rId79" Type="http://schemas.openxmlformats.org/officeDocument/2006/relationships/footer" Target="footer35.xml"/><Relationship Id="rId78" Type="http://schemas.openxmlformats.org/officeDocument/2006/relationships/header" Target="header40.xml"/><Relationship Id="rId77" Type="http://schemas.openxmlformats.org/officeDocument/2006/relationships/footer" Target="footer34.xml"/><Relationship Id="rId76" Type="http://schemas.openxmlformats.org/officeDocument/2006/relationships/header" Target="header39.xml"/><Relationship Id="rId75" Type="http://schemas.openxmlformats.org/officeDocument/2006/relationships/footer" Target="footer33.xml"/><Relationship Id="rId74" Type="http://schemas.openxmlformats.org/officeDocument/2006/relationships/header" Target="header38.xml"/><Relationship Id="rId73" Type="http://schemas.openxmlformats.org/officeDocument/2006/relationships/footer" Target="footer32.xml"/><Relationship Id="rId72" Type="http://schemas.openxmlformats.org/officeDocument/2006/relationships/header" Target="header37.xml"/><Relationship Id="rId71" Type="http://schemas.openxmlformats.org/officeDocument/2006/relationships/footer" Target="footer31.xml"/><Relationship Id="rId70" Type="http://schemas.openxmlformats.org/officeDocument/2006/relationships/header" Target="header36.xml"/><Relationship Id="rId7" Type="http://schemas.openxmlformats.org/officeDocument/2006/relationships/header" Target="header2.xml"/><Relationship Id="rId69" Type="http://schemas.openxmlformats.org/officeDocument/2006/relationships/footer" Target="footer30.xml"/><Relationship Id="rId68" Type="http://schemas.openxmlformats.org/officeDocument/2006/relationships/header" Target="header35.xml"/><Relationship Id="rId67" Type="http://schemas.openxmlformats.org/officeDocument/2006/relationships/footer" Target="footer29.xml"/><Relationship Id="rId66" Type="http://schemas.openxmlformats.org/officeDocument/2006/relationships/header" Target="header34.xml"/><Relationship Id="rId65" Type="http://schemas.openxmlformats.org/officeDocument/2006/relationships/footer" Target="footer28.xml"/><Relationship Id="rId64" Type="http://schemas.openxmlformats.org/officeDocument/2006/relationships/header" Target="header33.xml"/><Relationship Id="rId63" Type="http://schemas.openxmlformats.org/officeDocument/2006/relationships/footer" Target="footer27.xml"/><Relationship Id="rId62" Type="http://schemas.openxmlformats.org/officeDocument/2006/relationships/header" Target="header32.xml"/><Relationship Id="rId61" Type="http://schemas.openxmlformats.org/officeDocument/2006/relationships/footer" Target="footer26.xml"/><Relationship Id="rId60" Type="http://schemas.openxmlformats.org/officeDocument/2006/relationships/header" Target="header31.xml"/><Relationship Id="rId6" Type="http://schemas.openxmlformats.org/officeDocument/2006/relationships/footer" Target="footer1.xml"/><Relationship Id="rId59" Type="http://schemas.openxmlformats.org/officeDocument/2006/relationships/footer" Target="footer25.xml"/><Relationship Id="rId58" Type="http://schemas.openxmlformats.org/officeDocument/2006/relationships/header" Target="header30.xml"/><Relationship Id="rId57" Type="http://schemas.openxmlformats.org/officeDocument/2006/relationships/footer" Target="footer24.xml"/><Relationship Id="rId56" Type="http://schemas.openxmlformats.org/officeDocument/2006/relationships/header" Target="header29.xml"/><Relationship Id="rId55" Type="http://schemas.openxmlformats.org/officeDocument/2006/relationships/footer" Target="footer23.xml"/><Relationship Id="rId54" Type="http://schemas.openxmlformats.org/officeDocument/2006/relationships/header" Target="header28.xml"/><Relationship Id="rId53" Type="http://schemas.openxmlformats.org/officeDocument/2006/relationships/footer" Target="footer22.xml"/><Relationship Id="rId52" Type="http://schemas.openxmlformats.org/officeDocument/2006/relationships/header" Target="header27.xml"/><Relationship Id="rId51" Type="http://schemas.openxmlformats.org/officeDocument/2006/relationships/footer" Target="footer21.xml"/><Relationship Id="rId50" Type="http://schemas.openxmlformats.org/officeDocument/2006/relationships/header" Target="header26.xml"/><Relationship Id="rId5" Type="http://schemas.openxmlformats.org/officeDocument/2006/relationships/header" Target="header1.xml"/><Relationship Id="rId49" Type="http://schemas.openxmlformats.org/officeDocument/2006/relationships/footer" Target="footer20.xml"/><Relationship Id="rId48" Type="http://schemas.openxmlformats.org/officeDocument/2006/relationships/header" Target="header25.xml"/><Relationship Id="rId47" Type="http://schemas.openxmlformats.org/officeDocument/2006/relationships/footer" Target="footer19.xml"/><Relationship Id="rId46" Type="http://schemas.openxmlformats.org/officeDocument/2006/relationships/header" Target="header24.xml"/><Relationship Id="rId45" Type="http://schemas.openxmlformats.org/officeDocument/2006/relationships/footer" Target="footer18.xml"/><Relationship Id="rId44" Type="http://schemas.openxmlformats.org/officeDocument/2006/relationships/header" Target="header23.xml"/><Relationship Id="rId43" Type="http://schemas.openxmlformats.org/officeDocument/2006/relationships/footer" Target="footer17.xml"/><Relationship Id="rId42" Type="http://schemas.openxmlformats.org/officeDocument/2006/relationships/header" Target="header22.xml"/><Relationship Id="rId41" Type="http://schemas.openxmlformats.org/officeDocument/2006/relationships/footer" Target="footer16.xml"/><Relationship Id="rId40" Type="http://schemas.openxmlformats.org/officeDocument/2006/relationships/header" Target="header21.xml"/><Relationship Id="rId4" Type="http://schemas.openxmlformats.org/officeDocument/2006/relationships/endnotes" Target="endnotes.xml"/><Relationship Id="rId39" Type="http://schemas.openxmlformats.org/officeDocument/2006/relationships/header" Target="header20.xml"/><Relationship Id="rId38" Type="http://schemas.openxmlformats.org/officeDocument/2006/relationships/header" Target="header19.xml"/><Relationship Id="rId37" Type="http://schemas.openxmlformats.org/officeDocument/2006/relationships/header" Target="header18.xml"/><Relationship Id="rId36" Type="http://schemas.openxmlformats.org/officeDocument/2006/relationships/header" Target="header17.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0" Type="http://schemas.openxmlformats.org/officeDocument/2006/relationships/fontTable" Target="fontTable.xml"/><Relationship Id="rId16" Type="http://schemas.openxmlformats.org/officeDocument/2006/relationships/footer" Target="footer6.xml"/><Relationship Id="rId159" Type="http://schemas.openxmlformats.org/officeDocument/2006/relationships/customXml" Target="../customXml/item1.xml"/><Relationship Id="rId158" Type="http://schemas.openxmlformats.org/officeDocument/2006/relationships/image" Target="media/image59.png"/><Relationship Id="rId157" Type="http://schemas.openxmlformats.org/officeDocument/2006/relationships/image" Target="media/image58.png"/><Relationship Id="rId156" Type="http://schemas.openxmlformats.org/officeDocument/2006/relationships/image" Target="media/image57.png"/><Relationship Id="rId155" Type="http://schemas.openxmlformats.org/officeDocument/2006/relationships/image" Target="media/image56.png"/><Relationship Id="rId154" Type="http://schemas.openxmlformats.org/officeDocument/2006/relationships/image" Target="media/image55.jpeg"/><Relationship Id="rId153" Type="http://schemas.openxmlformats.org/officeDocument/2006/relationships/image" Target="media/image54.jpeg"/><Relationship Id="rId152" Type="http://schemas.openxmlformats.org/officeDocument/2006/relationships/image" Target="media/image53.jpeg"/><Relationship Id="rId151" Type="http://schemas.openxmlformats.org/officeDocument/2006/relationships/image" Target="media/image52.png"/><Relationship Id="rId150" Type="http://schemas.openxmlformats.org/officeDocument/2006/relationships/image" Target="media/image51.png"/><Relationship Id="rId15" Type="http://schemas.openxmlformats.org/officeDocument/2006/relationships/header" Target="header6.xml"/><Relationship Id="rId149" Type="http://schemas.openxmlformats.org/officeDocument/2006/relationships/image" Target="media/image50.jpeg"/><Relationship Id="rId148" Type="http://schemas.openxmlformats.org/officeDocument/2006/relationships/image" Target="media/image49.jpeg"/><Relationship Id="rId147" Type="http://schemas.openxmlformats.org/officeDocument/2006/relationships/image" Target="media/image48.jpeg"/><Relationship Id="rId146" Type="http://schemas.openxmlformats.org/officeDocument/2006/relationships/image" Target="media/image22.jpeg"/><Relationship Id="rId145" Type="http://schemas.openxmlformats.org/officeDocument/2006/relationships/image" Target="media/image21.png"/><Relationship Id="rId144" Type="http://schemas.openxmlformats.org/officeDocument/2006/relationships/image" Target="media/image47.jpeg"/><Relationship Id="rId143" Type="http://schemas.openxmlformats.org/officeDocument/2006/relationships/image" Target="media/image16.jpeg"/><Relationship Id="rId142" Type="http://schemas.openxmlformats.org/officeDocument/2006/relationships/image" Target="media/image46.jpeg"/><Relationship Id="rId141" Type="http://schemas.openxmlformats.org/officeDocument/2006/relationships/image" Target="media/image11.png"/><Relationship Id="rId140" Type="http://schemas.openxmlformats.org/officeDocument/2006/relationships/image" Target="media/image45.png"/><Relationship Id="rId14" Type="http://schemas.openxmlformats.org/officeDocument/2006/relationships/footer" Target="footer5.xml"/><Relationship Id="rId139" Type="http://schemas.openxmlformats.org/officeDocument/2006/relationships/image" Target="media/image44.png"/><Relationship Id="rId138" Type="http://schemas.openxmlformats.org/officeDocument/2006/relationships/image" Target="media/image43.png"/><Relationship Id="rId137" Type="http://schemas.openxmlformats.org/officeDocument/2006/relationships/image" Target="media/image42.png"/><Relationship Id="rId136" Type="http://schemas.openxmlformats.org/officeDocument/2006/relationships/image" Target="media/image41.jpeg"/><Relationship Id="rId135" Type="http://schemas.openxmlformats.org/officeDocument/2006/relationships/image" Target="media/image40.jpeg"/><Relationship Id="rId134" Type="http://schemas.openxmlformats.org/officeDocument/2006/relationships/image" Target="media/image38.jpeg"/><Relationship Id="rId133" Type="http://schemas.openxmlformats.org/officeDocument/2006/relationships/image" Target="media/image39.png"/><Relationship Id="rId132" Type="http://schemas.openxmlformats.org/officeDocument/2006/relationships/theme" Target="theme/theme1.xml"/><Relationship Id="rId131" Type="http://schemas.openxmlformats.org/officeDocument/2006/relationships/footer" Target="footer61.xml"/><Relationship Id="rId130" Type="http://schemas.openxmlformats.org/officeDocument/2006/relationships/header" Target="header66.xml"/><Relationship Id="rId13" Type="http://schemas.openxmlformats.org/officeDocument/2006/relationships/header" Target="header5.xml"/><Relationship Id="rId129" Type="http://schemas.openxmlformats.org/officeDocument/2006/relationships/footer" Target="footer60.xml"/><Relationship Id="rId128" Type="http://schemas.openxmlformats.org/officeDocument/2006/relationships/header" Target="header65.xml"/><Relationship Id="rId127" Type="http://schemas.openxmlformats.org/officeDocument/2006/relationships/footer" Target="footer59.xml"/><Relationship Id="rId126" Type="http://schemas.openxmlformats.org/officeDocument/2006/relationships/header" Target="header64.xml"/><Relationship Id="rId125" Type="http://schemas.openxmlformats.org/officeDocument/2006/relationships/footer" Target="footer58.xml"/><Relationship Id="rId124" Type="http://schemas.openxmlformats.org/officeDocument/2006/relationships/header" Target="header63.xml"/><Relationship Id="rId123" Type="http://schemas.openxmlformats.org/officeDocument/2006/relationships/footer" Target="footer57.xml"/><Relationship Id="rId122" Type="http://schemas.openxmlformats.org/officeDocument/2006/relationships/header" Target="header62.xml"/><Relationship Id="rId121" Type="http://schemas.openxmlformats.org/officeDocument/2006/relationships/footer" Target="footer56.xml"/><Relationship Id="rId120" Type="http://schemas.openxmlformats.org/officeDocument/2006/relationships/header" Target="header61.xml"/><Relationship Id="rId12" Type="http://schemas.openxmlformats.org/officeDocument/2006/relationships/footer" Target="footer4.xml"/><Relationship Id="rId119" Type="http://schemas.openxmlformats.org/officeDocument/2006/relationships/footer" Target="footer55.xml"/><Relationship Id="rId118" Type="http://schemas.openxmlformats.org/officeDocument/2006/relationships/header" Target="header60.xml"/><Relationship Id="rId117" Type="http://schemas.openxmlformats.org/officeDocument/2006/relationships/footer" Target="footer54.xml"/><Relationship Id="rId116" Type="http://schemas.openxmlformats.org/officeDocument/2006/relationships/header" Target="header59.xml"/><Relationship Id="rId115" Type="http://schemas.openxmlformats.org/officeDocument/2006/relationships/footer" Target="footer53.xml"/><Relationship Id="rId114" Type="http://schemas.openxmlformats.org/officeDocument/2006/relationships/header" Target="header58.xml"/><Relationship Id="rId113" Type="http://schemas.openxmlformats.org/officeDocument/2006/relationships/footer" Target="footer52.xml"/><Relationship Id="rId112" Type="http://schemas.openxmlformats.org/officeDocument/2006/relationships/header" Target="header57.xml"/><Relationship Id="rId111" Type="http://schemas.openxmlformats.org/officeDocument/2006/relationships/footer" Target="footer51.xml"/><Relationship Id="rId110" Type="http://schemas.openxmlformats.org/officeDocument/2006/relationships/header" Target="header56.xml"/><Relationship Id="rId11" Type="http://schemas.openxmlformats.org/officeDocument/2006/relationships/header" Target="header4.xml"/><Relationship Id="rId109" Type="http://schemas.openxmlformats.org/officeDocument/2006/relationships/footer" Target="footer50.xml"/><Relationship Id="rId108" Type="http://schemas.openxmlformats.org/officeDocument/2006/relationships/header" Target="header55.xml"/><Relationship Id="rId107" Type="http://schemas.openxmlformats.org/officeDocument/2006/relationships/footer" Target="footer49.xml"/><Relationship Id="rId106" Type="http://schemas.openxmlformats.org/officeDocument/2006/relationships/header" Target="header54.xml"/><Relationship Id="rId105" Type="http://schemas.openxmlformats.org/officeDocument/2006/relationships/footer" Target="footer48.xml"/><Relationship Id="rId104" Type="http://schemas.openxmlformats.org/officeDocument/2006/relationships/header" Target="header53.xml"/><Relationship Id="rId103" Type="http://schemas.openxmlformats.org/officeDocument/2006/relationships/footer" Target="footer47.xml"/><Relationship Id="rId102" Type="http://schemas.openxmlformats.org/officeDocument/2006/relationships/header" Target="header52.xml"/><Relationship Id="rId101" Type="http://schemas.openxmlformats.org/officeDocument/2006/relationships/footer" Target="footer46.xml"/><Relationship Id="rId100" Type="http://schemas.openxmlformats.org/officeDocument/2006/relationships/header" Target="header5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0.xml.rels><?xml version="1.0" encoding="UTF-8" standalone="yes"?>
<Relationships xmlns="http://schemas.openxmlformats.org/package/2006/relationships"><Relationship Id="rId1" Type="http://schemas.openxmlformats.org/officeDocument/2006/relationships/image" Target="media/image10.jpeg"/></Relationships>
</file>

<file path=word/_rels/footer11.xml.rels><?xml version="1.0" encoding="UTF-8" standalone="yes"?>
<Relationships xmlns="http://schemas.openxmlformats.org/package/2006/relationships"><Relationship Id="rId1" Type="http://schemas.openxmlformats.org/officeDocument/2006/relationships/image" Target="media/image11.png"/></Relationships>
</file>

<file path=word/_rels/footer12.xml.rels><?xml version="1.0" encoding="UTF-8" standalone="yes"?>
<Relationships xmlns="http://schemas.openxmlformats.org/package/2006/relationships"><Relationship Id="rId1" Type="http://schemas.openxmlformats.org/officeDocument/2006/relationships/image" Target="media/image13.png"/></Relationships>
</file>

<file path=word/_rels/footer16.xml.rels><?xml version="1.0" encoding="UTF-8" standalone="yes"?>
<Relationships xmlns="http://schemas.openxmlformats.org/package/2006/relationships"><Relationship Id="rId1" Type="http://schemas.openxmlformats.org/officeDocument/2006/relationships/image" Target="media/image16.jpeg"/></Relationships>
</file>

<file path=word/_rels/footer17.xml.rels><?xml version="1.0" encoding="UTF-8" standalone="yes"?>
<Relationships xmlns="http://schemas.openxmlformats.org/package/2006/relationships"><Relationship Id="rId1" Type="http://schemas.openxmlformats.org/officeDocument/2006/relationships/image" Target="media/image18.png"/></Relationships>
</file>

<file path=word/_rels/footer18.xml.rels><?xml version="1.0" encoding="UTF-8" standalone="yes"?>
<Relationships xmlns="http://schemas.openxmlformats.org/package/2006/relationships"><Relationship Id="rId1" Type="http://schemas.openxmlformats.org/officeDocument/2006/relationships/image" Target="media/image20.jpeg"/></Relationships>
</file>

<file path=word/_rels/footer19.xml.rels><?xml version="1.0" encoding="UTF-8" standalone="yes"?>
<Relationships xmlns="http://schemas.openxmlformats.org/package/2006/relationships"><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20.xml.rels><?xml version="1.0" encoding="UTF-8" standalone="yes"?>
<Relationships xmlns="http://schemas.openxmlformats.org/package/2006/relationships"><Relationship Id="rId1" Type="http://schemas.openxmlformats.org/officeDocument/2006/relationships/image" Target="media/image21.png"/></Relationships>
</file>

<file path=word/_rels/footer21.xml.rels><?xml version="1.0" encoding="UTF-8" standalone="yes"?>
<Relationships xmlns="http://schemas.openxmlformats.org/package/2006/relationships"><Relationship Id="rId1" Type="http://schemas.openxmlformats.org/officeDocument/2006/relationships/image" Target="media/image22.jpeg"/></Relationships>
</file>

<file path=word/_rels/footer22.xml.rels><?xml version="1.0" encoding="UTF-8" standalone="yes"?>
<Relationships xmlns="http://schemas.openxmlformats.org/package/2006/relationships"><Relationship Id="rId1" Type="http://schemas.openxmlformats.org/officeDocument/2006/relationships/image" Target="media/image23.jpeg"/></Relationships>
</file>

<file path=word/_rels/footer23.xml.rels><?xml version="1.0" encoding="UTF-8" standalone="yes"?>
<Relationships xmlns="http://schemas.openxmlformats.org/package/2006/relationships"><Relationship Id="rId1" Type="http://schemas.openxmlformats.org/officeDocument/2006/relationships/image" Target="media/image20.jpeg"/></Relationships>
</file>

<file path=word/_rels/footer24.xml.rels><?xml version="1.0" encoding="UTF-8" standalone="yes"?>
<Relationships xmlns="http://schemas.openxmlformats.org/package/2006/relationships"><Relationship Id="rId1" Type="http://schemas.openxmlformats.org/officeDocument/2006/relationships/image" Target="media/image23.jpeg"/></Relationships>
</file>

<file path=word/_rels/footer25.xml.rels><?xml version="1.0" encoding="UTF-8" standalone="yes"?>
<Relationships xmlns="http://schemas.openxmlformats.org/package/2006/relationships"><Relationship Id="rId1" Type="http://schemas.openxmlformats.org/officeDocument/2006/relationships/image" Target="media/image23.jpeg"/></Relationships>
</file>

<file path=word/_rels/footer26.xml.rels><?xml version="1.0" encoding="UTF-8" standalone="yes"?>
<Relationships xmlns="http://schemas.openxmlformats.org/package/2006/relationships"><Relationship Id="rId1" Type="http://schemas.openxmlformats.org/officeDocument/2006/relationships/image" Target="media/image23.jpeg"/></Relationships>
</file>

<file path=word/_rels/footer27.xml.rels><?xml version="1.0" encoding="UTF-8" standalone="yes"?>
<Relationships xmlns="http://schemas.openxmlformats.org/package/2006/relationships"><Relationship Id="rId1" Type="http://schemas.openxmlformats.org/officeDocument/2006/relationships/image" Target="media/image24.jpeg"/></Relationships>
</file>

<file path=word/_rels/footer28.xml.rels><?xml version="1.0" encoding="UTF-8" standalone="yes"?>
<Relationships xmlns="http://schemas.openxmlformats.org/package/2006/relationships"><Relationship Id="rId1" Type="http://schemas.openxmlformats.org/officeDocument/2006/relationships/image" Target="media/image16.jpeg"/></Relationships>
</file>

<file path=word/_rels/footer29.xml.rels><?xml version="1.0" encoding="UTF-8" standalone="yes"?>
<Relationships xmlns="http://schemas.openxmlformats.org/package/2006/relationships"><Relationship Id="rId1" Type="http://schemas.openxmlformats.org/officeDocument/2006/relationships/image" Target="media/image2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30.xml.rels><?xml version="1.0" encoding="UTF-8" standalone="yes"?>
<Relationships xmlns="http://schemas.openxmlformats.org/package/2006/relationships"><Relationship Id="rId1" Type="http://schemas.openxmlformats.org/officeDocument/2006/relationships/image" Target="media/image18.png"/></Relationships>
</file>

<file path=word/_rels/footer31.xml.rels><?xml version="1.0" encoding="UTF-8" standalone="yes"?>
<Relationships xmlns="http://schemas.openxmlformats.org/package/2006/relationships"><Relationship Id="rId1" Type="http://schemas.openxmlformats.org/officeDocument/2006/relationships/image" Target="media/image13.png"/></Relationships>
</file>

<file path=word/_rels/footer32.xml.rels><?xml version="1.0" encoding="UTF-8" standalone="yes"?>
<Relationships xmlns="http://schemas.openxmlformats.org/package/2006/relationships"><Relationship Id="rId1" Type="http://schemas.openxmlformats.org/officeDocument/2006/relationships/image" Target="media/image16.jpeg"/></Relationships>
</file>

<file path=word/_rels/footer33.xml.rels><?xml version="1.0" encoding="UTF-8" standalone="yes"?>
<Relationships xmlns="http://schemas.openxmlformats.org/package/2006/relationships"><Relationship Id="rId1" Type="http://schemas.openxmlformats.org/officeDocument/2006/relationships/image" Target="media/image16.jpeg"/></Relationships>
</file>

<file path=word/_rels/footer34.xml.rels><?xml version="1.0" encoding="UTF-8" standalone="yes"?>
<Relationships xmlns="http://schemas.openxmlformats.org/package/2006/relationships"><Relationship Id="rId1" Type="http://schemas.openxmlformats.org/officeDocument/2006/relationships/image" Target="media/image24.jpeg"/></Relationships>
</file>

<file path=word/_rels/footer35.xml.rels><?xml version="1.0" encoding="UTF-8" standalone="yes"?>
<Relationships xmlns="http://schemas.openxmlformats.org/package/2006/relationships"><Relationship Id="rId1" Type="http://schemas.openxmlformats.org/officeDocument/2006/relationships/image" Target="media/image28.jpeg"/></Relationships>
</file>

<file path=word/_rels/footer36.xml.rels><?xml version="1.0" encoding="UTF-8" standalone="yes"?>
<Relationships xmlns="http://schemas.openxmlformats.org/package/2006/relationships"><Relationship Id="rId1" Type="http://schemas.openxmlformats.org/officeDocument/2006/relationships/image" Target="media/image23.jpeg"/></Relationships>
</file>

<file path=word/_rels/footer37.xml.rels><?xml version="1.0" encoding="UTF-8" standalone="yes"?>
<Relationships xmlns="http://schemas.openxmlformats.org/package/2006/relationships"><Relationship Id="rId1" Type="http://schemas.openxmlformats.org/officeDocument/2006/relationships/image" Target="media/image16.jpeg"/></Relationships>
</file>

<file path=word/_rels/footer38.xml.rels><?xml version="1.0" encoding="UTF-8" standalone="yes"?>
<Relationships xmlns="http://schemas.openxmlformats.org/package/2006/relationships"><Relationship Id="rId1" Type="http://schemas.openxmlformats.org/officeDocument/2006/relationships/image" Target="media/image20.jpeg"/></Relationships>
</file>

<file path=word/_rels/footer39.xml.rels><?xml version="1.0" encoding="UTF-8" standalone="yes"?>
<Relationships xmlns="http://schemas.openxmlformats.org/package/2006/relationships"><Relationship Id="rId1" Type="http://schemas.openxmlformats.org/officeDocument/2006/relationships/image" Target="media/image29.pn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40.xml.rels><?xml version="1.0" encoding="UTF-8" standalone="yes"?>
<Relationships xmlns="http://schemas.openxmlformats.org/package/2006/relationships"><Relationship Id="rId1" Type="http://schemas.openxmlformats.org/officeDocument/2006/relationships/image" Target="media/image30.jpeg"/></Relationships>
</file>

<file path=word/_rels/footer41.xml.rels><?xml version="1.0" encoding="UTF-8" standalone="yes"?>
<Relationships xmlns="http://schemas.openxmlformats.org/package/2006/relationships"><Relationship Id="rId1" Type="http://schemas.openxmlformats.org/officeDocument/2006/relationships/image" Target="media/image16.jpeg"/></Relationships>
</file>

<file path=word/_rels/footer42.xml.rels><?xml version="1.0" encoding="UTF-8" standalone="yes"?>
<Relationships xmlns="http://schemas.openxmlformats.org/package/2006/relationships"><Relationship Id="rId1" Type="http://schemas.openxmlformats.org/officeDocument/2006/relationships/image" Target="media/image31.jpeg"/></Relationships>
</file>

<file path=word/_rels/footer43.xml.rels><?xml version="1.0" encoding="UTF-8" standalone="yes"?>
<Relationships xmlns="http://schemas.openxmlformats.org/package/2006/relationships"><Relationship Id="rId1" Type="http://schemas.openxmlformats.org/officeDocument/2006/relationships/image" Target="media/image16.jpeg"/></Relationships>
</file>

<file path=word/_rels/footer44.xml.rels><?xml version="1.0" encoding="UTF-8" standalone="yes"?>
<Relationships xmlns="http://schemas.openxmlformats.org/package/2006/relationships"><Relationship Id="rId1" Type="http://schemas.openxmlformats.org/officeDocument/2006/relationships/image" Target="media/image31.jpeg"/></Relationships>
</file>

<file path=word/_rels/footer45.xml.rels><?xml version="1.0" encoding="UTF-8" standalone="yes"?>
<Relationships xmlns="http://schemas.openxmlformats.org/package/2006/relationships"><Relationship Id="rId1" Type="http://schemas.openxmlformats.org/officeDocument/2006/relationships/image" Target="media/image22.jpeg"/></Relationships>
</file>

<file path=word/_rels/footer46.xml.rels><?xml version="1.0" encoding="UTF-8" standalone="yes"?>
<Relationships xmlns="http://schemas.openxmlformats.org/package/2006/relationships"><Relationship Id="rId1" Type="http://schemas.openxmlformats.org/officeDocument/2006/relationships/image" Target="media/image30.jpeg"/></Relationships>
</file>

<file path=word/_rels/footer47.xml.rels><?xml version="1.0" encoding="UTF-8" standalone="yes"?>
<Relationships xmlns="http://schemas.openxmlformats.org/package/2006/relationships"><Relationship Id="rId1" Type="http://schemas.openxmlformats.org/officeDocument/2006/relationships/image" Target="media/image16.jpeg"/></Relationships>
</file>

<file path=word/_rels/footer48.xml.rels><?xml version="1.0" encoding="UTF-8" standalone="yes"?>
<Relationships xmlns="http://schemas.openxmlformats.org/package/2006/relationships"><Relationship Id="rId1" Type="http://schemas.openxmlformats.org/officeDocument/2006/relationships/image" Target="media/image13.png"/></Relationships>
</file>

<file path=word/_rels/footer49.xml.rels><?xml version="1.0" encoding="UTF-8" standalone="yes"?>
<Relationships xmlns="http://schemas.openxmlformats.org/package/2006/relationships"><Relationship Id="rId1" Type="http://schemas.openxmlformats.org/officeDocument/2006/relationships/image" Target="media/image20.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50.xml.rels><?xml version="1.0" encoding="UTF-8" standalone="yes"?>
<Relationships xmlns="http://schemas.openxmlformats.org/package/2006/relationships"><Relationship Id="rId1" Type="http://schemas.openxmlformats.org/officeDocument/2006/relationships/image" Target="media/image20.jpeg"/></Relationships>
</file>

<file path=word/_rels/footer51.xml.rels><?xml version="1.0" encoding="UTF-8" standalone="yes"?>
<Relationships xmlns="http://schemas.openxmlformats.org/package/2006/relationships"><Relationship Id="rId1" Type="http://schemas.openxmlformats.org/officeDocument/2006/relationships/image" Target="media/image11.png"/></Relationships>
</file>

<file path=word/_rels/footer52.xml.rels><?xml version="1.0" encoding="UTF-8" standalone="yes"?>
<Relationships xmlns="http://schemas.openxmlformats.org/package/2006/relationships"><Relationship Id="rId1" Type="http://schemas.openxmlformats.org/officeDocument/2006/relationships/image" Target="media/image18.png"/></Relationships>
</file>

<file path=word/_rels/footer53.xml.rels><?xml version="1.0" encoding="UTF-8" standalone="yes"?>
<Relationships xmlns="http://schemas.openxmlformats.org/package/2006/relationships"><Relationship Id="rId1" Type="http://schemas.openxmlformats.org/officeDocument/2006/relationships/image" Target="media/image13.png"/></Relationships>
</file>

<file path=word/_rels/footer54.xml.rels><?xml version="1.0" encoding="UTF-8" standalone="yes"?>
<Relationships xmlns="http://schemas.openxmlformats.org/package/2006/relationships"><Relationship Id="rId1" Type="http://schemas.openxmlformats.org/officeDocument/2006/relationships/image" Target="media/image11.png"/></Relationships>
</file>

<file path=word/_rels/footer55.xml.rels><?xml version="1.0" encoding="UTF-8" standalone="yes"?>
<Relationships xmlns="http://schemas.openxmlformats.org/package/2006/relationships"><Relationship Id="rId1" Type="http://schemas.openxmlformats.org/officeDocument/2006/relationships/image" Target="media/image31.jpeg"/></Relationships>
</file>

<file path=word/_rels/footer56.xml.rels><?xml version="1.0" encoding="UTF-8" standalone="yes"?>
<Relationships xmlns="http://schemas.openxmlformats.org/package/2006/relationships"><Relationship Id="rId1" Type="http://schemas.openxmlformats.org/officeDocument/2006/relationships/image" Target="media/image28.jpeg"/></Relationships>
</file>

<file path=word/_rels/footer57.xml.rels><?xml version="1.0" encoding="UTF-8" standalone="yes"?>
<Relationships xmlns="http://schemas.openxmlformats.org/package/2006/relationships"><Relationship Id="rId1" Type="http://schemas.openxmlformats.org/officeDocument/2006/relationships/image" Target="media/image35.png"/></Relationships>
</file>

<file path=word/_rels/footer58.xml.rels><?xml version="1.0" encoding="UTF-8" standalone="yes"?>
<Relationships xmlns="http://schemas.openxmlformats.org/package/2006/relationships"><Relationship Id="rId1" Type="http://schemas.openxmlformats.org/officeDocument/2006/relationships/image" Target="media/image36.jpeg"/></Relationships>
</file>

<file path=word/_rels/footer59.xml.rels><?xml version="1.0" encoding="UTF-8" standalone="yes"?>
<Relationships xmlns="http://schemas.openxmlformats.org/package/2006/relationships"><Relationship Id="rId1" Type="http://schemas.openxmlformats.org/officeDocument/2006/relationships/image" Target="media/image11.pn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60.xml.rels><?xml version="1.0" encoding="UTF-8" standalone="yes"?>
<Relationships xmlns="http://schemas.openxmlformats.org/package/2006/relationships"><Relationship Id="rId1" Type="http://schemas.openxmlformats.org/officeDocument/2006/relationships/image" Target="media/image28.jpeg"/></Relationships>
</file>

<file path=word/_rels/footer61.xml.rels><?xml version="1.0" encoding="UTF-8" standalone="yes"?>
<Relationships xmlns="http://schemas.openxmlformats.org/package/2006/relationships"><Relationship Id="rId1" Type="http://schemas.openxmlformats.org/officeDocument/2006/relationships/image" Target="media/image38.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5.jpeg"/></Relationships>
</file>

<file path=word/_rels/footer9.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12.png"/></Relationships>
</file>

<file path=word/_rels/header13.xml.rels><?xml version="1.0" encoding="UTF-8" standalone="yes"?>
<Relationships xmlns="http://schemas.openxmlformats.org/package/2006/relationships"><Relationship Id="rId1" Type="http://schemas.openxmlformats.org/officeDocument/2006/relationships/image" Target="media/image14.png"/></Relationships>
</file>

<file path=word/_rels/header14.xml.rels><?xml version="1.0" encoding="UTF-8" standalone="yes"?>
<Relationships xmlns="http://schemas.openxmlformats.org/package/2006/relationships"><Relationship Id="rId1" Type="http://schemas.openxmlformats.org/officeDocument/2006/relationships/image" Target="media/image8.png"/></Relationships>
</file>

<file path=word/_rels/header15.xml.rels><?xml version="1.0" encoding="UTF-8" standalone="yes"?>
<Relationships xmlns="http://schemas.openxmlformats.org/package/2006/relationships"><Relationship Id="rId1" Type="http://schemas.openxmlformats.org/officeDocument/2006/relationships/image" Target="media/image8.png"/></Relationships>
</file>

<file path=word/_rels/header16.xml.rels><?xml version="1.0" encoding="UTF-8" standalone="yes"?>
<Relationships xmlns="http://schemas.openxmlformats.org/package/2006/relationships"><Relationship Id="rId1" Type="http://schemas.openxmlformats.org/officeDocument/2006/relationships/image" Target="media/image12.png"/></Relationships>
</file>

<file path=word/_rels/header17.xml.rels><?xml version="1.0" encoding="UTF-8" standalone="yes"?>
<Relationships xmlns="http://schemas.openxmlformats.org/package/2006/relationships"><Relationship Id="rId1" Type="http://schemas.openxmlformats.org/officeDocument/2006/relationships/image" Target="media/image12.png"/></Relationships>
</file>

<file path=word/_rels/header18.xml.rels><?xml version="1.0" encoding="UTF-8" standalone="yes"?>
<Relationships xmlns="http://schemas.openxmlformats.org/package/2006/relationships"><Relationship Id="rId1" Type="http://schemas.openxmlformats.org/officeDocument/2006/relationships/image" Target="media/image15.jpe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8.png"/></Relationships>
</file>

<file path=word/_rels/header22.xml.rels><?xml version="1.0" encoding="UTF-8" standalone="yes"?>
<Relationships xmlns="http://schemas.openxmlformats.org/package/2006/relationships"><Relationship Id="rId1" Type="http://schemas.openxmlformats.org/officeDocument/2006/relationships/image" Target="media/image17.png"/></Relationships>
</file>

<file path=word/_rels/header23.xml.rels><?xml version="1.0" encoding="UTF-8" standalone="yes"?>
<Relationships xmlns="http://schemas.openxmlformats.org/package/2006/relationships"><Relationship Id="rId1" Type="http://schemas.openxmlformats.org/officeDocument/2006/relationships/image" Target="media/image19.png"/></Relationships>
</file>

<file path=word/_rels/header24.xml.rels><?xml version="1.0" encoding="UTF-8" standalone="yes"?>
<Relationships xmlns="http://schemas.openxmlformats.org/package/2006/relationships"><Relationship Id="rId1" Type="http://schemas.openxmlformats.org/officeDocument/2006/relationships/image" Target="media/image1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8.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12.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9.png"/></Relationships>
</file>

<file path=word/_rels/header35.xml.rels><?xml version="1.0" encoding="UTF-8" standalone="yes"?>
<Relationships xmlns="http://schemas.openxmlformats.org/package/2006/relationships"><Relationship Id="rId1" Type="http://schemas.openxmlformats.org/officeDocument/2006/relationships/image" Target="media/image26.jpeg"/></Relationships>
</file>

<file path=word/_rels/header36.xml.rels><?xml version="1.0" encoding="UTF-8" standalone="yes"?>
<Relationships xmlns="http://schemas.openxmlformats.org/package/2006/relationships"><Relationship Id="rId1" Type="http://schemas.openxmlformats.org/officeDocument/2006/relationships/image" Target="media/image27.png"/></Relationships>
</file>

<file path=word/_rels/header37.xml.rels><?xml version="1.0" encoding="UTF-8" standalone="yes"?>
<Relationships xmlns="http://schemas.openxmlformats.org/package/2006/relationships"><Relationship Id="rId1" Type="http://schemas.openxmlformats.org/officeDocument/2006/relationships/image" Target="media/image12.png"/></Relationships>
</file>

<file path=word/_rels/header38.xml.rels><?xml version="1.0" encoding="UTF-8" standalone="yes"?>
<Relationships xmlns="http://schemas.openxmlformats.org/package/2006/relationships"><Relationship Id="rId1" Type="http://schemas.openxmlformats.org/officeDocument/2006/relationships/image" Target="media/image8.png"/></Relationships>
</file>

<file path=word/_rels/header39.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2.png"/></Relationships>
</file>

<file path=word/_rels/header41.xml.rels><?xml version="1.0" encoding="UTF-8" standalone="yes"?>
<Relationships xmlns="http://schemas.openxmlformats.org/package/2006/relationships"><Relationship Id="rId1" Type="http://schemas.openxmlformats.org/officeDocument/2006/relationships/image" Target="media/image12.png"/></Relationships>
</file>

<file path=word/_rels/header42.xml.rels><?xml version="1.0" encoding="UTF-8" standalone="yes"?>
<Relationships xmlns="http://schemas.openxmlformats.org/package/2006/relationships"><Relationship Id="rId1" Type="http://schemas.openxmlformats.org/officeDocument/2006/relationships/image" Target="media/image1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26.jpeg"/></Relationships>
</file>

<file path=word/_rels/header45.xml.rels><?xml version="1.0" encoding="UTF-8" standalone="yes"?>
<Relationships xmlns="http://schemas.openxmlformats.org/package/2006/relationships"><Relationship Id="rId1" Type="http://schemas.openxmlformats.org/officeDocument/2006/relationships/image" Target="media/image4.png"/></Relationships>
</file>

<file path=word/_rels/header46.xml.rels><?xml version="1.0" encoding="UTF-8" standalone="yes"?>
<Relationships xmlns="http://schemas.openxmlformats.org/package/2006/relationships"><Relationship Id="rId1" Type="http://schemas.openxmlformats.org/officeDocument/2006/relationships/image" Target="media/image12.png"/></Relationships>
</file>

<file path=word/_rels/header47.xml.rels><?xml version="1.0" encoding="UTF-8" standalone="yes"?>
<Relationships xmlns="http://schemas.openxmlformats.org/package/2006/relationships"><Relationship Id="rId1" Type="http://schemas.openxmlformats.org/officeDocument/2006/relationships/image" Target="media/image19.png"/></Relationships>
</file>

<file path=word/_rels/header48.xml.rels><?xml version="1.0" encoding="UTF-8" standalone="yes"?>
<Relationships xmlns="http://schemas.openxmlformats.org/package/2006/relationships"><Relationship Id="rId1" Type="http://schemas.openxmlformats.org/officeDocument/2006/relationships/image" Target="media/image19.png"/></Relationships>
</file>

<file path=word/_rels/header49.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4.png"/></Relationships>
</file>

<file path=word/_rels/header52.xml.rels><?xml version="1.0" encoding="UTF-8" standalone="yes"?>
<Relationships xmlns="http://schemas.openxmlformats.org/package/2006/relationships"><Relationship Id="rId1" Type="http://schemas.openxmlformats.org/officeDocument/2006/relationships/image" Target="media/image4.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4.png"/></Relationships>
</file>

<file path=word/_rels/header56.xml.rels><?xml version="1.0" encoding="UTF-8" standalone="yes"?>
<Relationships xmlns="http://schemas.openxmlformats.org/package/2006/relationships"><Relationship Id="rId1" Type="http://schemas.openxmlformats.org/officeDocument/2006/relationships/image" Target="media/image4.png"/></Relationships>
</file>

<file path=word/_rels/header57.xml.rels><?xml version="1.0" encoding="UTF-8" standalone="yes"?>
<Relationships xmlns="http://schemas.openxmlformats.org/package/2006/relationships"><Relationship Id="rId1" Type="http://schemas.openxmlformats.org/officeDocument/2006/relationships/image" Target="media/image32.png"/></Relationships>
</file>

<file path=word/_rels/header58.xml.rels><?xml version="1.0" encoding="UTF-8" standalone="yes"?>
<Relationships xmlns="http://schemas.openxmlformats.org/package/2006/relationships"><Relationship Id="rId1" Type="http://schemas.openxmlformats.org/officeDocument/2006/relationships/image" Target="media/image12.png"/></Relationships>
</file>

<file path=word/_rels/header59.xml.rels><?xml version="1.0" encoding="UTF-8" standalone="yes"?>
<Relationships xmlns="http://schemas.openxmlformats.org/package/2006/relationships"><Relationship Id="rId1" Type="http://schemas.openxmlformats.org/officeDocument/2006/relationships/image" Target="media/image19.png"/></Relationships>
</file>

<file path=word/_rels/header60.xml.rels><?xml version="1.0" encoding="UTF-8" standalone="yes"?>
<Relationships xmlns="http://schemas.openxmlformats.org/package/2006/relationships"><Relationship Id="rId1" Type="http://schemas.openxmlformats.org/officeDocument/2006/relationships/image" Target="media/image19.png"/></Relationships>
</file>

<file path=word/_rels/header61.xml.rels><?xml version="1.0" encoding="UTF-8" standalone="yes"?>
<Relationships xmlns="http://schemas.openxmlformats.org/package/2006/relationships"><Relationship Id="rId1" Type="http://schemas.openxmlformats.org/officeDocument/2006/relationships/image" Target="media/image33.jpeg"/></Relationships>
</file>

<file path=word/_rels/header62.xml.rels><?xml version="1.0" encoding="UTF-8" standalone="yes"?>
<Relationships xmlns="http://schemas.openxmlformats.org/package/2006/relationships"><Relationship Id="rId1" Type="http://schemas.openxmlformats.org/officeDocument/2006/relationships/image" Target="media/image34.png"/></Relationships>
</file>

<file path=word/_rels/header63.xml.rels><?xml version="1.0" encoding="UTF-8" standalone="yes"?>
<Relationships xmlns="http://schemas.openxmlformats.org/package/2006/relationships"><Relationship Id="rId1" Type="http://schemas.openxmlformats.org/officeDocument/2006/relationships/image" Target="media/image12.png"/></Relationships>
</file>

<file path=word/_rels/header64.xml.rels><?xml version="1.0" encoding="UTF-8" standalone="yes"?>
<Relationships xmlns="http://schemas.openxmlformats.org/package/2006/relationships"><Relationship Id="rId1" Type="http://schemas.openxmlformats.org/officeDocument/2006/relationships/image" Target="media/image4.png"/></Relationships>
</file>

<file path=word/_rels/header65.xml.rels><?xml version="1.0" encoding="UTF-8" standalone="yes"?>
<Relationships xmlns="http://schemas.openxmlformats.org/package/2006/relationships"><Relationship Id="rId1" Type="http://schemas.openxmlformats.org/officeDocument/2006/relationships/image" Target="media/image37.png"/></Relationships>
</file>

<file path=word/_rels/header66.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90"/>
    <customShpInfo spid="_x0000_s1091"/>
    <customShpInfo spid="_x0000_s1092"/>
    <customShpInfo spid="_x0000_s1093"/>
    <customShpInfo spid="_x0000_s1094"/>
    <customShpInfo spid="_x0000_s1095"/>
    <customShpInfo spid="_x0000_s1089"/>
    <customShpInfo spid="_x0000_s1097"/>
    <customShpInfo spid="_x0000_s1098"/>
    <customShpInfo spid="_x0000_s109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68</Pages>
  <Words>6283</Words>
  <Characters>8444</Characters>
  <TotalTime>0</TotalTime>
  <ScaleCrop>false</ScaleCrop>
  <LinksUpToDate>false</LinksUpToDate>
  <CharactersWithSpaces>8893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2026-08-05T10:58:00Z</dcterms:created>
  <dc:creator>QJ</dc:creator>
  <cp:lastModifiedBy>郭丽娜</cp:lastModifiedBy>
  <dcterms:modified xsi:type="dcterms:W3CDTF">2026-08-05T02:59:11Z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2026-08-05T10:58:26Z</vt:filetime>
  </property>
  <property fmtid="{D5CDD505-2E9C-101B-9397-08002B2CF9AE}" pid="4" name="UsrData">
    <vt:lpwstr>6a72a6bdee0b64001fc6b13fwl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73EF7F6EAE014C36BB4A7CEFB665EAD9_13</vt:lpwstr>
  </property>
</Properties>
</file>